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F427A" w14:textId="69520BD3" w:rsidR="00127288" w:rsidRPr="00127288" w:rsidRDefault="00127288" w:rsidP="00D816FB">
      <w:pPr>
        <w:spacing w:line="360" w:lineRule="auto"/>
        <w:jc w:val="center"/>
      </w:pPr>
      <w:r w:rsidRPr="00127288">
        <w:rPr>
          <w:b/>
        </w:rPr>
        <w:t xml:space="preserve">Analysing Budgetary Policies </w:t>
      </w:r>
      <w:proofErr w:type="gramStart"/>
      <w:r w:rsidRPr="00127288">
        <w:rPr>
          <w:b/>
        </w:rPr>
        <w:t>And</w:t>
      </w:r>
      <w:proofErr w:type="gramEnd"/>
      <w:r w:rsidRPr="00127288">
        <w:rPr>
          <w:b/>
        </w:rPr>
        <w:t xml:space="preserve"> Their Impact </w:t>
      </w:r>
      <w:proofErr w:type="gramStart"/>
      <w:r w:rsidRPr="00127288">
        <w:rPr>
          <w:b/>
        </w:rPr>
        <w:t>On</w:t>
      </w:r>
      <w:proofErr w:type="gramEnd"/>
      <w:r>
        <w:t xml:space="preserve"> </w:t>
      </w:r>
      <w:r w:rsidRPr="00127288">
        <w:rPr>
          <w:b/>
        </w:rPr>
        <w:t>Individuals</w:t>
      </w:r>
    </w:p>
    <w:p w14:paraId="17C61079" w14:textId="3684F5ED" w:rsidR="00127288" w:rsidRPr="00127288" w:rsidRDefault="00127288" w:rsidP="00D816FB">
      <w:pPr>
        <w:spacing w:line="360" w:lineRule="auto"/>
        <w:jc w:val="center"/>
        <w:rPr>
          <w:b/>
          <w:vertAlign w:val="superscript"/>
        </w:rPr>
      </w:pPr>
      <w:r w:rsidRPr="00127288">
        <w:rPr>
          <w:b/>
        </w:rPr>
        <w:t>Dr. Kiran Kumar M</w:t>
      </w:r>
      <w:r w:rsidRPr="00127288">
        <w:rPr>
          <w:b/>
          <w:vertAlign w:val="superscript"/>
        </w:rPr>
        <w:t>1</w:t>
      </w:r>
      <w:r w:rsidRPr="00127288">
        <w:rPr>
          <w:b/>
        </w:rPr>
        <w:t xml:space="preserve">, </w:t>
      </w:r>
      <w:r>
        <w:rPr>
          <w:b/>
        </w:rPr>
        <w:t>Satyam Jha</w:t>
      </w:r>
      <w:r w:rsidRPr="00127288">
        <w:rPr>
          <w:b/>
          <w:vertAlign w:val="superscript"/>
        </w:rPr>
        <w:t>2</w:t>
      </w:r>
      <w:r w:rsidRPr="00127288">
        <w:rPr>
          <w:b/>
        </w:rPr>
        <w:t xml:space="preserve">, </w:t>
      </w:r>
      <w:r>
        <w:rPr>
          <w:b/>
        </w:rPr>
        <w:t>Shreetha Kushalappa K</w:t>
      </w:r>
      <w:r w:rsidRPr="00127288">
        <w:rPr>
          <w:b/>
          <w:vertAlign w:val="superscript"/>
        </w:rPr>
        <w:t>3</w:t>
      </w:r>
      <w:r w:rsidRPr="00127288">
        <w:rPr>
          <w:b/>
        </w:rPr>
        <w:t xml:space="preserve">, </w:t>
      </w:r>
      <w:r>
        <w:rPr>
          <w:b/>
        </w:rPr>
        <w:t>Khushi Verma</w:t>
      </w:r>
      <w:r w:rsidRPr="00127288">
        <w:rPr>
          <w:b/>
          <w:vertAlign w:val="superscript"/>
        </w:rPr>
        <w:t>4</w:t>
      </w:r>
    </w:p>
    <w:p w14:paraId="2472B6BE" w14:textId="77777777" w:rsidR="00127288" w:rsidRPr="00127288" w:rsidRDefault="00127288" w:rsidP="00D816FB">
      <w:pPr>
        <w:spacing w:line="360" w:lineRule="auto"/>
        <w:jc w:val="center"/>
      </w:pPr>
      <w:r w:rsidRPr="00127288">
        <w:t>Assistant Professor-Finance</w:t>
      </w:r>
      <w:r w:rsidRPr="00127288">
        <w:rPr>
          <w:vertAlign w:val="superscript"/>
        </w:rPr>
        <w:t>1</w:t>
      </w:r>
      <w:r w:rsidRPr="00127288">
        <w:t>, MBA Students</w:t>
      </w:r>
      <w:r w:rsidRPr="00127288">
        <w:rPr>
          <w:vertAlign w:val="superscript"/>
        </w:rPr>
        <w:t>2,3,4</w:t>
      </w:r>
      <w:r w:rsidRPr="00127288">
        <w:t>.</w:t>
      </w:r>
    </w:p>
    <w:p w14:paraId="5FD9671F" w14:textId="77777777" w:rsidR="00127288" w:rsidRPr="00127288" w:rsidRDefault="00127288" w:rsidP="00D816FB">
      <w:pPr>
        <w:spacing w:line="360" w:lineRule="auto"/>
        <w:jc w:val="center"/>
      </w:pPr>
      <w:r w:rsidRPr="00127288">
        <w:t>Faculty of Management Studies, CMS Business School, Jain (Deemed-to-be University), Bengaluru.</w:t>
      </w:r>
    </w:p>
    <w:p w14:paraId="179F4B5F" w14:textId="1F69B4BD" w:rsidR="0086601C" w:rsidRDefault="00127288" w:rsidP="0086601C">
      <w:pPr>
        <w:spacing w:line="360" w:lineRule="auto"/>
        <w:jc w:val="center"/>
      </w:pPr>
      <w:hyperlink r:id="rId5" w:history="1">
        <w:r w:rsidRPr="00127288">
          <w:rPr>
            <w:rStyle w:val="Hyperlink"/>
          </w:rPr>
          <w:t>kiranm287@gmail.com</w:t>
        </w:r>
      </w:hyperlink>
      <w:r w:rsidR="00D816FB">
        <w:t xml:space="preserve">, </w:t>
      </w:r>
      <w:hyperlink r:id="rId6" w:history="1">
        <w:r w:rsidR="00D816FB" w:rsidRPr="000E2644">
          <w:rPr>
            <w:rStyle w:val="Hyperlink"/>
          </w:rPr>
          <w:t>satyam_jha@24cms.ac.in</w:t>
        </w:r>
      </w:hyperlink>
      <w:r w:rsidR="00991F13">
        <w:t xml:space="preserve">, </w:t>
      </w:r>
      <w:hyperlink r:id="rId7" w:history="1">
        <w:r w:rsidR="009D6EA2" w:rsidRPr="00EC6EC4">
          <w:rPr>
            <w:rStyle w:val="Hyperlink"/>
          </w:rPr>
          <w:t>shreetha_kushalappa24@cms.ac.in</w:t>
        </w:r>
      </w:hyperlink>
      <w:r w:rsidR="009D6EA2">
        <w:t>,</w:t>
      </w:r>
    </w:p>
    <w:p w14:paraId="136B881A" w14:textId="79712D7A" w:rsidR="009D6EA2" w:rsidRDefault="00055806" w:rsidP="0086601C">
      <w:pPr>
        <w:spacing w:line="360" w:lineRule="auto"/>
        <w:jc w:val="center"/>
      </w:pPr>
      <w:hyperlink r:id="rId8" w:history="1">
        <w:r w:rsidRPr="00EC6EC4">
          <w:rPr>
            <w:rStyle w:val="Hyperlink"/>
          </w:rPr>
          <w:t>khushi_verma24@cms.ac.in</w:t>
        </w:r>
      </w:hyperlink>
    </w:p>
    <w:p w14:paraId="304010C6" w14:textId="77777777" w:rsidR="009B7C2F" w:rsidRDefault="009B7C2F" w:rsidP="0086601C">
      <w:pPr>
        <w:spacing w:line="360" w:lineRule="auto"/>
        <w:rPr>
          <w:rFonts w:eastAsiaTheme="minorHAnsi"/>
          <w:b/>
          <w:bCs/>
          <w:kern w:val="2"/>
          <w:sz w:val="28"/>
          <w:szCs w:val="28"/>
          <w:lang w:eastAsia="en-US"/>
          <w14:ligatures w14:val="standardContextual"/>
        </w:rPr>
      </w:pPr>
    </w:p>
    <w:p w14:paraId="7B7CAAEA" w14:textId="419C9D01" w:rsidR="002D5808" w:rsidRPr="0086601C" w:rsidRDefault="002D5808" w:rsidP="0086601C">
      <w:pPr>
        <w:spacing w:line="360" w:lineRule="auto"/>
      </w:pPr>
      <w:r w:rsidRPr="002D5808">
        <w:rPr>
          <w:rFonts w:eastAsiaTheme="minorHAnsi"/>
          <w:b/>
          <w:bCs/>
          <w:kern w:val="2"/>
          <w:sz w:val="28"/>
          <w:szCs w:val="28"/>
          <w:lang w:eastAsia="en-US"/>
          <w14:ligatures w14:val="standardContextual"/>
        </w:rPr>
        <w:t>Abstract</w:t>
      </w:r>
    </w:p>
    <w:p w14:paraId="78B5D53B"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Budget policies constitute a primary engine for stimulating growth in economics due to impacts they have on the stability of public finances, the investment, and the broader developmental process within economies. Therefore, this article deconstructivity investigates the fiscal budgets of any nation, mainly considering taxation policies, public expenditures, and deficit in the process. The empirical data and frameworks for policies will be used to determine the nexus between budgetary policies and macroeconomic indicators like economic growth through GDP growth, inflation, and employment rates. For instance, the topic of such a paper would discuss how fiscal responsibility, and expansionary and contractionary budgetary measures, as well as public debt management, maintain long-run economic viability. By developing the comparative study of developed economies with developing ones, the critical factor highlighted pertains to efficiency in budgeting approach toward resilience.</w:t>
      </w:r>
    </w:p>
    <w:p w14:paraId="72C22CF2"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The paper further evaluates the impact of fiscal prudence in mitigating economic recession and also in providing for even growth in any society. It is concluded that proper budgetary policies that have proper structured budgeting do not only create stability in the economy but also prop up innovation, infrastructure, and welfare among social sectors. This study proves useful to the policy formulators in providing the optimum budgetary allocation strategy for sustainable growth of the economy.</w:t>
      </w:r>
    </w:p>
    <w:p w14:paraId="1E432B24" w14:textId="77777777" w:rsidR="002D5808" w:rsidRPr="002D5808" w:rsidRDefault="002D5808" w:rsidP="0068409C">
      <w:pPr>
        <w:spacing w:after="160" w:line="360" w:lineRule="auto"/>
        <w:rPr>
          <w:rFonts w:eastAsiaTheme="minorHAnsi"/>
          <w:kern w:val="2"/>
          <w:lang w:eastAsia="en-US"/>
          <w14:ligatures w14:val="standardContextual"/>
        </w:rPr>
      </w:pPr>
      <w:proofErr w:type="gramStart"/>
      <w:r w:rsidRPr="002D5808">
        <w:rPr>
          <w:rFonts w:eastAsiaTheme="minorHAnsi"/>
          <w:b/>
          <w:bCs/>
          <w:kern w:val="2"/>
          <w:lang w:eastAsia="en-US"/>
          <w14:ligatures w14:val="standardContextual"/>
        </w:rPr>
        <w:t>Keywords :</w:t>
      </w:r>
      <w:proofErr w:type="gramEnd"/>
      <w:r w:rsidRPr="002D5808">
        <w:rPr>
          <w:rFonts w:eastAsiaTheme="minorHAnsi"/>
          <w:b/>
          <w:bCs/>
          <w:kern w:val="2"/>
          <w:lang w:eastAsia="en-US"/>
          <w14:ligatures w14:val="standardContextual"/>
        </w:rPr>
        <w:t xml:space="preserve"> </w:t>
      </w:r>
      <w:r w:rsidRPr="002D5808">
        <w:rPr>
          <w:rFonts w:eastAsiaTheme="minorHAnsi"/>
          <w:kern w:val="2"/>
          <w:lang w:eastAsia="en-US"/>
          <w14:ligatures w14:val="standardContextual"/>
        </w:rPr>
        <w:t>Budgetary Policies, Growth in the economy, Fiscal Soundness, Expenditure, Taxation and GDP, and Fiscal Deficit.</w:t>
      </w:r>
    </w:p>
    <w:p w14:paraId="0162AD3D" w14:textId="77777777" w:rsidR="009B7C2F" w:rsidRDefault="009B7C2F" w:rsidP="0068409C">
      <w:pPr>
        <w:spacing w:after="160" w:line="360" w:lineRule="auto"/>
        <w:rPr>
          <w:rFonts w:eastAsiaTheme="minorHAnsi"/>
          <w:kern w:val="2"/>
          <w:lang w:eastAsia="en-US"/>
          <w14:ligatures w14:val="standardContextual"/>
        </w:rPr>
      </w:pPr>
    </w:p>
    <w:p w14:paraId="6432BDDF" w14:textId="77777777" w:rsidR="009B7C2F" w:rsidRDefault="009B7C2F" w:rsidP="0068409C">
      <w:pPr>
        <w:spacing w:after="160" w:line="360" w:lineRule="auto"/>
        <w:rPr>
          <w:rFonts w:eastAsiaTheme="minorHAnsi"/>
          <w:b/>
          <w:bCs/>
          <w:kern w:val="2"/>
          <w:sz w:val="28"/>
          <w:szCs w:val="28"/>
          <w:lang w:eastAsia="en-US"/>
          <w14:ligatures w14:val="standardContextual"/>
        </w:rPr>
      </w:pPr>
    </w:p>
    <w:p w14:paraId="0E5918EB" w14:textId="24D03FF7" w:rsidR="002D5808" w:rsidRPr="002D5808" w:rsidRDefault="002D5808" w:rsidP="0068409C">
      <w:pPr>
        <w:spacing w:after="160" w:line="360" w:lineRule="auto"/>
        <w:rPr>
          <w:rFonts w:eastAsiaTheme="minorHAnsi"/>
          <w:b/>
          <w:bCs/>
          <w:kern w:val="2"/>
          <w:sz w:val="28"/>
          <w:szCs w:val="28"/>
          <w:lang w:eastAsia="en-US"/>
          <w14:ligatures w14:val="standardContextual"/>
        </w:rPr>
      </w:pPr>
      <w:r w:rsidRPr="002D5808">
        <w:rPr>
          <w:rFonts w:eastAsiaTheme="minorHAnsi"/>
          <w:b/>
          <w:bCs/>
          <w:kern w:val="2"/>
          <w:sz w:val="28"/>
          <w:szCs w:val="28"/>
          <w:lang w:eastAsia="en-US"/>
          <w14:ligatures w14:val="standardContextual"/>
        </w:rPr>
        <w:lastRenderedPageBreak/>
        <w:t>Introduction</w:t>
      </w:r>
    </w:p>
    <w:p w14:paraId="0B1D9D4E"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Economic growth is the primary objective of fiscal policy, and budgetary policies determine the course a national economy takes. Governments everywhere use fiscal instruments such as taxation, public expenditure, and deficit financing to control macroeconomic stability, enhance productivity, and facilitate long-term growth. Budgetary policies are important instruments for dealing with inflationary pressures, minimizing unemployment, and improving infrastructure development with a view toward sustainable economic growth.</w:t>
      </w:r>
    </w:p>
    <w:p w14:paraId="0A287A14"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This paper aims to critically discuss the impact of budgetary policies on growth within theoretical, empirical, and country-based case studies. The paper investigates whether expansionary or contractionary fiscal policies are more effective in promoting expansionary or contractionary policies and whether public debt is related to economic performance. Furthermore, the paper reviews whether budget deficits impede or contribute to growth. It also considers the impact of government spending on human capital formation, technological development, and resistance to economic shocks.</w:t>
      </w:r>
    </w:p>
    <w:p w14:paraId="4DE00258"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By introducing findings, study aims to generate an all-encompassing knowledge about how fiscal strategy influences the growth of the economy. Findings will contribute to the on-going scholarly debate regarding the optimal budgetary frameworks, policy trade-off, and the long-term sustainability of fiscal interventions in the developing and developed economies.</w:t>
      </w:r>
    </w:p>
    <w:p w14:paraId="25C6C2D6" w14:textId="77777777" w:rsidR="002D5808" w:rsidRPr="002D5808" w:rsidRDefault="002D5808" w:rsidP="0068409C">
      <w:pPr>
        <w:spacing w:after="160" w:line="360" w:lineRule="auto"/>
        <w:rPr>
          <w:rFonts w:eastAsiaTheme="minorHAnsi"/>
          <w:b/>
          <w:bCs/>
          <w:kern w:val="2"/>
          <w:lang w:eastAsia="en-US"/>
          <w14:ligatures w14:val="standardContextual"/>
        </w:rPr>
      </w:pPr>
    </w:p>
    <w:p w14:paraId="552D4F8D" w14:textId="77777777" w:rsidR="002D5808" w:rsidRPr="002D5808" w:rsidRDefault="002D5808" w:rsidP="0068409C">
      <w:pPr>
        <w:spacing w:after="160" w:line="360" w:lineRule="auto"/>
        <w:rPr>
          <w:rFonts w:eastAsiaTheme="minorHAnsi"/>
          <w:kern w:val="2"/>
          <w:sz w:val="28"/>
          <w:szCs w:val="28"/>
          <w:lang w:eastAsia="en-US"/>
          <w14:ligatures w14:val="standardContextual"/>
        </w:rPr>
      </w:pPr>
      <w:r w:rsidRPr="002D5808">
        <w:rPr>
          <w:rFonts w:eastAsiaTheme="minorHAnsi"/>
          <w:b/>
          <w:bCs/>
          <w:kern w:val="2"/>
          <w:sz w:val="28"/>
          <w:szCs w:val="28"/>
          <w:lang w:eastAsia="en-US"/>
          <w14:ligatures w14:val="standardContextual"/>
        </w:rPr>
        <w:t>Review of Literature</w:t>
      </w:r>
    </w:p>
    <w:p w14:paraId="4651BCD3" w14:textId="77777777" w:rsidR="002D5808" w:rsidRPr="002D5808" w:rsidRDefault="002D5808" w:rsidP="0068409C">
      <w:pPr>
        <w:numPr>
          <w:ilvl w:val="0"/>
          <w:numId w:val="27"/>
        </w:numPr>
        <w:spacing w:after="160" w:line="360" w:lineRule="auto"/>
        <w:contextualSpacing/>
        <w:rPr>
          <w:rFonts w:eastAsiaTheme="minorHAnsi"/>
          <w:kern w:val="2"/>
          <w:lang w:eastAsia="en-US"/>
          <w14:ligatures w14:val="standardContextual"/>
        </w:rPr>
      </w:pPr>
      <w:r w:rsidRPr="002D5808">
        <w:rPr>
          <w:rFonts w:eastAsiaTheme="minorHAnsi"/>
          <w:b/>
          <w:bCs/>
          <w:kern w:val="2"/>
          <w:lang w:eastAsia="en-US"/>
          <w14:ligatures w14:val="standardContextual"/>
        </w:rPr>
        <w:t>Government Expenditure and Economic Growth</w:t>
      </w:r>
      <w:r w:rsidRPr="002D5808">
        <w:rPr>
          <w:rFonts w:eastAsiaTheme="minorHAnsi"/>
          <w:kern w:val="2"/>
          <w:lang w:eastAsia="en-US"/>
          <w14:ligatures w14:val="standardContextual"/>
        </w:rPr>
        <w:t>: SAARC country studies (Rahman et al., 2023) confirm the positive correlation between government expenditure and economic growth, confirming Keynesian economic theory.</w:t>
      </w:r>
    </w:p>
    <w:p w14:paraId="48C5B402" w14:textId="77777777" w:rsidR="002D5808" w:rsidRPr="002D5808" w:rsidRDefault="002D5808" w:rsidP="0068409C">
      <w:pPr>
        <w:numPr>
          <w:ilvl w:val="0"/>
          <w:numId w:val="27"/>
        </w:numPr>
        <w:spacing w:after="160" w:line="360" w:lineRule="auto"/>
        <w:contextualSpacing/>
        <w:rPr>
          <w:rFonts w:eastAsiaTheme="minorHAnsi"/>
          <w:kern w:val="2"/>
          <w:lang w:eastAsia="en-US"/>
          <w14:ligatures w14:val="standardContextual"/>
        </w:rPr>
      </w:pPr>
      <w:r w:rsidRPr="002D5808">
        <w:rPr>
          <w:rFonts w:eastAsiaTheme="minorHAnsi"/>
          <w:b/>
          <w:bCs/>
          <w:kern w:val="2"/>
          <w:lang w:eastAsia="en-US"/>
          <w14:ligatures w14:val="standardContextual"/>
        </w:rPr>
        <w:t xml:space="preserve"> Fiscal Policy in Emerging Economies</w:t>
      </w:r>
      <w:r w:rsidRPr="002D5808">
        <w:rPr>
          <w:rFonts w:eastAsiaTheme="minorHAnsi"/>
          <w:kern w:val="2"/>
          <w:lang w:eastAsia="en-US"/>
          <w14:ligatures w14:val="standardContextual"/>
        </w:rPr>
        <w:t>: Empirical evidence (Javed &amp; Husain, 2024) shows that while public debt can boost short-term growth, high government and private consumption expenditure can dampen long-term growth.</w:t>
      </w:r>
    </w:p>
    <w:p w14:paraId="639783E5" w14:textId="77777777" w:rsidR="002D5808" w:rsidRPr="002D5808" w:rsidRDefault="002D5808" w:rsidP="0068409C">
      <w:pPr>
        <w:numPr>
          <w:ilvl w:val="0"/>
          <w:numId w:val="27"/>
        </w:numPr>
        <w:spacing w:after="160" w:line="360" w:lineRule="auto"/>
        <w:contextualSpacing/>
        <w:rPr>
          <w:rFonts w:eastAsiaTheme="minorHAnsi"/>
          <w:kern w:val="2"/>
          <w:lang w:eastAsia="en-US"/>
          <w14:ligatures w14:val="standardContextual"/>
        </w:rPr>
      </w:pPr>
      <w:r w:rsidRPr="002D5808">
        <w:rPr>
          <w:rFonts w:eastAsiaTheme="minorHAnsi"/>
          <w:b/>
          <w:bCs/>
          <w:kern w:val="2"/>
          <w:lang w:eastAsia="en-US"/>
          <w14:ligatures w14:val="standardContextual"/>
        </w:rPr>
        <w:t>Global Fiscal Policy Trends</w:t>
      </w:r>
      <w:r w:rsidRPr="002D5808">
        <w:rPr>
          <w:rFonts w:eastAsiaTheme="minorHAnsi"/>
          <w:kern w:val="2"/>
          <w:lang w:eastAsia="en-US"/>
          <w14:ligatures w14:val="standardContextual"/>
        </w:rPr>
        <w:t>: Misra (2021) uses text-mining methods to examine fiscal policy trends from the years 2000-2019, providing analysis on prudent fiscal practice.</w:t>
      </w:r>
    </w:p>
    <w:p w14:paraId="46ABD9DC" w14:textId="77777777" w:rsidR="002D5808" w:rsidRPr="002D5808" w:rsidRDefault="002D5808" w:rsidP="0068409C">
      <w:pPr>
        <w:numPr>
          <w:ilvl w:val="0"/>
          <w:numId w:val="27"/>
        </w:numPr>
        <w:spacing w:after="160" w:line="360" w:lineRule="auto"/>
        <w:contextualSpacing/>
        <w:rPr>
          <w:rFonts w:eastAsiaTheme="minorHAnsi"/>
          <w:kern w:val="2"/>
          <w:lang w:eastAsia="en-US"/>
          <w14:ligatures w14:val="standardContextual"/>
        </w:rPr>
      </w:pPr>
      <w:r w:rsidRPr="002D5808">
        <w:rPr>
          <w:rFonts w:eastAsiaTheme="minorHAnsi"/>
          <w:b/>
          <w:bCs/>
          <w:kern w:val="2"/>
          <w:lang w:eastAsia="en-US"/>
          <w14:ligatures w14:val="standardContextual"/>
        </w:rPr>
        <w:lastRenderedPageBreak/>
        <w:t xml:space="preserve"> Public Spending and Economic Performance</w:t>
      </w:r>
      <w:r w:rsidRPr="002D5808">
        <w:rPr>
          <w:rFonts w:eastAsiaTheme="minorHAnsi"/>
          <w:kern w:val="2"/>
          <w:lang w:eastAsia="en-US"/>
          <w14:ligatures w14:val="standardContextual"/>
        </w:rPr>
        <w:t>: Research on Sub-Saharan Africa (Ukwueze et al., 2021) brings to light the role of governance in maximizing the effectiveness of government spending.</w:t>
      </w:r>
    </w:p>
    <w:p w14:paraId="49D19574" w14:textId="77777777" w:rsidR="002D5808" w:rsidRPr="002D5808" w:rsidRDefault="002D5808" w:rsidP="0068409C">
      <w:pPr>
        <w:numPr>
          <w:ilvl w:val="0"/>
          <w:numId w:val="27"/>
        </w:numPr>
        <w:spacing w:after="160" w:line="360" w:lineRule="auto"/>
        <w:contextualSpacing/>
        <w:rPr>
          <w:rFonts w:eastAsiaTheme="minorHAnsi"/>
          <w:kern w:val="2"/>
          <w:lang w:eastAsia="en-US"/>
          <w14:ligatures w14:val="standardContextual"/>
        </w:rPr>
      </w:pPr>
      <w:r w:rsidRPr="002D5808">
        <w:rPr>
          <w:rFonts w:eastAsiaTheme="minorHAnsi"/>
          <w:b/>
          <w:bCs/>
          <w:kern w:val="2"/>
          <w:lang w:eastAsia="en-US"/>
          <w14:ligatures w14:val="standardContextual"/>
        </w:rPr>
        <w:t>Monetary and Fiscal Interplay</w:t>
      </w:r>
      <w:r w:rsidRPr="002D5808">
        <w:rPr>
          <w:rFonts w:eastAsiaTheme="minorHAnsi"/>
          <w:kern w:val="2"/>
          <w:lang w:eastAsia="en-US"/>
          <w14:ligatures w14:val="standardContextual"/>
        </w:rPr>
        <w:t>: Daoui (2023) reviews the impact of monetary policies and fiscal reforms in developing nations, emphasizing central bank independence and fiscal discipline.</w:t>
      </w:r>
    </w:p>
    <w:p w14:paraId="085F5664" w14:textId="77777777" w:rsidR="002D5808" w:rsidRPr="002D5808" w:rsidRDefault="002D5808" w:rsidP="0068409C">
      <w:pPr>
        <w:spacing w:after="160" w:line="360" w:lineRule="auto"/>
        <w:rPr>
          <w:rFonts w:eastAsiaTheme="minorHAnsi"/>
          <w:kern w:val="2"/>
          <w:lang w:eastAsia="en-US"/>
          <w14:ligatures w14:val="standardContextual"/>
        </w:rPr>
      </w:pPr>
    </w:p>
    <w:p w14:paraId="4C81E63C" w14:textId="1458BEA7" w:rsidR="002D5808" w:rsidRPr="002D5808" w:rsidRDefault="002D5808" w:rsidP="0068409C">
      <w:pPr>
        <w:spacing w:after="160" w:line="360" w:lineRule="auto"/>
        <w:rPr>
          <w:rFonts w:eastAsiaTheme="minorHAnsi"/>
          <w:kern w:val="2"/>
          <w:sz w:val="28"/>
          <w:szCs w:val="28"/>
          <w:lang w:eastAsia="en-US"/>
          <w14:ligatures w14:val="standardContextual"/>
        </w:rPr>
      </w:pPr>
      <w:r w:rsidRPr="002D5808">
        <w:rPr>
          <w:rFonts w:eastAsiaTheme="minorHAnsi"/>
          <w:b/>
          <w:bCs/>
          <w:kern w:val="2"/>
          <w:sz w:val="28"/>
          <w:szCs w:val="28"/>
          <w:lang w:eastAsia="en-US"/>
          <w14:ligatures w14:val="standardContextual"/>
        </w:rPr>
        <w:t>Objectives</w:t>
      </w:r>
    </w:p>
    <w:p w14:paraId="455392A9" w14:textId="177BB8D9" w:rsidR="002D5808" w:rsidRPr="000E6508" w:rsidRDefault="002D5808" w:rsidP="000E6508">
      <w:pPr>
        <w:numPr>
          <w:ilvl w:val="0"/>
          <w:numId w:val="2"/>
        </w:numPr>
        <w:spacing w:after="160" w:line="360" w:lineRule="auto"/>
        <w:contextualSpacing/>
        <w:rPr>
          <w:rFonts w:eastAsiaTheme="minorHAnsi"/>
          <w:kern w:val="2"/>
          <w:lang w:eastAsia="en-US"/>
          <w14:ligatures w14:val="standardContextual"/>
        </w:rPr>
      </w:pPr>
      <w:r w:rsidRPr="000E6508">
        <w:rPr>
          <w:rFonts w:eastAsiaTheme="minorHAnsi"/>
          <w:kern w:val="2"/>
          <w:lang w:eastAsia="en-US"/>
          <w14:ligatures w14:val="standardContextual"/>
        </w:rPr>
        <w:t xml:space="preserve">Evaluating the Influence of Government Debt on Long-term Economic </w:t>
      </w:r>
      <w:r w:rsidR="005E11C9" w:rsidRPr="000E6508">
        <w:rPr>
          <w:rFonts w:eastAsiaTheme="minorHAnsi"/>
          <w:kern w:val="2"/>
          <w:lang w:eastAsia="en-US"/>
          <w14:ligatures w14:val="standardContextual"/>
        </w:rPr>
        <w:t>Growth.</w:t>
      </w:r>
    </w:p>
    <w:p w14:paraId="30605D9C" w14:textId="438CBFB6" w:rsidR="002D5808" w:rsidRPr="000E6508" w:rsidRDefault="002D5808" w:rsidP="000E6508">
      <w:pPr>
        <w:numPr>
          <w:ilvl w:val="0"/>
          <w:numId w:val="2"/>
        </w:numPr>
        <w:spacing w:after="160" w:line="360" w:lineRule="auto"/>
        <w:contextualSpacing/>
        <w:rPr>
          <w:rFonts w:eastAsiaTheme="minorHAnsi"/>
          <w:kern w:val="2"/>
          <w:lang w:eastAsia="en-US"/>
          <w14:ligatures w14:val="standardContextual"/>
        </w:rPr>
      </w:pPr>
      <w:r w:rsidRPr="000E6508">
        <w:rPr>
          <w:rFonts w:eastAsiaTheme="minorHAnsi"/>
          <w:kern w:val="2"/>
          <w:lang w:eastAsia="en-US"/>
          <w14:ligatures w14:val="standardContextual"/>
        </w:rPr>
        <w:t xml:space="preserve"> Investigating Tax Revenue Determinants and Growth Implications</w:t>
      </w:r>
    </w:p>
    <w:p w14:paraId="5A90D1C3" w14:textId="4649432B" w:rsidR="002D5808" w:rsidRPr="000E6508" w:rsidRDefault="002D5808" w:rsidP="000E6508">
      <w:pPr>
        <w:numPr>
          <w:ilvl w:val="0"/>
          <w:numId w:val="2"/>
        </w:numPr>
        <w:spacing w:after="160" w:line="360" w:lineRule="auto"/>
        <w:contextualSpacing/>
        <w:rPr>
          <w:rFonts w:eastAsiaTheme="minorHAnsi"/>
          <w:kern w:val="2"/>
          <w:lang w:eastAsia="en-US"/>
          <w14:ligatures w14:val="standardContextual"/>
        </w:rPr>
      </w:pPr>
      <w:r w:rsidRPr="000E6508">
        <w:rPr>
          <w:rFonts w:eastAsiaTheme="minorHAnsi"/>
          <w:kern w:val="2"/>
          <w:lang w:eastAsia="en-US"/>
          <w14:ligatures w14:val="standardContextual"/>
        </w:rPr>
        <w:t xml:space="preserve"> Budgetary Control in SMEs and Economic Contributions.</w:t>
      </w:r>
    </w:p>
    <w:p w14:paraId="2E5E7966" w14:textId="1075DF2F" w:rsidR="002D5808" w:rsidRPr="000E6508" w:rsidRDefault="002D5808" w:rsidP="000E6508">
      <w:pPr>
        <w:numPr>
          <w:ilvl w:val="0"/>
          <w:numId w:val="2"/>
        </w:numPr>
        <w:spacing w:after="160" w:line="360" w:lineRule="auto"/>
        <w:contextualSpacing/>
        <w:rPr>
          <w:rFonts w:eastAsiaTheme="minorHAnsi"/>
          <w:kern w:val="2"/>
          <w:lang w:eastAsia="en-US"/>
          <w14:ligatures w14:val="standardContextual"/>
        </w:rPr>
      </w:pPr>
      <w:r w:rsidRPr="000E6508">
        <w:rPr>
          <w:rFonts w:eastAsiaTheme="minorHAnsi"/>
          <w:kern w:val="2"/>
          <w:lang w:eastAsia="en-US"/>
          <w14:ligatures w14:val="standardContextual"/>
        </w:rPr>
        <w:t>Transition and Emerging Economy Fiscal Policies</w:t>
      </w:r>
    </w:p>
    <w:p w14:paraId="7964163E" w14:textId="77777777" w:rsidR="002D5808" w:rsidRPr="002D5808" w:rsidRDefault="002D5808" w:rsidP="0068409C">
      <w:pPr>
        <w:spacing w:after="160" w:line="360" w:lineRule="auto"/>
        <w:rPr>
          <w:rFonts w:eastAsiaTheme="minorHAnsi"/>
          <w:b/>
          <w:bCs/>
          <w:kern w:val="2"/>
          <w:lang w:eastAsia="en-US"/>
          <w14:ligatures w14:val="standardContextual"/>
        </w:rPr>
      </w:pPr>
    </w:p>
    <w:p w14:paraId="5F968344" w14:textId="5BF7B65F" w:rsidR="002D5808" w:rsidRPr="002D5808" w:rsidRDefault="002D5808" w:rsidP="0068409C">
      <w:pPr>
        <w:spacing w:after="160" w:line="360" w:lineRule="auto"/>
        <w:rPr>
          <w:rFonts w:eastAsiaTheme="minorHAnsi"/>
          <w:kern w:val="2"/>
          <w:sz w:val="28"/>
          <w:szCs w:val="28"/>
          <w:lang w:eastAsia="en-US"/>
          <w14:ligatures w14:val="standardContextual"/>
        </w:rPr>
      </w:pPr>
      <w:r w:rsidRPr="002D5808">
        <w:rPr>
          <w:rFonts w:eastAsiaTheme="minorHAnsi"/>
          <w:b/>
          <w:bCs/>
          <w:kern w:val="2"/>
          <w:sz w:val="28"/>
          <w:szCs w:val="28"/>
          <w:lang w:eastAsia="en-US"/>
          <w14:ligatures w14:val="standardContextual"/>
        </w:rPr>
        <w:t>Data Analysis</w:t>
      </w:r>
    </w:p>
    <w:p w14:paraId="2C36A4C4"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Empirical data used in this study are:</w:t>
      </w:r>
    </w:p>
    <w:p w14:paraId="475BBD9B" w14:textId="77777777" w:rsidR="002D5808" w:rsidRPr="002D5808" w:rsidRDefault="002D5808" w:rsidP="0068409C">
      <w:pPr>
        <w:numPr>
          <w:ilvl w:val="0"/>
          <w:numId w:val="29"/>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2014-2022 GDP Growth Rate Trends</w:t>
      </w:r>
    </w:p>
    <w:p w14:paraId="2585CB50" w14:textId="77777777" w:rsidR="002D5808" w:rsidRPr="002D5808" w:rsidRDefault="002D5808" w:rsidP="0068409C">
      <w:pPr>
        <w:numPr>
          <w:ilvl w:val="0"/>
          <w:numId w:val="29"/>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2014-2022 External Debt to GDP Ratio</w:t>
      </w:r>
    </w:p>
    <w:p w14:paraId="18D57409" w14:textId="77777777" w:rsidR="002D5808" w:rsidRPr="002D5808" w:rsidRDefault="002D5808" w:rsidP="0068409C">
      <w:pPr>
        <w:numPr>
          <w:ilvl w:val="0"/>
          <w:numId w:val="29"/>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Sector-wise FDI Trends</w:t>
      </w:r>
    </w:p>
    <w:p w14:paraId="4FD14B0B" w14:textId="77777777" w:rsidR="002D5808" w:rsidRPr="002D5808" w:rsidRDefault="002D5808" w:rsidP="0068409C">
      <w:pPr>
        <w:numPr>
          <w:ilvl w:val="0"/>
          <w:numId w:val="29"/>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 xml:space="preserve"> Budget Allocations Compared Between Developed vs. Developing Economies</w:t>
      </w:r>
    </w:p>
    <w:p w14:paraId="2B38D3AB"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The evidence points out fiscal policy effects on macroeconomic stability, government investment efficiency, and economic resistance. Graph analysis and econometric modelling will equally illustrate these causalities.</w:t>
      </w:r>
    </w:p>
    <w:p w14:paraId="7EE0A570" w14:textId="77777777" w:rsidR="009B7C2F" w:rsidRDefault="009B7C2F" w:rsidP="0068409C">
      <w:pPr>
        <w:spacing w:after="160" w:line="360" w:lineRule="auto"/>
        <w:rPr>
          <w:rFonts w:eastAsiaTheme="minorHAnsi"/>
          <w:kern w:val="2"/>
          <w:lang w:eastAsia="en-US"/>
          <w14:ligatures w14:val="standardContextual"/>
        </w:rPr>
      </w:pPr>
    </w:p>
    <w:p w14:paraId="75DFFA9B" w14:textId="77777777" w:rsidR="009B7C2F" w:rsidRDefault="009B7C2F" w:rsidP="0068409C">
      <w:pPr>
        <w:spacing w:after="160" w:line="360" w:lineRule="auto"/>
        <w:rPr>
          <w:rFonts w:eastAsiaTheme="minorHAnsi"/>
          <w:kern w:val="2"/>
          <w:lang w:eastAsia="en-US"/>
          <w14:ligatures w14:val="standardContextual"/>
        </w:rPr>
      </w:pPr>
    </w:p>
    <w:p w14:paraId="462D7118" w14:textId="77777777" w:rsidR="009B7C2F" w:rsidRDefault="009B7C2F" w:rsidP="0068409C">
      <w:pPr>
        <w:spacing w:after="160" w:line="360" w:lineRule="auto"/>
        <w:rPr>
          <w:rFonts w:eastAsiaTheme="minorHAnsi"/>
          <w:kern w:val="2"/>
          <w:lang w:eastAsia="en-US"/>
          <w14:ligatures w14:val="standardContextual"/>
        </w:rPr>
      </w:pPr>
    </w:p>
    <w:p w14:paraId="54AF934E" w14:textId="77777777" w:rsidR="009B7C2F" w:rsidRDefault="009B7C2F" w:rsidP="0068409C">
      <w:pPr>
        <w:spacing w:after="160" w:line="360" w:lineRule="auto"/>
        <w:rPr>
          <w:rFonts w:eastAsiaTheme="minorHAnsi"/>
          <w:kern w:val="2"/>
          <w:lang w:eastAsia="en-US"/>
          <w14:ligatures w14:val="standardContextual"/>
        </w:rPr>
      </w:pPr>
    </w:p>
    <w:p w14:paraId="60F8073C" w14:textId="77777777" w:rsidR="009B7C2F" w:rsidRDefault="009B7C2F" w:rsidP="0068409C">
      <w:pPr>
        <w:spacing w:after="160" w:line="360" w:lineRule="auto"/>
        <w:rPr>
          <w:rFonts w:eastAsiaTheme="minorHAnsi"/>
          <w:kern w:val="2"/>
          <w:lang w:eastAsia="en-US"/>
          <w14:ligatures w14:val="standardContextual"/>
        </w:rPr>
      </w:pPr>
    </w:p>
    <w:p w14:paraId="2BA43955" w14:textId="77777777" w:rsidR="009B7C2F" w:rsidRDefault="009B7C2F" w:rsidP="0068409C">
      <w:pPr>
        <w:spacing w:after="160" w:line="360" w:lineRule="auto"/>
        <w:rPr>
          <w:rFonts w:eastAsiaTheme="minorHAnsi"/>
          <w:kern w:val="2"/>
          <w:lang w:eastAsia="en-US"/>
          <w14:ligatures w14:val="standardContextual"/>
        </w:rPr>
      </w:pPr>
    </w:p>
    <w:p w14:paraId="7A675E80" w14:textId="263A74EC"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lastRenderedPageBreak/>
        <w:t>Data 1:</w:t>
      </w:r>
    </w:p>
    <w:p w14:paraId="6AA13E26"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noProof/>
          <w:kern w:val="2"/>
          <w:lang w:eastAsia="en-US"/>
          <w14:ligatures w14:val="standardContextual"/>
        </w:rPr>
        <w:drawing>
          <wp:inline distT="0" distB="0" distL="0" distR="0" wp14:anchorId="1DCD0914" wp14:editId="5DE21543">
            <wp:extent cx="5731510" cy="1758315"/>
            <wp:effectExtent l="0" t="0" r="2540" b="0"/>
            <wp:docPr id="1694121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121703" name=""/>
                    <pic:cNvPicPr/>
                  </pic:nvPicPr>
                  <pic:blipFill>
                    <a:blip r:embed="rId9"/>
                    <a:stretch>
                      <a:fillRect/>
                    </a:stretch>
                  </pic:blipFill>
                  <pic:spPr>
                    <a:xfrm>
                      <a:off x="0" y="0"/>
                      <a:ext cx="5731510" cy="1758315"/>
                    </a:xfrm>
                    <a:prstGeom prst="rect">
                      <a:avLst/>
                    </a:prstGeom>
                  </pic:spPr>
                </pic:pic>
              </a:graphicData>
            </a:graphic>
          </wp:inline>
        </w:drawing>
      </w:r>
    </w:p>
    <w:p w14:paraId="46DA1624" w14:textId="3128FE2C"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 xml:space="preserve">Source: </w:t>
      </w:r>
      <w:hyperlink r:id="rId10" w:history="1">
        <w:r w:rsidR="00011346" w:rsidRPr="009B5D5F">
          <w:rPr>
            <w:rStyle w:val="Hyperlink"/>
            <w:rFonts w:eastAsiaTheme="minorHAnsi"/>
            <w:kern w:val="2"/>
            <w:lang w:eastAsia="en-US"/>
            <w14:ligatures w14:val="standardContextual"/>
          </w:rPr>
          <w:t>http://data.gov.in</w:t>
        </w:r>
      </w:hyperlink>
      <w:r w:rsidR="00011346">
        <w:rPr>
          <w:rFonts w:eastAsiaTheme="minorHAnsi"/>
          <w:kern w:val="2"/>
          <w:lang w:eastAsia="en-US"/>
          <w14:ligatures w14:val="standardContextual"/>
        </w:rPr>
        <w:t xml:space="preserve"> </w:t>
      </w:r>
    </w:p>
    <w:p w14:paraId="4248938B" w14:textId="7F2F5822"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Analysis of Debt Receipts and Draw Down of Cash Balance Over the Years</w:t>
      </w:r>
      <w:r w:rsidRPr="002D5808">
        <w:rPr>
          <w:rFonts w:eastAsiaTheme="minorHAnsi"/>
          <w:kern w:val="2"/>
          <w:lang w:eastAsia="en-US"/>
          <w14:ligatures w14:val="standardContextual"/>
        </w:rPr>
        <w:br/>
        <w:t>The chart provides debt receipts (net) and draw down of cash balance over four financial years (2019-2020 Actuals, 2020-2021 BE, 2020-2021 RE, and 2021-2022 BE). The observations from the data are as follows:</w:t>
      </w:r>
    </w:p>
    <w:p w14:paraId="75512524" w14:textId="77777777" w:rsidR="002D5808" w:rsidRPr="002D5808" w:rsidRDefault="002D5808" w:rsidP="0068409C">
      <w:pPr>
        <w:numPr>
          <w:ilvl w:val="0"/>
          <w:numId w:val="30"/>
        </w:numPr>
        <w:spacing w:after="160" w:line="360" w:lineRule="auto"/>
        <w:contextualSpacing/>
        <w:rPr>
          <w:rFonts w:eastAsiaTheme="minorHAnsi"/>
          <w:b/>
          <w:bCs/>
          <w:kern w:val="2"/>
          <w:lang w:eastAsia="en-US"/>
          <w14:ligatures w14:val="standardContextual"/>
        </w:rPr>
      </w:pPr>
      <w:r w:rsidRPr="002D5808">
        <w:rPr>
          <w:rFonts w:eastAsiaTheme="minorHAnsi"/>
          <w:b/>
          <w:bCs/>
          <w:kern w:val="2"/>
          <w:lang w:eastAsia="en-US"/>
          <w14:ligatures w14:val="standardContextual"/>
        </w:rPr>
        <w:t>Pre-eminence of Market Borrowings and Grand Total</w:t>
      </w:r>
    </w:p>
    <w:p w14:paraId="450ADAA0" w14:textId="77777777" w:rsidR="002D5808" w:rsidRPr="002D5808" w:rsidRDefault="002D5808" w:rsidP="0068409C">
      <w:pPr>
        <w:numPr>
          <w:ilvl w:val="0"/>
          <w:numId w:val="31"/>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 xml:space="preserve">Market Borrowings </w:t>
      </w:r>
    </w:p>
    <w:p w14:paraId="4C721267" w14:textId="77777777" w:rsidR="002D5808" w:rsidRPr="002D5808" w:rsidRDefault="002D5808" w:rsidP="0068409C">
      <w:pPr>
        <w:spacing w:after="160" w:line="360" w:lineRule="auto"/>
        <w:ind w:left="1080"/>
        <w:contextualSpacing/>
        <w:rPr>
          <w:rFonts w:eastAsiaTheme="minorHAnsi"/>
          <w:kern w:val="2"/>
          <w:lang w:eastAsia="en-US"/>
          <w14:ligatures w14:val="standardContextual"/>
        </w:rPr>
      </w:pPr>
      <w:r w:rsidRPr="002D5808">
        <w:rPr>
          <w:rFonts w:eastAsiaTheme="minorHAnsi"/>
          <w:kern w:val="2"/>
          <w:lang w:eastAsia="en-US"/>
          <w14:ligatures w14:val="standardContextual"/>
        </w:rPr>
        <w:t>(T Bills + GSec) continue to be the largest debt receipt contributor throughout all years with a major rise in 2020-2021 RE.</w:t>
      </w:r>
    </w:p>
    <w:p w14:paraId="4F38D0EF" w14:textId="77777777" w:rsidR="002D5808" w:rsidRPr="002D5808" w:rsidRDefault="002D5808" w:rsidP="0068409C">
      <w:pPr>
        <w:numPr>
          <w:ilvl w:val="0"/>
          <w:numId w:val="31"/>
        </w:numPr>
        <w:spacing w:after="160" w:line="360" w:lineRule="auto"/>
        <w:contextualSpacing/>
        <w:rPr>
          <w:rFonts w:eastAsiaTheme="minorHAnsi"/>
          <w:kern w:val="2"/>
          <w:lang w:eastAsia="en-US"/>
          <w14:ligatures w14:val="standardContextual"/>
        </w:rPr>
      </w:pPr>
      <w:r w:rsidRPr="002D5808">
        <w:rPr>
          <w:rFonts w:eastAsiaTheme="minorHAnsi"/>
          <w:kern w:val="2"/>
          <w:lang w:eastAsia="en-US"/>
          <w14:ligatures w14:val="standardContextual"/>
        </w:rPr>
        <w:t>Grand Total debt receipts also patterned similarly with a peak for 2020-2021 RE, reflecting a very bold borrowing strategy at this time.</w:t>
      </w:r>
    </w:p>
    <w:p w14:paraId="51B440A8" w14:textId="77777777" w:rsidR="002D5808" w:rsidRPr="002D5808" w:rsidRDefault="002D5808" w:rsidP="0068409C">
      <w:pPr>
        <w:spacing w:after="160" w:line="360" w:lineRule="auto"/>
        <w:ind w:left="720"/>
        <w:contextualSpacing/>
        <w:rPr>
          <w:rFonts w:eastAsiaTheme="minorHAnsi"/>
          <w:b/>
          <w:bCs/>
          <w:kern w:val="2"/>
          <w:lang w:eastAsia="en-US"/>
          <w14:ligatures w14:val="standardContextual"/>
        </w:rPr>
      </w:pPr>
    </w:p>
    <w:p w14:paraId="0B215316" w14:textId="77777777" w:rsidR="002D5808" w:rsidRPr="002D5808" w:rsidRDefault="002D5808" w:rsidP="0068409C">
      <w:pPr>
        <w:numPr>
          <w:ilvl w:val="0"/>
          <w:numId w:val="30"/>
        </w:numPr>
        <w:spacing w:after="160" w:line="360" w:lineRule="auto"/>
        <w:contextualSpacing/>
        <w:rPr>
          <w:rFonts w:eastAsiaTheme="minorHAnsi"/>
          <w:b/>
          <w:bCs/>
          <w:kern w:val="2"/>
          <w:lang w:eastAsia="en-US"/>
          <w14:ligatures w14:val="standardContextual"/>
        </w:rPr>
      </w:pPr>
      <w:r w:rsidRPr="002D5808">
        <w:rPr>
          <w:rFonts w:eastAsiaTheme="minorHAnsi"/>
          <w:b/>
          <w:bCs/>
          <w:kern w:val="2"/>
          <w:lang w:eastAsia="en-US"/>
          <w14:ligatures w14:val="standardContextual"/>
        </w:rPr>
        <w:t>Enhanced Debt Dependence in 2020-2021 RE</w:t>
      </w:r>
    </w:p>
    <w:p w14:paraId="187D359B" w14:textId="77777777" w:rsidR="002D5808" w:rsidRPr="002D5808" w:rsidRDefault="002D5808" w:rsidP="0068409C">
      <w:pPr>
        <w:spacing w:after="160" w:line="360" w:lineRule="auto"/>
        <w:ind w:left="720"/>
        <w:contextualSpacing/>
        <w:rPr>
          <w:rFonts w:eastAsiaTheme="minorHAnsi"/>
          <w:kern w:val="2"/>
          <w:lang w:eastAsia="en-US"/>
          <w14:ligatures w14:val="standardContextual"/>
        </w:rPr>
      </w:pPr>
      <w:r w:rsidRPr="002D5808">
        <w:rPr>
          <w:rFonts w:eastAsiaTheme="minorHAnsi"/>
          <w:kern w:val="2"/>
          <w:lang w:eastAsia="en-US"/>
          <w14:ligatures w14:val="standardContextual"/>
        </w:rPr>
        <w:t>• The 2020-2021 Revised Estimates (RE) indicate a sharp increase in total debt receipts, signifying increased borrowing over and above the initial budget.</w:t>
      </w:r>
      <w:r w:rsidRPr="002D5808">
        <w:rPr>
          <w:rFonts w:eastAsiaTheme="minorHAnsi"/>
          <w:kern w:val="2"/>
          <w:lang w:eastAsia="en-US"/>
          <w14:ligatures w14:val="standardContextual"/>
        </w:rPr>
        <w:br/>
        <w:t>• It can be related to economic shocks like the COVID-19 pandemic, necessitating more government expenditure to spur the economy.</w:t>
      </w:r>
    </w:p>
    <w:p w14:paraId="167E4125" w14:textId="77777777" w:rsidR="002D5808" w:rsidRPr="002D5808" w:rsidRDefault="002D5808" w:rsidP="0068409C">
      <w:pPr>
        <w:spacing w:after="160" w:line="360" w:lineRule="auto"/>
        <w:ind w:left="720"/>
        <w:contextualSpacing/>
        <w:rPr>
          <w:rFonts w:eastAsiaTheme="minorHAnsi"/>
          <w:kern w:val="2"/>
          <w:lang w:eastAsia="en-US"/>
          <w14:ligatures w14:val="standardContextual"/>
        </w:rPr>
      </w:pPr>
    </w:p>
    <w:p w14:paraId="0495E703" w14:textId="77777777" w:rsidR="002D5808" w:rsidRPr="002D5808" w:rsidRDefault="002D5808" w:rsidP="0068409C">
      <w:pPr>
        <w:numPr>
          <w:ilvl w:val="0"/>
          <w:numId w:val="30"/>
        </w:numPr>
        <w:spacing w:after="160" w:line="360" w:lineRule="auto"/>
        <w:contextualSpacing/>
        <w:rPr>
          <w:rFonts w:eastAsiaTheme="minorHAnsi"/>
          <w:b/>
          <w:bCs/>
          <w:kern w:val="2"/>
          <w:lang w:eastAsia="en-US"/>
          <w14:ligatures w14:val="standardContextual"/>
        </w:rPr>
      </w:pPr>
      <w:r w:rsidRPr="002D5808">
        <w:rPr>
          <w:rFonts w:eastAsiaTheme="minorHAnsi"/>
          <w:b/>
          <w:bCs/>
          <w:kern w:val="2"/>
          <w:lang w:eastAsia="en-US"/>
          <w14:ligatures w14:val="standardContextual"/>
        </w:rPr>
        <w:t>Variations in Other Components of Debt</w:t>
      </w:r>
    </w:p>
    <w:p w14:paraId="2AEA371D" w14:textId="77777777" w:rsidR="008F5357" w:rsidRDefault="002D5808" w:rsidP="008F5357">
      <w:pPr>
        <w:spacing w:after="160" w:line="360" w:lineRule="auto"/>
        <w:ind w:left="720"/>
        <w:contextualSpacing/>
        <w:rPr>
          <w:rFonts w:eastAsiaTheme="minorHAnsi"/>
          <w:kern w:val="2"/>
          <w:lang w:eastAsia="en-US"/>
          <w14:ligatures w14:val="standardContextual"/>
        </w:rPr>
      </w:pPr>
      <w:r w:rsidRPr="002D5808">
        <w:rPr>
          <w:rFonts w:eastAsiaTheme="minorHAnsi"/>
          <w:kern w:val="2"/>
          <w:lang w:eastAsia="en-US"/>
          <w14:ligatures w14:val="standardContextual"/>
        </w:rPr>
        <w:t>• Securities Against Small Savings experienced a steep hike in 2020-2021 RE but decreased in 2021-2022 BE, possibly signifying a change in funding approach.</w:t>
      </w:r>
      <w:r w:rsidRPr="002D5808">
        <w:rPr>
          <w:rFonts w:eastAsiaTheme="minorHAnsi"/>
          <w:kern w:val="2"/>
          <w:lang w:eastAsia="en-US"/>
          <w14:ligatures w14:val="standardContextual"/>
        </w:rPr>
        <w:br/>
        <w:t>•State Provident Funds and Other Receipts (Internal Debts &amp; Public Account) are comparatively stable with small fluctuations.</w:t>
      </w:r>
    </w:p>
    <w:p w14:paraId="6DABED4F" w14:textId="77777777" w:rsidR="00DF6C01" w:rsidRPr="00DF6C01" w:rsidRDefault="002D5808" w:rsidP="00DF6C01">
      <w:pPr>
        <w:pStyle w:val="ListParagraph"/>
        <w:numPr>
          <w:ilvl w:val="0"/>
          <w:numId w:val="30"/>
        </w:numPr>
        <w:spacing w:after="160" w:line="360" w:lineRule="auto"/>
        <w:rPr>
          <w:rFonts w:eastAsiaTheme="minorHAnsi"/>
          <w:kern w:val="2"/>
          <w:lang w:eastAsia="en-US"/>
          <w14:ligatures w14:val="standardContextual"/>
        </w:rPr>
      </w:pPr>
      <w:r w:rsidRPr="008F5357">
        <w:rPr>
          <w:rFonts w:eastAsiaTheme="minorHAnsi"/>
          <w:b/>
          <w:bCs/>
          <w:kern w:val="2"/>
          <w:lang w:eastAsia="en-US"/>
          <w14:ligatures w14:val="standardContextual"/>
        </w:rPr>
        <w:t xml:space="preserve"> External Debt and Draw Down of Cash Balance</w:t>
      </w:r>
    </w:p>
    <w:p w14:paraId="6058D03C" w14:textId="77777777" w:rsidR="00DF6C01" w:rsidRDefault="002D5808" w:rsidP="00DF6C01">
      <w:pPr>
        <w:pStyle w:val="ListParagraph"/>
        <w:numPr>
          <w:ilvl w:val="0"/>
          <w:numId w:val="31"/>
        </w:numPr>
        <w:spacing w:after="160" w:line="360" w:lineRule="auto"/>
        <w:rPr>
          <w:rFonts w:eastAsiaTheme="minorHAnsi"/>
          <w:kern w:val="2"/>
          <w:lang w:eastAsia="en-US"/>
          <w14:ligatures w14:val="standardContextual"/>
        </w:rPr>
      </w:pPr>
      <w:r w:rsidRPr="00DF6C01">
        <w:rPr>
          <w:rFonts w:eastAsiaTheme="minorHAnsi"/>
          <w:b/>
          <w:bCs/>
          <w:kern w:val="2"/>
          <w:lang w:eastAsia="en-US"/>
          <w14:ligatures w14:val="standardContextual"/>
        </w:rPr>
        <w:lastRenderedPageBreak/>
        <w:t>External Debt</w:t>
      </w:r>
      <w:r w:rsidRPr="00DF6C01">
        <w:rPr>
          <w:rFonts w:eastAsiaTheme="minorHAnsi"/>
          <w:kern w:val="2"/>
          <w:lang w:eastAsia="en-US"/>
          <w14:ligatures w14:val="standardContextual"/>
        </w:rPr>
        <w:t xml:space="preserve"> spiked in 2020-2021 RE but dropped significantly in 2021-2022 BE, suggesting reduced reliance on foreign borrowing post-crisis.</w:t>
      </w:r>
    </w:p>
    <w:p w14:paraId="01BA9DC2" w14:textId="0FBCFD94" w:rsidR="008F5357" w:rsidRPr="00DF6C01" w:rsidRDefault="002D5808" w:rsidP="00DF6C01">
      <w:pPr>
        <w:pStyle w:val="ListParagraph"/>
        <w:numPr>
          <w:ilvl w:val="0"/>
          <w:numId w:val="31"/>
        </w:numPr>
        <w:spacing w:after="160" w:line="360" w:lineRule="auto"/>
        <w:rPr>
          <w:rFonts w:eastAsiaTheme="minorHAnsi"/>
          <w:kern w:val="2"/>
          <w:lang w:eastAsia="en-US"/>
          <w14:ligatures w14:val="standardContextual"/>
        </w:rPr>
      </w:pPr>
      <w:r w:rsidRPr="00DF6C01">
        <w:rPr>
          <w:rFonts w:eastAsiaTheme="minorHAnsi"/>
          <w:b/>
          <w:bCs/>
          <w:kern w:val="2"/>
          <w:lang w:eastAsia="en-US"/>
          <w14:ligatures w14:val="standardContextual"/>
        </w:rPr>
        <w:t>Draw Down of Cash Balance</w:t>
      </w:r>
      <w:r w:rsidRPr="00DF6C01">
        <w:rPr>
          <w:rFonts w:eastAsiaTheme="minorHAnsi"/>
          <w:kern w:val="2"/>
          <w:lang w:eastAsia="en-US"/>
          <w14:ligatures w14:val="standardContextual"/>
        </w:rPr>
        <w:t xml:space="preserve"> was negative in 2020-2021 BE and RE, indicating surplus cash management rather than cash withdrawals.</w:t>
      </w:r>
    </w:p>
    <w:p w14:paraId="2971CFB8" w14:textId="278EB56E" w:rsidR="002D5808" w:rsidRPr="008F5357" w:rsidRDefault="002D5808" w:rsidP="008F5357">
      <w:pPr>
        <w:pStyle w:val="ListParagraph"/>
        <w:numPr>
          <w:ilvl w:val="0"/>
          <w:numId w:val="30"/>
        </w:numPr>
        <w:spacing w:after="160" w:line="360" w:lineRule="auto"/>
        <w:rPr>
          <w:rFonts w:eastAsiaTheme="minorHAnsi"/>
          <w:kern w:val="2"/>
          <w:lang w:eastAsia="en-US"/>
          <w14:ligatures w14:val="standardContextual"/>
        </w:rPr>
      </w:pPr>
      <w:r w:rsidRPr="008F5357">
        <w:rPr>
          <w:rFonts w:eastAsiaTheme="minorHAnsi"/>
          <w:b/>
          <w:bCs/>
          <w:kern w:val="2"/>
          <w:lang w:eastAsia="en-US"/>
          <w14:ligatures w14:val="standardContextual"/>
        </w:rPr>
        <w:t xml:space="preserve"> Post-Crisis Adjustment in 2021-2022 BE</w:t>
      </w:r>
    </w:p>
    <w:p w14:paraId="0E3A8935" w14:textId="77777777" w:rsidR="002D5808" w:rsidRPr="002D5808" w:rsidRDefault="002D5808" w:rsidP="0068409C">
      <w:pPr>
        <w:numPr>
          <w:ilvl w:val="0"/>
          <w:numId w:val="10"/>
        </w:num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 xml:space="preserve">The estimates for </w:t>
      </w:r>
      <w:r w:rsidRPr="002D5808">
        <w:rPr>
          <w:rFonts w:eastAsiaTheme="minorHAnsi"/>
          <w:b/>
          <w:bCs/>
          <w:kern w:val="2"/>
          <w:lang w:eastAsia="en-US"/>
          <w14:ligatures w14:val="standardContextual"/>
        </w:rPr>
        <w:t>2021-2022 BE</w:t>
      </w:r>
      <w:r w:rsidRPr="002D5808">
        <w:rPr>
          <w:rFonts w:eastAsiaTheme="minorHAnsi"/>
          <w:kern w:val="2"/>
          <w:lang w:eastAsia="en-US"/>
          <w14:ligatures w14:val="standardContextual"/>
        </w:rPr>
        <w:t xml:space="preserve"> show a decline in total debt receipts compared to the 2020-2021 RE, suggesting an effort to stabilize public debt after heavy borrowing during the crisis period.</w:t>
      </w:r>
    </w:p>
    <w:p w14:paraId="76AE750A" w14:textId="77777777" w:rsidR="002D5808" w:rsidRPr="002D5808" w:rsidRDefault="002D5808" w:rsidP="0068409C">
      <w:pPr>
        <w:spacing w:after="160" w:line="360" w:lineRule="auto"/>
        <w:rPr>
          <w:rFonts w:eastAsiaTheme="minorHAnsi"/>
          <w:kern w:val="2"/>
          <w:lang w:eastAsia="en-US"/>
          <w14:ligatures w14:val="standardContextual"/>
        </w:rPr>
      </w:pPr>
      <w:r w:rsidRPr="002D5808">
        <w:rPr>
          <w:rFonts w:eastAsiaTheme="minorHAnsi"/>
          <w:kern w:val="2"/>
          <w:lang w:eastAsia="en-US"/>
          <w14:ligatures w14:val="standardContextual"/>
        </w:rPr>
        <w:t>To put it in summary, the statistics illustrate a sharp surge in receipts of debt during 2020-2021 RE due to fiscal expansion driven by the pandemic. But 2021-2022 BE points towards increased fiscal prudence, with decreased dependence on foreign debt and responsible borrowing. These point towards the critical role played by fiscal policy in stabilizing the economy during periods of crisis and the need for responsible handling of debt during post-crisis periods.</w:t>
      </w:r>
    </w:p>
    <w:p w14:paraId="345A0CE8" w14:textId="4E013060" w:rsidR="00923D22" w:rsidRPr="002D5808" w:rsidRDefault="00B40F52" w:rsidP="0068409C">
      <w:pPr>
        <w:spacing w:line="360" w:lineRule="auto"/>
        <w:rPr>
          <w:b/>
          <w:bCs/>
          <w:sz w:val="28"/>
          <w:szCs w:val="28"/>
        </w:rPr>
      </w:pPr>
      <w:r>
        <w:rPr>
          <w:b/>
          <w:bCs/>
          <w:sz w:val="28"/>
          <w:szCs w:val="28"/>
        </w:rPr>
        <w:t>D</w:t>
      </w:r>
      <w:r w:rsidR="00923D22" w:rsidRPr="002D5808">
        <w:rPr>
          <w:b/>
          <w:bCs/>
          <w:sz w:val="28"/>
          <w:szCs w:val="28"/>
        </w:rPr>
        <w:t>ata 2:</w:t>
      </w:r>
    </w:p>
    <w:p w14:paraId="7DADFA91" w14:textId="77777777" w:rsidR="00923D22" w:rsidRPr="001C75D6" w:rsidRDefault="00923D22" w:rsidP="0068409C">
      <w:pPr>
        <w:spacing w:line="360" w:lineRule="auto"/>
        <w:rPr>
          <w:color w:val="000000" w:themeColor="text1"/>
        </w:rPr>
      </w:pPr>
      <w:r w:rsidRPr="001C75D6">
        <w:rPr>
          <w:color w:val="000000" w:themeColor="text1"/>
        </w:rPr>
        <w:t>Year-wise Real Gross Domestic Product (GDP) Growth Rate from 2014-15 to 2021-22</w:t>
      </w:r>
    </w:p>
    <w:p w14:paraId="55A12633" w14:textId="77777777" w:rsidR="00923D22" w:rsidRPr="001C75D6" w:rsidRDefault="00923D22" w:rsidP="0068409C">
      <w:pPr>
        <w:spacing w:line="360" w:lineRule="auto"/>
        <w:rPr>
          <w:color w:val="000000" w:themeColor="text1"/>
        </w:rPr>
      </w:pPr>
    </w:p>
    <w:tbl>
      <w:tblPr>
        <w:tblStyle w:val="TableGrid"/>
        <w:tblW w:w="0" w:type="auto"/>
        <w:tblLook w:val="04A0" w:firstRow="1" w:lastRow="0" w:firstColumn="1" w:lastColumn="0" w:noHBand="0" w:noVBand="1"/>
      </w:tblPr>
      <w:tblGrid>
        <w:gridCol w:w="2440"/>
        <w:gridCol w:w="4400"/>
      </w:tblGrid>
      <w:tr w:rsidR="007E39D4" w:rsidRPr="001C75D6" w14:paraId="17068958" w14:textId="77777777" w:rsidTr="007E39D4">
        <w:trPr>
          <w:trHeight w:val="300"/>
        </w:trPr>
        <w:tc>
          <w:tcPr>
            <w:tcW w:w="2440" w:type="dxa"/>
            <w:noWrap/>
            <w:hideMark/>
          </w:tcPr>
          <w:p w14:paraId="6264D532" w14:textId="77777777" w:rsidR="007E39D4" w:rsidRPr="001C75D6" w:rsidRDefault="007E39D4" w:rsidP="0068409C">
            <w:pPr>
              <w:spacing w:line="360" w:lineRule="auto"/>
              <w:rPr>
                <w:color w:val="000000" w:themeColor="text1"/>
              </w:rPr>
            </w:pPr>
            <w:r w:rsidRPr="001C75D6">
              <w:rPr>
                <w:color w:val="000000" w:themeColor="text1"/>
              </w:rPr>
              <w:t>Year</w:t>
            </w:r>
          </w:p>
        </w:tc>
        <w:tc>
          <w:tcPr>
            <w:tcW w:w="4400" w:type="dxa"/>
            <w:noWrap/>
            <w:hideMark/>
          </w:tcPr>
          <w:p w14:paraId="5153CDAF" w14:textId="77777777" w:rsidR="007E39D4" w:rsidRPr="001C75D6" w:rsidRDefault="007E39D4" w:rsidP="0068409C">
            <w:pPr>
              <w:spacing w:line="360" w:lineRule="auto"/>
              <w:rPr>
                <w:color w:val="000000" w:themeColor="text1"/>
              </w:rPr>
            </w:pPr>
            <w:r w:rsidRPr="001C75D6">
              <w:rPr>
                <w:color w:val="000000" w:themeColor="text1"/>
              </w:rPr>
              <w:t>Real GDP growth Rate (Percent)</w:t>
            </w:r>
          </w:p>
        </w:tc>
      </w:tr>
      <w:tr w:rsidR="007E39D4" w:rsidRPr="001C75D6" w14:paraId="1325F15C" w14:textId="77777777" w:rsidTr="007E39D4">
        <w:trPr>
          <w:trHeight w:val="300"/>
        </w:trPr>
        <w:tc>
          <w:tcPr>
            <w:tcW w:w="2440" w:type="dxa"/>
            <w:noWrap/>
            <w:hideMark/>
          </w:tcPr>
          <w:p w14:paraId="70CFB57B" w14:textId="77777777" w:rsidR="007E39D4" w:rsidRPr="001C75D6" w:rsidRDefault="007E39D4" w:rsidP="0068409C">
            <w:pPr>
              <w:spacing w:line="360" w:lineRule="auto"/>
              <w:rPr>
                <w:color w:val="000000" w:themeColor="text1"/>
              </w:rPr>
            </w:pPr>
            <w:r w:rsidRPr="001C75D6">
              <w:rPr>
                <w:color w:val="000000" w:themeColor="text1"/>
              </w:rPr>
              <w:t>2014-15</w:t>
            </w:r>
          </w:p>
        </w:tc>
        <w:tc>
          <w:tcPr>
            <w:tcW w:w="4400" w:type="dxa"/>
            <w:noWrap/>
            <w:hideMark/>
          </w:tcPr>
          <w:p w14:paraId="6B721895" w14:textId="77777777" w:rsidR="007E39D4" w:rsidRPr="001C75D6" w:rsidRDefault="007E39D4" w:rsidP="0068409C">
            <w:pPr>
              <w:spacing w:line="360" w:lineRule="auto"/>
              <w:rPr>
                <w:color w:val="000000" w:themeColor="text1"/>
              </w:rPr>
            </w:pPr>
            <w:r w:rsidRPr="001C75D6">
              <w:rPr>
                <w:color w:val="000000" w:themeColor="text1"/>
              </w:rPr>
              <w:t>7.4</w:t>
            </w:r>
          </w:p>
        </w:tc>
      </w:tr>
      <w:tr w:rsidR="007E39D4" w:rsidRPr="001C75D6" w14:paraId="60928227" w14:textId="77777777" w:rsidTr="007E39D4">
        <w:trPr>
          <w:trHeight w:val="300"/>
        </w:trPr>
        <w:tc>
          <w:tcPr>
            <w:tcW w:w="2440" w:type="dxa"/>
            <w:noWrap/>
            <w:hideMark/>
          </w:tcPr>
          <w:p w14:paraId="31A9192F" w14:textId="77777777" w:rsidR="007E39D4" w:rsidRPr="001C75D6" w:rsidRDefault="007E39D4" w:rsidP="0068409C">
            <w:pPr>
              <w:spacing w:line="360" w:lineRule="auto"/>
              <w:rPr>
                <w:color w:val="000000" w:themeColor="text1"/>
              </w:rPr>
            </w:pPr>
            <w:r w:rsidRPr="001C75D6">
              <w:rPr>
                <w:color w:val="000000" w:themeColor="text1"/>
              </w:rPr>
              <w:t>2015-16</w:t>
            </w:r>
          </w:p>
        </w:tc>
        <w:tc>
          <w:tcPr>
            <w:tcW w:w="4400" w:type="dxa"/>
            <w:noWrap/>
            <w:hideMark/>
          </w:tcPr>
          <w:p w14:paraId="3F37F3D8" w14:textId="77777777" w:rsidR="007E39D4" w:rsidRPr="001C75D6" w:rsidRDefault="007E39D4" w:rsidP="0068409C">
            <w:pPr>
              <w:spacing w:line="360" w:lineRule="auto"/>
              <w:rPr>
                <w:color w:val="000000" w:themeColor="text1"/>
              </w:rPr>
            </w:pPr>
            <w:r w:rsidRPr="001C75D6">
              <w:rPr>
                <w:color w:val="000000" w:themeColor="text1"/>
              </w:rPr>
              <w:t>8</w:t>
            </w:r>
          </w:p>
        </w:tc>
      </w:tr>
      <w:tr w:rsidR="007E39D4" w:rsidRPr="001C75D6" w14:paraId="4BF057EC" w14:textId="77777777" w:rsidTr="007E39D4">
        <w:trPr>
          <w:trHeight w:val="300"/>
        </w:trPr>
        <w:tc>
          <w:tcPr>
            <w:tcW w:w="2440" w:type="dxa"/>
            <w:noWrap/>
            <w:hideMark/>
          </w:tcPr>
          <w:p w14:paraId="6F980674" w14:textId="77777777" w:rsidR="007E39D4" w:rsidRPr="001C75D6" w:rsidRDefault="007E39D4" w:rsidP="0068409C">
            <w:pPr>
              <w:spacing w:line="360" w:lineRule="auto"/>
              <w:rPr>
                <w:color w:val="000000" w:themeColor="text1"/>
              </w:rPr>
            </w:pPr>
            <w:r w:rsidRPr="001C75D6">
              <w:rPr>
                <w:color w:val="000000" w:themeColor="text1"/>
              </w:rPr>
              <w:t>2016-17</w:t>
            </w:r>
          </w:p>
        </w:tc>
        <w:tc>
          <w:tcPr>
            <w:tcW w:w="4400" w:type="dxa"/>
            <w:noWrap/>
            <w:hideMark/>
          </w:tcPr>
          <w:p w14:paraId="363C8CBF" w14:textId="77777777" w:rsidR="007E39D4" w:rsidRPr="001C75D6" w:rsidRDefault="007E39D4" w:rsidP="0068409C">
            <w:pPr>
              <w:spacing w:line="360" w:lineRule="auto"/>
              <w:rPr>
                <w:color w:val="000000" w:themeColor="text1"/>
              </w:rPr>
            </w:pPr>
            <w:r w:rsidRPr="001C75D6">
              <w:rPr>
                <w:color w:val="000000" w:themeColor="text1"/>
              </w:rPr>
              <w:t>8.3</w:t>
            </w:r>
          </w:p>
        </w:tc>
      </w:tr>
      <w:tr w:rsidR="007E39D4" w:rsidRPr="001C75D6" w14:paraId="01FD7D09" w14:textId="77777777" w:rsidTr="007E39D4">
        <w:trPr>
          <w:trHeight w:val="300"/>
        </w:trPr>
        <w:tc>
          <w:tcPr>
            <w:tcW w:w="2440" w:type="dxa"/>
            <w:noWrap/>
            <w:hideMark/>
          </w:tcPr>
          <w:p w14:paraId="5E69DF16" w14:textId="77777777" w:rsidR="007E39D4" w:rsidRPr="001C75D6" w:rsidRDefault="007E39D4" w:rsidP="0068409C">
            <w:pPr>
              <w:spacing w:line="360" w:lineRule="auto"/>
              <w:rPr>
                <w:color w:val="000000" w:themeColor="text1"/>
              </w:rPr>
            </w:pPr>
            <w:r w:rsidRPr="001C75D6">
              <w:rPr>
                <w:color w:val="000000" w:themeColor="text1"/>
              </w:rPr>
              <w:t>2017-18</w:t>
            </w:r>
          </w:p>
        </w:tc>
        <w:tc>
          <w:tcPr>
            <w:tcW w:w="4400" w:type="dxa"/>
            <w:noWrap/>
            <w:hideMark/>
          </w:tcPr>
          <w:p w14:paraId="1EA02D7B" w14:textId="77777777" w:rsidR="007E39D4" w:rsidRPr="001C75D6" w:rsidRDefault="007E39D4" w:rsidP="0068409C">
            <w:pPr>
              <w:spacing w:line="360" w:lineRule="auto"/>
              <w:rPr>
                <w:color w:val="000000" w:themeColor="text1"/>
              </w:rPr>
            </w:pPr>
            <w:r w:rsidRPr="001C75D6">
              <w:rPr>
                <w:color w:val="000000" w:themeColor="text1"/>
              </w:rPr>
              <w:t>6.8</w:t>
            </w:r>
          </w:p>
        </w:tc>
      </w:tr>
      <w:tr w:rsidR="007E39D4" w:rsidRPr="001C75D6" w14:paraId="2997978D" w14:textId="77777777" w:rsidTr="007E39D4">
        <w:trPr>
          <w:trHeight w:val="300"/>
        </w:trPr>
        <w:tc>
          <w:tcPr>
            <w:tcW w:w="2440" w:type="dxa"/>
            <w:noWrap/>
            <w:hideMark/>
          </w:tcPr>
          <w:p w14:paraId="74B28255" w14:textId="4C3D848F" w:rsidR="007E39D4" w:rsidRPr="001C75D6" w:rsidRDefault="007E39D4" w:rsidP="0068409C">
            <w:pPr>
              <w:spacing w:line="360" w:lineRule="auto"/>
              <w:rPr>
                <w:color w:val="000000" w:themeColor="text1"/>
              </w:rPr>
            </w:pPr>
            <w:r w:rsidRPr="001C75D6">
              <w:rPr>
                <w:color w:val="000000" w:themeColor="text1"/>
              </w:rPr>
              <w:t xml:space="preserve">2018-19 </w:t>
            </w:r>
          </w:p>
        </w:tc>
        <w:tc>
          <w:tcPr>
            <w:tcW w:w="4400" w:type="dxa"/>
            <w:noWrap/>
            <w:hideMark/>
          </w:tcPr>
          <w:p w14:paraId="7F3EDC55" w14:textId="77777777" w:rsidR="007E39D4" w:rsidRPr="001C75D6" w:rsidRDefault="007E39D4" w:rsidP="0068409C">
            <w:pPr>
              <w:spacing w:line="360" w:lineRule="auto"/>
              <w:rPr>
                <w:color w:val="000000" w:themeColor="text1"/>
              </w:rPr>
            </w:pPr>
            <w:r w:rsidRPr="001C75D6">
              <w:rPr>
                <w:color w:val="000000" w:themeColor="text1"/>
              </w:rPr>
              <w:t>6.5</w:t>
            </w:r>
          </w:p>
        </w:tc>
      </w:tr>
      <w:tr w:rsidR="007E39D4" w:rsidRPr="001C75D6" w14:paraId="65100B74" w14:textId="77777777" w:rsidTr="007E39D4">
        <w:trPr>
          <w:trHeight w:val="300"/>
        </w:trPr>
        <w:tc>
          <w:tcPr>
            <w:tcW w:w="2440" w:type="dxa"/>
            <w:noWrap/>
            <w:hideMark/>
          </w:tcPr>
          <w:p w14:paraId="379DBAA4" w14:textId="6F133DA9" w:rsidR="007E39D4" w:rsidRPr="001C75D6" w:rsidRDefault="007E39D4" w:rsidP="0068409C">
            <w:pPr>
              <w:spacing w:line="360" w:lineRule="auto"/>
              <w:rPr>
                <w:color w:val="000000" w:themeColor="text1"/>
              </w:rPr>
            </w:pPr>
            <w:r w:rsidRPr="001C75D6">
              <w:rPr>
                <w:color w:val="000000" w:themeColor="text1"/>
              </w:rPr>
              <w:t xml:space="preserve">2019-20 </w:t>
            </w:r>
          </w:p>
        </w:tc>
        <w:tc>
          <w:tcPr>
            <w:tcW w:w="4400" w:type="dxa"/>
            <w:noWrap/>
            <w:hideMark/>
          </w:tcPr>
          <w:p w14:paraId="390DE4D1" w14:textId="77777777" w:rsidR="007E39D4" w:rsidRPr="001C75D6" w:rsidRDefault="007E39D4" w:rsidP="0068409C">
            <w:pPr>
              <w:spacing w:line="360" w:lineRule="auto"/>
              <w:rPr>
                <w:color w:val="000000" w:themeColor="text1"/>
              </w:rPr>
            </w:pPr>
            <w:r w:rsidRPr="001C75D6">
              <w:rPr>
                <w:color w:val="000000" w:themeColor="text1"/>
              </w:rPr>
              <w:t>3.7</w:t>
            </w:r>
          </w:p>
        </w:tc>
      </w:tr>
      <w:tr w:rsidR="007E39D4" w:rsidRPr="001C75D6" w14:paraId="505B3A0F" w14:textId="77777777" w:rsidTr="007E39D4">
        <w:trPr>
          <w:trHeight w:val="300"/>
        </w:trPr>
        <w:tc>
          <w:tcPr>
            <w:tcW w:w="2440" w:type="dxa"/>
            <w:noWrap/>
            <w:hideMark/>
          </w:tcPr>
          <w:p w14:paraId="33943FB4" w14:textId="1EF6FF91" w:rsidR="007E39D4" w:rsidRPr="001C75D6" w:rsidRDefault="007E39D4" w:rsidP="0068409C">
            <w:pPr>
              <w:spacing w:line="360" w:lineRule="auto"/>
              <w:rPr>
                <w:color w:val="000000" w:themeColor="text1"/>
              </w:rPr>
            </w:pPr>
            <w:r w:rsidRPr="001C75D6">
              <w:rPr>
                <w:color w:val="000000" w:themeColor="text1"/>
              </w:rPr>
              <w:t xml:space="preserve">2020-21 </w:t>
            </w:r>
          </w:p>
        </w:tc>
        <w:tc>
          <w:tcPr>
            <w:tcW w:w="4400" w:type="dxa"/>
            <w:noWrap/>
            <w:hideMark/>
          </w:tcPr>
          <w:p w14:paraId="595C98B5" w14:textId="77777777" w:rsidR="007E39D4" w:rsidRPr="001C75D6" w:rsidRDefault="007E39D4" w:rsidP="0068409C">
            <w:pPr>
              <w:spacing w:line="360" w:lineRule="auto"/>
              <w:rPr>
                <w:color w:val="000000" w:themeColor="text1"/>
              </w:rPr>
            </w:pPr>
            <w:r w:rsidRPr="001C75D6">
              <w:rPr>
                <w:color w:val="000000" w:themeColor="text1"/>
              </w:rPr>
              <w:t>-6.6</w:t>
            </w:r>
          </w:p>
        </w:tc>
      </w:tr>
      <w:tr w:rsidR="007E39D4" w:rsidRPr="001C75D6" w14:paraId="1BAB5A7C" w14:textId="77777777" w:rsidTr="007E39D4">
        <w:trPr>
          <w:trHeight w:val="300"/>
        </w:trPr>
        <w:tc>
          <w:tcPr>
            <w:tcW w:w="2440" w:type="dxa"/>
            <w:noWrap/>
            <w:hideMark/>
          </w:tcPr>
          <w:p w14:paraId="56CF3747" w14:textId="77777777" w:rsidR="007E39D4" w:rsidRPr="001C75D6" w:rsidRDefault="007E39D4" w:rsidP="0068409C">
            <w:pPr>
              <w:spacing w:line="360" w:lineRule="auto"/>
              <w:rPr>
                <w:color w:val="000000" w:themeColor="text1"/>
              </w:rPr>
            </w:pPr>
            <w:r w:rsidRPr="001C75D6">
              <w:rPr>
                <w:color w:val="000000" w:themeColor="text1"/>
              </w:rPr>
              <w:t>2021-22 (PE)</w:t>
            </w:r>
          </w:p>
        </w:tc>
        <w:tc>
          <w:tcPr>
            <w:tcW w:w="4400" w:type="dxa"/>
            <w:noWrap/>
            <w:hideMark/>
          </w:tcPr>
          <w:p w14:paraId="668872DC" w14:textId="77777777" w:rsidR="007E39D4" w:rsidRPr="001C75D6" w:rsidRDefault="007E39D4" w:rsidP="0068409C">
            <w:pPr>
              <w:spacing w:line="360" w:lineRule="auto"/>
              <w:rPr>
                <w:color w:val="000000" w:themeColor="text1"/>
              </w:rPr>
            </w:pPr>
            <w:r w:rsidRPr="001C75D6">
              <w:rPr>
                <w:color w:val="000000" w:themeColor="text1"/>
              </w:rPr>
              <w:t>8.7</w:t>
            </w:r>
          </w:p>
        </w:tc>
      </w:tr>
    </w:tbl>
    <w:p w14:paraId="4EB0EA17" w14:textId="77777777" w:rsidR="00923D22" w:rsidRPr="002D5808" w:rsidRDefault="00923D22" w:rsidP="0068409C">
      <w:pPr>
        <w:spacing w:line="360" w:lineRule="auto"/>
        <w:rPr>
          <w:color w:val="000000" w:themeColor="text1"/>
          <w:sz w:val="32"/>
          <w:szCs w:val="32"/>
        </w:rPr>
      </w:pPr>
    </w:p>
    <w:p w14:paraId="6552376C" w14:textId="77777777" w:rsidR="00923D22" w:rsidRPr="002D5808" w:rsidRDefault="00923D22" w:rsidP="0068409C">
      <w:pPr>
        <w:spacing w:line="360" w:lineRule="auto"/>
      </w:pPr>
      <w:r w:rsidRPr="002D5808">
        <w:t>Source: data.gov.in</w:t>
      </w:r>
    </w:p>
    <w:p w14:paraId="07331003" w14:textId="77777777" w:rsidR="009B0F33" w:rsidRPr="002D5808" w:rsidRDefault="009B0F33" w:rsidP="0068409C">
      <w:pPr>
        <w:spacing w:line="360" w:lineRule="auto"/>
      </w:pPr>
      <w:r w:rsidRPr="002D5808">
        <w:t xml:space="preserve">Year-to-Year Real GDP Growth Rate Analysis (2014-15): An Indian GDP Growth Stacking: The growth in income of an economy is commonly rebuilt by foregrounding the highest macroeconomic data. The year-to-year Real GDP Growth Rate (2014-15-2021-22) would </w:t>
      </w:r>
      <w:r w:rsidRPr="002D5808">
        <w:lastRenderedPageBreak/>
        <w:t>appear to replicate the way that the state of the economic cycle and the fiscal policy are responding to the external shocks to an economy's growth in income.</w:t>
      </w:r>
    </w:p>
    <w:p w14:paraId="4CF9EAE0" w14:textId="77777777" w:rsidR="009B0F33" w:rsidRPr="002D5808" w:rsidRDefault="009B0F33" w:rsidP="0068409C">
      <w:pPr>
        <w:spacing w:line="360" w:lineRule="auto"/>
      </w:pPr>
    </w:p>
    <w:p w14:paraId="7C113AF2" w14:textId="77777777" w:rsidR="00DF6C01" w:rsidRDefault="009B0F33" w:rsidP="0068409C">
      <w:pPr>
        <w:spacing w:line="360" w:lineRule="auto"/>
        <w:rPr>
          <w:b/>
          <w:bCs/>
        </w:rPr>
      </w:pPr>
      <w:r w:rsidRPr="00DF6C01">
        <w:rPr>
          <w:b/>
          <w:bCs/>
        </w:rPr>
        <w:t>1. Period of Steady Growth (between 2014-15 to 2018-19)</w:t>
      </w:r>
    </w:p>
    <w:p w14:paraId="46B805E2" w14:textId="77777777" w:rsidR="00DF6C01" w:rsidRPr="00DF6C01" w:rsidRDefault="009B0F33" w:rsidP="0068409C">
      <w:pPr>
        <w:pStyle w:val="ListParagraph"/>
        <w:numPr>
          <w:ilvl w:val="0"/>
          <w:numId w:val="33"/>
        </w:numPr>
        <w:spacing w:line="360" w:lineRule="auto"/>
        <w:rPr>
          <w:b/>
          <w:bCs/>
        </w:rPr>
      </w:pPr>
      <w:r w:rsidRPr="002D5808">
        <w:t>7.4 percent growth during 2014-15. It was held constant at the same in 2015-16 and switched to 8.3 percent during 2016-17, on account of stable fiscal policy, infra investment, and tax reforms.</w:t>
      </w:r>
    </w:p>
    <w:p w14:paraId="22B274CD" w14:textId="70E61B73" w:rsidR="009B0F33" w:rsidRPr="00DF6C01" w:rsidRDefault="009B0F33" w:rsidP="0068409C">
      <w:pPr>
        <w:pStyle w:val="ListParagraph"/>
        <w:numPr>
          <w:ilvl w:val="0"/>
          <w:numId w:val="33"/>
        </w:numPr>
        <w:spacing w:line="360" w:lineRule="auto"/>
        <w:rPr>
          <w:b/>
          <w:bCs/>
        </w:rPr>
      </w:pPr>
      <w:r w:rsidRPr="002D5808">
        <w:t>From 2017-18 onwards, there was a discernible declining growth trend as it fell to 6.5 percent in 2018-19 due to perhaps fiscal consolidation, slowdown in world trade, and decline in consumption.</w:t>
      </w:r>
    </w:p>
    <w:p w14:paraId="7ADF851A" w14:textId="77777777" w:rsidR="00DF6C01" w:rsidRDefault="009B0F33" w:rsidP="0068409C">
      <w:pPr>
        <w:spacing w:line="360" w:lineRule="auto"/>
        <w:rPr>
          <w:b/>
          <w:bCs/>
        </w:rPr>
      </w:pPr>
      <w:r w:rsidRPr="00DF6C01">
        <w:rPr>
          <w:b/>
          <w:bCs/>
        </w:rPr>
        <w:t>2. Economic Slowdown Pre-Pandemic (2019-20)</w:t>
      </w:r>
    </w:p>
    <w:p w14:paraId="34DF21C3" w14:textId="77777777" w:rsidR="00DF6C01" w:rsidRPr="00DF6C01" w:rsidRDefault="009B0F33" w:rsidP="0068409C">
      <w:pPr>
        <w:pStyle w:val="ListParagraph"/>
        <w:numPr>
          <w:ilvl w:val="0"/>
          <w:numId w:val="34"/>
        </w:numPr>
        <w:spacing w:line="360" w:lineRule="auto"/>
        <w:rPr>
          <w:b/>
          <w:bCs/>
        </w:rPr>
      </w:pPr>
      <w:r w:rsidRPr="002D5808">
        <w:t>The GDP growth rate fell to 3.7% for 2019-20 and indicated some level of economic slowdown prior to the pandemic.</w:t>
      </w:r>
    </w:p>
    <w:p w14:paraId="4F4AD8D8" w14:textId="77777777" w:rsidR="00DF6C01" w:rsidRPr="00DF6C01" w:rsidRDefault="009B0F33" w:rsidP="00DF6C01">
      <w:pPr>
        <w:pStyle w:val="ListParagraph"/>
        <w:numPr>
          <w:ilvl w:val="0"/>
          <w:numId w:val="34"/>
        </w:numPr>
        <w:spacing w:line="360" w:lineRule="auto"/>
        <w:rPr>
          <w:b/>
          <w:bCs/>
        </w:rPr>
      </w:pPr>
      <w:r w:rsidRPr="002D5808">
        <w:t>Weak and domestic consumption, threatened in the funding industry, and decreasing investments worked to worsen the decline.</w:t>
      </w:r>
    </w:p>
    <w:p w14:paraId="151AA7CE" w14:textId="77C9D1FD" w:rsidR="00DF6C01" w:rsidRPr="006E6E85" w:rsidRDefault="006E6E85" w:rsidP="006E6E85">
      <w:pPr>
        <w:spacing w:line="360" w:lineRule="auto"/>
        <w:rPr>
          <w:b/>
          <w:bCs/>
        </w:rPr>
      </w:pPr>
      <w:r>
        <w:rPr>
          <w:b/>
          <w:bCs/>
        </w:rPr>
        <w:t xml:space="preserve">3. </w:t>
      </w:r>
      <w:r w:rsidR="009B0F33" w:rsidRPr="006E6E85">
        <w:rPr>
          <w:b/>
          <w:bCs/>
        </w:rPr>
        <w:t>Effect of Slump and COVID-19 (2020-21)</w:t>
      </w:r>
    </w:p>
    <w:p w14:paraId="3C272E32" w14:textId="77777777" w:rsidR="00DF6C01" w:rsidRPr="00DF6C01" w:rsidRDefault="009B0F33" w:rsidP="0068409C">
      <w:pPr>
        <w:pStyle w:val="ListParagraph"/>
        <w:numPr>
          <w:ilvl w:val="0"/>
          <w:numId w:val="36"/>
        </w:numPr>
        <w:spacing w:line="360" w:lineRule="auto"/>
        <w:rPr>
          <w:b/>
          <w:bCs/>
        </w:rPr>
      </w:pPr>
      <w:r w:rsidRPr="002D5808">
        <w:t>Majorly because of the pandemic, it is the largest economically occurring decline during the entire recent past with a colossal dip of -6.6% in 2020-21.</w:t>
      </w:r>
    </w:p>
    <w:p w14:paraId="2EB26072" w14:textId="77777777" w:rsidR="00DF6C01" w:rsidRPr="00DF6C01" w:rsidRDefault="009B0F33" w:rsidP="0068409C">
      <w:pPr>
        <w:pStyle w:val="ListParagraph"/>
        <w:numPr>
          <w:ilvl w:val="0"/>
          <w:numId w:val="36"/>
        </w:numPr>
        <w:spacing w:line="360" w:lineRule="auto"/>
        <w:rPr>
          <w:b/>
          <w:bCs/>
        </w:rPr>
      </w:pPr>
      <w:r w:rsidRPr="002D5808">
        <w:t>Lockdowns, supply chain troubles, reducing consumer spending, and contractionary fiscal policies hurt economic activity extensively.</w:t>
      </w:r>
    </w:p>
    <w:p w14:paraId="4F958C72" w14:textId="2A4185AF" w:rsidR="009B0F33" w:rsidRPr="00DF6C01" w:rsidRDefault="009B0F33" w:rsidP="0068409C">
      <w:pPr>
        <w:pStyle w:val="ListParagraph"/>
        <w:numPr>
          <w:ilvl w:val="0"/>
          <w:numId w:val="36"/>
        </w:numPr>
        <w:spacing w:line="360" w:lineRule="auto"/>
        <w:rPr>
          <w:b/>
          <w:bCs/>
        </w:rPr>
      </w:pPr>
      <w:r w:rsidRPr="002D5808">
        <w:t>They laid open the responsibility of fiscal retrenchment vis-a-vis creativity of facing unprecedented economic crises with most nations under duress of matching debt viability with bail-out packages.</w:t>
      </w:r>
    </w:p>
    <w:p w14:paraId="523E233C" w14:textId="050FC5C6" w:rsidR="006E6E85" w:rsidRPr="006E6E85" w:rsidRDefault="006E6E85" w:rsidP="006E6E85">
      <w:pPr>
        <w:spacing w:line="360" w:lineRule="auto"/>
        <w:rPr>
          <w:b/>
          <w:bCs/>
        </w:rPr>
      </w:pPr>
      <w:r>
        <w:rPr>
          <w:b/>
          <w:bCs/>
        </w:rPr>
        <w:t>4.</w:t>
      </w:r>
      <w:r w:rsidR="009B0F33" w:rsidRPr="006E6E85">
        <w:rPr>
          <w:b/>
          <w:bCs/>
        </w:rPr>
        <w:t>Post-crisis Economic Recovery (2021-22)</w:t>
      </w:r>
    </w:p>
    <w:p w14:paraId="299DFE16" w14:textId="77777777" w:rsidR="006E6E85" w:rsidRPr="006E6E85" w:rsidRDefault="009B0F33" w:rsidP="0068409C">
      <w:pPr>
        <w:pStyle w:val="ListParagraph"/>
        <w:numPr>
          <w:ilvl w:val="0"/>
          <w:numId w:val="45"/>
        </w:numPr>
        <w:spacing w:line="360" w:lineRule="auto"/>
        <w:rPr>
          <w:b/>
          <w:bCs/>
        </w:rPr>
      </w:pPr>
      <w:r w:rsidRPr="002D5808">
        <w:t>Economy picked up steam with 8.7% growth in 2021-22 capturing strong bounce back on fiscal stimulus, ramped up government expenditure, and pent-up demand.</w:t>
      </w:r>
    </w:p>
    <w:p w14:paraId="06D65DEB" w14:textId="77777777" w:rsidR="006E6E85" w:rsidRPr="006E6E85" w:rsidRDefault="009B0F33" w:rsidP="0068409C">
      <w:pPr>
        <w:pStyle w:val="ListParagraph"/>
        <w:numPr>
          <w:ilvl w:val="0"/>
          <w:numId w:val="45"/>
        </w:numPr>
        <w:spacing w:line="360" w:lineRule="auto"/>
        <w:rPr>
          <w:b/>
          <w:bCs/>
        </w:rPr>
      </w:pPr>
      <w:r w:rsidRPr="002D5808">
        <w:t>Such recovery is the outcome of government efforts towards expansionary budget policy, increased capital expenditure, and relief measures.</w:t>
      </w:r>
    </w:p>
    <w:p w14:paraId="495F1694" w14:textId="26E052D4" w:rsidR="009B0F33" w:rsidRPr="006E6E85" w:rsidRDefault="009B0F33" w:rsidP="0068409C">
      <w:pPr>
        <w:pStyle w:val="ListParagraph"/>
        <w:numPr>
          <w:ilvl w:val="0"/>
          <w:numId w:val="45"/>
        </w:numPr>
        <w:spacing w:line="360" w:lineRule="auto"/>
        <w:rPr>
          <w:b/>
          <w:bCs/>
        </w:rPr>
      </w:pPr>
      <w:r w:rsidRPr="002D5808">
        <w:t>It does throw more insights, however, into future management of fiscal deficits and inflationary tendencies in the coming years.</w:t>
      </w:r>
    </w:p>
    <w:p w14:paraId="1DD32BCA" w14:textId="77777777" w:rsidR="006E6E85" w:rsidRDefault="006E6E85" w:rsidP="0068409C">
      <w:pPr>
        <w:spacing w:line="360" w:lineRule="auto"/>
      </w:pPr>
    </w:p>
    <w:p w14:paraId="42B5329E" w14:textId="77777777" w:rsidR="006E6E85" w:rsidRDefault="006E6E85" w:rsidP="0068409C">
      <w:pPr>
        <w:spacing w:line="360" w:lineRule="auto"/>
      </w:pPr>
    </w:p>
    <w:p w14:paraId="57E69F15" w14:textId="77777777" w:rsidR="006E6E85" w:rsidRDefault="006E6E85" w:rsidP="0068409C">
      <w:pPr>
        <w:spacing w:line="360" w:lineRule="auto"/>
      </w:pPr>
    </w:p>
    <w:p w14:paraId="5FF21005" w14:textId="3C63B369" w:rsidR="009B0F33" w:rsidRPr="002D5808" w:rsidRDefault="009B0F33" w:rsidP="0068409C">
      <w:pPr>
        <w:spacing w:line="360" w:lineRule="auto"/>
      </w:pPr>
      <w:r w:rsidRPr="002D5808">
        <w:lastRenderedPageBreak/>
        <w:t>Relevance to Budget Policies and Economic Growth</w:t>
      </w:r>
    </w:p>
    <w:p w14:paraId="3E2B12C9" w14:textId="77777777" w:rsidR="00DF6C01" w:rsidRDefault="00DF6C01" w:rsidP="0068409C">
      <w:pPr>
        <w:spacing w:line="360" w:lineRule="auto"/>
      </w:pPr>
    </w:p>
    <w:p w14:paraId="645D6B01" w14:textId="0BA7C486" w:rsidR="009B0F33" w:rsidRPr="002D5808" w:rsidRDefault="009B0F33" w:rsidP="0068409C">
      <w:pPr>
        <w:spacing w:line="360" w:lineRule="auto"/>
      </w:pPr>
      <w:r w:rsidRPr="002D5808">
        <w:t>This analysis of trends in GDP indicates the pivotal role to be played by budget policies in the area of economic stabilization as well as growth management:</w:t>
      </w:r>
    </w:p>
    <w:p w14:paraId="6EDEE15F" w14:textId="77777777" w:rsidR="009B0F33" w:rsidRPr="002D5808" w:rsidRDefault="009B0F33" w:rsidP="0068409C">
      <w:pPr>
        <w:spacing w:line="360" w:lineRule="auto"/>
      </w:pPr>
      <w:r w:rsidRPr="002D5808">
        <w:t>1. Expansionary fiscal policy of higher state expenditure and stimulus packages boost rebound out of recessions (2020-21 to 2021-22).</w:t>
      </w:r>
    </w:p>
    <w:p w14:paraId="7778FBCF" w14:textId="77777777" w:rsidR="009B0F33" w:rsidRPr="002D5808" w:rsidRDefault="009B0F33" w:rsidP="0068409C">
      <w:pPr>
        <w:spacing w:line="360" w:lineRule="auto"/>
      </w:pPr>
      <w:r w:rsidRPr="002D5808">
        <w:t>2. Misguided, contractionary policies negatively affect growth, already seen in the downturn prior to the pandemic (2018-19 to 2019-20).</w:t>
      </w:r>
    </w:p>
    <w:p w14:paraId="77612F9A" w14:textId="77777777" w:rsidR="009B0F33" w:rsidRPr="002D5808" w:rsidRDefault="009B0F33" w:rsidP="0068409C">
      <w:pPr>
        <w:spacing w:line="360" w:lineRule="auto"/>
      </w:pPr>
      <w:r w:rsidRPr="002D5808">
        <w:t>3. Debt management and fiscal prudence will still be the solution for balancing short-run relief to the economy with long-run sustainability.</w:t>
      </w:r>
    </w:p>
    <w:p w14:paraId="62A6FB42" w14:textId="77777777" w:rsidR="00DF6C01" w:rsidRDefault="00DF6C01" w:rsidP="0068409C">
      <w:pPr>
        <w:spacing w:line="360" w:lineRule="auto"/>
      </w:pPr>
    </w:p>
    <w:p w14:paraId="64A33B0C" w14:textId="157C7526" w:rsidR="000D5ABC" w:rsidRPr="002D5808" w:rsidRDefault="009B0F33" w:rsidP="0068409C">
      <w:pPr>
        <w:spacing w:line="360" w:lineRule="auto"/>
      </w:pPr>
      <w:r w:rsidRPr="002D5808">
        <w:t>Most of these highlight the necessity of adaptive fiscal policies that would encourage growth in the economy during recessions when these would also react to the likelihood of stability in booms. Future policies to be enacted should balance and address reducing a debt base that accounts for an expanding stable economy and high-growth sectors that will guarantee sustainability for the years to come.</w:t>
      </w:r>
    </w:p>
    <w:p w14:paraId="0C7C74DE" w14:textId="77777777" w:rsidR="000D5ABC" w:rsidRPr="002D5808" w:rsidRDefault="000D5ABC" w:rsidP="0068409C">
      <w:pPr>
        <w:spacing w:line="360" w:lineRule="auto"/>
      </w:pPr>
    </w:p>
    <w:p w14:paraId="77F008A6" w14:textId="4D0EC43D" w:rsidR="000B5067" w:rsidRPr="00B40F52" w:rsidRDefault="005447F0" w:rsidP="0068409C">
      <w:pPr>
        <w:spacing w:line="360" w:lineRule="auto"/>
        <w:rPr>
          <w:b/>
          <w:bCs/>
          <w:sz w:val="32"/>
          <w:szCs w:val="32"/>
        </w:rPr>
      </w:pPr>
      <w:r>
        <w:rPr>
          <w:b/>
          <w:bCs/>
          <w:sz w:val="32"/>
          <w:szCs w:val="32"/>
        </w:rPr>
        <w:t>F</w:t>
      </w:r>
      <w:r w:rsidR="000B5067" w:rsidRPr="00B40F52">
        <w:rPr>
          <w:b/>
          <w:bCs/>
          <w:sz w:val="32"/>
          <w:szCs w:val="32"/>
        </w:rPr>
        <w:t>indings and Discussion</w:t>
      </w:r>
    </w:p>
    <w:p w14:paraId="4E88C43C" w14:textId="13413BCE" w:rsidR="000B5067" w:rsidRPr="007123BB" w:rsidRDefault="000B5067" w:rsidP="007123BB">
      <w:pPr>
        <w:pStyle w:val="ListParagraph"/>
        <w:numPr>
          <w:ilvl w:val="0"/>
          <w:numId w:val="44"/>
        </w:numPr>
        <w:spacing w:line="360" w:lineRule="auto"/>
        <w:rPr>
          <w:b/>
          <w:bCs/>
        </w:rPr>
      </w:pPr>
      <w:r w:rsidRPr="007123BB">
        <w:rPr>
          <w:b/>
          <w:bCs/>
        </w:rPr>
        <w:t xml:space="preserve"> Fiscal Responsibility and Economic Stability</w:t>
      </w:r>
    </w:p>
    <w:p w14:paraId="6FDD1C6B" w14:textId="77777777" w:rsidR="000B5067" w:rsidRPr="002D5808" w:rsidRDefault="000B5067" w:rsidP="0068409C">
      <w:pPr>
        <w:spacing w:line="360" w:lineRule="auto"/>
      </w:pPr>
      <w:r w:rsidRPr="002D5808">
        <w:t>Responsible public expenditure and debt management have inflationary stress and invoke economic stability.</w:t>
      </w:r>
    </w:p>
    <w:p w14:paraId="109820EC" w14:textId="31848A0F" w:rsidR="000B5067" w:rsidRPr="007123BB" w:rsidRDefault="000B5067" w:rsidP="007123BB">
      <w:pPr>
        <w:pStyle w:val="ListParagraph"/>
        <w:numPr>
          <w:ilvl w:val="0"/>
          <w:numId w:val="44"/>
        </w:numPr>
        <w:spacing w:line="360" w:lineRule="auto"/>
        <w:rPr>
          <w:b/>
          <w:bCs/>
        </w:rPr>
      </w:pPr>
      <w:r w:rsidRPr="007123BB">
        <w:rPr>
          <w:b/>
          <w:bCs/>
        </w:rPr>
        <w:t xml:space="preserve"> Government Expenditures and Productive Uses of Invested Funds</w:t>
      </w:r>
    </w:p>
    <w:p w14:paraId="3733AE83" w14:textId="77777777" w:rsidR="000B5067" w:rsidRPr="002D5808" w:rsidRDefault="000B5067" w:rsidP="0068409C">
      <w:pPr>
        <w:spacing w:line="360" w:lineRule="auto"/>
      </w:pPr>
      <w:r w:rsidRPr="002D5808">
        <w:t>Returns on government investments in human capital and infrastructure expenditures are typically related to GDP growth.</w:t>
      </w:r>
    </w:p>
    <w:p w14:paraId="54BABAF2" w14:textId="65ABB7DC" w:rsidR="000B5067" w:rsidRPr="007123BB" w:rsidRDefault="000B5067" w:rsidP="007123BB">
      <w:pPr>
        <w:pStyle w:val="ListParagraph"/>
        <w:numPr>
          <w:ilvl w:val="0"/>
          <w:numId w:val="44"/>
        </w:numPr>
        <w:spacing w:line="360" w:lineRule="auto"/>
        <w:rPr>
          <w:b/>
          <w:bCs/>
        </w:rPr>
      </w:pPr>
      <w:r w:rsidRPr="007123BB">
        <w:rPr>
          <w:b/>
          <w:bCs/>
        </w:rPr>
        <w:t xml:space="preserve"> Budget Deficits and Growth</w:t>
      </w:r>
    </w:p>
    <w:p w14:paraId="1AA2AA36" w14:textId="77777777" w:rsidR="000B5067" w:rsidRPr="002D5808" w:rsidRDefault="000B5067" w:rsidP="0068409C">
      <w:pPr>
        <w:spacing w:line="360" w:lineRule="auto"/>
      </w:pPr>
      <w:r w:rsidRPr="002D5808">
        <w:t>The evidence is that modest budget deficits spur growth, but that big budget deficits are a source of financial instability.</w:t>
      </w:r>
    </w:p>
    <w:p w14:paraId="6D689A5A" w14:textId="2DE0C916" w:rsidR="000B5067" w:rsidRPr="009B7C2F" w:rsidRDefault="000B5067" w:rsidP="009B7C2F">
      <w:pPr>
        <w:pStyle w:val="ListParagraph"/>
        <w:numPr>
          <w:ilvl w:val="0"/>
          <w:numId w:val="44"/>
        </w:numPr>
        <w:spacing w:line="360" w:lineRule="auto"/>
        <w:rPr>
          <w:b/>
          <w:bCs/>
        </w:rPr>
      </w:pPr>
      <w:r w:rsidRPr="009B7C2F">
        <w:rPr>
          <w:b/>
          <w:bCs/>
        </w:rPr>
        <w:t>The Role of FDI Investments in Economic Growth</w:t>
      </w:r>
    </w:p>
    <w:p w14:paraId="60F66C80" w14:textId="77777777" w:rsidR="000B5067" w:rsidRPr="002D5808" w:rsidRDefault="000B5067" w:rsidP="0068409C">
      <w:pPr>
        <w:spacing w:line="360" w:lineRule="auto"/>
      </w:pPr>
      <w:r w:rsidRPr="002D5808">
        <w:t>Specifically, sectoral FDI data capture the role played by foreign capital in financing industrial growth and the transfer of technology.</w:t>
      </w:r>
    </w:p>
    <w:p w14:paraId="30EF6EFE" w14:textId="77777777" w:rsidR="00CA2717" w:rsidRDefault="00CA2717" w:rsidP="0068409C">
      <w:pPr>
        <w:spacing w:line="360" w:lineRule="auto"/>
      </w:pPr>
    </w:p>
    <w:p w14:paraId="0ADEF073" w14:textId="77777777" w:rsidR="009B7C2F" w:rsidRDefault="009B7C2F" w:rsidP="0068409C">
      <w:pPr>
        <w:spacing w:line="360" w:lineRule="auto"/>
      </w:pPr>
    </w:p>
    <w:p w14:paraId="162C57FA" w14:textId="77777777" w:rsidR="009B7C2F" w:rsidRPr="002D5808" w:rsidRDefault="009B7C2F" w:rsidP="0068409C">
      <w:pPr>
        <w:spacing w:line="360" w:lineRule="auto"/>
      </w:pPr>
    </w:p>
    <w:p w14:paraId="00BF5629" w14:textId="64EF287A" w:rsidR="000B5067" w:rsidRPr="00C0574D" w:rsidRDefault="000B5067" w:rsidP="0068409C">
      <w:pPr>
        <w:spacing w:line="360" w:lineRule="auto"/>
        <w:rPr>
          <w:b/>
          <w:bCs/>
          <w:sz w:val="28"/>
          <w:szCs w:val="28"/>
        </w:rPr>
      </w:pPr>
      <w:r w:rsidRPr="00C0574D">
        <w:rPr>
          <w:b/>
          <w:bCs/>
          <w:sz w:val="28"/>
          <w:szCs w:val="28"/>
        </w:rPr>
        <w:lastRenderedPageBreak/>
        <w:t>Conclusion and Policy Recommendations</w:t>
      </w:r>
    </w:p>
    <w:p w14:paraId="0099DCC0" w14:textId="77777777" w:rsidR="007123BB" w:rsidRDefault="007123BB" w:rsidP="0068409C">
      <w:pPr>
        <w:spacing w:line="360" w:lineRule="auto"/>
      </w:pPr>
    </w:p>
    <w:p w14:paraId="7B0039CB" w14:textId="63E5C3EA" w:rsidR="009D6E52" w:rsidRPr="002D5808" w:rsidRDefault="000B5067" w:rsidP="0068409C">
      <w:pPr>
        <w:spacing w:line="360" w:lineRule="auto"/>
      </w:pPr>
      <w:r w:rsidRPr="002D5808">
        <w:t>Fiscal policies are very crucial in facilitating economic growth because they decide whether the public finance is stable or unstable, whether the investment is effective or ineffective, and how healthy the macroeconomic environment is. Therefore, the study depicts that the government must have fiscal discipline, responsible spending, and judicious management of debt so that it can ensure sustainable economic progress. The policymakers will have to mix expansionary and contractionary instruments so that they can guarantee optimal favourable long-term economic prospects.</w:t>
      </w:r>
    </w:p>
    <w:p w14:paraId="1A8AAD01" w14:textId="77777777" w:rsidR="009D6E52" w:rsidRDefault="009D6E52" w:rsidP="0068409C">
      <w:pPr>
        <w:spacing w:line="360" w:lineRule="auto"/>
      </w:pPr>
    </w:p>
    <w:p w14:paraId="5FBCBC71" w14:textId="77777777" w:rsidR="00B57148" w:rsidRPr="00A72A2B" w:rsidRDefault="00B57148" w:rsidP="00B57148">
      <w:pPr>
        <w:rPr>
          <w:b/>
          <w:bCs/>
          <w:sz w:val="28"/>
          <w:szCs w:val="28"/>
        </w:rPr>
      </w:pPr>
      <w:r w:rsidRPr="00A72A2B">
        <w:rPr>
          <w:b/>
          <w:bCs/>
          <w:sz w:val="32"/>
          <w:szCs w:val="32"/>
        </w:rPr>
        <w:t xml:space="preserve">References </w:t>
      </w:r>
    </w:p>
    <w:p w14:paraId="37A01E1A" w14:textId="77777777" w:rsidR="00B57148" w:rsidRDefault="00B57148" w:rsidP="00B57148">
      <w:pPr>
        <w:pStyle w:val="ListParagraph"/>
      </w:pPr>
    </w:p>
    <w:p w14:paraId="66963209" w14:textId="77E8C37A" w:rsidR="00B57148" w:rsidRDefault="00B57148" w:rsidP="00B57148">
      <w:pPr>
        <w:pStyle w:val="ListParagraph"/>
        <w:numPr>
          <w:ilvl w:val="0"/>
          <w:numId w:val="47"/>
        </w:numPr>
      </w:pPr>
      <w:proofErr w:type="spellStart"/>
      <w:r>
        <w:t>Siddqu</w:t>
      </w:r>
      <w:proofErr w:type="spellEnd"/>
      <w:r>
        <w:t xml:space="preserve">, M. A. B., Rahman, M. A., Hossain, S., &amp; Nath, S. P. (2023). An analysis of SAARC nations' economic growth in relation to government spending. 11(4), 1691–1703, Open Journal of Business and Management. 10.4236/ojbm.2023.114104 </w:t>
      </w:r>
      <w:hyperlink r:id="rId11" w:history="1">
        <w:r w:rsidRPr="009B5D5F">
          <w:rPr>
            <w:rStyle w:val="Hyperlink"/>
          </w:rPr>
          <w:t>https://doi.org</w:t>
        </w:r>
      </w:hyperlink>
      <w:r>
        <w:t xml:space="preserve"> </w:t>
      </w:r>
    </w:p>
    <w:p w14:paraId="2B0A6E32" w14:textId="77777777" w:rsidR="00B57148" w:rsidRDefault="00B57148" w:rsidP="00B57148"/>
    <w:p w14:paraId="4A322F5B" w14:textId="77777777" w:rsidR="00B57148" w:rsidRDefault="00B57148" w:rsidP="00B57148">
      <w:pPr>
        <w:pStyle w:val="ListParagraph"/>
        <w:numPr>
          <w:ilvl w:val="0"/>
          <w:numId w:val="47"/>
        </w:numPr>
      </w:pPr>
      <w:r>
        <w:t xml:space="preserve">Husain, U., and S. Javed (2024). An empirical retrospective using the ARDL approach to examine the impact of government spending on economic growth. 208–219 in FIIB Business Review, 13(2). 10.1177/23197145221116453 </w:t>
      </w:r>
      <w:hyperlink r:id="rId12" w:history="1">
        <w:r w:rsidRPr="0004004B">
          <w:rPr>
            <w:rStyle w:val="Hyperlink"/>
          </w:rPr>
          <w:t>https://doi.org</w:t>
        </w:r>
      </w:hyperlink>
      <w:r>
        <w:t xml:space="preserve"> </w:t>
      </w:r>
    </w:p>
    <w:p w14:paraId="024FA2EF" w14:textId="77777777" w:rsidR="00B57148" w:rsidRDefault="00B57148" w:rsidP="00B57148"/>
    <w:p w14:paraId="442A5B61" w14:textId="77777777" w:rsidR="00B57148" w:rsidRDefault="00B57148" w:rsidP="00B57148">
      <w:pPr>
        <w:pStyle w:val="ListParagraph"/>
        <w:numPr>
          <w:ilvl w:val="0"/>
          <w:numId w:val="47"/>
        </w:numPr>
      </w:pPr>
      <w:r>
        <w:t xml:space="preserve">P. Misra (2021). Relationship between economic growth and government spending: text mining-based </w:t>
      </w:r>
      <w:proofErr w:type="spellStart"/>
      <w:r>
        <w:t>metatrend</w:t>
      </w:r>
      <w:proofErr w:type="spellEnd"/>
      <w:r>
        <w:t xml:space="preserve"> analysis. 7(2), 201–218; International Journal of Accounting and Business Finance. </w:t>
      </w:r>
      <w:proofErr w:type="spellStart"/>
      <w:r>
        <w:t>Ijabf</w:t>
      </w:r>
      <w:proofErr w:type="spellEnd"/>
      <w:r>
        <w:t xml:space="preserve">/ijabf019 </w:t>
      </w:r>
      <w:hyperlink r:id="rId13" w:history="1">
        <w:r w:rsidRPr="0004004B">
          <w:rPr>
            <w:rStyle w:val="Hyperlink"/>
          </w:rPr>
          <w:t>https://doi.org/10.1093/ijabf</w:t>
        </w:r>
      </w:hyperlink>
      <w:r>
        <w:t xml:space="preserve"> </w:t>
      </w:r>
    </w:p>
    <w:p w14:paraId="280066B1" w14:textId="77777777" w:rsidR="00B57148" w:rsidRDefault="00B57148" w:rsidP="00B57148">
      <w:pPr>
        <w:pStyle w:val="ListParagraph"/>
        <w:numPr>
          <w:ilvl w:val="0"/>
          <w:numId w:val="47"/>
        </w:numPr>
      </w:pPr>
      <w:r>
        <w:t xml:space="preserve">Odhiambo, N. M., and Nyasha, S. (2021). An overview of the global literature on how public spending affects economic growth. 81–101 in Folia </w:t>
      </w:r>
      <w:proofErr w:type="spellStart"/>
      <w:r>
        <w:t>Oeconomica</w:t>
      </w:r>
      <w:proofErr w:type="spellEnd"/>
      <w:r>
        <w:t xml:space="preserve"> </w:t>
      </w:r>
      <w:proofErr w:type="spellStart"/>
      <w:r>
        <w:t>Stetinensia</w:t>
      </w:r>
      <w:proofErr w:type="spellEnd"/>
      <w:r>
        <w:t xml:space="preserve">, 19(2). foes-2021-0010 </w:t>
      </w:r>
      <w:hyperlink r:id="rId14" w:history="1">
        <w:r w:rsidRPr="0004004B">
          <w:rPr>
            <w:rStyle w:val="Hyperlink"/>
          </w:rPr>
          <w:t>https://doi.org/10.2478</w:t>
        </w:r>
      </w:hyperlink>
    </w:p>
    <w:p w14:paraId="4D837238" w14:textId="77777777" w:rsidR="00B57148" w:rsidRDefault="00B57148" w:rsidP="00B57148"/>
    <w:p w14:paraId="32706599" w14:textId="3754DBDD" w:rsidR="00B57148" w:rsidRDefault="00B57148" w:rsidP="00B57148">
      <w:pPr>
        <w:pStyle w:val="ListParagraph"/>
        <w:numPr>
          <w:ilvl w:val="0"/>
          <w:numId w:val="47"/>
        </w:numPr>
      </w:pPr>
      <w:r w:rsidRPr="00F83894">
        <w:t xml:space="preserve">By S. Gupta (2024). Examining tax revenue determinants again: An integrative approach that incorporates institutional and traditional economic policy elements. Journal of Social Economics International, 51(4), 629–646. IJSE-05-2023-0213 </w:t>
      </w:r>
      <w:hyperlink r:id="rId15" w:history="1">
        <w:r w:rsidRPr="00F83894">
          <w:rPr>
            <w:rStyle w:val="Hyperlink"/>
          </w:rPr>
          <w:t>https://doi.org/10.1108/</w:t>
        </w:r>
      </w:hyperlink>
      <w:r>
        <w:t xml:space="preserve"> </w:t>
      </w:r>
      <w:r w:rsidRPr="00F83894">
        <w:t xml:space="preserve"> </w:t>
      </w:r>
      <w:r>
        <w:t xml:space="preserve"> </w:t>
      </w:r>
      <w:r w:rsidRPr="00F83894">
        <w:br/>
      </w:r>
    </w:p>
    <w:p w14:paraId="1CF67B7F" w14:textId="77777777" w:rsidR="00B57148" w:rsidRPr="00F83894" w:rsidRDefault="00B57148" w:rsidP="00B57148">
      <w:pPr>
        <w:pStyle w:val="ListParagraph"/>
        <w:numPr>
          <w:ilvl w:val="0"/>
          <w:numId w:val="47"/>
        </w:numPr>
      </w:pPr>
      <w:r w:rsidRPr="00F83894">
        <w:t xml:space="preserve">In 2021, Jin, H., and Zou, H. F. How do national, subnational, and aggregate government sizes change as a result of fiscal decentralization? 199, 104416, Journal of Public Economics. 2021.104416, </w:t>
      </w:r>
      <w:hyperlink r:id="rId16" w:history="1">
        <w:r w:rsidRPr="00F83894">
          <w:rPr>
            <w:rStyle w:val="Hyperlink"/>
          </w:rPr>
          <w:t>https://doi.org/10.1016/j.jpubeco</w:t>
        </w:r>
      </w:hyperlink>
      <w:r>
        <w:t xml:space="preserve"> </w:t>
      </w:r>
      <w:r w:rsidRPr="00F83894">
        <w:t xml:space="preserve"> </w:t>
      </w:r>
    </w:p>
    <w:p w14:paraId="36EC739B" w14:textId="77777777" w:rsidR="00B57148" w:rsidRDefault="00B57148" w:rsidP="00B57148"/>
    <w:p w14:paraId="0EFEDD82" w14:textId="5FB419B4" w:rsidR="00B57148" w:rsidRDefault="00B57148" w:rsidP="00B57148">
      <w:pPr>
        <w:pStyle w:val="ListParagraph"/>
        <w:numPr>
          <w:ilvl w:val="0"/>
          <w:numId w:val="47"/>
        </w:numPr>
      </w:pPr>
      <w:hyperlink r:id="rId17" w:history="1">
        <w:r w:rsidRPr="009B5D5F">
          <w:rPr>
            <w:rStyle w:val="Hyperlink"/>
          </w:rPr>
          <w:t>http://data.gov.in</w:t>
        </w:r>
      </w:hyperlink>
      <w:r>
        <w:t xml:space="preserve"> </w:t>
      </w:r>
    </w:p>
    <w:p w14:paraId="11E38046" w14:textId="77777777" w:rsidR="00B57148" w:rsidRPr="002D5808" w:rsidRDefault="00B57148" w:rsidP="0068409C">
      <w:pPr>
        <w:spacing w:line="360" w:lineRule="auto"/>
      </w:pPr>
    </w:p>
    <w:sectPr w:rsidR="00B57148" w:rsidRPr="002D58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6A3"/>
    <w:multiLevelType w:val="multilevel"/>
    <w:tmpl w:val="CC929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01135"/>
    <w:multiLevelType w:val="multilevel"/>
    <w:tmpl w:val="AB0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EE3936"/>
    <w:multiLevelType w:val="multilevel"/>
    <w:tmpl w:val="2D789C4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695A00"/>
    <w:multiLevelType w:val="multilevel"/>
    <w:tmpl w:val="1CA4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E14BF5"/>
    <w:multiLevelType w:val="hybridMultilevel"/>
    <w:tmpl w:val="87DC6EA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0E6160B1"/>
    <w:multiLevelType w:val="hybridMultilevel"/>
    <w:tmpl w:val="9AE84D48"/>
    <w:lvl w:ilvl="0" w:tplc="2E6C436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671EE6"/>
    <w:multiLevelType w:val="multilevel"/>
    <w:tmpl w:val="17C2D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0E2126"/>
    <w:multiLevelType w:val="hybridMultilevel"/>
    <w:tmpl w:val="3AE25E4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3C355E5"/>
    <w:multiLevelType w:val="multilevel"/>
    <w:tmpl w:val="CE6ED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C758A2"/>
    <w:multiLevelType w:val="hybridMultilevel"/>
    <w:tmpl w:val="31C0D9A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18256FD3"/>
    <w:multiLevelType w:val="hybridMultilevel"/>
    <w:tmpl w:val="4A0E7A00"/>
    <w:lvl w:ilvl="0" w:tplc="DB18DE1A">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1" w15:restartNumberingAfterBreak="0">
    <w:nsid w:val="187C1418"/>
    <w:multiLevelType w:val="hybridMultilevel"/>
    <w:tmpl w:val="CEA66E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483B55"/>
    <w:multiLevelType w:val="hybridMultilevel"/>
    <w:tmpl w:val="C71046AA"/>
    <w:lvl w:ilvl="0" w:tplc="40090001">
      <w:start w:val="1"/>
      <w:numFmt w:val="bullet"/>
      <w:lvlText w:val=""/>
      <w:lvlJc w:val="left"/>
      <w:pPr>
        <w:ind w:left="1582" w:hanging="360"/>
      </w:pPr>
      <w:rPr>
        <w:rFonts w:ascii="Symbol" w:hAnsi="Symbol" w:hint="default"/>
      </w:rPr>
    </w:lvl>
    <w:lvl w:ilvl="1" w:tplc="40090003" w:tentative="1">
      <w:start w:val="1"/>
      <w:numFmt w:val="bullet"/>
      <w:lvlText w:val="o"/>
      <w:lvlJc w:val="left"/>
      <w:pPr>
        <w:ind w:left="2302" w:hanging="360"/>
      </w:pPr>
      <w:rPr>
        <w:rFonts w:ascii="Courier New" w:hAnsi="Courier New" w:cs="Courier New" w:hint="default"/>
      </w:rPr>
    </w:lvl>
    <w:lvl w:ilvl="2" w:tplc="40090005" w:tentative="1">
      <w:start w:val="1"/>
      <w:numFmt w:val="bullet"/>
      <w:lvlText w:val=""/>
      <w:lvlJc w:val="left"/>
      <w:pPr>
        <w:ind w:left="3022" w:hanging="360"/>
      </w:pPr>
      <w:rPr>
        <w:rFonts w:ascii="Wingdings" w:hAnsi="Wingdings" w:hint="default"/>
      </w:rPr>
    </w:lvl>
    <w:lvl w:ilvl="3" w:tplc="40090001" w:tentative="1">
      <w:start w:val="1"/>
      <w:numFmt w:val="bullet"/>
      <w:lvlText w:val=""/>
      <w:lvlJc w:val="left"/>
      <w:pPr>
        <w:ind w:left="3742" w:hanging="360"/>
      </w:pPr>
      <w:rPr>
        <w:rFonts w:ascii="Symbol" w:hAnsi="Symbol" w:hint="default"/>
      </w:rPr>
    </w:lvl>
    <w:lvl w:ilvl="4" w:tplc="40090003" w:tentative="1">
      <w:start w:val="1"/>
      <w:numFmt w:val="bullet"/>
      <w:lvlText w:val="o"/>
      <w:lvlJc w:val="left"/>
      <w:pPr>
        <w:ind w:left="4462" w:hanging="360"/>
      </w:pPr>
      <w:rPr>
        <w:rFonts w:ascii="Courier New" w:hAnsi="Courier New" w:cs="Courier New" w:hint="default"/>
      </w:rPr>
    </w:lvl>
    <w:lvl w:ilvl="5" w:tplc="40090005" w:tentative="1">
      <w:start w:val="1"/>
      <w:numFmt w:val="bullet"/>
      <w:lvlText w:val=""/>
      <w:lvlJc w:val="left"/>
      <w:pPr>
        <w:ind w:left="5182" w:hanging="360"/>
      </w:pPr>
      <w:rPr>
        <w:rFonts w:ascii="Wingdings" w:hAnsi="Wingdings" w:hint="default"/>
      </w:rPr>
    </w:lvl>
    <w:lvl w:ilvl="6" w:tplc="40090001" w:tentative="1">
      <w:start w:val="1"/>
      <w:numFmt w:val="bullet"/>
      <w:lvlText w:val=""/>
      <w:lvlJc w:val="left"/>
      <w:pPr>
        <w:ind w:left="5902" w:hanging="360"/>
      </w:pPr>
      <w:rPr>
        <w:rFonts w:ascii="Symbol" w:hAnsi="Symbol" w:hint="default"/>
      </w:rPr>
    </w:lvl>
    <w:lvl w:ilvl="7" w:tplc="40090003" w:tentative="1">
      <w:start w:val="1"/>
      <w:numFmt w:val="bullet"/>
      <w:lvlText w:val="o"/>
      <w:lvlJc w:val="left"/>
      <w:pPr>
        <w:ind w:left="6622" w:hanging="360"/>
      </w:pPr>
      <w:rPr>
        <w:rFonts w:ascii="Courier New" w:hAnsi="Courier New" w:cs="Courier New" w:hint="default"/>
      </w:rPr>
    </w:lvl>
    <w:lvl w:ilvl="8" w:tplc="40090005" w:tentative="1">
      <w:start w:val="1"/>
      <w:numFmt w:val="bullet"/>
      <w:lvlText w:val=""/>
      <w:lvlJc w:val="left"/>
      <w:pPr>
        <w:ind w:left="7342" w:hanging="360"/>
      </w:pPr>
      <w:rPr>
        <w:rFonts w:ascii="Wingdings" w:hAnsi="Wingdings" w:hint="default"/>
      </w:rPr>
    </w:lvl>
  </w:abstractNum>
  <w:abstractNum w:abstractNumId="13" w15:restartNumberingAfterBreak="0">
    <w:nsid w:val="2A7742E0"/>
    <w:multiLevelType w:val="multilevel"/>
    <w:tmpl w:val="7EB08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B0098C"/>
    <w:multiLevelType w:val="multilevel"/>
    <w:tmpl w:val="BC3E2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A9605D"/>
    <w:multiLevelType w:val="multilevel"/>
    <w:tmpl w:val="5A86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717A3"/>
    <w:multiLevelType w:val="multilevel"/>
    <w:tmpl w:val="D87E1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473B77"/>
    <w:multiLevelType w:val="multilevel"/>
    <w:tmpl w:val="2CAE9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0D2F9D"/>
    <w:multiLevelType w:val="multilevel"/>
    <w:tmpl w:val="CFA44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421860"/>
    <w:multiLevelType w:val="hybridMultilevel"/>
    <w:tmpl w:val="0B34472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367B4BE2"/>
    <w:multiLevelType w:val="hybridMultilevel"/>
    <w:tmpl w:val="E8EAD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6E35585"/>
    <w:multiLevelType w:val="multilevel"/>
    <w:tmpl w:val="31667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74E6E8F"/>
    <w:multiLevelType w:val="multilevel"/>
    <w:tmpl w:val="64E2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E16FB9"/>
    <w:multiLevelType w:val="hybridMultilevel"/>
    <w:tmpl w:val="511C2D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BF44D39"/>
    <w:multiLevelType w:val="multilevel"/>
    <w:tmpl w:val="7AF6C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F725AB"/>
    <w:multiLevelType w:val="multilevel"/>
    <w:tmpl w:val="9AEE3E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3041FD"/>
    <w:multiLevelType w:val="hybridMultilevel"/>
    <w:tmpl w:val="A078A180"/>
    <w:lvl w:ilvl="0" w:tplc="59963EDE">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5854268"/>
    <w:multiLevelType w:val="multilevel"/>
    <w:tmpl w:val="90B29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BC4BDB"/>
    <w:multiLevelType w:val="hybridMultilevel"/>
    <w:tmpl w:val="C012F7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9D76FD1"/>
    <w:multiLevelType w:val="multilevel"/>
    <w:tmpl w:val="035A0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1366C2"/>
    <w:multiLevelType w:val="hybridMultilevel"/>
    <w:tmpl w:val="729C63DC"/>
    <w:lvl w:ilvl="0" w:tplc="17AC9D92">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1" w15:restartNumberingAfterBreak="0">
    <w:nsid w:val="4D9523B3"/>
    <w:multiLevelType w:val="hybridMultilevel"/>
    <w:tmpl w:val="6FCA26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F1D4131"/>
    <w:multiLevelType w:val="multilevel"/>
    <w:tmpl w:val="7C76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F54598"/>
    <w:multiLevelType w:val="multilevel"/>
    <w:tmpl w:val="436279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6E2221"/>
    <w:multiLevelType w:val="multilevel"/>
    <w:tmpl w:val="0988E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A9D7A21"/>
    <w:multiLevelType w:val="multilevel"/>
    <w:tmpl w:val="2C7E3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C34754B"/>
    <w:multiLevelType w:val="hybridMultilevel"/>
    <w:tmpl w:val="F152A1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0C1177A"/>
    <w:multiLevelType w:val="hybridMultilevel"/>
    <w:tmpl w:val="BF886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3EE6E0F"/>
    <w:multiLevelType w:val="hybridMultilevel"/>
    <w:tmpl w:val="754EC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6437362"/>
    <w:multiLevelType w:val="hybridMultilevel"/>
    <w:tmpl w:val="7F9C2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6F05607"/>
    <w:multiLevelType w:val="multilevel"/>
    <w:tmpl w:val="052A8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F27506"/>
    <w:multiLevelType w:val="hybridMultilevel"/>
    <w:tmpl w:val="501EFF6A"/>
    <w:lvl w:ilvl="0" w:tplc="7086221E">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2" w15:restartNumberingAfterBreak="0">
    <w:nsid w:val="6CFA107C"/>
    <w:multiLevelType w:val="hybridMultilevel"/>
    <w:tmpl w:val="EB9674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E811066"/>
    <w:multiLevelType w:val="multilevel"/>
    <w:tmpl w:val="76062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0F0B3D"/>
    <w:multiLevelType w:val="hybridMultilevel"/>
    <w:tmpl w:val="163436B4"/>
    <w:lvl w:ilvl="0" w:tplc="563EE028">
      <w:start w:val="3"/>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45" w15:restartNumberingAfterBreak="0">
    <w:nsid w:val="785B178C"/>
    <w:multiLevelType w:val="multilevel"/>
    <w:tmpl w:val="220EEF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E067901"/>
    <w:multiLevelType w:val="hybridMultilevel"/>
    <w:tmpl w:val="A610274C"/>
    <w:lvl w:ilvl="0" w:tplc="40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141776031">
    <w:abstractNumId w:val="21"/>
  </w:num>
  <w:num w:numId="2" w16cid:durableId="483476719">
    <w:abstractNumId w:val="45"/>
  </w:num>
  <w:num w:numId="3" w16cid:durableId="1369263479">
    <w:abstractNumId w:val="27"/>
  </w:num>
  <w:num w:numId="4" w16cid:durableId="1709985294">
    <w:abstractNumId w:val="2"/>
  </w:num>
  <w:num w:numId="5" w16cid:durableId="403339781">
    <w:abstractNumId w:val="42"/>
  </w:num>
  <w:num w:numId="6" w16cid:durableId="1329754140">
    <w:abstractNumId w:val="22"/>
  </w:num>
  <w:num w:numId="7" w16cid:durableId="475800066">
    <w:abstractNumId w:val="14"/>
  </w:num>
  <w:num w:numId="8" w16cid:durableId="580139607">
    <w:abstractNumId w:val="43"/>
  </w:num>
  <w:num w:numId="9" w16cid:durableId="357319832">
    <w:abstractNumId w:val="32"/>
  </w:num>
  <w:num w:numId="10" w16cid:durableId="1585798497">
    <w:abstractNumId w:val="15"/>
  </w:num>
  <w:num w:numId="11" w16cid:durableId="1546672031">
    <w:abstractNumId w:val="0"/>
  </w:num>
  <w:num w:numId="12" w16cid:durableId="1022708154">
    <w:abstractNumId w:val="18"/>
  </w:num>
  <w:num w:numId="13" w16cid:durableId="1482424921">
    <w:abstractNumId w:val="13"/>
  </w:num>
  <w:num w:numId="14" w16cid:durableId="1732457010">
    <w:abstractNumId w:val="29"/>
  </w:num>
  <w:num w:numId="15" w16cid:durableId="497429545">
    <w:abstractNumId w:val="35"/>
  </w:num>
  <w:num w:numId="16" w16cid:durableId="1684086515">
    <w:abstractNumId w:val="16"/>
  </w:num>
  <w:num w:numId="17" w16cid:durableId="662313906">
    <w:abstractNumId w:val="1"/>
  </w:num>
  <w:num w:numId="18" w16cid:durableId="75790756">
    <w:abstractNumId w:val="24"/>
  </w:num>
  <w:num w:numId="19" w16cid:durableId="752699290">
    <w:abstractNumId w:val="33"/>
  </w:num>
  <w:num w:numId="20" w16cid:durableId="2006006714">
    <w:abstractNumId w:val="3"/>
  </w:num>
  <w:num w:numId="21" w16cid:durableId="1593661453">
    <w:abstractNumId w:val="6"/>
  </w:num>
  <w:num w:numId="22" w16cid:durableId="627780055">
    <w:abstractNumId w:val="17"/>
  </w:num>
  <w:num w:numId="23" w16cid:durableId="1665625403">
    <w:abstractNumId w:val="34"/>
  </w:num>
  <w:num w:numId="24" w16cid:durableId="2016111289">
    <w:abstractNumId w:val="40"/>
  </w:num>
  <w:num w:numId="25" w16cid:durableId="2143426716">
    <w:abstractNumId w:val="25"/>
  </w:num>
  <w:num w:numId="26" w16cid:durableId="914703883">
    <w:abstractNumId w:val="8"/>
  </w:num>
  <w:num w:numId="27" w16cid:durableId="585921851">
    <w:abstractNumId w:val="23"/>
  </w:num>
  <w:num w:numId="28" w16cid:durableId="1998849197">
    <w:abstractNumId w:val="7"/>
  </w:num>
  <w:num w:numId="29" w16cid:durableId="1903783528">
    <w:abstractNumId w:val="46"/>
  </w:num>
  <w:num w:numId="30" w16cid:durableId="171072965">
    <w:abstractNumId w:val="26"/>
  </w:num>
  <w:num w:numId="31" w16cid:durableId="879627245">
    <w:abstractNumId w:val="19"/>
  </w:num>
  <w:num w:numId="32" w16cid:durableId="1112436416">
    <w:abstractNumId w:val="30"/>
  </w:num>
  <w:num w:numId="33" w16cid:durableId="1382100116">
    <w:abstractNumId w:val="37"/>
  </w:num>
  <w:num w:numId="34" w16cid:durableId="1902710836">
    <w:abstractNumId w:val="28"/>
  </w:num>
  <w:num w:numId="35" w16cid:durableId="996684547">
    <w:abstractNumId w:val="12"/>
  </w:num>
  <w:num w:numId="36" w16cid:durableId="933705742">
    <w:abstractNumId w:val="20"/>
  </w:num>
  <w:num w:numId="37" w16cid:durableId="87119931">
    <w:abstractNumId w:val="44"/>
  </w:num>
  <w:num w:numId="38" w16cid:durableId="735516315">
    <w:abstractNumId w:val="10"/>
  </w:num>
  <w:num w:numId="39" w16cid:durableId="1100837350">
    <w:abstractNumId w:val="38"/>
  </w:num>
  <w:num w:numId="40" w16cid:durableId="92240400">
    <w:abstractNumId w:val="5"/>
  </w:num>
  <w:num w:numId="41" w16cid:durableId="1837652676">
    <w:abstractNumId w:val="39"/>
  </w:num>
  <w:num w:numId="42" w16cid:durableId="1178696388">
    <w:abstractNumId w:val="9"/>
  </w:num>
  <w:num w:numId="43" w16cid:durableId="1462335525">
    <w:abstractNumId w:val="36"/>
  </w:num>
  <w:num w:numId="44" w16cid:durableId="25568117">
    <w:abstractNumId w:val="11"/>
  </w:num>
  <w:num w:numId="45" w16cid:durableId="2139833661">
    <w:abstractNumId w:val="4"/>
  </w:num>
  <w:num w:numId="46" w16cid:durableId="962007071">
    <w:abstractNumId w:val="41"/>
  </w:num>
  <w:num w:numId="47" w16cid:durableId="135680998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52"/>
    <w:rsid w:val="00011346"/>
    <w:rsid w:val="00055806"/>
    <w:rsid w:val="000B5067"/>
    <w:rsid w:val="000D5ABC"/>
    <w:rsid w:val="000E6508"/>
    <w:rsid w:val="00127288"/>
    <w:rsid w:val="001C75D6"/>
    <w:rsid w:val="00267D9C"/>
    <w:rsid w:val="002B1FD8"/>
    <w:rsid w:val="002D5808"/>
    <w:rsid w:val="00390FCE"/>
    <w:rsid w:val="003E1889"/>
    <w:rsid w:val="005447F0"/>
    <w:rsid w:val="005E11C9"/>
    <w:rsid w:val="0068409C"/>
    <w:rsid w:val="006E6E85"/>
    <w:rsid w:val="007123BB"/>
    <w:rsid w:val="007E39D4"/>
    <w:rsid w:val="0086601C"/>
    <w:rsid w:val="008F5357"/>
    <w:rsid w:val="00923D22"/>
    <w:rsid w:val="00950047"/>
    <w:rsid w:val="00991F13"/>
    <w:rsid w:val="009B0F33"/>
    <w:rsid w:val="009B7C2F"/>
    <w:rsid w:val="009D6E52"/>
    <w:rsid w:val="009D6EA2"/>
    <w:rsid w:val="00A60A6C"/>
    <w:rsid w:val="00A72A2B"/>
    <w:rsid w:val="00AC5390"/>
    <w:rsid w:val="00B40F52"/>
    <w:rsid w:val="00B57148"/>
    <w:rsid w:val="00B63535"/>
    <w:rsid w:val="00BD1787"/>
    <w:rsid w:val="00C0574D"/>
    <w:rsid w:val="00CA2717"/>
    <w:rsid w:val="00CA49D9"/>
    <w:rsid w:val="00D816FB"/>
    <w:rsid w:val="00DF6C01"/>
    <w:rsid w:val="00F85A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F281B"/>
  <w15:chartTrackingRefBased/>
  <w15:docId w15:val="{B13A9099-B9A7-46FD-983E-4C98FBEFD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9D4"/>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9D6E5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D6E5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D6E5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D6E5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D6E5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D6E5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6E5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6E5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6E5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6E5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D6E5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D6E5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D6E5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D6E5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D6E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6E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6E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6E52"/>
    <w:rPr>
      <w:rFonts w:eastAsiaTheme="majorEastAsia" w:cstheme="majorBidi"/>
      <w:color w:val="272727" w:themeColor="text1" w:themeTint="D8"/>
    </w:rPr>
  </w:style>
  <w:style w:type="paragraph" w:styleId="Title">
    <w:name w:val="Title"/>
    <w:basedOn w:val="Normal"/>
    <w:next w:val="Normal"/>
    <w:link w:val="TitleChar"/>
    <w:uiPriority w:val="10"/>
    <w:qFormat/>
    <w:rsid w:val="009D6E5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6E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6E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6E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6E52"/>
    <w:pPr>
      <w:spacing w:before="160"/>
      <w:jc w:val="center"/>
    </w:pPr>
    <w:rPr>
      <w:i/>
      <w:iCs/>
      <w:color w:val="404040" w:themeColor="text1" w:themeTint="BF"/>
    </w:rPr>
  </w:style>
  <w:style w:type="character" w:customStyle="1" w:styleId="QuoteChar">
    <w:name w:val="Quote Char"/>
    <w:basedOn w:val="DefaultParagraphFont"/>
    <w:link w:val="Quote"/>
    <w:uiPriority w:val="29"/>
    <w:rsid w:val="009D6E52"/>
    <w:rPr>
      <w:i/>
      <w:iCs/>
      <w:color w:val="404040" w:themeColor="text1" w:themeTint="BF"/>
    </w:rPr>
  </w:style>
  <w:style w:type="paragraph" w:styleId="ListParagraph">
    <w:name w:val="List Paragraph"/>
    <w:basedOn w:val="Normal"/>
    <w:uiPriority w:val="34"/>
    <w:qFormat/>
    <w:rsid w:val="009D6E52"/>
    <w:pPr>
      <w:ind w:left="720"/>
      <w:contextualSpacing/>
    </w:pPr>
  </w:style>
  <w:style w:type="character" w:styleId="IntenseEmphasis">
    <w:name w:val="Intense Emphasis"/>
    <w:basedOn w:val="DefaultParagraphFont"/>
    <w:uiPriority w:val="21"/>
    <w:qFormat/>
    <w:rsid w:val="009D6E52"/>
    <w:rPr>
      <w:i/>
      <w:iCs/>
      <w:color w:val="2F5496" w:themeColor="accent1" w:themeShade="BF"/>
    </w:rPr>
  </w:style>
  <w:style w:type="paragraph" w:styleId="IntenseQuote">
    <w:name w:val="Intense Quote"/>
    <w:basedOn w:val="Normal"/>
    <w:next w:val="Normal"/>
    <w:link w:val="IntenseQuoteChar"/>
    <w:uiPriority w:val="30"/>
    <w:qFormat/>
    <w:rsid w:val="009D6E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D6E52"/>
    <w:rPr>
      <w:i/>
      <w:iCs/>
      <w:color w:val="2F5496" w:themeColor="accent1" w:themeShade="BF"/>
    </w:rPr>
  </w:style>
  <w:style w:type="character" w:styleId="IntenseReference">
    <w:name w:val="Intense Reference"/>
    <w:basedOn w:val="DefaultParagraphFont"/>
    <w:uiPriority w:val="32"/>
    <w:qFormat/>
    <w:rsid w:val="009D6E52"/>
    <w:rPr>
      <w:b/>
      <w:bCs/>
      <w:smallCaps/>
      <w:color w:val="2F5496" w:themeColor="accent1" w:themeShade="BF"/>
      <w:spacing w:val="5"/>
    </w:rPr>
  </w:style>
  <w:style w:type="table" w:styleId="TableGrid">
    <w:name w:val="Table Grid"/>
    <w:basedOn w:val="TableNormal"/>
    <w:uiPriority w:val="39"/>
    <w:rsid w:val="007E39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1346"/>
    <w:rPr>
      <w:color w:val="0563C1" w:themeColor="hyperlink"/>
      <w:u w:val="single"/>
    </w:rPr>
  </w:style>
  <w:style w:type="character" w:styleId="UnresolvedMention">
    <w:name w:val="Unresolved Mention"/>
    <w:basedOn w:val="DefaultParagraphFont"/>
    <w:uiPriority w:val="99"/>
    <w:semiHidden/>
    <w:unhideWhenUsed/>
    <w:rsid w:val="00011346"/>
    <w:rPr>
      <w:color w:val="605E5C"/>
      <w:shd w:val="clear" w:color="auto" w:fill="E1DFDD"/>
    </w:rPr>
  </w:style>
  <w:style w:type="character" w:styleId="FollowedHyperlink">
    <w:name w:val="FollowedHyperlink"/>
    <w:basedOn w:val="DefaultParagraphFont"/>
    <w:uiPriority w:val="99"/>
    <w:semiHidden/>
    <w:unhideWhenUsed/>
    <w:rsid w:val="00B5714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272190">
      <w:bodyDiv w:val="1"/>
      <w:marLeft w:val="0"/>
      <w:marRight w:val="0"/>
      <w:marTop w:val="0"/>
      <w:marBottom w:val="0"/>
      <w:divBdr>
        <w:top w:val="none" w:sz="0" w:space="0" w:color="auto"/>
        <w:left w:val="none" w:sz="0" w:space="0" w:color="auto"/>
        <w:bottom w:val="none" w:sz="0" w:space="0" w:color="auto"/>
        <w:right w:val="none" w:sz="0" w:space="0" w:color="auto"/>
      </w:divBdr>
    </w:div>
    <w:div w:id="141821719">
      <w:bodyDiv w:val="1"/>
      <w:marLeft w:val="0"/>
      <w:marRight w:val="0"/>
      <w:marTop w:val="0"/>
      <w:marBottom w:val="0"/>
      <w:divBdr>
        <w:top w:val="none" w:sz="0" w:space="0" w:color="auto"/>
        <w:left w:val="none" w:sz="0" w:space="0" w:color="auto"/>
        <w:bottom w:val="none" w:sz="0" w:space="0" w:color="auto"/>
        <w:right w:val="none" w:sz="0" w:space="0" w:color="auto"/>
      </w:divBdr>
    </w:div>
    <w:div w:id="223756978">
      <w:bodyDiv w:val="1"/>
      <w:marLeft w:val="0"/>
      <w:marRight w:val="0"/>
      <w:marTop w:val="0"/>
      <w:marBottom w:val="0"/>
      <w:divBdr>
        <w:top w:val="none" w:sz="0" w:space="0" w:color="auto"/>
        <w:left w:val="none" w:sz="0" w:space="0" w:color="auto"/>
        <w:bottom w:val="none" w:sz="0" w:space="0" w:color="auto"/>
        <w:right w:val="none" w:sz="0" w:space="0" w:color="auto"/>
      </w:divBdr>
    </w:div>
    <w:div w:id="366954429">
      <w:bodyDiv w:val="1"/>
      <w:marLeft w:val="0"/>
      <w:marRight w:val="0"/>
      <w:marTop w:val="0"/>
      <w:marBottom w:val="0"/>
      <w:divBdr>
        <w:top w:val="none" w:sz="0" w:space="0" w:color="auto"/>
        <w:left w:val="none" w:sz="0" w:space="0" w:color="auto"/>
        <w:bottom w:val="none" w:sz="0" w:space="0" w:color="auto"/>
        <w:right w:val="none" w:sz="0" w:space="0" w:color="auto"/>
      </w:divBdr>
      <w:divsChild>
        <w:div w:id="1482456142">
          <w:marLeft w:val="0"/>
          <w:marRight w:val="0"/>
          <w:marTop w:val="0"/>
          <w:marBottom w:val="0"/>
          <w:divBdr>
            <w:top w:val="none" w:sz="0" w:space="0" w:color="auto"/>
            <w:left w:val="none" w:sz="0" w:space="0" w:color="auto"/>
            <w:bottom w:val="none" w:sz="0" w:space="0" w:color="auto"/>
            <w:right w:val="none" w:sz="0" w:space="0" w:color="auto"/>
          </w:divBdr>
        </w:div>
      </w:divsChild>
    </w:div>
    <w:div w:id="368116769">
      <w:bodyDiv w:val="1"/>
      <w:marLeft w:val="0"/>
      <w:marRight w:val="0"/>
      <w:marTop w:val="0"/>
      <w:marBottom w:val="0"/>
      <w:divBdr>
        <w:top w:val="none" w:sz="0" w:space="0" w:color="auto"/>
        <w:left w:val="none" w:sz="0" w:space="0" w:color="auto"/>
        <w:bottom w:val="none" w:sz="0" w:space="0" w:color="auto"/>
        <w:right w:val="none" w:sz="0" w:space="0" w:color="auto"/>
      </w:divBdr>
      <w:divsChild>
        <w:div w:id="1676178676">
          <w:marLeft w:val="0"/>
          <w:marRight w:val="0"/>
          <w:marTop w:val="0"/>
          <w:marBottom w:val="0"/>
          <w:divBdr>
            <w:top w:val="none" w:sz="0" w:space="0" w:color="auto"/>
            <w:left w:val="none" w:sz="0" w:space="0" w:color="auto"/>
            <w:bottom w:val="none" w:sz="0" w:space="0" w:color="auto"/>
            <w:right w:val="none" w:sz="0" w:space="0" w:color="auto"/>
          </w:divBdr>
        </w:div>
      </w:divsChild>
    </w:div>
    <w:div w:id="403190352">
      <w:bodyDiv w:val="1"/>
      <w:marLeft w:val="0"/>
      <w:marRight w:val="0"/>
      <w:marTop w:val="0"/>
      <w:marBottom w:val="0"/>
      <w:divBdr>
        <w:top w:val="none" w:sz="0" w:space="0" w:color="auto"/>
        <w:left w:val="none" w:sz="0" w:space="0" w:color="auto"/>
        <w:bottom w:val="none" w:sz="0" w:space="0" w:color="auto"/>
        <w:right w:val="none" w:sz="0" w:space="0" w:color="auto"/>
      </w:divBdr>
    </w:div>
    <w:div w:id="511729205">
      <w:bodyDiv w:val="1"/>
      <w:marLeft w:val="0"/>
      <w:marRight w:val="0"/>
      <w:marTop w:val="0"/>
      <w:marBottom w:val="0"/>
      <w:divBdr>
        <w:top w:val="none" w:sz="0" w:space="0" w:color="auto"/>
        <w:left w:val="none" w:sz="0" w:space="0" w:color="auto"/>
        <w:bottom w:val="none" w:sz="0" w:space="0" w:color="auto"/>
        <w:right w:val="none" w:sz="0" w:space="0" w:color="auto"/>
      </w:divBdr>
    </w:div>
    <w:div w:id="512645344">
      <w:bodyDiv w:val="1"/>
      <w:marLeft w:val="0"/>
      <w:marRight w:val="0"/>
      <w:marTop w:val="0"/>
      <w:marBottom w:val="0"/>
      <w:divBdr>
        <w:top w:val="none" w:sz="0" w:space="0" w:color="auto"/>
        <w:left w:val="none" w:sz="0" w:space="0" w:color="auto"/>
        <w:bottom w:val="none" w:sz="0" w:space="0" w:color="auto"/>
        <w:right w:val="none" w:sz="0" w:space="0" w:color="auto"/>
      </w:divBdr>
    </w:div>
    <w:div w:id="548881893">
      <w:bodyDiv w:val="1"/>
      <w:marLeft w:val="0"/>
      <w:marRight w:val="0"/>
      <w:marTop w:val="0"/>
      <w:marBottom w:val="0"/>
      <w:divBdr>
        <w:top w:val="none" w:sz="0" w:space="0" w:color="auto"/>
        <w:left w:val="none" w:sz="0" w:space="0" w:color="auto"/>
        <w:bottom w:val="none" w:sz="0" w:space="0" w:color="auto"/>
        <w:right w:val="none" w:sz="0" w:space="0" w:color="auto"/>
      </w:divBdr>
    </w:div>
    <w:div w:id="759721067">
      <w:bodyDiv w:val="1"/>
      <w:marLeft w:val="0"/>
      <w:marRight w:val="0"/>
      <w:marTop w:val="0"/>
      <w:marBottom w:val="0"/>
      <w:divBdr>
        <w:top w:val="none" w:sz="0" w:space="0" w:color="auto"/>
        <w:left w:val="none" w:sz="0" w:space="0" w:color="auto"/>
        <w:bottom w:val="none" w:sz="0" w:space="0" w:color="auto"/>
        <w:right w:val="none" w:sz="0" w:space="0" w:color="auto"/>
      </w:divBdr>
    </w:div>
    <w:div w:id="821702771">
      <w:bodyDiv w:val="1"/>
      <w:marLeft w:val="0"/>
      <w:marRight w:val="0"/>
      <w:marTop w:val="0"/>
      <w:marBottom w:val="0"/>
      <w:divBdr>
        <w:top w:val="none" w:sz="0" w:space="0" w:color="auto"/>
        <w:left w:val="none" w:sz="0" w:space="0" w:color="auto"/>
        <w:bottom w:val="none" w:sz="0" w:space="0" w:color="auto"/>
        <w:right w:val="none" w:sz="0" w:space="0" w:color="auto"/>
      </w:divBdr>
    </w:div>
    <w:div w:id="880291528">
      <w:bodyDiv w:val="1"/>
      <w:marLeft w:val="0"/>
      <w:marRight w:val="0"/>
      <w:marTop w:val="0"/>
      <w:marBottom w:val="0"/>
      <w:divBdr>
        <w:top w:val="none" w:sz="0" w:space="0" w:color="auto"/>
        <w:left w:val="none" w:sz="0" w:space="0" w:color="auto"/>
        <w:bottom w:val="none" w:sz="0" w:space="0" w:color="auto"/>
        <w:right w:val="none" w:sz="0" w:space="0" w:color="auto"/>
      </w:divBdr>
    </w:div>
    <w:div w:id="1020469546">
      <w:bodyDiv w:val="1"/>
      <w:marLeft w:val="0"/>
      <w:marRight w:val="0"/>
      <w:marTop w:val="0"/>
      <w:marBottom w:val="0"/>
      <w:divBdr>
        <w:top w:val="none" w:sz="0" w:space="0" w:color="auto"/>
        <w:left w:val="none" w:sz="0" w:space="0" w:color="auto"/>
        <w:bottom w:val="none" w:sz="0" w:space="0" w:color="auto"/>
        <w:right w:val="none" w:sz="0" w:space="0" w:color="auto"/>
      </w:divBdr>
    </w:div>
    <w:div w:id="1124156870">
      <w:bodyDiv w:val="1"/>
      <w:marLeft w:val="0"/>
      <w:marRight w:val="0"/>
      <w:marTop w:val="0"/>
      <w:marBottom w:val="0"/>
      <w:divBdr>
        <w:top w:val="none" w:sz="0" w:space="0" w:color="auto"/>
        <w:left w:val="none" w:sz="0" w:space="0" w:color="auto"/>
        <w:bottom w:val="none" w:sz="0" w:space="0" w:color="auto"/>
        <w:right w:val="none" w:sz="0" w:space="0" w:color="auto"/>
      </w:divBdr>
    </w:div>
    <w:div w:id="1133794052">
      <w:bodyDiv w:val="1"/>
      <w:marLeft w:val="0"/>
      <w:marRight w:val="0"/>
      <w:marTop w:val="0"/>
      <w:marBottom w:val="0"/>
      <w:divBdr>
        <w:top w:val="none" w:sz="0" w:space="0" w:color="auto"/>
        <w:left w:val="none" w:sz="0" w:space="0" w:color="auto"/>
        <w:bottom w:val="none" w:sz="0" w:space="0" w:color="auto"/>
        <w:right w:val="none" w:sz="0" w:space="0" w:color="auto"/>
      </w:divBdr>
    </w:div>
    <w:div w:id="1200241384">
      <w:bodyDiv w:val="1"/>
      <w:marLeft w:val="0"/>
      <w:marRight w:val="0"/>
      <w:marTop w:val="0"/>
      <w:marBottom w:val="0"/>
      <w:divBdr>
        <w:top w:val="none" w:sz="0" w:space="0" w:color="auto"/>
        <w:left w:val="none" w:sz="0" w:space="0" w:color="auto"/>
        <w:bottom w:val="none" w:sz="0" w:space="0" w:color="auto"/>
        <w:right w:val="none" w:sz="0" w:space="0" w:color="auto"/>
      </w:divBdr>
    </w:div>
    <w:div w:id="1219898240">
      <w:bodyDiv w:val="1"/>
      <w:marLeft w:val="0"/>
      <w:marRight w:val="0"/>
      <w:marTop w:val="0"/>
      <w:marBottom w:val="0"/>
      <w:divBdr>
        <w:top w:val="none" w:sz="0" w:space="0" w:color="auto"/>
        <w:left w:val="none" w:sz="0" w:space="0" w:color="auto"/>
        <w:bottom w:val="none" w:sz="0" w:space="0" w:color="auto"/>
        <w:right w:val="none" w:sz="0" w:space="0" w:color="auto"/>
      </w:divBdr>
    </w:div>
    <w:div w:id="1243753591">
      <w:bodyDiv w:val="1"/>
      <w:marLeft w:val="0"/>
      <w:marRight w:val="0"/>
      <w:marTop w:val="0"/>
      <w:marBottom w:val="0"/>
      <w:divBdr>
        <w:top w:val="none" w:sz="0" w:space="0" w:color="auto"/>
        <w:left w:val="none" w:sz="0" w:space="0" w:color="auto"/>
        <w:bottom w:val="none" w:sz="0" w:space="0" w:color="auto"/>
        <w:right w:val="none" w:sz="0" w:space="0" w:color="auto"/>
      </w:divBdr>
    </w:div>
    <w:div w:id="1278754449">
      <w:bodyDiv w:val="1"/>
      <w:marLeft w:val="0"/>
      <w:marRight w:val="0"/>
      <w:marTop w:val="0"/>
      <w:marBottom w:val="0"/>
      <w:divBdr>
        <w:top w:val="none" w:sz="0" w:space="0" w:color="auto"/>
        <w:left w:val="none" w:sz="0" w:space="0" w:color="auto"/>
        <w:bottom w:val="none" w:sz="0" w:space="0" w:color="auto"/>
        <w:right w:val="none" w:sz="0" w:space="0" w:color="auto"/>
      </w:divBdr>
    </w:div>
    <w:div w:id="1282111522">
      <w:bodyDiv w:val="1"/>
      <w:marLeft w:val="0"/>
      <w:marRight w:val="0"/>
      <w:marTop w:val="0"/>
      <w:marBottom w:val="0"/>
      <w:divBdr>
        <w:top w:val="none" w:sz="0" w:space="0" w:color="auto"/>
        <w:left w:val="none" w:sz="0" w:space="0" w:color="auto"/>
        <w:bottom w:val="none" w:sz="0" w:space="0" w:color="auto"/>
        <w:right w:val="none" w:sz="0" w:space="0" w:color="auto"/>
      </w:divBdr>
    </w:div>
    <w:div w:id="1312636599">
      <w:bodyDiv w:val="1"/>
      <w:marLeft w:val="0"/>
      <w:marRight w:val="0"/>
      <w:marTop w:val="0"/>
      <w:marBottom w:val="0"/>
      <w:divBdr>
        <w:top w:val="none" w:sz="0" w:space="0" w:color="auto"/>
        <w:left w:val="none" w:sz="0" w:space="0" w:color="auto"/>
        <w:bottom w:val="none" w:sz="0" w:space="0" w:color="auto"/>
        <w:right w:val="none" w:sz="0" w:space="0" w:color="auto"/>
      </w:divBdr>
    </w:div>
    <w:div w:id="1315328869">
      <w:bodyDiv w:val="1"/>
      <w:marLeft w:val="0"/>
      <w:marRight w:val="0"/>
      <w:marTop w:val="0"/>
      <w:marBottom w:val="0"/>
      <w:divBdr>
        <w:top w:val="none" w:sz="0" w:space="0" w:color="auto"/>
        <w:left w:val="none" w:sz="0" w:space="0" w:color="auto"/>
        <w:bottom w:val="none" w:sz="0" w:space="0" w:color="auto"/>
        <w:right w:val="none" w:sz="0" w:space="0" w:color="auto"/>
      </w:divBdr>
    </w:div>
    <w:div w:id="1339653070">
      <w:bodyDiv w:val="1"/>
      <w:marLeft w:val="0"/>
      <w:marRight w:val="0"/>
      <w:marTop w:val="0"/>
      <w:marBottom w:val="0"/>
      <w:divBdr>
        <w:top w:val="none" w:sz="0" w:space="0" w:color="auto"/>
        <w:left w:val="none" w:sz="0" w:space="0" w:color="auto"/>
        <w:bottom w:val="none" w:sz="0" w:space="0" w:color="auto"/>
        <w:right w:val="none" w:sz="0" w:space="0" w:color="auto"/>
      </w:divBdr>
    </w:div>
    <w:div w:id="1390569256">
      <w:bodyDiv w:val="1"/>
      <w:marLeft w:val="0"/>
      <w:marRight w:val="0"/>
      <w:marTop w:val="0"/>
      <w:marBottom w:val="0"/>
      <w:divBdr>
        <w:top w:val="none" w:sz="0" w:space="0" w:color="auto"/>
        <w:left w:val="none" w:sz="0" w:space="0" w:color="auto"/>
        <w:bottom w:val="none" w:sz="0" w:space="0" w:color="auto"/>
        <w:right w:val="none" w:sz="0" w:space="0" w:color="auto"/>
      </w:divBdr>
    </w:div>
    <w:div w:id="1409881238">
      <w:bodyDiv w:val="1"/>
      <w:marLeft w:val="0"/>
      <w:marRight w:val="0"/>
      <w:marTop w:val="0"/>
      <w:marBottom w:val="0"/>
      <w:divBdr>
        <w:top w:val="none" w:sz="0" w:space="0" w:color="auto"/>
        <w:left w:val="none" w:sz="0" w:space="0" w:color="auto"/>
        <w:bottom w:val="none" w:sz="0" w:space="0" w:color="auto"/>
        <w:right w:val="none" w:sz="0" w:space="0" w:color="auto"/>
      </w:divBdr>
    </w:div>
    <w:div w:id="1418095307">
      <w:bodyDiv w:val="1"/>
      <w:marLeft w:val="0"/>
      <w:marRight w:val="0"/>
      <w:marTop w:val="0"/>
      <w:marBottom w:val="0"/>
      <w:divBdr>
        <w:top w:val="none" w:sz="0" w:space="0" w:color="auto"/>
        <w:left w:val="none" w:sz="0" w:space="0" w:color="auto"/>
        <w:bottom w:val="none" w:sz="0" w:space="0" w:color="auto"/>
        <w:right w:val="none" w:sz="0" w:space="0" w:color="auto"/>
      </w:divBdr>
    </w:div>
    <w:div w:id="1426029471">
      <w:bodyDiv w:val="1"/>
      <w:marLeft w:val="0"/>
      <w:marRight w:val="0"/>
      <w:marTop w:val="0"/>
      <w:marBottom w:val="0"/>
      <w:divBdr>
        <w:top w:val="none" w:sz="0" w:space="0" w:color="auto"/>
        <w:left w:val="none" w:sz="0" w:space="0" w:color="auto"/>
        <w:bottom w:val="none" w:sz="0" w:space="0" w:color="auto"/>
        <w:right w:val="none" w:sz="0" w:space="0" w:color="auto"/>
      </w:divBdr>
    </w:div>
    <w:div w:id="1442649899">
      <w:bodyDiv w:val="1"/>
      <w:marLeft w:val="0"/>
      <w:marRight w:val="0"/>
      <w:marTop w:val="0"/>
      <w:marBottom w:val="0"/>
      <w:divBdr>
        <w:top w:val="none" w:sz="0" w:space="0" w:color="auto"/>
        <w:left w:val="none" w:sz="0" w:space="0" w:color="auto"/>
        <w:bottom w:val="none" w:sz="0" w:space="0" w:color="auto"/>
        <w:right w:val="none" w:sz="0" w:space="0" w:color="auto"/>
      </w:divBdr>
    </w:div>
    <w:div w:id="1568682187">
      <w:bodyDiv w:val="1"/>
      <w:marLeft w:val="0"/>
      <w:marRight w:val="0"/>
      <w:marTop w:val="0"/>
      <w:marBottom w:val="0"/>
      <w:divBdr>
        <w:top w:val="none" w:sz="0" w:space="0" w:color="auto"/>
        <w:left w:val="none" w:sz="0" w:space="0" w:color="auto"/>
        <w:bottom w:val="none" w:sz="0" w:space="0" w:color="auto"/>
        <w:right w:val="none" w:sz="0" w:space="0" w:color="auto"/>
      </w:divBdr>
    </w:div>
    <w:div w:id="1608151785">
      <w:bodyDiv w:val="1"/>
      <w:marLeft w:val="0"/>
      <w:marRight w:val="0"/>
      <w:marTop w:val="0"/>
      <w:marBottom w:val="0"/>
      <w:divBdr>
        <w:top w:val="none" w:sz="0" w:space="0" w:color="auto"/>
        <w:left w:val="none" w:sz="0" w:space="0" w:color="auto"/>
        <w:bottom w:val="none" w:sz="0" w:space="0" w:color="auto"/>
        <w:right w:val="none" w:sz="0" w:space="0" w:color="auto"/>
      </w:divBdr>
    </w:div>
    <w:div w:id="1622492215">
      <w:bodyDiv w:val="1"/>
      <w:marLeft w:val="0"/>
      <w:marRight w:val="0"/>
      <w:marTop w:val="0"/>
      <w:marBottom w:val="0"/>
      <w:divBdr>
        <w:top w:val="none" w:sz="0" w:space="0" w:color="auto"/>
        <w:left w:val="none" w:sz="0" w:space="0" w:color="auto"/>
        <w:bottom w:val="none" w:sz="0" w:space="0" w:color="auto"/>
        <w:right w:val="none" w:sz="0" w:space="0" w:color="auto"/>
      </w:divBdr>
    </w:div>
    <w:div w:id="1680618283">
      <w:bodyDiv w:val="1"/>
      <w:marLeft w:val="0"/>
      <w:marRight w:val="0"/>
      <w:marTop w:val="0"/>
      <w:marBottom w:val="0"/>
      <w:divBdr>
        <w:top w:val="none" w:sz="0" w:space="0" w:color="auto"/>
        <w:left w:val="none" w:sz="0" w:space="0" w:color="auto"/>
        <w:bottom w:val="none" w:sz="0" w:space="0" w:color="auto"/>
        <w:right w:val="none" w:sz="0" w:space="0" w:color="auto"/>
      </w:divBdr>
    </w:div>
    <w:div w:id="1745377273">
      <w:bodyDiv w:val="1"/>
      <w:marLeft w:val="0"/>
      <w:marRight w:val="0"/>
      <w:marTop w:val="0"/>
      <w:marBottom w:val="0"/>
      <w:divBdr>
        <w:top w:val="none" w:sz="0" w:space="0" w:color="auto"/>
        <w:left w:val="none" w:sz="0" w:space="0" w:color="auto"/>
        <w:bottom w:val="none" w:sz="0" w:space="0" w:color="auto"/>
        <w:right w:val="none" w:sz="0" w:space="0" w:color="auto"/>
      </w:divBdr>
    </w:div>
    <w:div w:id="1758355919">
      <w:bodyDiv w:val="1"/>
      <w:marLeft w:val="0"/>
      <w:marRight w:val="0"/>
      <w:marTop w:val="0"/>
      <w:marBottom w:val="0"/>
      <w:divBdr>
        <w:top w:val="none" w:sz="0" w:space="0" w:color="auto"/>
        <w:left w:val="none" w:sz="0" w:space="0" w:color="auto"/>
        <w:bottom w:val="none" w:sz="0" w:space="0" w:color="auto"/>
        <w:right w:val="none" w:sz="0" w:space="0" w:color="auto"/>
      </w:divBdr>
    </w:div>
    <w:div w:id="1989742968">
      <w:bodyDiv w:val="1"/>
      <w:marLeft w:val="0"/>
      <w:marRight w:val="0"/>
      <w:marTop w:val="0"/>
      <w:marBottom w:val="0"/>
      <w:divBdr>
        <w:top w:val="none" w:sz="0" w:space="0" w:color="auto"/>
        <w:left w:val="none" w:sz="0" w:space="0" w:color="auto"/>
        <w:bottom w:val="none" w:sz="0" w:space="0" w:color="auto"/>
        <w:right w:val="none" w:sz="0" w:space="0" w:color="auto"/>
      </w:divBdr>
    </w:div>
    <w:div w:id="2030259015">
      <w:bodyDiv w:val="1"/>
      <w:marLeft w:val="0"/>
      <w:marRight w:val="0"/>
      <w:marTop w:val="0"/>
      <w:marBottom w:val="0"/>
      <w:divBdr>
        <w:top w:val="none" w:sz="0" w:space="0" w:color="auto"/>
        <w:left w:val="none" w:sz="0" w:space="0" w:color="auto"/>
        <w:bottom w:val="none" w:sz="0" w:space="0" w:color="auto"/>
        <w:right w:val="none" w:sz="0" w:space="0" w:color="auto"/>
      </w:divBdr>
    </w:div>
    <w:div w:id="211577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ushi_verma24@cms.ac.in" TargetMode="External"/><Relationship Id="rId13" Type="http://schemas.openxmlformats.org/officeDocument/2006/relationships/hyperlink" Target="https://doi.org/10.1093/ijab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reetha_kushalappa24@cms.ac.in" TargetMode="External"/><Relationship Id="rId12" Type="http://schemas.openxmlformats.org/officeDocument/2006/relationships/hyperlink" Target="https://doi.org" TargetMode="External"/><Relationship Id="rId17" Type="http://schemas.openxmlformats.org/officeDocument/2006/relationships/hyperlink" Target="http://data.gov.in" TargetMode="External"/><Relationship Id="rId2" Type="http://schemas.openxmlformats.org/officeDocument/2006/relationships/styles" Target="styles.xml"/><Relationship Id="rId16" Type="http://schemas.openxmlformats.org/officeDocument/2006/relationships/hyperlink" Target="https://doi.org/10.1016/j.jpubeco" TargetMode="External"/><Relationship Id="rId1" Type="http://schemas.openxmlformats.org/officeDocument/2006/relationships/numbering" Target="numbering.xml"/><Relationship Id="rId6" Type="http://schemas.openxmlformats.org/officeDocument/2006/relationships/hyperlink" Target="mailto:satyam_jha@24cms.ac.in" TargetMode="External"/><Relationship Id="rId11" Type="http://schemas.openxmlformats.org/officeDocument/2006/relationships/hyperlink" Target="https://doi.org" TargetMode="External"/><Relationship Id="rId5" Type="http://schemas.openxmlformats.org/officeDocument/2006/relationships/hyperlink" Target="mailto:kiranm287@gmail.com" TargetMode="External"/><Relationship Id="rId15" Type="http://schemas.openxmlformats.org/officeDocument/2006/relationships/hyperlink" Target="https://doi.org/10.1108/" TargetMode="External"/><Relationship Id="rId10" Type="http://schemas.openxmlformats.org/officeDocument/2006/relationships/hyperlink" Target="http://data.gov.i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doi.org/10.24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2117</Words>
  <Characters>12070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keerthi krishna</dc:creator>
  <cp:keywords/>
  <dc:description/>
  <cp:lastModifiedBy>Satyam Jha</cp:lastModifiedBy>
  <cp:revision>2</cp:revision>
  <dcterms:created xsi:type="dcterms:W3CDTF">2025-04-28T05:56:00Z</dcterms:created>
  <dcterms:modified xsi:type="dcterms:W3CDTF">2025-04-28T05:56:00Z</dcterms:modified>
</cp:coreProperties>
</file>