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C800E" w14:textId="77777777" w:rsidR="002638EB" w:rsidRDefault="002638EB" w:rsidP="009F6540">
      <w:pPr>
        <w:spacing w:before="54" w:after="0" w:line="276" w:lineRule="auto"/>
        <w:jc w:val="center"/>
        <w:rPr>
          <w:rFonts w:ascii="Times New Roman" w:hAnsi="Times New Roman" w:cs="Times New Roman"/>
          <w:b/>
          <w:bCs/>
          <w:color w:val="000000" w:themeColor="text1"/>
          <w:sz w:val="28"/>
          <w:szCs w:val="28"/>
        </w:rPr>
      </w:pPr>
      <w:r w:rsidRPr="002638EB">
        <w:rPr>
          <w:rFonts w:ascii="Times New Roman" w:hAnsi="Times New Roman" w:cs="Times New Roman"/>
          <w:b/>
          <w:bCs/>
          <w:color w:val="000000" w:themeColor="text1"/>
          <w:sz w:val="28"/>
          <w:szCs w:val="28"/>
        </w:rPr>
        <w:t>Impact of Digital Payment Systems on Consumer Behavior: A Comparative Analysis of Urban and Rural Areas in Uzbekistan</w:t>
      </w:r>
    </w:p>
    <w:p w14:paraId="736B6AC8" w14:textId="1ECA2A22" w:rsidR="00DA52F4" w:rsidRPr="001E51F3" w:rsidRDefault="00BA645B" w:rsidP="009F6540">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O</w:t>
      </w:r>
      <w:r w:rsidR="00290530">
        <w:rPr>
          <w:rFonts w:ascii="Times New Roman" w:hAnsi="Times New Roman" w:cs="Times New Roman"/>
          <w:b/>
          <w:bCs/>
          <w:color w:val="000000" w:themeColor="text1"/>
          <w:sz w:val="24"/>
          <w:szCs w:val="24"/>
        </w:rPr>
        <w:t>zoda</w:t>
      </w:r>
      <w:proofErr w:type="spellEnd"/>
      <w:r w:rsidR="00290530">
        <w:rPr>
          <w:rFonts w:ascii="Times New Roman" w:hAnsi="Times New Roman" w:cs="Times New Roman"/>
          <w:b/>
          <w:bCs/>
          <w:color w:val="000000" w:themeColor="text1"/>
          <w:sz w:val="24"/>
          <w:szCs w:val="24"/>
        </w:rPr>
        <w:t xml:space="preserve"> Tojiqulova</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sidR="00290530">
        <w:rPr>
          <w:rFonts w:ascii="Times New Roman" w:hAnsi="Times New Roman" w:cs="Times New Roman"/>
          <w:b/>
          <w:bCs/>
          <w:color w:val="000000" w:themeColor="text1"/>
          <w:sz w:val="24"/>
          <w:szCs w:val="24"/>
        </w:rPr>
        <w:t>Shukurova</w:t>
      </w:r>
      <w:proofErr w:type="spellEnd"/>
      <w:r w:rsidR="00290530">
        <w:rPr>
          <w:rFonts w:ascii="Times New Roman" w:hAnsi="Times New Roman" w:cs="Times New Roman"/>
          <w:b/>
          <w:bCs/>
          <w:color w:val="000000" w:themeColor="text1"/>
          <w:sz w:val="24"/>
          <w:szCs w:val="24"/>
        </w:rPr>
        <w:t xml:space="preserve"> Gulnoza</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proofErr w:type="spellStart"/>
      <w:r w:rsidR="00290530">
        <w:rPr>
          <w:rFonts w:ascii="Times New Roman" w:hAnsi="Times New Roman" w:cs="Times New Roman"/>
          <w:b/>
          <w:bCs/>
          <w:color w:val="000000" w:themeColor="text1"/>
          <w:sz w:val="24"/>
          <w:szCs w:val="24"/>
        </w:rPr>
        <w:t>Shoimqulova</w:t>
      </w:r>
      <w:proofErr w:type="spellEnd"/>
      <w:r w:rsidR="00290530">
        <w:rPr>
          <w:rFonts w:ascii="Times New Roman" w:hAnsi="Times New Roman" w:cs="Times New Roman"/>
          <w:b/>
          <w:bCs/>
          <w:color w:val="000000" w:themeColor="text1"/>
          <w:sz w:val="24"/>
          <w:szCs w:val="24"/>
        </w:rPr>
        <w:t xml:space="preserve"> Mahbuba</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
    <w:p w14:paraId="7AEC63B4" w14:textId="22B8F3E8"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290530">
        <w:rPr>
          <w:rFonts w:ascii="Times New Roman" w:hAnsi="Times New Roman" w:cs="Times New Roman"/>
          <w:color w:val="000000" w:themeColor="text1"/>
          <w:vertAlign w:val="superscript"/>
        </w:rPr>
        <w:t xml:space="preserve">,2,3 </w:t>
      </w:r>
      <w:r w:rsidR="00290530">
        <w:rPr>
          <w:rFonts w:ascii="Times New Roman" w:hAnsi="Times New Roman" w:cs="Times New Roman"/>
          <w:color w:val="000000" w:themeColor="text1"/>
        </w:rPr>
        <w:t>Final Year Students,</w:t>
      </w:r>
      <w:r w:rsidRPr="001E51F3">
        <w:rPr>
          <w:rFonts w:ascii="Times New Roman" w:hAnsi="Times New Roman" w:cs="Times New Roman"/>
          <w:color w:val="000000" w:themeColor="text1"/>
        </w:rPr>
        <w:t xml:space="preserve"> </w:t>
      </w:r>
      <w:r w:rsidR="00D57EC4" w:rsidRPr="001E51F3">
        <w:rPr>
          <w:rFonts w:ascii="Times New Roman" w:hAnsi="Times New Roman" w:cs="Times New Roman"/>
          <w:color w:val="000000" w:themeColor="text1"/>
        </w:rPr>
        <w:t>Dep</w:t>
      </w:r>
      <w:r w:rsidR="00D57EC4">
        <w:rPr>
          <w:rFonts w:ascii="Times New Roman" w:hAnsi="Times New Roman" w:cs="Times New Roman"/>
          <w:color w:val="000000" w:themeColor="text1"/>
        </w:rPr>
        <w:t>t. Of</w:t>
      </w:r>
      <w:r w:rsidR="00290530">
        <w:rPr>
          <w:rFonts w:ascii="Times New Roman" w:hAnsi="Times New Roman" w:cs="Times New Roman"/>
          <w:color w:val="000000" w:themeColor="text1"/>
        </w:rPr>
        <w:t xml:space="preserve"> BBA</w:t>
      </w:r>
      <w:r w:rsidRPr="001E51F3">
        <w:rPr>
          <w:rFonts w:ascii="Times New Roman" w:hAnsi="Times New Roman" w:cs="Times New Roman"/>
          <w:color w:val="000000" w:themeColor="text1"/>
        </w:rPr>
        <w:t xml:space="preserve">, </w:t>
      </w:r>
      <w:proofErr w:type="spellStart"/>
      <w:r w:rsidR="00290530">
        <w:rPr>
          <w:rFonts w:ascii="Times New Roman" w:hAnsi="Times New Roman" w:cs="Times New Roman"/>
          <w:color w:val="000000" w:themeColor="text1"/>
        </w:rPr>
        <w:t>Sambhram</w:t>
      </w:r>
      <w:proofErr w:type="spellEnd"/>
      <w:r w:rsidR="00290530">
        <w:rPr>
          <w:rFonts w:ascii="Times New Roman" w:hAnsi="Times New Roman" w:cs="Times New Roman"/>
          <w:color w:val="000000" w:themeColor="text1"/>
        </w:rPr>
        <w:t xml:space="preserve"> University</w:t>
      </w:r>
      <w:r w:rsidRPr="001E51F3">
        <w:rPr>
          <w:rFonts w:ascii="Times New Roman" w:hAnsi="Times New Roman" w:cs="Times New Roman"/>
          <w:color w:val="000000" w:themeColor="text1"/>
        </w:rPr>
        <w:t xml:space="preserve">, </w:t>
      </w:r>
      <w:proofErr w:type="spellStart"/>
      <w:r w:rsidR="00D57EC4">
        <w:rPr>
          <w:rFonts w:ascii="Times New Roman" w:hAnsi="Times New Roman" w:cs="Times New Roman"/>
          <w:color w:val="000000" w:themeColor="text1"/>
        </w:rPr>
        <w:t>Jizzakh</w:t>
      </w:r>
      <w:proofErr w:type="spellEnd"/>
      <w:r w:rsidR="00D57EC4">
        <w:rPr>
          <w:rFonts w:ascii="Times New Roman" w:hAnsi="Times New Roman" w:cs="Times New Roman"/>
          <w:color w:val="000000" w:themeColor="text1"/>
        </w:rPr>
        <w:t xml:space="preserve"> City</w:t>
      </w:r>
      <w:r w:rsidRPr="001E51F3">
        <w:rPr>
          <w:rFonts w:ascii="Times New Roman" w:hAnsi="Times New Roman" w:cs="Times New Roman"/>
          <w:color w:val="000000" w:themeColor="text1"/>
        </w:rPr>
        <w:t xml:space="preserve">, </w:t>
      </w:r>
      <w:proofErr w:type="spellStart"/>
      <w:r w:rsidR="00D57EC4">
        <w:rPr>
          <w:rFonts w:ascii="Times New Roman" w:hAnsi="Times New Roman" w:cs="Times New Roman"/>
          <w:color w:val="000000" w:themeColor="text1"/>
        </w:rPr>
        <w:t>Jizzakh</w:t>
      </w:r>
      <w:proofErr w:type="spellEnd"/>
      <w:r w:rsidR="00D57EC4">
        <w:rPr>
          <w:rFonts w:ascii="Times New Roman" w:hAnsi="Times New Roman" w:cs="Times New Roman"/>
          <w:color w:val="000000" w:themeColor="text1"/>
        </w:rPr>
        <w:t xml:space="preserve"> Region</w:t>
      </w:r>
      <w:r w:rsidRPr="001E51F3">
        <w:rPr>
          <w:rFonts w:ascii="Times New Roman" w:hAnsi="Times New Roman" w:cs="Times New Roman"/>
          <w:color w:val="000000" w:themeColor="text1"/>
        </w:rPr>
        <w:t xml:space="preserve">, </w:t>
      </w:r>
      <w:r w:rsidR="00D57EC4">
        <w:rPr>
          <w:rFonts w:ascii="Times New Roman" w:hAnsi="Times New Roman" w:cs="Times New Roman"/>
          <w:color w:val="000000" w:themeColor="text1"/>
        </w:rPr>
        <w:t>Uzbekistan</w:t>
      </w:r>
      <w:r w:rsidRPr="001E51F3">
        <w:rPr>
          <w:rFonts w:ascii="Times New Roman" w:hAnsi="Times New Roman" w:cs="Times New Roman"/>
          <w:color w:val="000000" w:themeColor="text1"/>
        </w:rPr>
        <w:t xml:space="preserve"> </w:t>
      </w:r>
    </w:p>
    <w:p w14:paraId="262D7931" w14:textId="0CB6B022"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3659817" w14:textId="015DB8DD" w:rsidR="00302BBD" w:rsidRPr="00E63823" w:rsidRDefault="00302BBD" w:rsidP="00302BBD">
      <w:pPr>
        <w:jc w:val="both"/>
        <w:rPr>
          <w:rFonts w:ascii="Times New Roman" w:hAnsi="Times New Roman" w:cs="Times New Roman"/>
        </w:rPr>
      </w:pPr>
      <w:r w:rsidRPr="00E63823">
        <w:rPr>
          <w:rFonts w:ascii="Times New Roman" w:hAnsi="Times New Roman" w:cs="Times New Roman"/>
        </w:rPr>
        <w:t xml:space="preserve">This study explores the influence of digital payment systems on consumer behavior in Uzbekistan, fastening on a relative analysis between communal and pastoral regions. The disquisition employs </w:t>
      </w:r>
      <w:r w:rsidR="007B65C2" w:rsidRPr="00E63823">
        <w:rPr>
          <w:rFonts w:ascii="Times New Roman" w:hAnsi="Times New Roman" w:cs="Times New Roman"/>
        </w:rPr>
        <w:t>an</w:t>
      </w:r>
      <w:r w:rsidRPr="00E63823">
        <w:rPr>
          <w:rFonts w:ascii="Times New Roman" w:hAnsi="Times New Roman" w:cs="Times New Roman"/>
        </w:rPr>
        <w:t xml:space="preserve"> office- disquisition approach, analyzing secondary quantitative data (from the Central Bank of Uzbekistan, CERR, and the State Statistics Committee) alongside qualitative document analysis of policy papers and sedulity reports. It examines operation patterns, handover challenges, and trust factors. Findings indicate a significantly advanced handover rate and integration of digital payments in communal areas, driven by structure and digital knowledge, while pastoral regions display conservative uptake constrained by connectivity gaps and traditional cash- predicated mindsets. The paper concludes by pressing the significance of targeted structure investments, community- adapted knowledge programs, and behaviorally informed impulses to base the communal – pastoral digital peak.</w:t>
      </w:r>
    </w:p>
    <w:p w14:paraId="5501AD32" w14:textId="63DBF8EA"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302BBD" w:rsidRPr="00302BBD">
        <w:rPr>
          <w:rFonts w:ascii="Times New Roman" w:hAnsi="Times New Roman" w:cs="Times New Roman"/>
          <w:color w:val="000000" w:themeColor="text1"/>
          <w:sz w:val="20"/>
          <w:szCs w:val="20"/>
        </w:rPr>
        <w:t>Digital payments</w:t>
      </w:r>
      <w:r w:rsidR="00302BBD">
        <w:rPr>
          <w:rFonts w:ascii="Times New Roman" w:hAnsi="Times New Roman" w:cs="Times New Roman"/>
          <w:color w:val="000000" w:themeColor="text1"/>
          <w:sz w:val="20"/>
          <w:szCs w:val="20"/>
        </w:rPr>
        <w:t>,</w:t>
      </w:r>
      <w:r w:rsidR="00302BBD" w:rsidRPr="00302BBD">
        <w:rPr>
          <w:rFonts w:ascii="Times New Roman" w:hAnsi="Times New Roman" w:cs="Times New Roman"/>
          <w:color w:val="000000" w:themeColor="text1"/>
          <w:sz w:val="20"/>
          <w:szCs w:val="20"/>
        </w:rPr>
        <w:t xml:space="preserve"> Consumer behavior</w:t>
      </w:r>
      <w:r w:rsidR="00302BBD">
        <w:rPr>
          <w:rFonts w:ascii="Times New Roman" w:hAnsi="Times New Roman" w:cs="Times New Roman"/>
          <w:color w:val="000000" w:themeColor="text1"/>
          <w:sz w:val="20"/>
          <w:szCs w:val="20"/>
        </w:rPr>
        <w:t>,</w:t>
      </w:r>
      <w:r w:rsidR="00302BBD" w:rsidRPr="00302BBD">
        <w:rPr>
          <w:rFonts w:ascii="Times New Roman" w:hAnsi="Times New Roman" w:cs="Times New Roman"/>
          <w:color w:val="000000" w:themeColor="text1"/>
          <w:sz w:val="20"/>
          <w:szCs w:val="20"/>
        </w:rPr>
        <w:t xml:space="preserve"> Uzbekistan</w:t>
      </w:r>
      <w:r w:rsidR="00302BBD">
        <w:rPr>
          <w:rFonts w:ascii="Times New Roman" w:hAnsi="Times New Roman" w:cs="Times New Roman"/>
          <w:color w:val="000000" w:themeColor="text1"/>
          <w:sz w:val="20"/>
          <w:szCs w:val="20"/>
        </w:rPr>
        <w:t>,</w:t>
      </w:r>
      <w:r w:rsidR="00302BBD" w:rsidRPr="00302BBD">
        <w:rPr>
          <w:rFonts w:ascii="Times New Roman" w:hAnsi="Times New Roman" w:cs="Times New Roman"/>
          <w:color w:val="000000" w:themeColor="text1"/>
          <w:sz w:val="20"/>
          <w:szCs w:val="20"/>
        </w:rPr>
        <w:t xml:space="preserve"> Urban–rural comparison</w:t>
      </w:r>
      <w:r w:rsidR="00302BBD">
        <w:rPr>
          <w:rFonts w:ascii="Times New Roman" w:hAnsi="Times New Roman" w:cs="Times New Roman"/>
          <w:color w:val="000000" w:themeColor="text1"/>
          <w:sz w:val="20"/>
          <w:szCs w:val="20"/>
        </w:rPr>
        <w:t>,</w:t>
      </w:r>
      <w:r w:rsidR="00302BBD" w:rsidRPr="00302BBD">
        <w:rPr>
          <w:rFonts w:ascii="Times New Roman" w:hAnsi="Times New Roman" w:cs="Times New Roman"/>
          <w:color w:val="000000" w:themeColor="text1"/>
          <w:sz w:val="20"/>
          <w:szCs w:val="20"/>
        </w:rPr>
        <w:t xml:space="preserve"> </w:t>
      </w:r>
      <w:r w:rsidR="00AE5256" w:rsidRPr="00302BBD">
        <w:rPr>
          <w:rFonts w:ascii="Times New Roman" w:hAnsi="Times New Roman" w:cs="Times New Roman"/>
          <w:color w:val="000000" w:themeColor="text1"/>
          <w:sz w:val="20"/>
          <w:szCs w:val="20"/>
        </w:rPr>
        <w:t>financial</w:t>
      </w:r>
      <w:r w:rsidR="00302BBD" w:rsidRPr="00302BBD">
        <w:rPr>
          <w:rFonts w:ascii="Times New Roman" w:hAnsi="Times New Roman" w:cs="Times New Roman"/>
          <w:color w:val="000000" w:themeColor="text1"/>
          <w:sz w:val="20"/>
          <w:szCs w:val="20"/>
        </w:rPr>
        <w:t xml:space="preserve"> inclusion</w:t>
      </w:r>
    </w:p>
    <w:p w14:paraId="751CC1EB" w14:textId="77777777" w:rsidR="00E65943" w:rsidRPr="00E65943" w:rsidRDefault="00911ACD" w:rsidP="0040325C">
      <w:pPr>
        <w:pStyle w:val="ListParagraph"/>
        <w:numPr>
          <w:ilvl w:val="0"/>
          <w:numId w:val="21"/>
        </w:numPr>
        <w:spacing w:before="54" w:after="0" w:line="276" w:lineRule="auto"/>
        <w:ind w:left="284" w:hanging="284"/>
        <w:jc w:val="both"/>
        <w:rPr>
          <w:rFonts w:ascii="Times New Roman" w:hAnsi="Times New Roman" w:cs="Times New Roman"/>
        </w:rPr>
      </w:pPr>
      <w:r w:rsidRPr="00E65943">
        <w:rPr>
          <w:rFonts w:ascii="Times New Roman" w:hAnsi="Times New Roman" w:cs="Times New Roman"/>
          <w:color w:val="000000" w:themeColor="text1"/>
          <w:sz w:val="20"/>
          <w:szCs w:val="20"/>
        </w:rPr>
        <w:t xml:space="preserve"> </w:t>
      </w:r>
      <w:r w:rsidR="00DA52F4" w:rsidRPr="00E65943">
        <w:rPr>
          <w:rFonts w:ascii="Times New Roman" w:hAnsi="Times New Roman" w:cs="Times New Roman"/>
          <w:b/>
          <w:bCs/>
          <w:color w:val="000000" w:themeColor="text1"/>
          <w:sz w:val="24"/>
          <w:szCs w:val="24"/>
        </w:rPr>
        <w:t>INTRODUCTION</w:t>
      </w:r>
      <w:r w:rsidR="009F6540" w:rsidRPr="00E65943">
        <w:rPr>
          <w:rFonts w:ascii="Times New Roman" w:hAnsi="Times New Roman" w:cs="Times New Roman"/>
          <w:b/>
          <w:bCs/>
          <w:color w:val="000000" w:themeColor="text1"/>
          <w:sz w:val="24"/>
          <w:szCs w:val="24"/>
        </w:rPr>
        <w:t xml:space="preserve"> </w:t>
      </w:r>
    </w:p>
    <w:p w14:paraId="2B9BC06D" w14:textId="726A5A72" w:rsidR="00302BBD" w:rsidRPr="00E65943" w:rsidRDefault="00302BBD" w:rsidP="00E65943">
      <w:pPr>
        <w:spacing w:before="54" w:after="0" w:line="276" w:lineRule="auto"/>
        <w:jc w:val="both"/>
        <w:rPr>
          <w:rFonts w:ascii="Times New Roman" w:hAnsi="Times New Roman" w:cs="Times New Roman"/>
        </w:rPr>
      </w:pPr>
      <w:r w:rsidRPr="00E65943">
        <w:rPr>
          <w:rFonts w:ascii="Times New Roman" w:hAnsi="Times New Roman" w:cs="Times New Roman"/>
        </w:rPr>
        <w:t xml:space="preserve">In recent years, Uzbekistan has witnessed rapid digital transformation in its financial sector. Platforms such as Click, </w:t>
      </w:r>
      <w:proofErr w:type="spellStart"/>
      <w:r w:rsidRPr="00E65943">
        <w:rPr>
          <w:rFonts w:ascii="Times New Roman" w:hAnsi="Times New Roman" w:cs="Times New Roman"/>
        </w:rPr>
        <w:t>Payme</w:t>
      </w:r>
      <w:proofErr w:type="spellEnd"/>
      <w:r w:rsidRPr="00E65943">
        <w:rPr>
          <w:rFonts w:ascii="Times New Roman" w:hAnsi="Times New Roman" w:cs="Times New Roman"/>
        </w:rPr>
        <w:t xml:space="preserve">, </w:t>
      </w:r>
      <w:proofErr w:type="spellStart"/>
      <w:r w:rsidRPr="00E65943">
        <w:rPr>
          <w:rFonts w:ascii="Times New Roman" w:hAnsi="Times New Roman" w:cs="Times New Roman"/>
        </w:rPr>
        <w:t>Apelsin</w:t>
      </w:r>
      <w:proofErr w:type="spellEnd"/>
      <w:r w:rsidRPr="00E65943">
        <w:rPr>
          <w:rFonts w:ascii="Times New Roman" w:hAnsi="Times New Roman" w:cs="Times New Roman"/>
        </w:rPr>
        <w:t xml:space="preserve">, HUMO, and </w:t>
      </w:r>
      <w:proofErr w:type="spellStart"/>
      <w:r w:rsidRPr="00E65943">
        <w:rPr>
          <w:rFonts w:ascii="Times New Roman" w:hAnsi="Times New Roman" w:cs="Times New Roman"/>
        </w:rPr>
        <w:t>UzCard</w:t>
      </w:r>
      <w:proofErr w:type="spellEnd"/>
      <w:r w:rsidRPr="00E65943">
        <w:rPr>
          <w:rFonts w:ascii="Times New Roman" w:hAnsi="Times New Roman" w:cs="Times New Roman"/>
        </w:rPr>
        <w:t xml:space="preserve"> have revolutionized consumer transactions, enhancing convenience and reshaping behavior across regions. </w:t>
      </w:r>
    </w:p>
    <w:p w14:paraId="5DC9231F" w14:textId="32D4DFD5" w:rsidR="00302BBD" w:rsidRPr="00302BBD" w:rsidRDefault="00302BBD" w:rsidP="00302BBD">
      <w:pPr>
        <w:spacing w:after="0"/>
        <w:jc w:val="both"/>
        <w:rPr>
          <w:rFonts w:ascii="Times New Roman" w:hAnsi="Times New Roman" w:cs="Times New Roman"/>
        </w:rPr>
      </w:pPr>
      <w:r w:rsidRPr="00302BBD">
        <w:rPr>
          <w:rFonts w:ascii="Times New Roman" w:hAnsi="Times New Roman" w:cs="Times New Roman"/>
        </w:rPr>
        <w:t>Despite digitalization efforts, urban adoption outpaces rural uptake, with the latter facing infrastructural, literacy, and cultural barriers. This study analyses how digital payment systems impact consumer behavior in urban versus rural Uzbekistan, examining usage patterns, adoption drivers, and barriers.</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4C1929E4" w14:textId="77777777" w:rsidR="00302BBD" w:rsidRDefault="00302BBD" w:rsidP="009F6540">
      <w:pPr>
        <w:spacing w:before="54" w:after="0" w:line="276" w:lineRule="auto"/>
        <w:jc w:val="both"/>
        <w:rPr>
          <w:rFonts w:ascii="Times New Roman" w:hAnsi="Times New Roman" w:cs="Times New Roman"/>
          <w:color w:val="000000" w:themeColor="text1"/>
          <w:sz w:val="20"/>
          <w:szCs w:val="20"/>
        </w:rPr>
      </w:pPr>
      <w:r w:rsidRPr="00302BBD">
        <w:rPr>
          <w:rFonts w:ascii="Times New Roman" w:hAnsi="Times New Roman" w:cs="Times New Roman"/>
          <w:color w:val="000000" w:themeColor="text1"/>
          <w:sz w:val="20"/>
          <w:szCs w:val="20"/>
        </w:rPr>
        <w:t>Method and analysis in this research are conducted via a comparative desk-research approach, focusing on secondary data collection and qualitative document review.</w:t>
      </w:r>
    </w:p>
    <w:p w14:paraId="0A8B9337" w14:textId="4B4ABACA"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302BBD" w:rsidRPr="00302BBD">
        <w:rPr>
          <w:rFonts w:ascii="Times New Roman" w:hAnsi="Times New Roman" w:cs="Times New Roman"/>
          <w:b/>
          <w:bCs/>
          <w:color w:val="000000" w:themeColor="text1"/>
          <w:sz w:val="20"/>
          <w:szCs w:val="20"/>
        </w:rPr>
        <w:t>Data Sources</w:t>
      </w:r>
    </w:p>
    <w:p w14:paraId="45856A4F" w14:textId="23A65134" w:rsidR="00302BBD" w:rsidRPr="00302BBD" w:rsidRDefault="00302BBD" w:rsidP="00302BBD">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302BBD">
        <w:rPr>
          <w:rFonts w:ascii="Times New Roman" w:hAnsi="Times New Roman" w:cs="Times New Roman"/>
          <w:color w:val="000000" w:themeColor="text1"/>
          <w:sz w:val="20"/>
          <w:szCs w:val="20"/>
        </w:rPr>
        <w:t>Central Bank of Uzbekistan (2017–2024 transaction volumes)</w:t>
      </w:r>
    </w:p>
    <w:p w14:paraId="47783299" w14:textId="3E85ED17" w:rsidR="00302BBD" w:rsidRPr="00302BBD" w:rsidRDefault="00302BBD" w:rsidP="00302BBD">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302BBD">
        <w:rPr>
          <w:rFonts w:ascii="Times New Roman" w:hAnsi="Times New Roman" w:cs="Times New Roman"/>
          <w:color w:val="000000" w:themeColor="text1"/>
          <w:sz w:val="20"/>
          <w:szCs w:val="20"/>
        </w:rPr>
        <w:t>Centre for Economic Research and Reforms (CERR) fintech adoption reports</w:t>
      </w:r>
    </w:p>
    <w:p w14:paraId="709EBA81" w14:textId="32E563D9" w:rsidR="00302BBD" w:rsidRPr="00302BBD" w:rsidRDefault="00302BBD" w:rsidP="00302BBD">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302BBD">
        <w:rPr>
          <w:rFonts w:ascii="Times New Roman" w:hAnsi="Times New Roman" w:cs="Times New Roman"/>
          <w:color w:val="000000" w:themeColor="text1"/>
          <w:sz w:val="20"/>
          <w:szCs w:val="20"/>
        </w:rPr>
        <w:t>State Statistics Committee internet, mobile coverage, and socio-economic indicators by region</w:t>
      </w:r>
    </w:p>
    <w:p w14:paraId="61017919" w14:textId="77777777" w:rsidR="00302BBD" w:rsidRPr="00302BBD" w:rsidRDefault="00302BBD" w:rsidP="00302BBD">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302BBD">
        <w:rPr>
          <w:rFonts w:ascii="Times New Roman" w:hAnsi="Times New Roman" w:cs="Times New Roman"/>
          <w:color w:val="000000" w:themeColor="text1"/>
          <w:sz w:val="20"/>
          <w:szCs w:val="20"/>
        </w:rPr>
        <w:t>Digital Uzbekistan 2030 strategy and related policy documents</w:t>
      </w:r>
    </w:p>
    <w:p w14:paraId="7EF3C124" w14:textId="7974175F" w:rsidR="00DA52F4" w:rsidRPr="001E51F3" w:rsidRDefault="006A6434" w:rsidP="00302BBD">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2.2</w:t>
      </w:r>
      <w:r w:rsidR="00302BBD" w:rsidRPr="00302BBD">
        <w:t xml:space="preserve"> </w:t>
      </w:r>
      <w:r w:rsidR="00302BBD" w:rsidRPr="00302BBD">
        <w:rPr>
          <w:rFonts w:ascii="Times New Roman" w:hAnsi="Times New Roman" w:cs="Times New Roman"/>
          <w:b/>
          <w:bCs/>
          <w:color w:val="000000" w:themeColor="text1"/>
          <w:sz w:val="20"/>
          <w:szCs w:val="20"/>
        </w:rPr>
        <w:t>Analysis</w:t>
      </w:r>
    </w:p>
    <w:p w14:paraId="486811A1" w14:textId="6F2B30E3" w:rsidR="00302BBD" w:rsidRPr="00302BBD" w:rsidRDefault="00302BBD" w:rsidP="00302BBD">
      <w:pPr>
        <w:pStyle w:val="ListParagraph"/>
        <w:numPr>
          <w:ilvl w:val="0"/>
          <w:numId w:val="23"/>
        </w:numPr>
        <w:spacing w:before="54" w:after="0" w:line="276" w:lineRule="auto"/>
        <w:rPr>
          <w:rFonts w:ascii="Times New Roman" w:hAnsi="Times New Roman" w:cs="Times New Roman"/>
          <w:color w:val="000000" w:themeColor="text1"/>
          <w:sz w:val="20"/>
          <w:szCs w:val="20"/>
        </w:rPr>
      </w:pPr>
      <w:r w:rsidRPr="00302BBD">
        <w:rPr>
          <w:rFonts w:ascii="Times New Roman" w:hAnsi="Times New Roman" w:cs="Times New Roman"/>
          <w:color w:val="000000" w:themeColor="text1"/>
          <w:sz w:val="20"/>
          <w:szCs w:val="20"/>
        </w:rPr>
        <w:t>Descriptive statistics and trend analysis of transaction volumes per capita in urban vs. rural regions</w:t>
      </w:r>
    </w:p>
    <w:p w14:paraId="5B7933EA" w14:textId="77777777" w:rsidR="00302BBD" w:rsidRPr="00302BBD" w:rsidRDefault="00302BBD" w:rsidP="00302BBD">
      <w:pPr>
        <w:pStyle w:val="ListParagraph"/>
        <w:numPr>
          <w:ilvl w:val="0"/>
          <w:numId w:val="23"/>
        </w:numPr>
        <w:spacing w:before="54" w:after="0" w:line="276" w:lineRule="auto"/>
        <w:rPr>
          <w:rFonts w:ascii="Times New Roman" w:hAnsi="Times New Roman" w:cs="Times New Roman"/>
          <w:color w:val="000000" w:themeColor="text1"/>
          <w:sz w:val="20"/>
          <w:szCs w:val="20"/>
        </w:rPr>
      </w:pPr>
      <w:r w:rsidRPr="00302BBD">
        <w:rPr>
          <w:rFonts w:ascii="Times New Roman" w:hAnsi="Times New Roman" w:cs="Times New Roman"/>
          <w:color w:val="000000" w:themeColor="text1"/>
          <w:sz w:val="20"/>
          <w:szCs w:val="20"/>
        </w:rPr>
        <w:t>Correlation analysis examining relationships between digital-payment uptake and factors such as internet penetration and average income</w:t>
      </w:r>
    </w:p>
    <w:p w14:paraId="3AB088C8" w14:textId="77777777" w:rsidR="00302BBD" w:rsidRPr="00302BBD" w:rsidRDefault="00302BBD" w:rsidP="00302BBD">
      <w:pPr>
        <w:pStyle w:val="ListParagraph"/>
        <w:numPr>
          <w:ilvl w:val="0"/>
          <w:numId w:val="23"/>
        </w:numPr>
        <w:spacing w:before="54" w:after="0" w:line="276" w:lineRule="auto"/>
        <w:rPr>
          <w:rFonts w:ascii="Times New Roman" w:hAnsi="Times New Roman" w:cs="Times New Roman"/>
          <w:color w:val="000000" w:themeColor="text1"/>
          <w:sz w:val="20"/>
          <w:szCs w:val="20"/>
        </w:rPr>
      </w:pPr>
      <w:r w:rsidRPr="00302BBD">
        <w:rPr>
          <w:rFonts w:ascii="Times New Roman" w:hAnsi="Times New Roman" w:cs="Times New Roman"/>
          <w:color w:val="000000" w:themeColor="text1"/>
          <w:sz w:val="20"/>
          <w:szCs w:val="20"/>
        </w:rPr>
        <w:t>Thematic content analysis of policy papers and industry reports to identify key adoption drivers, barriers, and trust factors</w:t>
      </w:r>
    </w:p>
    <w:p w14:paraId="52757F22" w14:textId="4F1A3001" w:rsidR="00DA52F4" w:rsidRPr="00302BBD" w:rsidRDefault="006A6434" w:rsidP="00302BBD">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302BBD">
        <w:rPr>
          <w:rFonts w:ascii="Times New Roman" w:hAnsi="Times New Roman" w:cs="Times New Roman"/>
          <w:b/>
          <w:bCs/>
          <w:color w:val="000000" w:themeColor="text1"/>
          <w:sz w:val="24"/>
          <w:szCs w:val="24"/>
        </w:rPr>
        <w:t>MODELING</w:t>
      </w:r>
      <w:r w:rsidR="00DA52F4" w:rsidRPr="00302BBD">
        <w:rPr>
          <w:rFonts w:ascii="Times New Roman" w:hAnsi="Times New Roman" w:cs="Times New Roman"/>
          <w:b/>
          <w:bCs/>
          <w:color w:val="000000" w:themeColor="text1"/>
          <w:sz w:val="24"/>
          <w:szCs w:val="24"/>
        </w:rPr>
        <w:t xml:space="preserve"> AND ANALYSIS</w:t>
      </w:r>
    </w:p>
    <w:p w14:paraId="6F3AC0EB" w14:textId="23E52E7E" w:rsidR="00F82755" w:rsidRPr="00F82755" w:rsidRDefault="00F82755" w:rsidP="00F82755">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F82755">
        <w:rPr>
          <w:rFonts w:ascii="Times New Roman" w:hAnsi="Times New Roman" w:cs="Times New Roman"/>
          <w:color w:val="000000" w:themeColor="text1"/>
          <w:sz w:val="20"/>
          <w:szCs w:val="20"/>
        </w:rPr>
        <w:t xml:space="preserve">National Digital-Payment Growth (2017–2024): Interbank-system volume reached 7.279 trillion </w:t>
      </w:r>
      <w:proofErr w:type="spellStart"/>
      <w:r w:rsidRPr="00F82755">
        <w:rPr>
          <w:rFonts w:ascii="Times New Roman" w:hAnsi="Times New Roman" w:cs="Times New Roman"/>
          <w:color w:val="000000" w:themeColor="text1"/>
          <w:sz w:val="20"/>
          <w:szCs w:val="20"/>
        </w:rPr>
        <w:t>soum</w:t>
      </w:r>
      <w:proofErr w:type="spellEnd"/>
      <w:r w:rsidRPr="00F82755">
        <w:rPr>
          <w:rFonts w:ascii="Times New Roman" w:hAnsi="Times New Roman" w:cs="Times New Roman"/>
          <w:color w:val="000000" w:themeColor="text1"/>
          <w:sz w:val="20"/>
          <w:szCs w:val="20"/>
        </w:rPr>
        <w:t xml:space="preserve">; 47.6 million instant payments; 441.7 billion </w:t>
      </w:r>
      <w:proofErr w:type="spellStart"/>
      <w:r w:rsidRPr="00F82755">
        <w:rPr>
          <w:rFonts w:ascii="Times New Roman" w:hAnsi="Times New Roman" w:cs="Times New Roman"/>
          <w:color w:val="000000" w:themeColor="text1"/>
          <w:sz w:val="20"/>
          <w:szCs w:val="20"/>
        </w:rPr>
        <w:t>som</w:t>
      </w:r>
      <w:proofErr w:type="spellEnd"/>
      <w:r w:rsidRPr="00F82755">
        <w:rPr>
          <w:rFonts w:ascii="Times New Roman" w:hAnsi="Times New Roman" w:cs="Times New Roman"/>
          <w:color w:val="000000" w:themeColor="text1"/>
          <w:sz w:val="20"/>
          <w:szCs w:val="20"/>
        </w:rPr>
        <w:t xml:space="preserve"> via QR codes. Payment infrastructure (Jan 2023): 34 million cards, 434,000 POS terminals, 20,000 ATMs.</w:t>
      </w:r>
    </w:p>
    <w:p w14:paraId="13D7CC05" w14:textId="7DBB3626" w:rsidR="00F82755" w:rsidRPr="00F82755" w:rsidRDefault="00F82755" w:rsidP="00F82755">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F82755">
        <w:rPr>
          <w:rFonts w:ascii="Times New Roman" w:hAnsi="Times New Roman" w:cs="Times New Roman"/>
          <w:color w:val="000000" w:themeColor="text1"/>
          <w:sz w:val="20"/>
          <w:szCs w:val="20"/>
        </w:rPr>
        <w:t>Urban Findings: 43% account ownership; 38% card ownership; 29% app usage. Urban usage includes e-commerce, utilities, transport, and peer-to-peer transfers, enabled by high internet and smartphone penetration</w:t>
      </w:r>
    </w:p>
    <w:p w14:paraId="2F327382" w14:textId="77777777" w:rsidR="00F82755" w:rsidRPr="00F82755" w:rsidRDefault="00F82755" w:rsidP="00F82755">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F82755">
        <w:rPr>
          <w:rFonts w:ascii="Times New Roman" w:hAnsi="Times New Roman" w:cs="Times New Roman"/>
          <w:color w:val="000000" w:themeColor="text1"/>
          <w:sz w:val="20"/>
          <w:szCs w:val="20"/>
        </w:rPr>
        <w:t>. Rural Findings: 27% account ownership; 23% card ownership; 16% app usage. Primary uses: remittances and bill top-ups, constrained by connectivity gaps and low digital literacy.</w:t>
      </w:r>
    </w:p>
    <w:p w14:paraId="618C8041" w14:textId="397D15AE" w:rsidR="00DA52F4" w:rsidRDefault="00F82755" w:rsidP="00F82755">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F82755">
        <w:rPr>
          <w:rFonts w:ascii="Times New Roman" w:hAnsi="Times New Roman" w:cs="Times New Roman"/>
          <w:color w:val="000000" w:themeColor="text1"/>
          <w:sz w:val="20"/>
          <w:szCs w:val="20"/>
        </w:rPr>
        <w:t>Urban–Rural Gaps: Account ownership (43% vs. 27%, gap 16 pp); card ownership (38% vs. 23%, gap 15 pp); app usage (29% vs. 16%, gap 13 pp).</w:t>
      </w:r>
      <w:r w:rsidR="006A6434" w:rsidRPr="00F82755">
        <w:rPr>
          <w:rFonts w:ascii="Times New Roman" w:hAnsi="Times New Roman" w:cs="Times New Roman"/>
          <w:color w:val="000000" w:themeColor="text1"/>
          <w:sz w:val="20"/>
          <w:szCs w:val="20"/>
        </w:rPr>
        <w:t xml:space="preserve"> </w:t>
      </w:r>
    </w:p>
    <w:p w14:paraId="2752D350" w14:textId="77777777" w:rsidR="00F418A2" w:rsidRDefault="00F418A2" w:rsidP="00F418A2">
      <w:pPr>
        <w:spacing w:before="54" w:after="0" w:line="276" w:lineRule="auto"/>
        <w:jc w:val="both"/>
        <w:rPr>
          <w:rFonts w:ascii="Times New Roman" w:hAnsi="Times New Roman" w:cs="Times New Roman"/>
          <w:color w:val="000000" w:themeColor="text1"/>
          <w:sz w:val="20"/>
          <w:szCs w:val="20"/>
        </w:rPr>
      </w:pPr>
    </w:p>
    <w:p w14:paraId="3C7BF6A9" w14:textId="77777777" w:rsidR="00F418A2" w:rsidRPr="00F418A2" w:rsidRDefault="00F418A2" w:rsidP="00F418A2">
      <w:pPr>
        <w:spacing w:before="54" w:after="0" w:line="276" w:lineRule="auto"/>
        <w:jc w:val="both"/>
        <w:rPr>
          <w:rFonts w:ascii="Times New Roman" w:hAnsi="Times New Roman" w:cs="Times New Roman"/>
          <w:color w:val="000000" w:themeColor="text1"/>
          <w:sz w:val="20"/>
          <w:szCs w:val="20"/>
        </w:rPr>
      </w:pPr>
    </w:p>
    <w:p w14:paraId="66211B0C" w14:textId="297CE2B9" w:rsidR="00DA52F4" w:rsidRPr="00295372" w:rsidRDefault="00295372" w:rsidP="00295372">
      <w:pPr>
        <w:spacing w:before="54" w:after="0" w:line="276" w:lineRule="auto"/>
        <w:jc w:val="center"/>
        <w:rPr>
          <w:color w:val="000000" w:themeColor="text1"/>
          <w:sz w:val="20"/>
          <w:szCs w:val="20"/>
          <w:lang w:val="en-IN"/>
        </w:rPr>
      </w:pPr>
      <w:r w:rsidRPr="00295372">
        <w:rPr>
          <w:rFonts w:ascii="Times New Roman" w:hAnsi="Times New Roman" w:cs="Times New Roman"/>
          <w:b/>
          <w:bCs/>
          <w:color w:val="000000" w:themeColor="text1"/>
          <w:sz w:val="20"/>
          <w:szCs w:val="20"/>
        </w:rPr>
        <w:lastRenderedPageBreak/>
        <w:t>Table 1.</w:t>
      </w:r>
      <w:r>
        <w:rPr>
          <w:rFonts w:ascii="Times New Roman" w:hAnsi="Times New Roman" w:cs="Times New Roman"/>
          <w:b/>
          <w:bCs/>
          <w:color w:val="000000" w:themeColor="text1"/>
          <w:sz w:val="20"/>
          <w:szCs w:val="20"/>
        </w:rPr>
        <w:t xml:space="preserve"> </w:t>
      </w:r>
      <w:r w:rsidRPr="00295372">
        <w:rPr>
          <w:color w:val="000000" w:themeColor="text1"/>
          <w:sz w:val="20"/>
          <w:szCs w:val="20"/>
          <w:lang w:val="en-IN"/>
        </w:rPr>
        <w:t>Urban–Rural Digital-Payment Adoption Gaps</w:t>
      </w:r>
    </w:p>
    <w:tbl>
      <w:tblPr>
        <w:tblStyle w:val="TableGrid"/>
        <w:tblW w:w="0" w:type="auto"/>
        <w:tblLook w:val="04A0" w:firstRow="1" w:lastRow="0" w:firstColumn="1" w:lastColumn="0" w:noHBand="0" w:noVBand="1"/>
      </w:tblPr>
      <w:tblGrid>
        <w:gridCol w:w="2577"/>
        <w:gridCol w:w="2577"/>
        <w:gridCol w:w="2577"/>
        <w:gridCol w:w="2578"/>
      </w:tblGrid>
      <w:tr w:rsidR="00F82755" w14:paraId="055ED877" w14:textId="77777777" w:rsidTr="00F82755">
        <w:tc>
          <w:tcPr>
            <w:tcW w:w="2577" w:type="dxa"/>
          </w:tcPr>
          <w:p w14:paraId="4441661F" w14:textId="6C82320D" w:rsidR="00F82755" w:rsidRDefault="00F82755" w:rsidP="00F82755">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Indicator</w:t>
            </w:r>
          </w:p>
        </w:tc>
        <w:tc>
          <w:tcPr>
            <w:tcW w:w="2577" w:type="dxa"/>
          </w:tcPr>
          <w:p w14:paraId="1BF7914D" w14:textId="468C4C42" w:rsidR="00F82755" w:rsidRDefault="00F82755" w:rsidP="00F82755">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Urban (%)</w:t>
            </w:r>
          </w:p>
        </w:tc>
        <w:tc>
          <w:tcPr>
            <w:tcW w:w="2577" w:type="dxa"/>
          </w:tcPr>
          <w:p w14:paraId="038DE8E1" w14:textId="31B9119B" w:rsidR="00F82755" w:rsidRDefault="00F82755" w:rsidP="00F82755">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Rural (%)</w:t>
            </w:r>
          </w:p>
        </w:tc>
        <w:tc>
          <w:tcPr>
            <w:tcW w:w="2578" w:type="dxa"/>
          </w:tcPr>
          <w:p w14:paraId="762BB229" w14:textId="5DA3FFDF" w:rsidR="00F82755" w:rsidRDefault="00F82755" w:rsidP="00F82755">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Gap(pp)</w:t>
            </w:r>
          </w:p>
        </w:tc>
      </w:tr>
      <w:tr w:rsidR="00F82755" w14:paraId="6C24B674" w14:textId="77777777" w:rsidTr="00F82755">
        <w:tc>
          <w:tcPr>
            <w:tcW w:w="2577" w:type="dxa"/>
          </w:tcPr>
          <w:p w14:paraId="22A31397" w14:textId="0FAAC050" w:rsidR="00F82755" w:rsidRPr="00F82755" w:rsidRDefault="00F82755" w:rsidP="00F82755">
            <w:r>
              <w:t>Formal account ownership</w:t>
            </w:r>
          </w:p>
        </w:tc>
        <w:tc>
          <w:tcPr>
            <w:tcW w:w="2577" w:type="dxa"/>
          </w:tcPr>
          <w:p w14:paraId="653350D5" w14:textId="3D187EBA" w:rsidR="00F82755" w:rsidRDefault="00F82755" w:rsidP="00F82755">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43</w:t>
            </w:r>
          </w:p>
        </w:tc>
        <w:tc>
          <w:tcPr>
            <w:tcW w:w="2577" w:type="dxa"/>
          </w:tcPr>
          <w:p w14:paraId="7CB0F86E" w14:textId="0DB05880" w:rsidR="00F82755" w:rsidRDefault="00F82755" w:rsidP="00F82755">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27</w:t>
            </w:r>
          </w:p>
        </w:tc>
        <w:tc>
          <w:tcPr>
            <w:tcW w:w="2578" w:type="dxa"/>
          </w:tcPr>
          <w:p w14:paraId="2C379A3C" w14:textId="6AB15F61" w:rsidR="00F82755" w:rsidRDefault="00F82755" w:rsidP="00F82755">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16</w:t>
            </w:r>
          </w:p>
        </w:tc>
      </w:tr>
      <w:tr w:rsidR="00F82755" w14:paraId="0F9E0D44" w14:textId="77777777" w:rsidTr="00F82755">
        <w:tc>
          <w:tcPr>
            <w:tcW w:w="2577" w:type="dxa"/>
          </w:tcPr>
          <w:p w14:paraId="577864FE" w14:textId="0B36039C" w:rsidR="00F82755" w:rsidRPr="00F82755" w:rsidRDefault="00F82755" w:rsidP="00F82755">
            <w:r>
              <w:t>Payment-card ownership</w:t>
            </w:r>
          </w:p>
        </w:tc>
        <w:tc>
          <w:tcPr>
            <w:tcW w:w="2577" w:type="dxa"/>
          </w:tcPr>
          <w:p w14:paraId="40C750FF" w14:textId="12E3D93A" w:rsidR="00F82755" w:rsidRDefault="00F82755" w:rsidP="00F82755">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38</w:t>
            </w:r>
          </w:p>
        </w:tc>
        <w:tc>
          <w:tcPr>
            <w:tcW w:w="2577" w:type="dxa"/>
          </w:tcPr>
          <w:p w14:paraId="397B0F9E" w14:textId="492162EC" w:rsidR="00F82755" w:rsidRDefault="00F82755" w:rsidP="00F82755">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23</w:t>
            </w:r>
          </w:p>
        </w:tc>
        <w:tc>
          <w:tcPr>
            <w:tcW w:w="2578" w:type="dxa"/>
          </w:tcPr>
          <w:p w14:paraId="4112F717" w14:textId="1EDED625" w:rsidR="00F82755" w:rsidRDefault="00F82755" w:rsidP="00F82755">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15</w:t>
            </w:r>
          </w:p>
        </w:tc>
      </w:tr>
      <w:tr w:rsidR="00F82755" w14:paraId="5E488D41" w14:textId="77777777" w:rsidTr="00F82755">
        <w:tc>
          <w:tcPr>
            <w:tcW w:w="2577" w:type="dxa"/>
          </w:tcPr>
          <w:p w14:paraId="3D6FB05C" w14:textId="3EAE4DDE" w:rsidR="00F82755" w:rsidRPr="00F82755" w:rsidRDefault="00F82755" w:rsidP="00F82755">
            <w:r>
              <w:t>Mobile-app usage</w:t>
            </w:r>
          </w:p>
        </w:tc>
        <w:tc>
          <w:tcPr>
            <w:tcW w:w="2577" w:type="dxa"/>
          </w:tcPr>
          <w:p w14:paraId="00CD9E48" w14:textId="11B14358" w:rsidR="00F82755" w:rsidRDefault="00F82755" w:rsidP="00F82755">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29</w:t>
            </w:r>
          </w:p>
        </w:tc>
        <w:tc>
          <w:tcPr>
            <w:tcW w:w="2577" w:type="dxa"/>
          </w:tcPr>
          <w:p w14:paraId="6B3DD000" w14:textId="5540A4F7" w:rsidR="00F82755" w:rsidRDefault="00F82755" w:rsidP="00F82755">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16</w:t>
            </w:r>
          </w:p>
        </w:tc>
        <w:tc>
          <w:tcPr>
            <w:tcW w:w="2578" w:type="dxa"/>
          </w:tcPr>
          <w:p w14:paraId="3D617169" w14:textId="14E6A7C8" w:rsidR="00F82755" w:rsidRDefault="00F82755" w:rsidP="00F82755">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13</w:t>
            </w:r>
          </w:p>
        </w:tc>
      </w:tr>
    </w:tbl>
    <w:p w14:paraId="78E51081" w14:textId="77777777" w:rsidR="006A6434" w:rsidRPr="001E51F3" w:rsidRDefault="006A6434" w:rsidP="00F82755">
      <w:pPr>
        <w:spacing w:before="54" w:after="0" w:line="276" w:lineRule="auto"/>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078DD33C" w14:textId="6210B376" w:rsidR="00295372" w:rsidRPr="00295372" w:rsidRDefault="00295372" w:rsidP="00295372">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295372">
        <w:rPr>
          <w:rFonts w:ascii="Times New Roman" w:hAnsi="Times New Roman" w:cs="Times New Roman"/>
          <w:color w:val="000000" w:themeColor="text1"/>
          <w:sz w:val="20"/>
          <w:szCs w:val="20"/>
        </w:rPr>
        <w:t>Connectivity: Urban internet coverage (~75%) versus rural (&lt;50%) drives adoption differentials.</w:t>
      </w:r>
    </w:p>
    <w:p w14:paraId="3D31C6A4" w14:textId="35C1AF54" w:rsidR="00295372" w:rsidRPr="00295372" w:rsidRDefault="00295372" w:rsidP="00295372">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295372">
        <w:rPr>
          <w:rFonts w:ascii="Times New Roman" w:hAnsi="Times New Roman" w:cs="Times New Roman"/>
          <w:color w:val="000000" w:themeColor="text1"/>
          <w:sz w:val="20"/>
          <w:szCs w:val="20"/>
        </w:rPr>
        <w:t>Perceived Usefulness and Trust: Urban users emphasize convenience and ease, rural users report interface challenges and mistrust, suggesting simpler app designs and trust-building are essential.</w:t>
      </w:r>
    </w:p>
    <w:p w14:paraId="52E4CDD9" w14:textId="3C26AD05" w:rsidR="00DA52F4" w:rsidRDefault="00295372" w:rsidP="009978A0">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9978A0">
        <w:rPr>
          <w:rFonts w:ascii="Times New Roman" w:hAnsi="Times New Roman" w:cs="Times New Roman"/>
          <w:color w:val="000000" w:themeColor="text1"/>
          <w:sz w:val="20"/>
          <w:szCs w:val="20"/>
        </w:rPr>
        <w:t>Social Catalysts: Migrant remittances and peer referrals act as critical adoption pathways in rural communities; peer-referral incentives and community ambassadors can reinforce these effects.</w:t>
      </w:r>
      <w:r w:rsidR="009978A0" w:rsidRPr="009978A0">
        <w:rPr>
          <w:rFonts w:ascii="Times New Roman" w:hAnsi="Times New Roman" w:cs="Times New Roman"/>
          <w:color w:val="000000" w:themeColor="text1"/>
          <w:sz w:val="20"/>
          <w:szCs w:val="20"/>
        </w:rPr>
        <w:t xml:space="preserve"> Policy Recommendations:</w:t>
      </w:r>
    </w:p>
    <w:p w14:paraId="5C9C2820" w14:textId="77777777" w:rsidR="009978A0" w:rsidRDefault="009978A0" w:rsidP="009978A0">
      <w:pPr>
        <w:pStyle w:val="ListParagraph"/>
        <w:spacing w:before="54" w:after="0" w:line="276" w:lineRule="auto"/>
        <w:jc w:val="both"/>
        <w:rPr>
          <w:rFonts w:ascii="Times New Roman" w:hAnsi="Times New Roman" w:cs="Times New Roman"/>
          <w:color w:val="000000" w:themeColor="text1"/>
          <w:sz w:val="20"/>
          <w:szCs w:val="20"/>
        </w:rPr>
      </w:pPr>
    </w:p>
    <w:p w14:paraId="065158F7" w14:textId="7CFD5067" w:rsidR="009978A0" w:rsidRPr="009978A0" w:rsidRDefault="009978A0" w:rsidP="009978A0">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9978A0">
        <w:rPr>
          <w:rFonts w:ascii="Times New Roman" w:hAnsi="Times New Roman" w:cs="Times New Roman"/>
          <w:color w:val="000000" w:themeColor="text1"/>
          <w:sz w:val="20"/>
          <w:szCs w:val="20"/>
        </w:rPr>
        <w:t>Expand mobile-broadband and POS/QR terminal deployment in underserved districts.</w:t>
      </w:r>
    </w:p>
    <w:p w14:paraId="0B495D3A" w14:textId="1D02694B" w:rsidR="009978A0" w:rsidRPr="009978A0" w:rsidRDefault="009978A0" w:rsidP="009978A0">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9978A0">
        <w:rPr>
          <w:rFonts w:ascii="Times New Roman" w:hAnsi="Times New Roman" w:cs="Times New Roman"/>
          <w:color w:val="000000" w:themeColor="text1"/>
          <w:sz w:val="20"/>
          <w:szCs w:val="20"/>
        </w:rPr>
        <w:t>Implement community-based digital literacy programs targeting older and less-educated cohorts.</w:t>
      </w:r>
    </w:p>
    <w:p w14:paraId="0AB9C63D" w14:textId="008E2F0D" w:rsidR="009978A0" w:rsidRPr="009978A0" w:rsidRDefault="009978A0" w:rsidP="009978A0">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9978A0">
        <w:rPr>
          <w:rFonts w:ascii="Times New Roman" w:hAnsi="Times New Roman" w:cs="Times New Roman"/>
          <w:color w:val="000000" w:themeColor="text1"/>
          <w:sz w:val="20"/>
          <w:szCs w:val="20"/>
        </w:rPr>
        <w:t>Offer first-use incentives (e.g., cashback) and subsidized POS hardware for small rural merchants.</w:t>
      </w:r>
    </w:p>
    <w:p w14:paraId="4D95F7B4" w14:textId="13F6C557" w:rsidR="009978A0" w:rsidRPr="009978A0" w:rsidRDefault="009978A0" w:rsidP="009978A0">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9978A0">
        <w:rPr>
          <w:rFonts w:ascii="Times New Roman" w:hAnsi="Times New Roman" w:cs="Times New Roman"/>
          <w:color w:val="000000" w:themeColor="text1"/>
          <w:sz w:val="20"/>
          <w:szCs w:val="20"/>
        </w:rPr>
        <w:t>Leverage peer-referral rewards and SMS-based nudges to regularize digital transactions.</w:t>
      </w:r>
    </w:p>
    <w:p w14:paraId="2A689519" w14:textId="5571E436"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58AEC128" w14:textId="0D4CDC8A" w:rsidR="00FC71DB" w:rsidRDefault="00FC71DB" w:rsidP="00FC71DB">
      <w:pPr>
        <w:spacing w:before="54" w:after="0" w:line="276" w:lineRule="auto"/>
        <w:jc w:val="both"/>
        <w:rPr>
          <w:rFonts w:ascii="Times New Roman" w:hAnsi="Times New Roman" w:cs="Times New Roman"/>
          <w:color w:val="000000" w:themeColor="text1"/>
          <w:sz w:val="20"/>
          <w:szCs w:val="20"/>
        </w:rPr>
      </w:pPr>
      <w:r w:rsidRPr="00FC71DB">
        <w:rPr>
          <w:rFonts w:ascii="Times New Roman" w:hAnsi="Times New Roman" w:cs="Times New Roman"/>
          <w:color w:val="000000" w:themeColor="text1"/>
          <w:sz w:val="20"/>
          <w:szCs w:val="20"/>
        </w:rPr>
        <w:t>This desk-research study demonstrates that Uzbekistan’s digital-payment ecosystem has undergone significant transformation, with urban regions exhibiting rapid and widespread adoption driven by robust internet infrastructure, high smartphone penetration, and supportive merchant networks. Rural areas, while increasingly aware of digital options, continue to face challenges—namely connectivity gaps, limited POS/QR-terminal access, and persistent trust and literacy barriers</w:t>
      </w:r>
      <w:r>
        <w:rPr>
          <w:rFonts w:ascii="Times New Roman" w:hAnsi="Times New Roman" w:cs="Times New Roman"/>
          <w:color w:val="000000" w:themeColor="text1"/>
          <w:sz w:val="20"/>
          <w:szCs w:val="20"/>
        </w:rPr>
        <w:t xml:space="preserve"> </w:t>
      </w:r>
      <w:r w:rsidRPr="00FC71DB">
        <w:rPr>
          <w:rFonts w:ascii="Times New Roman" w:hAnsi="Times New Roman" w:cs="Times New Roman"/>
          <w:color w:val="000000" w:themeColor="text1"/>
          <w:sz w:val="20"/>
          <w:szCs w:val="20"/>
        </w:rPr>
        <w:t xml:space="preserve">that constrain full integration into cashless systems. </w:t>
      </w:r>
    </w:p>
    <w:p w14:paraId="5331A398" w14:textId="325DEF36" w:rsidR="00FC71DB" w:rsidRDefault="00FC71DB" w:rsidP="00FC71DB">
      <w:pPr>
        <w:spacing w:before="54" w:after="0" w:line="276" w:lineRule="auto"/>
        <w:jc w:val="both"/>
        <w:rPr>
          <w:rFonts w:ascii="Times New Roman" w:hAnsi="Times New Roman" w:cs="Times New Roman"/>
          <w:color w:val="000000" w:themeColor="text1"/>
          <w:sz w:val="20"/>
          <w:szCs w:val="20"/>
        </w:rPr>
      </w:pPr>
      <w:r w:rsidRPr="00FC71DB">
        <w:rPr>
          <w:rFonts w:ascii="Times New Roman" w:hAnsi="Times New Roman" w:cs="Times New Roman"/>
          <w:color w:val="000000" w:themeColor="text1"/>
          <w:sz w:val="20"/>
          <w:szCs w:val="20"/>
        </w:rPr>
        <w:t>By quantifying urban–rural disparities (e.g., a 16 pp gap in formal account ownership and a 13 pp gap in mobile-app usage), our analysis highlights the critical levers for bridging this divide. Specifically, we recommend a multi-faceted strategy: accelerating rural broadband deployment; implementing community-based, language-appropriate digital-literacy initiatives; and deploying behaviorally informed incentives (e.g., first-use cashback, peer-referral bonuses) to catalyze adoption. Together, these measures align with the Digital Uzbekistan 2030 strategy’s vision of inclusive financial participation and can foster sustainable economic development across all regions.</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3BF078E" w14:textId="4445A0C3" w:rsidR="0025185E" w:rsidRDefault="0025185E" w:rsidP="0025185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25185E">
        <w:rPr>
          <w:rFonts w:ascii="Times New Roman" w:hAnsi="Times New Roman" w:cs="Times New Roman"/>
          <w:color w:val="000000" w:themeColor="text1"/>
          <w:sz w:val="20"/>
          <w:szCs w:val="20"/>
        </w:rPr>
        <w:t>Centre for Economic Research and Reforms. (2023). Fintech adoption and financial inclusion in Uzbekistan.</w:t>
      </w:r>
      <w:r>
        <w:rPr>
          <w:rFonts w:ascii="Times New Roman" w:hAnsi="Times New Roman" w:cs="Times New Roman"/>
          <w:color w:val="000000" w:themeColor="text1"/>
          <w:sz w:val="20"/>
          <w:szCs w:val="20"/>
        </w:rPr>
        <w:t xml:space="preserve"> (</w:t>
      </w:r>
      <w:r w:rsidRPr="0025185E">
        <w:rPr>
          <w:rFonts w:ascii="Times New Roman" w:hAnsi="Times New Roman" w:cs="Times New Roman"/>
          <w:color w:val="000000" w:themeColor="text1"/>
          <w:sz w:val="20"/>
          <w:szCs w:val="20"/>
        </w:rPr>
        <w:t>(</w:t>
      </w:r>
      <w:hyperlink r:id="rId8" w:history="1">
        <w:r w:rsidRPr="00DA7E29">
          <w:rPr>
            <w:rStyle w:val="Hyperlink"/>
            <w:rFonts w:ascii="Times New Roman" w:hAnsi="Times New Roman"/>
            <w:sz w:val="20"/>
            <w:szCs w:val="20"/>
          </w:rPr>
          <w:t>https://cerr.uz/reports/fintech-adoption-2023</w:t>
        </w:r>
      </w:hyperlink>
      <w:r w:rsidRPr="0025185E">
        <w:rPr>
          <w:rFonts w:ascii="Times New Roman" w:hAnsi="Times New Roman" w:cs="Times New Roman"/>
          <w:color w:val="000000" w:themeColor="text1"/>
          <w:sz w:val="20"/>
          <w:szCs w:val="20"/>
        </w:rPr>
        <w:t>)</w:t>
      </w:r>
    </w:p>
    <w:p w14:paraId="19573ABA" w14:textId="0F235ACF" w:rsidR="0025185E" w:rsidRDefault="0025185E" w:rsidP="0025185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25185E">
        <w:rPr>
          <w:rFonts w:ascii="Times New Roman" w:hAnsi="Times New Roman" w:cs="Times New Roman"/>
          <w:color w:val="000000" w:themeColor="text1"/>
          <w:sz w:val="20"/>
          <w:szCs w:val="20"/>
        </w:rPr>
        <w:t>Demirgüç-Kunt</w:t>
      </w:r>
      <w:proofErr w:type="spellEnd"/>
      <w:r w:rsidRPr="0025185E">
        <w:rPr>
          <w:rFonts w:ascii="Times New Roman" w:hAnsi="Times New Roman" w:cs="Times New Roman"/>
          <w:color w:val="000000" w:themeColor="text1"/>
          <w:sz w:val="20"/>
          <w:szCs w:val="20"/>
        </w:rPr>
        <w:t xml:space="preserve">, A., </w:t>
      </w:r>
      <w:proofErr w:type="spellStart"/>
      <w:r w:rsidRPr="0025185E">
        <w:rPr>
          <w:rFonts w:ascii="Times New Roman" w:hAnsi="Times New Roman" w:cs="Times New Roman"/>
          <w:color w:val="000000" w:themeColor="text1"/>
          <w:sz w:val="20"/>
          <w:szCs w:val="20"/>
        </w:rPr>
        <w:t>Klapper</w:t>
      </w:r>
      <w:proofErr w:type="spellEnd"/>
      <w:r w:rsidRPr="0025185E">
        <w:rPr>
          <w:rFonts w:ascii="Times New Roman" w:hAnsi="Times New Roman" w:cs="Times New Roman"/>
          <w:color w:val="000000" w:themeColor="text1"/>
          <w:sz w:val="20"/>
          <w:szCs w:val="20"/>
        </w:rPr>
        <w:t>, L., Singer, D., Ansar, S., &amp; Hess, J. (2022). The global Findex database 2021: Financial inclusion, digital payments, and resilience in the age of COVID-19.</w:t>
      </w:r>
      <w:r>
        <w:rPr>
          <w:rFonts w:ascii="Times New Roman" w:hAnsi="Times New Roman" w:cs="Times New Roman"/>
          <w:color w:val="000000" w:themeColor="text1"/>
          <w:sz w:val="20"/>
          <w:szCs w:val="20"/>
        </w:rPr>
        <w:t>(</w:t>
      </w:r>
      <w:r w:rsidRPr="0025185E">
        <w:t xml:space="preserve"> </w:t>
      </w:r>
      <w:hyperlink r:id="rId9" w:history="1">
        <w:r w:rsidRPr="00DA7E29">
          <w:rPr>
            <w:rStyle w:val="Hyperlink"/>
            <w:rFonts w:ascii="Times New Roman" w:hAnsi="Times New Roman"/>
            <w:sz w:val="20"/>
            <w:szCs w:val="20"/>
          </w:rPr>
          <w:t>https://www.worldbank.org/globalfindex</w:t>
        </w:r>
      </w:hyperlink>
      <w:r>
        <w:rPr>
          <w:rFonts w:ascii="Times New Roman" w:hAnsi="Times New Roman" w:cs="Times New Roman"/>
          <w:color w:val="000000" w:themeColor="text1"/>
          <w:sz w:val="20"/>
          <w:szCs w:val="20"/>
        </w:rPr>
        <w:t>)</w:t>
      </w:r>
    </w:p>
    <w:p w14:paraId="5C4C6074" w14:textId="2C3DE6F1" w:rsidR="0025185E" w:rsidRDefault="0025185E" w:rsidP="0025185E">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85E">
        <w:rPr>
          <w:rFonts w:ascii="Times New Roman" w:hAnsi="Times New Roman" w:cs="Times New Roman"/>
          <w:color w:val="000000" w:themeColor="text1"/>
          <w:sz w:val="20"/>
          <w:szCs w:val="20"/>
        </w:rPr>
        <w:t xml:space="preserve">International Telecommunication Union. (2022). Individuals using the Internet </w:t>
      </w:r>
      <w:r>
        <w:rPr>
          <w:rFonts w:ascii="Times New Roman" w:hAnsi="Times New Roman" w:cs="Times New Roman"/>
          <w:color w:val="000000" w:themeColor="text1"/>
          <w:sz w:val="20"/>
          <w:szCs w:val="20"/>
        </w:rPr>
        <w:t>(</w:t>
      </w:r>
      <w:hyperlink r:id="rId10" w:history="1">
        <w:r w:rsidRPr="00DA7E29">
          <w:rPr>
            <w:rStyle w:val="Hyperlink"/>
            <w:rFonts w:ascii="Times New Roman" w:hAnsi="Times New Roman"/>
            <w:sz w:val="20"/>
            <w:szCs w:val="20"/>
          </w:rPr>
          <w:t>https://www.itu.int/en/ITU-D/Statistics/Pages/stat/default.aspx</w:t>
        </w:r>
      </w:hyperlink>
      <w:r>
        <w:rPr>
          <w:rFonts w:ascii="Times New Roman" w:hAnsi="Times New Roman" w:cs="Times New Roman"/>
          <w:color w:val="000000" w:themeColor="text1"/>
          <w:sz w:val="20"/>
          <w:szCs w:val="20"/>
        </w:rPr>
        <w:t>)</w:t>
      </w:r>
    </w:p>
    <w:p w14:paraId="0A3AE505" w14:textId="57FBFC14" w:rsidR="0025185E" w:rsidRDefault="0025185E" w:rsidP="0025185E">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85E">
        <w:rPr>
          <w:rFonts w:ascii="Times New Roman" w:hAnsi="Times New Roman" w:cs="Times New Roman"/>
          <w:color w:val="000000" w:themeColor="text1"/>
          <w:sz w:val="20"/>
          <w:szCs w:val="20"/>
        </w:rPr>
        <w:t>Ministry for Development of Information Technologies and Communications of the Republic of Uzbekistan &amp; Central Bank of Uzbekistan. (2020). Digital Uzbekistan 2030 strategy.</w:t>
      </w:r>
      <w:r>
        <w:rPr>
          <w:rFonts w:ascii="Times New Roman" w:hAnsi="Times New Roman" w:cs="Times New Roman"/>
          <w:color w:val="000000" w:themeColor="text1"/>
          <w:sz w:val="20"/>
          <w:szCs w:val="20"/>
        </w:rPr>
        <w:t>(</w:t>
      </w:r>
      <w:r w:rsidRPr="0025185E">
        <w:t xml:space="preserve"> </w:t>
      </w:r>
      <w:hyperlink r:id="rId11" w:history="1">
        <w:r w:rsidRPr="00DA7E29">
          <w:rPr>
            <w:rStyle w:val="Hyperlink"/>
            <w:rFonts w:ascii="Times New Roman" w:hAnsi="Times New Roman"/>
            <w:sz w:val="20"/>
            <w:szCs w:val="20"/>
          </w:rPr>
          <w:t>https://mdtic.gov.uz/en/digital2030.pdf</w:t>
        </w:r>
      </w:hyperlink>
      <w:r>
        <w:rPr>
          <w:rFonts w:ascii="Times New Roman" w:hAnsi="Times New Roman" w:cs="Times New Roman"/>
          <w:color w:val="000000" w:themeColor="text1"/>
          <w:sz w:val="20"/>
          <w:szCs w:val="20"/>
        </w:rPr>
        <w:t>)</w:t>
      </w:r>
    </w:p>
    <w:p w14:paraId="7C151A04" w14:textId="76AF4063" w:rsidR="0025185E" w:rsidRDefault="0025185E" w:rsidP="0025185E">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25185E">
        <w:rPr>
          <w:rFonts w:ascii="Times New Roman" w:hAnsi="Times New Roman" w:cs="Times New Roman"/>
          <w:color w:val="000000" w:themeColor="text1"/>
          <w:sz w:val="20"/>
          <w:szCs w:val="20"/>
        </w:rPr>
        <w:t>UzDaily</w:t>
      </w:r>
      <w:proofErr w:type="spellEnd"/>
      <w:r w:rsidRPr="0025185E">
        <w:rPr>
          <w:rFonts w:ascii="Times New Roman" w:hAnsi="Times New Roman" w:cs="Times New Roman"/>
          <w:color w:val="000000" w:themeColor="text1"/>
          <w:sz w:val="20"/>
          <w:szCs w:val="20"/>
        </w:rPr>
        <w:t xml:space="preserve">. (2025, April 15). CBU: Interbank payment system handles 7.279 trillion </w:t>
      </w:r>
      <w:proofErr w:type="spellStart"/>
      <w:r w:rsidRPr="0025185E">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o</w:t>
      </w:r>
      <w:r w:rsidRPr="0025185E">
        <w:rPr>
          <w:rFonts w:ascii="Times New Roman" w:hAnsi="Times New Roman" w:cs="Times New Roman"/>
          <w:color w:val="000000" w:themeColor="text1"/>
          <w:sz w:val="20"/>
          <w:szCs w:val="20"/>
        </w:rPr>
        <w:t>m</w:t>
      </w:r>
      <w:proofErr w:type="spellEnd"/>
      <w:r w:rsidRPr="0025185E">
        <w:rPr>
          <w:rFonts w:ascii="Times New Roman" w:hAnsi="Times New Roman" w:cs="Times New Roman"/>
          <w:color w:val="000000" w:themeColor="text1"/>
          <w:sz w:val="20"/>
          <w:szCs w:val="20"/>
        </w:rPr>
        <w:t xml:space="preserve"> in</w:t>
      </w:r>
      <w:r>
        <w:rPr>
          <w:rFonts w:ascii="Times New Roman" w:hAnsi="Times New Roman" w:cs="Times New Roman"/>
          <w:color w:val="000000" w:themeColor="text1"/>
          <w:sz w:val="20"/>
          <w:szCs w:val="20"/>
        </w:rPr>
        <w:t xml:space="preserve"> </w:t>
      </w:r>
      <w:r w:rsidRPr="0025185E">
        <w:rPr>
          <w:rFonts w:ascii="Times New Roman" w:hAnsi="Times New Roman" w:cs="Times New Roman"/>
          <w:color w:val="000000" w:themeColor="text1"/>
          <w:sz w:val="20"/>
          <w:szCs w:val="20"/>
        </w:rPr>
        <w:t>2024</w:t>
      </w:r>
      <w:r>
        <w:rPr>
          <w:rFonts w:ascii="Times New Roman" w:hAnsi="Times New Roman" w:cs="Times New Roman"/>
          <w:color w:val="000000" w:themeColor="text1"/>
          <w:sz w:val="20"/>
          <w:szCs w:val="20"/>
        </w:rPr>
        <w:t xml:space="preserve"> .(</w:t>
      </w:r>
      <w:hyperlink r:id="rId12" w:history="1">
        <w:r w:rsidRPr="00DA7E29">
          <w:rPr>
            <w:rStyle w:val="Hyperlink"/>
            <w:rFonts w:ascii="Times New Roman" w:hAnsi="Times New Roman"/>
            <w:sz w:val="20"/>
            <w:szCs w:val="20"/>
          </w:rPr>
          <w:t>https://www.uzdaily.uz/en/post</w:t>
        </w:r>
      </w:hyperlink>
      <w:r>
        <w:rPr>
          <w:rFonts w:ascii="Times New Roman" w:hAnsi="Times New Roman" w:cs="Times New Roman"/>
          <w:color w:val="000000" w:themeColor="text1"/>
          <w:sz w:val="20"/>
          <w:szCs w:val="20"/>
        </w:rPr>
        <w:t>)</w:t>
      </w:r>
    </w:p>
    <w:p w14:paraId="5698FD1D" w14:textId="4647686E" w:rsidR="0025185E" w:rsidRDefault="0025185E" w:rsidP="0025185E">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85E">
        <w:rPr>
          <w:rFonts w:ascii="Times New Roman" w:hAnsi="Times New Roman" w:cs="Times New Roman"/>
          <w:color w:val="000000" w:themeColor="text1"/>
          <w:sz w:val="20"/>
          <w:szCs w:val="20"/>
        </w:rPr>
        <w:t>Visa.(2023).Uzbekistan</w:t>
      </w:r>
      <w:r>
        <w:rPr>
          <w:rFonts w:ascii="Times New Roman" w:hAnsi="Times New Roman" w:cs="Times New Roman"/>
          <w:color w:val="000000" w:themeColor="text1"/>
          <w:sz w:val="20"/>
          <w:szCs w:val="20"/>
        </w:rPr>
        <w:t xml:space="preserve"> </w:t>
      </w:r>
      <w:r w:rsidRPr="0025185E">
        <w:rPr>
          <w:rFonts w:ascii="Times New Roman" w:hAnsi="Times New Roman" w:cs="Times New Roman"/>
          <w:color w:val="000000" w:themeColor="text1"/>
          <w:sz w:val="20"/>
          <w:szCs w:val="20"/>
        </w:rPr>
        <w:t>digital payments market insights.</w:t>
      </w:r>
      <w:r>
        <w:rPr>
          <w:rFonts w:ascii="Times New Roman" w:hAnsi="Times New Roman" w:cs="Times New Roman"/>
          <w:color w:val="000000" w:themeColor="text1"/>
          <w:sz w:val="20"/>
          <w:szCs w:val="20"/>
        </w:rPr>
        <w:t>(</w:t>
      </w:r>
      <w:hyperlink r:id="rId13" w:history="1">
        <w:r w:rsidRPr="00DA7E29">
          <w:rPr>
            <w:rStyle w:val="Hyperlink"/>
            <w:rFonts w:ascii="Times New Roman" w:hAnsi="Times New Roman"/>
            <w:sz w:val="20"/>
            <w:szCs w:val="20"/>
          </w:rPr>
          <w:t>https://usa.visa.com/partner-with-us/payment-innovation.html</w:t>
        </w:r>
      </w:hyperlink>
      <w:r>
        <w:rPr>
          <w:rFonts w:ascii="Times New Roman" w:hAnsi="Times New Roman" w:cs="Times New Roman"/>
          <w:color w:val="000000" w:themeColor="text1"/>
          <w:sz w:val="20"/>
          <w:szCs w:val="20"/>
        </w:rPr>
        <w:t>)</w:t>
      </w:r>
    </w:p>
    <w:p w14:paraId="40EFF21F" w14:textId="64D83C95" w:rsidR="00911ACD" w:rsidRPr="0025185E" w:rsidRDefault="0025185E" w:rsidP="0025185E">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p>
    <w:sectPr w:rsidR="00911ACD" w:rsidRPr="0025185E" w:rsidSect="005F717A">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C1B63" w14:textId="77777777" w:rsidR="008766EC" w:rsidRDefault="008766EC" w:rsidP="00C556D7">
      <w:pPr>
        <w:spacing w:after="0" w:line="240" w:lineRule="auto"/>
      </w:pPr>
      <w:r>
        <w:separator/>
      </w:r>
    </w:p>
  </w:endnote>
  <w:endnote w:type="continuationSeparator" w:id="0">
    <w:p w14:paraId="7ED79270" w14:textId="77777777" w:rsidR="008766EC" w:rsidRDefault="008766E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22A46" w14:textId="77777777" w:rsidR="008766EC" w:rsidRDefault="008766EC" w:rsidP="00C556D7">
      <w:pPr>
        <w:spacing w:after="0" w:line="240" w:lineRule="auto"/>
      </w:pPr>
      <w:r>
        <w:separator/>
      </w:r>
    </w:p>
  </w:footnote>
  <w:footnote w:type="continuationSeparator" w:id="0">
    <w:p w14:paraId="1AD86ABF" w14:textId="77777777" w:rsidR="008766EC" w:rsidRDefault="008766E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662420"/>
    <w:multiLevelType w:val="hybridMultilevel"/>
    <w:tmpl w:val="48DEEC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3C570C"/>
    <w:multiLevelType w:val="hybridMultilevel"/>
    <w:tmpl w:val="42CE5B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341B72"/>
    <w:multiLevelType w:val="hybridMultilevel"/>
    <w:tmpl w:val="4DC28D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43741AB"/>
    <w:multiLevelType w:val="hybridMultilevel"/>
    <w:tmpl w:val="21BA27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00046"/>
    <w:multiLevelType w:val="hybridMultilevel"/>
    <w:tmpl w:val="DCF410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399573F"/>
    <w:multiLevelType w:val="hybridMultilevel"/>
    <w:tmpl w:val="ACFA7328"/>
    <w:lvl w:ilvl="0" w:tplc="2CF2B6EA">
      <w:start w:val="1"/>
      <w:numFmt w:val="decimal"/>
      <w:lvlText w:val="%1."/>
      <w:lvlJc w:val="left"/>
      <w:pPr>
        <w:ind w:left="36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9638D8"/>
    <w:multiLevelType w:val="hybridMultilevel"/>
    <w:tmpl w:val="CEF07F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0"/>
  </w:num>
  <w:num w:numId="2" w16cid:durableId="790048988">
    <w:abstractNumId w:val="7"/>
  </w:num>
  <w:num w:numId="3" w16cid:durableId="1993635357">
    <w:abstractNumId w:val="14"/>
  </w:num>
  <w:num w:numId="4" w16cid:durableId="1479104421">
    <w:abstractNumId w:val="15"/>
  </w:num>
  <w:num w:numId="5" w16cid:durableId="1066758610">
    <w:abstractNumId w:val="9"/>
  </w:num>
  <w:num w:numId="6" w16cid:durableId="590088686">
    <w:abstractNumId w:val="20"/>
  </w:num>
  <w:num w:numId="7" w16cid:durableId="924848298">
    <w:abstractNumId w:val="1"/>
  </w:num>
  <w:num w:numId="8" w16cid:durableId="781143302">
    <w:abstractNumId w:val="26"/>
  </w:num>
  <w:num w:numId="9" w16cid:durableId="851842906">
    <w:abstractNumId w:val="0"/>
  </w:num>
  <w:num w:numId="10" w16cid:durableId="350229811">
    <w:abstractNumId w:val="6"/>
  </w:num>
  <w:num w:numId="11" w16cid:durableId="2128309775">
    <w:abstractNumId w:val="23"/>
  </w:num>
  <w:num w:numId="12" w16cid:durableId="350029887">
    <w:abstractNumId w:val="18"/>
  </w:num>
  <w:num w:numId="13" w16cid:durableId="591670422">
    <w:abstractNumId w:val="13"/>
  </w:num>
  <w:num w:numId="14" w16cid:durableId="532691435">
    <w:abstractNumId w:val="4"/>
  </w:num>
  <w:num w:numId="15" w16cid:durableId="1268083021">
    <w:abstractNumId w:val="22"/>
  </w:num>
  <w:num w:numId="16" w16cid:durableId="1447193248">
    <w:abstractNumId w:val="12"/>
  </w:num>
  <w:num w:numId="17" w16cid:durableId="843742299">
    <w:abstractNumId w:val="16"/>
  </w:num>
  <w:num w:numId="18" w16cid:durableId="110824490">
    <w:abstractNumId w:val="3"/>
  </w:num>
  <w:num w:numId="19" w16cid:durableId="1376078544">
    <w:abstractNumId w:val="25"/>
  </w:num>
  <w:num w:numId="20" w16cid:durableId="888303389">
    <w:abstractNumId w:val="8"/>
  </w:num>
  <w:num w:numId="21" w16cid:durableId="164125617">
    <w:abstractNumId w:val="21"/>
  </w:num>
  <w:num w:numId="22" w16cid:durableId="396633331">
    <w:abstractNumId w:val="11"/>
  </w:num>
  <w:num w:numId="23" w16cid:durableId="211037790">
    <w:abstractNumId w:val="5"/>
  </w:num>
  <w:num w:numId="24" w16cid:durableId="1708678035">
    <w:abstractNumId w:val="24"/>
  </w:num>
  <w:num w:numId="25" w16cid:durableId="220794913">
    <w:abstractNumId w:val="2"/>
  </w:num>
  <w:num w:numId="26" w16cid:durableId="1922519794">
    <w:abstractNumId w:val="19"/>
  </w:num>
  <w:num w:numId="27" w16cid:durableId="51033579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5185E"/>
    <w:rsid w:val="002638EB"/>
    <w:rsid w:val="002650CA"/>
    <w:rsid w:val="00273038"/>
    <w:rsid w:val="00290530"/>
    <w:rsid w:val="00295372"/>
    <w:rsid w:val="002A579C"/>
    <w:rsid w:val="002E72CF"/>
    <w:rsid w:val="002F3187"/>
    <w:rsid w:val="002F43A5"/>
    <w:rsid w:val="00302BBD"/>
    <w:rsid w:val="003265E6"/>
    <w:rsid w:val="00350F8D"/>
    <w:rsid w:val="00361C3F"/>
    <w:rsid w:val="003656D1"/>
    <w:rsid w:val="00392E5A"/>
    <w:rsid w:val="003A3AED"/>
    <w:rsid w:val="003B13EB"/>
    <w:rsid w:val="003B34DD"/>
    <w:rsid w:val="003C3221"/>
    <w:rsid w:val="003C34AD"/>
    <w:rsid w:val="003C4071"/>
    <w:rsid w:val="003C6D94"/>
    <w:rsid w:val="003D2120"/>
    <w:rsid w:val="003D6363"/>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48DC"/>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355B6"/>
    <w:rsid w:val="006413AE"/>
    <w:rsid w:val="00654EC1"/>
    <w:rsid w:val="006678D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B65C2"/>
    <w:rsid w:val="007D5C9A"/>
    <w:rsid w:val="007E75BA"/>
    <w:rsid w:val="007E79D6"/>
    <w:rsid w:val="007F4C35"/>
    <w:rsid w:val="007F6CE4"/>
    <w:rsid w:val="00814B7E"/>
    <w:rsid w:val="00826BF1"/>
    <w:rsid w:val="00837A71"/>
    <w:rsid w:val="00855648"/>
    <w:rsid w:val="00861EE8"/>
    <w:rsid w:val="008741D3"/>
    <w:rsid w:val="008766EC"/>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9338E"/>
    <w:rsid w:val="009978A0"/>
    <w:rsid w:val="009A49D4"/>
    <w:rsid w:val="009C713B"/>
    <w:rsid w:val="009E4D95"/>
    <w:rsid w:val="009E6760"/>
    <w:rsid w:val="009E7E3D"/>
    <w:rsid w:val="009F6540"/>
    <w:rsid w:val="00A0162A"/>
    <w:rsid w:val="00A4268C"/>
    <w:rsid w:val="00A61FC8"/>
    <w:rsid w:val="00A66F99"/>
    <w:rsid w:val="00A71E07"/>
    <w:rsid w:val="00A730E3"/>
    <w:rsid w:val="00A846B7"/>
    <w:rsid w:val="00A921E2"/>
    <w:rsid w:val="00A95514"/>
    <w:rsid w:val="00AA1805"/>
    <w:rsid w:val="00AB1E91"/>
    <w:rsid w:val="00AB6443"/>
    <w:rsid w:val="00AC095F"/>
    <w:rsid w:val="00AD11A2"/>
    <w:rsid w:val="00AD52FF"/>
    <w:rsid w:val="00AD55FF"/>
    <w:rsid w:val="00AE5256"/>
    <w:rsid w:val="00B0156E"/>
    <w:rsid w:val="00B07F98"/>
    <w:rsid w:val="00B127F4"/>
    <w:rsid w:val="00B17F4E"/>
    <w:rsid w:val="00B21E66"/>
    <w:rsid w:val="00B60F30"/>
    <w:rsid w:val="00B71A47"/>
    <w:rsid w:val="00B76621"/>
    <w:rsid w:val="00B82E3B"/>
    <w:rsid w:val="00B90B09"/>
    <w:rsid w:val="00BA645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2083"/>
    <w:rsid w:val="00C9394F"/>
    <w:rsid w:val="00CA0B60"/>
    <w:rsid w:val="00CA6977"/>
    <w:rsid w:val="00CD7165"/>
    <w:rsid w:val="00CE4576"/>
    <w:rsid w:val="00CE4A54"/>
    <w:rsid w:val="00CE5A19"/>
    <w:rsid w:val="00D057A0"/>
    <w:rsid w:val="00D25854"/>
    <w:rsid w:val="00D3084A"/>
    <w:rsid w:val="00D57EC4"/>
    <w:rsid w:val="00D74DDA"/>
    <w:rsid w:val="00DA52F4"/>
    <w:rsid w:val="00DB2E72"/>
    <w:rsid w:val="00DD6B36"/>
    <w:rsid w:val="00DD7C7C"/>
    <w:rsid w:val="00DE68FE"/>
    <w:rsid w:val="00DF201E"/>
    <w:rsid w:val="00DF317B"/>
    <w:rsid w:val="00DF6FFA"/>
    <w:rsid w:val="00E03AB8"/>
    <w:rsid w:val="00E058D9"/>
    <w:rsid w:val="00E26448"/>
    <w:rsid w:val="00E26687"/>
    <w:rsid w:val="00E34078"/>
    <w:rsid w:val="00E35FB6"/>
    <w:rsid w:val="00E65943"/>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18A2"/>
    <w:rsid w:val="00F42C71"/>
    <w:rsid w:val="00F43ABE"/>
    <w:rsid w:val="00F62C11"/>
    <w:rsid w:val="00F65276"/>
    <w:rsid w:val="00F82755"/>
    <w:rsid w:val="00FC71DB"/>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295372"/>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518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430329">
      <w:bodyDiv w:val="1"/>
      <w:marLeft w:val="0"/>
      <w:marRight w:val="0"/>
      <w:marTop w:val="0"/>
      <w:marBottom w:val="0"/>
      <w:divBdr>
        <w:top w:val="none" w:sz="0" w:space="0" w:color="auto"/>
        <w:left w:val="none" w:sz="0" w:space="0" w:color="auto"/>
        <w:bottom w:val="none" w:sz="0" w:space="0" w:color="auto"/>
        <w:right w:val="none" w:sz="0" w:space="0" w:color="auto"/>
      </w:divBdr>
    </w:div>
    <w:div w:id="828252107">
      <w:bodyDiv w:val="1"/>
      <w:marLeft w:val="0"/>
      <w:marRight w:val="0"/>
      <w:marTop w:val="0"/>
      <w:marBottom w:val="0"/>
      <w:divBdr>
        <w:top w:val="none" w:sz="0" w:space="0" w:color="auto"/>
        <w:left w:val="none" w:sz="0" w:space="0" w:color="auto"/>
        <w:bottom w:val="none" w:sz="0" w:space="0" w:color="auto"/>
        <w:right w:val="none" w:sz="0" w:space="0" w:color="auto"/>
      </w:divBdr>
    </w:div>
    <w:div w:id="99091181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11064004">
      <w:bodyDiv w:val="1"/>
      <w:marLeft w:val="0"/>
      <w:marRight w:val="0"/>
      <w:marTop w:val="0"/>
      <w:marBottom w:val="0"/>
      <w:divBdr>
        <w:top w:val="none" w:sz="0" w:space="0" w:color="auto"/>
        <w:left w:val="none" w:sz="0" w:space="0" w:color="auto"/>
        <w:bottom w:val="none" w:sz="0" w:space="0" w:color="auto"/>
        <w:right w:val="none" w:sz="0" w:space="0" w:color="auto"/>
      </w:divBdr>
    </w:div>
    <w:div w:id="1528062752">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rr.uz/reports/fintech-adoption-2023" TargetMode="External"/><Relationship Id="rId13" Type="http://schemas.openxmlformats.org/officeDocument/2006/relationships/hyperlink" Target="https://usa.visa.com/partner-with-us/payment-innovation.htm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uzdaily.uz/en/pos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dtic.gov.uz/en/digital2030.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itu.int/en/ITU-D/Statistics/Pages/stat/default.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www.worldbank.org/globalfinde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1088</Words>
  <Characters>6203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Ali Akbar</cp:lastModifiedBy>
  <cp:revision>23</cp:revision>
  <cp:lastPrinted>2021-02-22T14:39:00Z</cp:lastPrinted>
  <dcterms:created xsi:type="dcterms:W3CDTF">2023-09-02T03:46:00Z</dcterms:created>
  <dcterms:modified xsi:type="dcterms:W3CDTF">2025-04-27T08:38:00Z</dcterms:modified>
</cp:coreProperties>
</file>