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EE5" w:rsidRPr="00BF7EE5" w:rsidRDefault="00BF7EE5" w:rsidP="00BF7EE5">
      <w:pPr>
        <w:spacing w:line="360" w:lineRule="auto"/>
        <w:jc w:val="both"/>
        <w:rPr>
          <w:rFonts w:asciiTheme="majorHAnsi" w:hAnsiTheme="majorHAnsi" w:cstheme="majorHAnsi"/>
          <w:b/>
          <w:sz w:val="24"/>
          <w:szCs w:val="24"/>
        </w:rPr>
      </w:pPr>
      <w:r w:rsidRPr="00BF7EE5">
        <w:rPr>
          <w:rFonts w:asciiTheme="majorHAnsi" w:hAnsiTheme="majorHAnsi" w:cstheme="majorHAnsi"/>
          <w:b/>
          <w:sz w:val="24"/>
          <w:szCs w:val="24"/>
        </w:rPr>
        <w:t>A Comprehensive Review of Ringworm Infection: Variations by Body Area, Myths,</w:t>
      </w:r>
    </w:p>
    <w:p w:rsidR="00BF7EE5" w:rsidRDefault="00BF7EE5" w:rsidP="003951C2">
      <w:pPr>
        <w:spacing w:line="360" w:lineRule="auto"/>
        <w:jc w:val="both"/>
        <w:rPr>
          <w:rFonts w:asciiTheme="majorHAnsi" w:hAnsiTheme="majorHAnsi" w:cstheme="majorHAnsi"/>
          <w:b/>
          <w:sz w:val="24"/>
          <w:szCs w:val="24"/>
        </w:rPr>
      </w:pPr>
      <w:r w:rsidRPr="00BF7EE5">
        <w:rPr>
          <w:rFonts w:asciiTheme="majorHAnsi" w:hAnsiTheme="majorHAnsi" w:cstheme="majorHAnsi"/>
          <w:b/>
          <w:sz w:val="24"/>
          <w:szCs w:val="24"/>
        </w:rPr>
        <w:t>Causes, and Effective Treatment Strategies</w:t>
      </w:r>
    </w:p>
    <w:p w:rsidR="004F042C" w:rsidRDefault="004F042C" w:rsidP="003951C2">
      <w:pPr>
        <w:spacing w:line="360" w:lineRule="auto"/>
        <w:jc w:val="both"/>
        <w:rPr>
          <w:rFonts w:asciiTheme="majorHAnsi" w:hAnsiTheme="majorHAnsi" w:cstheme="majorHAnsi"/>
          <w:b/>
          <w:sz w:val="24"/>
          <w:szCs w:val="24"/>
        </w:rPr>
      </w:pPr>
      <w:r>
        <w:rPr>
          <w:rFonts w:asciiTheme="majorHAnsi" w:hAnsiTheme="majorHAnsi" w:cstheme="majorHAnsi"/>
          <w:b/>
          <w:sz w:val="24"/>
          <w:szCs w:val="24"/>
        </w:rPr>
        <w:t>Neda Fatima</w:t>
      </w:r>
      <w:r w:rsidR="00376641" w:rsidRPr="00376641">
        <w:rPr>
          <w:rFonts w:asciiTheme="majorHAnsi" w:hAnsiTheme="majorHAnsi" w:cstheme="majorHAnsi"/>
          <w:b/>
          <w:sz w:val="24"/>
          <w:szCs w:val="24"/>
          <w:vertAlign w:val="superscript"/>
        </w:rPr>
        <w:t>1</w:t>
      </w:r>
      <w:r>
        <w:rPr>
          <w:rFonts w:asciiTheme="majorHAnsi" w:hAnsiTheme="majorHAnsi" w:cstheme="majorHAnsi"/>
          <w:b/>
          <w:sz w:val="24"/>
          <w:szCs w:val="24"/>
        </w:rPr>
        <w:t xml:space="preserve">, </w:t>
      </w:r>
      <w:r w:rsidR="00F46CC1" w:rsidRPr="00F46CC1">
        <w:rPr>
          <w:rFonts w:asciiTheme="majorHAnsi" w:hAnsiTheme="majorHAnsi" w:cstheme="majorHAnsi"/>
          <w:b/>
          <w:sz w:val="24"/>
          <w:szCs w:val="24"/>
        </w:rPr>
        <w:t>S</w:t>
      </w:r>
      <w:r w:rsidR="00F46CC1">
        <w:rPr>
          <w:rFonts w:asciiTheme="majorHAnsi" w:hAnsiTheme="majorHAnsi" w:cstheme="majorHAnsi"/>
          <w:b/>
          <w:sz w:val="24"/>
          <w:szCs w:val="24"/>
        </w:rPr>
        <w:t>habroz</w:t>
      </w:r>
      <w:r w:rsidR="00F46CC1" w:rsidRPr="00F46CC1">
        <w:rPr>
          <w:rFonts w:asciiTheme="majorHAnsi" w:hAnsiTheme="majorHAnsi" w:cstheme="majorHAnsi"/>
          <w:b/>
          <w:sz w:val="24"/>
          <w:szCs w:val="24"/>
        </w:rPr>
        <w:t xml:space="preserve"> Alam</w:t>
      </w:r>
      <w:r w:rsidR="00376641" w:rsidRPr="00376641">
        <w:rPr>
          <w:rFonts w:asciiTheme="majorHAnsi" w:hAnsiTheme="majorHAnsi" w:cstheme="majorHAnsi"/>
          <w:b/>
          <w:sz w:val="24"/>
          <w:szCs w:val="24"/>
          <w:vertAlign w:val="superscript"/>
        </w:rPr>
        <w:t>1</w:t>
      </w:r>
      <w:r w:rsidR="00F46CC1">
        <w:rPr>
          <w:rFonts w:asciiTheme="majorHAnsi" w:hAnsiTheme="majorHAnsi" w:cstheme="majorHAnsi"/>
          <w:b/>
          <w:sz w:val="24"/>
          <w:szCs w:val="24"/>
        </w:rPr>
        <w:t>, Juveriya Israr</w:t>
      </w:r>
      <w:r w:rsidR="00376641" w:rsidRPr="00376641">
        <w:rPr>
          <w:rFonts w:asciiTheme="majorHAnsi" w:hAnsiTheme="majorHAnsi" w:cstheme="majorHAnsi"/>
          <w:b/>
          <w:sz w:val="24"/>
          <w:szCs w:val="24"/>
          <w:vertAlign w:val="superscript"/>
        </w:rPr>
        <w:t>1,2</w:t>
      </w:r>
    </w:p>
    <w:p w:rsidR="004F042C" w:rsidRPr="00782EC4" w:rsidRDefault="004F042C" w:rsidP="003951C2">
      <w:pPr>
        <w:spacing w:line="360" w:lineRule="auto"/>
        <w:jc w:val="both"/>
        <w:rPr>
          <w:rFonts w:asciiTheme="majorHAnsi" w:hAnsiTheme="majorHAnsi" w:cstheme="majorHAnsi"/>
          <w:i/>
          <w:sz w:val="24"/>
          <w:szCs w:val="24"/>
        </w:rPr>
      </w:pPr>
      <w:r w:rsidRPr="00782EC4">
        <w:rPr>
          <w:rFonts w:asciiTheme="majorHAnsi" w:hAnsiTheme="majorHAnsi" w:cstheme="majorHAnsi"/>
          <w:i/>
          <w:sz w:val="24"/>
          <w:szCs w:val="24"/>
          <w:vertAlign w:val="superscript"/>
        </w:rPr>
        <w:t>1</w:t>
      </w:r>
      <w:r w:rsidRPr="00782EC4">
        <w:rPr>
          <w:rFonts w:asciiTheme="majorHAnsi" w:hAnsiTheme="majorHAnsi" w:cstheme="majorHAnsi"/>
          <w:i/>
          <w:sz w:val="24"/>
          <w:szCs w:val="24"/>
        </w:rPr>
        <w:t>Department of Biotechnology, Era's Lucknow Medical College &amp; Hospital, Era University, Sarfarazganj Lucknow, U.P., India-226003.</w:t>
      </w:r>
    </w:p>
    <w:p w:rsidR="00376641" w:rsidRPr="00782EC4" w:rsidRDefault="00376641" w:rsidP="003951C2">
      <w:pPr>
        <w:spacing w:line="360" w:lineRule="auto"/>
        <w:jc w:val="both"/>
        <w:rPr>
          <w:rFonts w:asciiTheme="majorHAnsi" w:hAnsiTheme="majorHAnsi" w:cstheme="majorHAnsi"/>
          <w:i/>
          <w:sz w:val="24"/>
          <w:szCs w:val="24"/>
        </w:rPr>
      </w:pPr>
      <w:r w:rsidRPr="00782EC4">
        <w:rPr>
          <w:rFonts w:asciiTheme="majorHAnsi" w:hAnsiTheme="majorHAnsi" w:cstheme="majorHAnsi"/>
          <w:i/>
          <w:sz w:val="24"/>
          <w:szCs w:val="24"/>
          <w:vertAlign w:val="superscript"/>
        </w:rPr>
        <w:t>2</w:t>
      </w:r>
      <w:r w:rsidRPr="00782EC4">
        <w:rPr>
          <w:rFonts w:asciiTheme="majorHAnsi" w:hAnsiTheme="majorHAnsi" w:cstheme="majorHAnsi"/>
          <w:i/>
          <w:sz w:val="24"/>
          <w:szCs w:val="24"/>
        </w:rPr>
        <w:t>Institute of Biosciences and Technology, Shri Ramswaroop Memorial University, Barabanki, Uttar Pradesh, India</w:t>
      </w:r>
      <w:bookmarkStart w:id="0" w:name="_GoBack"/>
      <w:bookmarkEnd w:id="0"/>
    </w:p>
    <w:p w:rsidR="004F042C" w:rsidRPr="00782EC4" w:rsidRDefault="004F042C" w:rsidP="003951C2">
      <w:pPr>
        <w:spacing w:line="360" w:lineRule="auto"/>
        <w:jc w:val="both"/>
        <w:rPr>
          <w:rFonts w:asciiTheme="majorHAnsi" w:hAnsiTheme="majorHAnsi" w:cstheme="majorHAnsi"/>
          <w:i/>
          <w:sz w:val="24"/>
          <w:szCs w:val="24"/>
        </w:rPr>
      </w:pPr>
    </w:p>
    <w:p w:rsidR="004F042C" w:rsidRDefault="004F042C" w:rsidP="003951C2">
      <w:pPr>
        <w:spacing w:line="360" w:lineRule="auto"/>
        <w:jc w:val="both"/>
      </w:pPr>
      <w:r w:rsidRPr="004F042C">
        <w:rPr>
          <w:b/>
        </w:rPr>
        <w:t>*Corresponding Author:</w:t>
      </w:r>
      <w:r>
        <w:t xml:space="preserve"> </w:t>
      </w:r>
      <w:r w:rsidRPr="004F042C">
        <w:t>Neda Fatima</w:t>
      </w:r>
      <w:r w:rsidR="007B009C">
        <w:t xml:space="preserve"> (</w:t>
      </w:r>
      <w:hyperlink r:id="rId8" w:history="1">
        <w:r w:rsidR="006A76BC" w:rsidRPr="007A6883">
          <w:rPr>
            <w:rStyle w:val="Hyperlink"/>
          </w:rPr>
          <w:t>fatimaneda67@gmail.com</w:t>
        </w:r>
      </w:hyperlink>
      <w:r w:rsidR="007B009C">
        <w:t>)</w:t>
      </w:r>
    </w:p>
    <w:p w:rsidR="007B009C" w:rsidRPr="00010A38" w:rsidRDefault="007B009C" w:rsidP="003951C2">
      <w:pPr>
        <w:spacing w:line="360" w:lineRule="auto"/>
        <w:jc w:val="both"/>
        <w:rPr>
          <w:rFonts w:asciiTheme="majorHAnsi" w:hAnsiTheme="majorHAnsi" w:cstheme="majorHAnsi"/>
          <w:sz w:val="24"/>
          <w:szCs w:val="24"/>
        </w:rPr>
      </w:pPr>
    </w:p>
    <w:p w:rsidR="00A352AC" w:rsidRPr="00010A38" w:rsidRDefault="004C7E08"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Abstract</w:t>
      </w:r>
      <w:r w:rsidR="00A352AC" w:rsidRPr="00010A38">
        <w:rPr>
          <w:rFonts w:asciiTheme="majorHAnsi" w:hAnsiTheme="majorHAnsi" w:cstheme="majorHAnsi"/>
          <w:b/>
          <w:sz w:val="24"/>
          <w:szCs w:val="24"/>
        </w:rPr>
        <w:t xml:space="preserve">- </w:t>
      </w:r>
      <w:r w:rsidR="00A352AC" w:rsidRPr="00010A38">
        <w:rPr>
          <w:rFonts w:asciiTheme="majorHAnsi" w:hAnsiTheme="majorHAnsi" w:cstheme="majorHAnsi"/>
          <w:sz w:val="24"/>
          <w:szCs w:val="24"/>
        </w:rPr>
        <w:t xml:space="preserve">Ringworm, or tinea, is a common fungal infection affecting the skin, nails, and scalp. This review explores the variations of ringworm by body area, debunks prevalent myths, examines its causes, and highlights effective treatment strategies. Ringworm manifests differently depending on the infected site, including </w:t>
      </w:r>
      <w:r w:rsidR="00A352AC" w:rsidRPr="00010A38">
        <w:rPr>
          <w:rFonts w:asciiTheme="majorHAnsi" w:hAnsiTheme="majorHAnsi" w:cstheme="majorHAnsi"/>
          <w:i/>
          <w:sz w:val="24"/>
          <w:szCs w:val="24"/>
        </w:rPr>
        <w:t>tinea pedis</w:t>
      </w:r>
      <w:r w:rsidR="00A352AC" w:rsidRPr="00010A38">
        <w:rPr>
          <w:rFonts w:asciiTheme="majorHAnsi" w:hAnsiTheme="majorHAnsi" w:cstheme="majorHAnsi"/>
          <w:sz w:val="24"/>
          <w:szCs w:val="24"/>
        </w:rPr>
        <w:t xml:space="preserve"> (feet), </w:t>
      </w:r>
      <w:r w:rsidR="00A352AC" w:rsidRPr="00010A38">
        <w:rPr>
          <w:rFonts w:asciiTheme="majorHAnsi" w:hAnsiTheme="majorHAnsi" w:cstheme="majorHAnsi"/>
          <w:i/>
          <w:sz w:val="24"/>
          <w:szCs w:val="24"/>
        </w:rPr>
        <w:t>tinea cruris</w:t>
      </w:r>
      <w:r w:rsidR="00A352AC" w:rsidRPr="00010A38">
        <w:rPr>
          <w:rFonts w:asciiTheme="majorHAnsi" w:hAnsiTheme="majorHAnsi" w:cstheme="majorHAnsi"/>
          <w:sz w:val="24"/>
          <w:szCs w:val="24"/>
        </w:rPr>
        <w:t xml:space="preserve"> (groin), </w:t>
      </w:r>
      <w:r w:rsidR="00A352AC" w:rsidRPr="00010A38">
        <w:rPr>
          <w:rFonts w:asciiTheme="majorHAnsi" w:hAnsiTheme="majorHAnsi" w:cstheme="majorHAnsi"/>
          <w:i/>
          <w:sz w:val="24"/>
          <w:szCs w:val="24"/>
        </w:rPr>
        <w:t>tinea capitis</w:t>
      </w:r>
      <w:r w:rsidR="00A352AC" w:rsidRPr="00010A38">
        <w:rPr>
          <w:rFonts w:asciiTheme="majorHAnsi" w:hAnsiTheme="majorHAnsi" w:cstheme="majorHAnsi"/>
          <w:sz w:val="24"/>
          <w:szCs w:val="24"/>
        </w:rPr>
        <w:t xml:space="preserve"> (scalp), and </w:t>
      </w:r>
      <w:r w:rsidR="00A352AC" w:rsidRPr="00010A38">
        <w:rPr>
          <w:rFonts w:asciiTheme="majorHAnsi" w:hAnsiTheme="majorHAnsi" w:cstheme="majorHAnsi"/>
          <w:i/>
          <w:sz w:val="24"/>
          <w:szCs w:val="24"/>
        </w:rPr>
        <w:t>tinea corporis</w:t>
      </w:r>
      <w:r w:rsidR="00A352AC" w:rsidRPr="00010A38">
        <w:rPr>
          <w:rFonts w:asciiTheme="majorHAnsi" w:hAnsiTheme="majorHAnsi" w:cstheme="majorHAnsi"/>
          <w:sz w:val="24"/>
          <w:szCs w:val="24"/>
        </w:rPr>
        <w:t xml:space="preserve"> (body). Misconceptions such as its association with worms or immunity post-infection are addressed to clarify its fungal origin and contagious nature. Causes include direct contact with infected individuals, animals, or contaminated surfaces, with risk factors such as humid climates and weakened immunity increasing susceptibility. Treatment typically involves topical or oral antifungal medications, with adherence to prescribed regimens being crucial for complete eradication. Preventive measures like maintaining hygiene and avoiding shared items are emphasized to curb transmission. This comprehensive review aims to enhance understanding and management of ringworm infections across diverse contexts.</w:t>
      </w:r>
    </w:p>
    <w:p w:rsidR="00DD1E1E" w:rsidRPr="003951C2" w:rsidRDefault="00DD1E1E"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Keywords</w:t>
      </w:r>
      <w:r w:rsidR="00810B47" w:rsidRPr="00010A38">
        <w:rPr>
          <w:rFonts w:asciiTheme="majorHAnsi" w:hAnsiTheme="majorHAnsi" w:cstheme="majorHAnsi"/>
          <w:b/>
          <w:sz w:val="24"/>
          <w:szCs w:val="24"/>
        </w:rPr>
        <w:t>:</w:t>
      </w:r>
      <w:r w:rsidR="00E92FA9">
        <w:rPr>
          <w:rFonts w:asciiTheme="majorHAnsi" w:hAnsiTheme="majorHAnsi" w:cstheme="majorHAnsi"/>
          <w:b/>
          <w:sz w:val="24"/>
          <w:szCs w:val="24"/>
        </w:rPr>
        <w:t xml:space="preserve"> </w:t>
      </w:r>
      <w:r w:rsidR="00E92FA9" w:rsidRPr="003951C2">
        <w:rPr>
          <w:rFonts w:asciiTheme="majorHAnsi" w:hAnsiTheme="majorHAnsi" w:cstheme="majorHAnsi"/>
          <w:sz w:val="24"/>
          <w:szCs w:val="24"/>
        </w:rPr>
        <w:t>Tinea, Fungal Infection, Antifungal Treatment, Dermatophytosis, Skin Hygiene</w:t>
      </w:r>
    </w:p>
    <w:p w:rsidR="001B4824" w:rsidRPr="00010A38" w:rsidRDefault="004C7E08"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1. Introduction</w:t>
      </w:r>
    </w:p>
    <w:p w:rsidR="008D45C0" w:rsidRPr="00010A38" w:rsidRDefault="008D45C0"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 xml:space="preserve">Ringworm, scientifically known as tinea or dermatophytosis, is a widespread fungal infection that affects the skin, nails, and scalp. Its name derives from the characteristic </w:t>
      </w:r>
      <w:r w:rsidRPr="00010A38">
        <w:rPr>
          <w:rFonts w:asciiTheme="majorHAnsi" w:hAnsiTheme="majorHAnsi" w:cstheme="majorHAnsi"/>
          <w:sz w:val="24"/>
          <w:szCs w:val="24"/>
        </w:rPr>
        <w:lastRenderedPageBreak/>
        <w:t>circular rash it forms, although the condition is caused by fungi rather than worms (Reddy 2017). This infection can manifest in various forms depending on the body area affected, including athlete's foot (</w:t>
      </w:r>
      <w:r w:rsidRPr="00010A38">
        <w:rPr>
          <w:rFonts w:asciiTheme="majorHAnsi" w:hAnsiTheme="majorHAnsi" w:cstheme="majorHAnsi"/>
          <w:i/>
          <w:sz w:val="24"/>
          <w:szCs w:val="24"/>
        </w:rPr>
        <w:t>tinea pedis</w:t>
      </w:r>
      <w:r w:rsidRPr="00010A38">
        <w:rPr>
          <w:rFonts w:asciiTheme="majorHAnsi" w:hAnsiTheme="majorHAnsi" w:cstheme="majorHAnsi"/>
          <w:sz w:val="24"/>
          <w:szCs w:val="24"/>
        </w:rPr>
        <w:t>), jock itch (</w:t>
      </w:r>
      <w:r w:rsidRPr="00010A38">
        <w:rPr>
          <w:rFonts w:asciiTheme="majorHAnsi" w:hAnsiTheme="majorHAnsi" w:cstheme="majorHAnsi"/>
          <w:i/>
          <w:sz w:val="24"/>
          <w:szCs w:val="24"/>
        </w:rPr>
        <w:t>tinea cruris</w:t>
      </w:r>
      <w:r w:rsidRPr="00010A38">
        <w:rPr>
          <w:rFonts w:asciiTheme="majorHAnsi" w:hAnsiTheme="majorHAnsi" w:cstheme="majorHAnsi"/>
          <w:sz w:val="24"/>
          <w:szCs w:val="24"/>
        </w:rPr>
        <w:t>), scalp ringworm (</w:t>
      </w:r>
      <w:r w:rsidRPr="00010A38">
        <w:rPr>
          <w:rFonts w:asciiTheme="majorHAnsi" w:hAnsiTheme="majorHAnsi" w:cstheme="majorHAnsi"/>
          <w:i/>
          <w:sz w:val="24"/>
          <w:szCs w:val="24"/>
        </w:rPr>
        <w:t>tinea capitis</w:t>
      </w:r>
      <w:r w:rsidRPr="00010A38">
        <w:rPr>
          <w:rFonts w:asciiTheme="majorHAnsi" w:hAnsiTheme="majorHAnsi" w:cstheme="majorHAnsi"/>
          <w:sz w:val="24"/>
          <w:szCs w:val="24"/>
        </w:rPr>
        <w:t>), and body ringworm (</w:t>
      </w:r>
      <w:r w:rsidRPr="00010A38">
        <w:rPr>
          <w:rFonts w:asciiTheme="majorHAnsi" w:hAnsiTheme="majorHAnsi" w:cstheme="majorHAnsi"/>
          <w:i/>
          <w:sz w:val="24"/>
          <w:szCs w:val="24"/>
        </w:rPr>
        <w:t>tinea corporis</w:t>
      </w:r>
      <w:r w:rsidRPr="00010A38">
        <w:rPr>
          <w:rFonts w:asciiTheme="majorHAnsi" w:hAnsiTheme="majorHAnsi" w:cstheme="majorHAnsi"/>
          <w:sz w:val="24"/>
          <w:szCs w:val="24"/>
        </w:rPr>
        <w:t xml:space="preserve">). Despite its prevalence, misconceptions about its causes and treatment persist. Ringworm spreads through direct contact with infected individuals, animals, or contaminated surfaces, thriving in warm and moist environments (Pendones-Ulerio et al., 2023). Effective management involves antifungal treatments tailored to the infection's severity and location, alongside preventive measures such as maintaining hygiene and avoiding shared items. This review aims to provide a comprehensive understanding of ringworm's variations, debunk common myths, identify risk factors, and outline evidence-based treatment strategies to enhance public awareness and clinical outcomes </w:t>
      </w:r>
      <w:r w:rsidR="00FF0EF7" w:rsidRPr="00010A38">
        <w:rPr>
          <w:rFonts w:asciiTheme="majorHAnsi" w:hAnsiTheme="majorHAnsi" w:cstheme="majorHAnsi"/>
          <w:sz w:val="24"/>
          <w:szCs w:val="24"/>
        </w:rPr>
        <w:t>(Yee &amp; Al Aboud., 2023</w:t>
      </w:r>
      <w:r w:rsidRPr="00010A38">
        <w:rPr>
          <w:rFonts w:asciiTheme="majorHAnsi" w:hAnsiTheme="majorHAnsi" w:cstheme="majorHAnsi"/>
          <w:sz w:val="24"/>
          <w:szCs w:val="24"/>
        </w:rPr>
        <w:t>).</w:t>
      </w:r>
    </w:p>
    <w:p w:rsidR="001B4824" w:rsidRPr="00010A38" w:rsidRDefault="008D45C0"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2</w:t>
      </w:r>
      <w:r w:rsidR="004C7E08" w:rsidRPr="00010A38">
        <w:rPr>
          <w:rFonts w:asciiTheme="majorHAnsi" w:hAnsiTheme="majorHAnsi" w:cstheme="majorHAnsi"/>
          <w:b/>
          <w:sz w:val="24"/>
          <w:szCs w:val="24"/>
        </w:rPr>
        <w:t>. Common Myths Regarding Ringworm</w:t>
      </w:r>
    </w:p>
    <w:p w:rsidR="00237937" w:rsidRPr="00010A38" w:rsidRDefault="00237937"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Despite the fact that ringworm is quite common, there are a lot of misunderstandings about it that might make it more difficult to implement effective preven</w:t>
      </w:r>
      <w:r w:rsidR="0065338C" w:rsidRPr="00010A38">
        <w:rPr>
          <w:rFonts w:asciiTheme="majorHAnsi" w:hAnsiTheme="majorHAnsi" w:cstheme="majorHAnsi"/>
          <w:sz w:val="24"/>
          <w:szCs w:val="24"/>
        </w:rPr>
        <w:t xml:space="preserve">tative and treatment measures. </w:t>
      </w:r>
      <w:r w:rsidRPr="00010A38">
        <w:rPr>
          <w:rFonts w:asciiTheme="majorHAnsi" w:hAnsiTheme="majorHAnsi" w:cstheme="majorHAnsi"/>
          <w:sz w:val="24"/>
          <w:szCs w:val="24"/>
        </w:rPr>
        <w:t xml:space="preserve">One of the most widespread misconceptions is that ringworm is brought on by worms, which is not the case. Ringworm is actually a fungal infection brought on by dermatophytes, which is a fungal infection </w:t>
      </w:r>
      <w:r w:rsidR="0065338C" w:rsidRPr="00010A38">
        <w:rPr>
          <w:rFonts w:asciiTheme="majorHAnsi" w:hAnsiTheme="majorHAnsi" w:cstheme="majorHAnsi"/>
          <w:sz w:val="24"/>
          <w:szCs w:val="24"/>
        </w:rPr>
        <w:t>(</w:t>
      </w:r>
      <w:hyperlink r:id="rId9" w:history="1">
        <w:r w:rsidR="005F56DE" w:rsidRPr="00010A38">
          <w:rPr>
            <w:rStyle w:val="Hyperlink"/>
            <w:rFonts w:asciiTheme="majorHAnsi" w:hAnsiTheme="majorHAnsi" w:cstheme="majorHAnsi"/>
            <w:color w:val="auto"/>
            <w:sz w:val="24"/>
            <w:szCs w:val="24"/>
          </w:rPr>
          <w:t>https://www.webmd.com/skin-problems-and-treatments/ringworm-myths-facts</w:t>
        </w:r>
      </w:hyperlink>
      <w:r w:rsidR="0065338C" w:rsidRPr="00010A38">
        <w:rPr>
          <w:rFonts w:asciiTheme="majorHAnsi" w:hAnsiTheme="majorHAnsi" w:cstheme="majorHAnsi"/>
          <w:sz w:val="24"/>
          <w:szCs w:val="24"/>
        </w:rPr>
        <w:t>).</w:t>
      </w:r>
      <w:r w:rsidR="005F56DE" w:rsidRPr="00010A38">
        <w:rPr>
          <w:rFonts w:asciiTheme="majorHAnsi" w:hAnsiTheme="majorHAnsi" w:cstheme="majorHAnsi"/>
          <w:sz w:val="24"/>
          <w:szCs w:val="24"/>
        </w:rPr>
        <w:t xml:space="preserve"> </w:t>
      </w:r>
      <w:r w:rsidRPr="00010A38">
        <w:rPr>
          <w:rFonts w:asciiTheme="majorHAnsi" w:hAnsiTheme="majorHAnsi" w:cstheme="majorHAnsi"/>
          <w:sz w:val="24"/>
          <w:szCs w:val="24"/>
        </w:rPr>
        <w:t>Another common misconception is that ringworm is a disease that only affects children, despite the fact that it can infect people of a</w:t>
      </w:r>
      <w:r w:rsidR="0065338C" w:rsidRPr="00010A38">
        <w:rPr>
          <w:rFonts w:asciiTheme="majorHAnsi" w:hAnsiTheme="majorHAnsi" w:cstheme="majorHAnsi"/>
          <w:sz w:val="24"/>
          <w:szCs w:val="24"/>
        </w:rPr>
        <w:t>ny age and even animals</w:t>
      </w:r>
      <w:r w:rsidRPr="00010A38">
        <w:rPr>
          <w:rFonts w:asciiTheme="majorHAnsi" w:hAnsiTheme="majorHAnsi" w:cstheme="majorHAnsi"/>
          <w:sz w:val="24"/>
          <w:szCs w:val="24"/>
        </w:rPr>
        <w:t>.  In contrast to the widespread notion, ringworm does not always result in the formation of the typical red rings. Instead, the symptoms of ringworm vary depending on the location of the infection, such as scaly patches or flaky skin</w:t>
      </w:r>
      <w:r w:rsidR="0065338C" w:rsidRPr="00010A38">
        <w:rPr>
          <w:rFonts w:asciiTheme="majorHAnsi" w:hAnsiTheme="majorHAnsi" w:cstheme="majorHAnsi"/>
          <w:sz w:val="24"/>
          <w:szCs w:val="24"/>
        </w:rPr>
        <w:t xml:space="preserve"> (</w:t>
      </w:r>
      <w:hyperlink r:id="rId10" w:history="1">
        <w:r w:rsidR="005F56DE" w:rsidRPr="00010A38">
          <w:rPr>
            <w:rStyle w:val="Hyperlink"/>
            <w:rFonts w:asciiTheme="majorHAnsi" w:hAnsiTheme="majorHAnsi" w:cstheme="majorHAnsi"/>
            <w:color w:val="auto"/>
            <w:sz w:val="24"/>
            <w:szCs w:val="24"/>
          </w:rPr>
          <w:t>https://consensus.app/home/blog/myths-facts-about-ringworm/</w:t>
        </w:r>
      </w:hyperlink>
      <w:r w:rsidR="0065338C" w:rsidRPr="00010A38">
        <w:rPr>
          <w:rFonts w:asciiTheme="majorHAnsi" w:hAnsiTheme="majorHAnsi" w:cstheme="majorHAnsi"/>
          <w:sz w:val="24"/>
          <w:szCs w:val="24"/>
        </w:rPr>
        <w:t>).</w:t>
      </w:r>
      <w:r w:rsidR="005F56DE" w:rsidRPr="00010A38">
        <w:rPr>
          <w:rFonts w:asciiTheme="majorHAnsi" w:hAnsiTheme="majorHAnsi" w:cstheme="majorHAnsi"/>
          <w:sz w:val="24"/>
          <w:szCs w:val="24"/>
        </w:rPr>
        <w:t xml:space="preserve"> </w:t>
      </w:r>
      <w:r w:rsidRPr="00010A38">
        <w:rPr>
          <w:rFonts w:asciiTheme="majorHAnsi" w:hAnsiTheme="majorHAnsi" w:cstheme="majorHAnsi"/>
          <w:sz w:val="24"/>
          <w:szCs w:val="24"/>
        </w:rPr>
        <w:t>Furthermore, ringworm is very contagious and can be transmitted through direct contact with diseased humans, animals, or surface</w:t>
      </w:r>
      <w:r w:rsidR="0065338C" w:rsidRPr="00010A38">
        <w:rPr>
          <w:rFonts w:asciiTheme="majorHAnsi" w:hAnsiTheme="majorHAnsi" w:cstheme="majorHAnsi"/>
          <w:sz w:val="24"/>
          <w:szCs w:val="24"/>
        </w:rPr>
        <w:t>s that have been polluted</w:t>
      </w:r>
      <w:r w:rsidRPr="00010A38">
        <w:rPr>
          <w:rFonts w:asciiTheme="majorHAnsi" w:hAnsiTheme="majorHAnsi" w:cstheme="majorHAnsi"/>
          <w:sz w:val="24"/>
          <w:szCs w:val="24"/>
        </w:rPr>
        <w:t>.  Moreover, there are misconceptions regarding therapy, with some individuals erroneously believing that antibiotics are useful against ringworm while, in fact</w:t>
      </w:r>
      <w:r w:rsidR="0065338C" w:rsidRPr="00010A38">
        <w:rPr>
          <w:rFonts w:asciiTheme="majorHAnsi" w:hAnsiTheme="majorHAnsi" w:cstheme="majorHAnsi"/>
          <w:sz w:val="24"/>
          <w:szCs w:val="24"/>
        </w:rPr>
        <w:t>, antifungal drugs are required</w:t>
      </w:r>
      <w:r w:rsidRPr="00010A38">
        <w:rPr>
          <w:rFonts w:asciiTheme="majorHAnsi" w:hAnsiTheme="majorHAnsi" w:cstheme="majorHAnsi"/>
          <w:sz w:val="24"/>
          <w:szCs w:val="24"/>
        </w:rPr>
        <w:t>.  It is essential to dispel these misunderstandings in order to achieve a better understanding of this widespread fungal illness and to improve its management</w:t>
      </w:r>
      <w:r w:rsidR="0065338C" w:rsidRPr="00010A38">
        <w:rPr>
          <w:rFonts w:asciiTheme="majorHAnsi" w:hAnsiTheme="majorHAnsi" w:cstheme="majorHAnsi"/>
          <w:sz w:val="24"/>
          <w:szCs w:val="24"/>
        </w:rPr>
        <w:t xml:space="preserve"> (</w:t>
      </w:r>
      <w:hyperlink r:id="rId11" w:history="1">
        <w:r w:rsidR="005F56DE" w:rsidRPr="00010A38">
          <w:rPr>
            <w:rStyle w:val="Hyperlink"/>
            <w:rFonts w:asciiTheme="majorHAnsi" w:hAnsiTheme="majorHAnsi" w:cstheme="majorHAnsi"/>
            <w:color w:val="auto"/>
            <w:sz w:val="24"/>
            <w:szCs w:val="24"/>
          </w:rPr>
          <w:t>https://skinandhairacademy.in/article/ringworm-common-myths-facts/</w:t>
        </w:r>
      </w:hyperlink>
      <w:r w:rsidR="0065338C" w:rsidRPr="00010A38">
        <w:rPr>
          <w:rFonts w:asciiTheme="majorHAnsi" w:hAnsiTheme="majorHAnsi" w:cstheme="majorHAnsi"/>
          <w:sz w:val="24"/>
          <w:szCs w:val="24"/>
        </w:rPr>
        <w:t>)</w:t>
      </w:r>
      <w:r w:rsidRPr="00010A38">
        <w:rPr>
          <w:rFonts w:asciiTheme="majorHAnsi" w:hAnsiTheme="majorHAnsi" w:cstheme="majorHAnsi"/>
          <w:sz w:val="24"/>
          <w:szCs w:val="24"/>
        </w:rPr>
        <w:t>.</w:t>
      </w:r>
      <w:r w:rsidR="005F56DE" w:rsidRPr="00010A38">
        <w:rPr>
          <w:rFonts w:asciiTheme="majorHAnsi" w:hAnsiTheme="majorHAnsi" w:cstheme="majorHAnsi"/>
          <w:sz w:val="24"/>
          <w:szCs w:val="24"/>
        </w:rPr>
        <w:t xml:space="preserve"> </w:t>
      </w:r>
    </w:p>
    <w:p w:rsidR="001B4824" w:rsidRPr="00010A38" w:rsidRDefault="004C7E08"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lastRenderedPageBreak/>
        <w:t>3. Causes of Ringworm</w:t>
      </w:r>
    </w:p>
    <w:p w:rsidR="009E6557" w:rsidRPr="00C96B8B" w:rsidRDefault="005F56DE"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 xml:space="preserve">Ringworm, or dermatophytosis, is a common fungal infection caused by dermatophytes such as Trichophyton, Microsporum, and Epidermophyton </w:t>
      </w:r>
      <w:r w:rsidRPr="00010A38">
        <w:rPr>
          <w:rFonts w:asciiTheme="majorHAnsi" w:hAnsiTheme="majorHAnsi" w:cstheme="majorHAnsi"/>
          <w:sz w:val="24"/>
          <w:szCs w:val="24"/>
          <w:shd w:val="clear" w:color="auto" w:fill="FFFFFF"/>
        </w:rPr>
        <w:t>(Cottle 1880; Degreef 2008)</w:t>
      </w:r>
      <w:r w:rsidRPr="00010A38">
        <w:rPr>
          <w:rFonts w:asciiTheme="majorHAnsi" w:hAnsiTheme="majorHAnsi" w:cstheme="majorHAnsi"/>
          <w:sz w:val="24"/>
          <w:szCs w:val="24"/>
        </w:rPr>
        <w:t>. The infection spreads through</w:t>
      </w:r>
      <w:r w:rsidR="006C7912" w:rsidRPr="00010A38">
        <w:rPr>
          <w:rFonts w:asciiTheme="majorHAnsi" w:hAnsiTheme="majorHAnsi" w:cstheme="majorHAnsi"/>
          <w:sz w:val="24"/>
          <w:szCs w:val="24"/>
        </w:rPr>
        <w:t xml:space="preserve"> (Figure 1)</w:t>
      </w:r>
      <w:r w:rsidRPr="00010A38">
        <w:rPr>
          <w:rFonts w:asciiTheme="majorHAnsi" w:hAnsiTheme="majorHAnsi" w:cstheme="majorHAnsi"/>
          <w:sz w:val="24"/>
          <w:szCs w:val="24"/>
        </w:rPr>
        <w:t>-</w:t>
      </w:r>
    </w:p>
    <w:p w:rsidR="009E6557" w:rsidRDefault="009E6557" w:rsidP="003951C2">
      <w:pPr>
        <w:spacing w:line="360" w:lineRule="auto"/>
        <w:jc w:val="both"/>
        <w:rPr>
          <w:rFonts w:asciiTheme="majorHAnsi" w:hAnsiTheme="majorHAnsi" w:cstheme="majorHAnsi"/>
          <w:b/>
          <w:sz w:val="24"/>
          <w:szCs w:val="24"/>
        </w:rPr>
      </w:pPr>
      <w:r w:rsidRPr="009E6557">
        <w:rPr>
          <w:rFonts w:asciiTheme="majorHAnsi" w:hAnsiTheme="majorHAnsi" w:cstheme="majorHAnsi"/>
          <w:b/>
          <w:noProof/>
          <w:sz w:val="24"/>
          <w:szCs w:val="24"/>
          <w:lang w:val="en-IN" w:eastAsia="en-IN"/>
        </w:rPr>
        <w:drawing>
          <wp:inline distT="0" distB="0" distL="0" distR="0" wp14:anchorId="7729B311" wp14:editId="15C784B2">
            <wp:extent cx="6082748" cy="5716987"/>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3220B3" w:rsidRPr="00010A38" w:rsidRDefault="00E94B36" w:rsidP="003951C2">
      <w:pPr>
        <w:spacing w:line="360" w:lineRule="auto"/>
        <w:jc w:val="both"/>
        <w:rPr>
          <w:rFonts w:asciiTheme="majorHAnsi" w:hAnsiTheme="majorHAnsi" w:cstheme="majorHAnsi"/>
          <w:sz w:val="24"/>
          <w:szCs w:val="24"/>
        </w:rPr>
      </w:pPr>
      <w:r>
        <w:rPr>
          <w:rFonts w:asciiTheme="majorHAnsi" w:hAnsiTheme="majorHAnsi" w:cstheme="majorHAnsi"/>
          <w:b/>
          <w:sz w:val="24"/>
          <w:szCs w:val="24"/>
        </w:rPr>
        <w:t xml:space="preserve">Figure </w:t>
      </w:r>
      <w:r w:rsidR="003220B3" w:rsidRPr="00010A38">
        <w:rPr>
          <w:rFonts w:asciiTheme="majorHAnsi" w:hAnsiTheme="majorHAnsi" w:cstheme="majorHAnsi"/>
          <w:b/>
          <w:sz w:val="24"/>
          <w:szCs w:val="24"/>
        </w:rPr>
        <w:t>1.</w:t>
      </w:r>
      <w:r w:rsidR="003220B3" w:rsidRPr="00010A38">
        <w:rPr>
          <w:rFonts w:asciiTheme="majorHAnsi" w:hAnsiTheme="majorHAnsi" w:cstheme="majorHAnsi"/>
          <w:sz w:val="24"/>
          <w:szCs w:val="24"/>
        </w:rPr>
        <w:t xml:space="preserve"> Causes of Ringworm</w:t>
      </w:r>
    </w:p>
    <w:p w:rsidR="001B4824" w:rsidRPr="00010A38" w:rsidRDefault="004C7E08"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4. Fungal Pathogens Involved</w:t>
      </w:r>
    </w:p>
    <w:p w:rsidR="001B4824" w:rsidRPr="00010A38" w:rsidRDefault="00BA57EE"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4.1</w:t>
      </w:r>
      <w:r w:rsidRPr="00010A38">
        <w:rPr>
          <w:rFonts w:asciiTheme="majorHAnsi" w:hAnsiTheme="majorHAnsi" w:cstheme="majorHAnsi"/>
          <w:b/>
          <w:i/>
          <w:sz w:val="24"/>
          <w:szCs w:val="24"/>
        </w:rPr>
        <w:t xml:space="preserve"> </w:t>
      </w:r>
      <w:r w:rsidR="004C7E08" w:rsidRPr="00010A38">
        <w:rPr>
          <w:rFonts w:asciiTheme="majorHAnsi" w:hAnsiTheme="majorHAnsi" w:cstheme="majorHAnsi"/>
          <w:b/>
          <w:i/>
          <w:sz w:val="24"/>
          <w:szCs w:val="24"/>
        </w:rPr>
        <w:t>Trichophyton rubrum</w:t>
      </w:r>
      <w:r w:rsidRPr="00010A38">
        <w:rPr>
          <w:rFonts w:asciiTheme="majorHAnsi" w:hAnsiTheme="majorHAnsi" w:cstheme="majorHAnsi"/>
          <w:sz w:val="24"/>
          <w:szCs w:val="24"/>
        </w:rPr>
        <w:t>-</w:t>
      </w:r>
      <w:r w:rsidR="004C7E08" w:rsidRPr="00010A38">
        <w:rPr>
          <w:rFonts w:asciiTheme="majorHAnsi" w:hAnsiTheme="majorHAnsi" w:cstheme="majorHAnsi"/>
          <w:sz w:val="24"/>
          <w:szCs w:val="24"/>
        </w:rPr>
        <w:t xml:space="preserve"> It is the most common cause of ringworm and can affect the nails, skin, and hair. Affected nails often show yellow discoloration along their length, </w:t>
      </w:r>
      <w:r w:rsidR="004C7E08" w:rsidRPr="00010A38">
        <w:rPr>
          <w:rFonts w:asciiTheme="majorHAnsi" w:hAnsiTheme="majorHAnsi" w:cstheme="majorHAnsi"/>
          <w:sz w:val="24"/>
          <w:szCs w:val="24"/>
        </w:rPr>
        <w:lastRenderedPageBreak/>
        <w:t xml:space="preserve">thickening, and becoming brittle. </w:t>
      </w:r>
      <w:r w:rsidR="00721993" w:rsidRPr="00010A38">
        <w:rPr>
          <w:rFonts w:asciiTheme="majorHAnsi" w:hAnsiTheme="majorHAnsi" w:cstheme="majorHAnsi"/>
          <w:i/>
          <w:sz w:val="24"/>
          <w:szCs w:val="24"/>
        </w:rPr>
        <w:t xml:space="preserve">Trichophyton rubrum </w:t>
      </w:r>
      <w:r w:rsidR="004C7E08" w:rsidRPr="00010A38">
        <w:rPr>
          <w:rFonts w:asciiTheme="majorHAnsi" w:hAnsiTheme="majorHAnsi" w:cstheme="majorHAnsi"/>
          <w:sz w:val="24"/>
          <w:szCs w:val="24"/>
        </w:rPr>
        <w:t>has adapted to this environment, and it can grow slowly but steadily. Deeper skin infections allow access to tissue that is richer in nutrients, but they also present the pathogen with recognition and challe</w:t>
      </w:r>
      <w:r w:rsidRPr="00010A38">
        <w:rPr>
          <w:rFonts w:asciiTheme="majorHAnsi" w:hAnsiTheme="majorHAnsi" w:cstheme="majorHAnsi"/>
          <w:sz w:val="24"/>
          <w:szCs w:val="24"/>
        </w:rPr>
        <w:t>nge from the host immune system</w:t>
      </w:r>
      <w:r w:rsidR="004C7E08" w:rsidRPr="00010A38">
        <w:rPr>
          <w:rFonts w:asciiTheme="majorHAnsi" w:hAnsiTheme="majorHAnsi" w:cstheme="majorHAnsi"/>
          <w:sz w:val="24"/>
          <w:szCs w:val="24"/>
        </w:rPr>
        <w:t xml:space="preserve"> (Blechert et al., 2023)</w:t>
      </w:r>
      <w:r w:rsidRPr="00010A38">
        <w:rPr>
          <w:rFonts w:asciiTheme="majorHAnsi" w:hAnsiTheme="majorHAnsi" w:cstheme="majorHAnsi"/>
          <w:sz w:val="24"/>
          <w:szCs w:val="24"/>
        </w:rPr>
        <w:t>.</w:t>
      </w:r>
    </w:p>
    <w:p w:rsidR="001B4824" w:rsidRPr="00010A38" w:rsidRDefault="00BA57EE"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 xml:space="preserve">4.2 </w:t>
      </w:r>
      <w:r w:rsidR="004C7E08" w:rsidRPr="00010A38">
        <w:rPr>
          <w:rFonts w:asciiTheme="majorHAnsi" w:hAnsiTheme="majorHAnsi" w:cstheme="majorHAnsi"/>
          <w:b/>
          <w:i/>
          <w:sz w:val="24"/>
          <w:szCs w:val="24"/>
        </w:rPr>
        <w:t>Microsporum canis</w:t>
      </w:r>
      <w:r w:rsidRPr="00010A38">
        <w:rPr>
          <w:rFonts w:asciiTheme="majorHAnsi" w:hAnsiTheme="majorHAnsi" w:cstheme="majorHAnsi"/>
          <w:b/>
          <w:sz w:val="24"/>
          <w:szCs w:val="24"/>
        </w:rPr>
        <w:t>-</w:t>
      </w:r>
      <w:r w:rsidR="004C7E08" w:rsidRPr="00010A38">
        <w:rPr>
          <w:rFonts w:asciiTheme="majorHAnsi" w:hAnsiTheme="majorHAnsi" w:cstheme="majorHAnsi"/>
          <w:b/>
          <w:sz w:val="24"/>
          <w:szCs w:val="24"/>
        </w:rPr>
        <w:t xml:space="preserve"> </w:t>
      </w:r>
      <w:r w:rsidR="004C7E08" w:rsidRPr="00010A38">
        <w:rPr>
          <w:rFonts w:asciiTheme="majorHAnsi" w:hAnsiTheme="majorHAnsi" w:cstheme="majorHAnsi"/>
          <w:sz w:val="24"/>
          <w:szCs w:val="24"/>
        </w:rPr>
        <w:t>It mostly affects the scalp and skin and frequently spreads from animals to people</w:t>
      </w:r>
      <w:r w:rsidR="004C7E08" w:rsidRPr="00010A38">
        <w:rPr>
          <w:rFonts w:asciiTheme="majorHAnsi" w:hAnsiTheme="majorHAnsi" w:cstheme="majorHAnsi"/>
          <w:b/>
          <w:sz w:val="24"/>
          <w:szCs w:val="24"/>
        </w:rPr>
        <w:t>.</w:t>
      </w:r>
      <w:r w:rsidR="004C7E08" w:rsidRPr="00010A38">
        <w:rPr>
          <w:rFonts w:asciiTheme="majorHAnsi" w:hAnsiTheme="majorHAnsi" w:cstheme="majorHAnsi"/>
          <w:sz w:val="24"/>
          <w:szCs w:val="24"/>
        </w:rPr>
        <w:t xml:space="preserve"> Although it frequently targets people, </w:t>
      </w:r>
      <w:r w:rsidR="004C7E08" w:rsidRPr="00010A38">
        <w:rPr>
          <w:rFonts w:asciiTheme="majorHAnsi" w:hAnsiTheme="majorHAnsi" w:cstheme="majorHAnsi"/>
          <w:i/>
          <w:sz w:val="24"/>
          <w:szCs w:val="24"/>
        </w:rPr>
        <w:t>Microsporum canis</w:t>
      </w:r>
      <w:r w:rsidR="004C7E08" w:rsidRPr="00010A38">
        <w:rPr>
          <w:rFonts w:asciiTheme="majorHAnsi" w:hAnsiTheme="majorHAnsi" w:cstheme="majorHAnsi"/>
          <w:sz w:val="24"/>
          <w:szCs w:val="24"/>
        </w:rPr>
        <w:t xml:space="preserve"> is typically thought of as a zoophilic dermatophyte. </w:t>
      </w:r>
      <w:r w:rsidR="004C7E08" w:rsidRPr="00327080">
        <w:rPr>
          <w:rFonts w:asciiTheme="majorHAnsi" w:hAnsiTheme="majorHAnsi" w:cstheme="majorHAnsi"/>
          <w:i/>
          <w:sz w:val="24"/>
          <w:szCs w:val="24"/>
        </w:rPr>
        <w:t>Microsporum canis</w:t>
      </w:r>
      <w:r w:rsidR="004C7E08" w:rsidRPr="00010A38">
        <w:rPr>
          <w:rFonts w:asciiTheme="majorHAnsi" w:hAnsiTheme="majorHAnsi" w:cstheme="majorHAnsi"/>
          <w:sz w:val="24"/>
          <w:szCs w:val="24"/>
        </w:rPr>
        <w:t xml:space="preserve"> is linked to tiny ectothrix spores and causes a yellow-greenish glow in hair. Its colonies have a distinctive yellow to orange-brown backside and range in hue from white to buff. Microaleuriospores are not common; they are small, clavate to elongate, and have only one cell. On the other hand, macroaleuriospores are common; they are spindle-shaped, have t</w:t>
      </w:r>
      <w:r w:rsidRPr="00010A38">
        <w:rPr>
          <w:rFonts w:asciiTheme="majorHAnsi" w:hAnsiTheme="majorHAnsi" w:cstheme="majorHAnsi"/>
          <w:sz w:val="24"/>
          <w:szCs w:val="24"/>
        </w:rPr>
        <w:t xml:space="preserve">hick walls, and have 6–15 </w:t>
      </w:r>
      <w:r w:rsidRPr="00E94B36">
        <w:rPr>
          <w:rFonts w:asciiTheme="majorHAnsi" w:hAnsiTheme="majorHAnsi" w:cstheme="majorHAnsi"/>
          <w:sz w:val="24"/>
          <w:szCs w:val="24"/>
        </w:rPr>
        <w:t>cells</w:t>
      </w:r>
      <w:r w:rsidR="004C7E08" w:rsidRPr="00E94B36">
        <w:rPr>
          <w:rFonts w:asciiTheme="majorHAnsi" w:hAnsiTheme="majorHAnsi" w:cstheme="majorHAnsi"/>
          <w:sz w:val="24"/>
          <w:szCs w:val="24"/>
        </w:rPr>
        <w:t xml:space="preserve"> </w:t>
      </w:r>
      <w:r w:rsidR="00E94B36" w:rsidRPr="00E94B36">
        <w:rPr>
          <w:rFonts w:asciiTheme="majorHAnsi" w:hAnsiTheme="majorHAnsi" w:cstheme="majorHAnsi"/>
          <w:sz w:val="24"/>
          <w:szCs w:val="24"/>
        </w:rPr>
        <w:t xml:space="preserve">(Carter, </w:t>
      </w:r>
      <w:r w:rsidR="004C7E08" w:rsidRPr="00E94B36">
        <w:rPr>
          <w:rFonts w:asciiTheme="majorHAnsi" w:hAnsiTheme="majorHAnsi" w:cstheme="majorHAnsi"/>
          <w:sz w:val="24"/>
          <w:szCs w:val="24"/>
        </w:rPr>
        <w:t>1990)</w:t>
      </w:r>
      <w:r w:rsidRPr="00E94B36">
        <w:rPr>
          <w:rFonts w:asciiTheme="majorHAnsi" w:hAnsiTheme="majorHAnsi" w:cstheme="majorHAnsi"/>
          <w:sz w:val="24"/>
          <w:szCs w:val="24"/>
        </w:rPr>
        <w:t>.</w:t>
      </w:r>
    </w:p>
    <w:p w:rsidR="001B4824" w:rsidRPr="00010A38" w:rsidRDefault="00BA57EE"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 xml:space="preserve">4.3 </w:t>
      </w:r>
      <w:r w:rsidR="004C7E08" w:rsidRPr="00010A38">
        <w:rPr>
          <w:rFonts w:asciiTheme="majorHAnsi" w:hAnsiTheme="majorHAnsi" w:cstheme="majorHAnsi"/>
          <w:b/>
          <w:i/>
          <w:sz w:val="24"/>
          <w:szCs w:val="24"/>
        </w:rPr>
        <w:t>Trichophyton mentagrophytes</w:t>
      </w:r>
      <w:r w:rsidRPr="00010A38">
        <w:rPr>
          <w:rFonts w:asciiTheme="majorHAnsi" w:hAnsiTheme="majorHAnsi" w:cstheme="majorHAnsi"/>
          <w:b/>
          <w:sz w:val="24"/>
          <w:szCs w:val="24"/>
        </w:rPr>
        <w:t>-</w:t>
      </w:r>
      <w:r w:rsidR="004C7E08" w:rsidRPr="00010A38">
        <w:rPr>
          <w:rFonts w:asciiTheme="majorHAnsi" w:hAnsiTheme="majorHAnsi" w:cstheme="majorHAnsi"/>
          <w:b/>
          <w:sz w:val="24"/>
          <w:szCs w:val="24"/>
        </w:rPr>
        <w:t xml:space="preserve"> </w:t>
      </w:r>
      <w:r w:rsidR="004C7E08" w:rsidRPr="00010A38">
        <w:rPr>
          <w:rFonts w:asciiTheme="majorHAnsi" w:hAnsiTheme="majorHAnsi" w:cstheme="majorHAnsi"/>
          <w:sz w:val="24"/>
          <w:szCs w:val="24"/>
        </w:rPr>
        <w:t xml:space="preserve">This fungus is commonly linked to animal reservoirs and can infect both skin and hair. The dermatophyte that is most frequently isolated from fur-bearing animals and diseased chinchillas is </w:t>
      </w:r>
      <w:r w:rsidR="004C7E08" w:rsidRPr="00327080">
        <w:rPr>
          <w:rFonts w:asciiTheme="majorHAnsi" w:hAnsiTheme="majorHAnsi" w:cstheme="majorHAnsi"/>
          <w:i/>
          <w:sz w:val="24"/>
          <w:szCs w:val="24"/>
        </w:rPr>
        <w:t>Trichophyton mentagrophytes</w:t>
      </w:r>
      <w:r w:rsidR="004C7E08" w:rsidRPr="00010A38">
        <w:rPr>
          <w:rFonts w:asciiTheme="majorHAnsi" w:hAnsiTheme="majorHAnsi" w:cstheme="majorHAnsi"/>
          <w:sz w:val="24"/>
          <w:szCs w:val="24"/>
        </w:rPr>
        <w:t>. Chinchilla dermatophytosis causes tiny, scaly alopecia patches on the nose, eyes, anus, behind the ears, or forefoot. Any portion of the body may develop lesions, and in more severe cases, a sizable, encircled area of inflammat</w:t>
      </w:r>
      <w:r w:rsidRPr="00010A38">
        <w:rPr>
          <w:rFonts w:asciiTheme="majorHAnsi" w:hAnsiTheme="majorHAnsi" w:cstheme="majorHAnsi"/>
          <w:sz w:val="24"/>
          <w:szCs w:val="24"/>
        </w:rPr>
        <w:t>ion with scab formation results</w:t>
      </w:r>
      <w:r w:rsidR="004C7E08" w:rsidRPr="00010A38">
        <w:rPr>
          <w:rFonts w:asciiTheme="majorHAnsi" w:hAnsiTheme="majorHAnsi" w:cstheme="majorHAnsi"/>
          <w:sz w:val="24"/>
          <w:szCs w:val="24"/>
        </w:rPr>
        <w:t xml:space="preserve"> (Gräser et al., 1999)</w:t>
      </w:r>
      <w:r w:rsidRPr="00010A38">
        <w:rPr>
          <w:rFonts w:asciiTheme="majorHAnsi" w:hAnsiTheme="majorHAnsi" w:cstheme="majorHAnsi"/>
          <w:sz w:val="24"/>
          <w:szCs w:val="24"/>
        </w:rPr>
        <w:t>.</w:t>
      </w:r>
    </w:p>
    <w:p w:rsidR="001B4824" w:rsidRPr="00010A38" w:rsidRDefault="00BA57EE"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 xml:space="preserve">4.4 </w:t>
      </w:r>
      <w:r w:rsidR="004C7E08" w:rsidRPr="00010A38">
        <w:rPr>
          <w:rFonts w:asciiTheme="majorHAnsi" w:hAnsiTheme="majorHAnsi" w:cstheme="majorHAnsi"/>
          <w:b/>
          <w:i/>
          <w:sz w:val="24"/>
          <w:szCs w:val="24"/>
        </w:rPr>
        <w:t>Epidermophyton floccosum</w:t>
      </w:r>
      <w:r w:rsidRPr="00010A38">
        <w:rPr>
          <w:rFonts w:asciiTheme="majorHAnsi" w:hAnsiTheme="majorHAnsi" w:cstheme="majorHAnsi"/>
          <w:b/>
          <w:sz w:val="24"/>
          <w:szCs w:val="24"/>
        </w:rPr>
        <w:t>-</w:t>
      </w:r>
      <w:r w:rsidR="004C7E08" w:rsidRPr="00010A38">
        <w:rPr>
          <w:rFonts w:asciiTheme="majorHAnsi" w:hAnsiTheme="majorHAnsi" w:cstheme="majorHAnsi"/>
          <w:sz w:val="24"/>
          <w:szCs w:val="24"/>
        </w:rPr>
        <w:t xml:space="preserve"> Mostly affects the nails and skin, resulting in disorders like jock itch and athlete's foot. </w:t>
      </w:r>
      <w:r w:rsidR="004C7E08" w:rsidRPr="00010A38">
        <w:rPr>
          <w:rFonts w:asciiTheme="majorHAnsi" w:hAnsiTheme="majorHAnsi" w:cstheme="majorHAnsi"/>
          <w:i/>
          <w:sz w:val="24"/>
          <w:szCs w:val="24"/>
        </w:rPr>
        <w:t>Epidermophyton floccosum</w:t>
      </w:r>
      <w:r w:rsidR="004C7E08" w:rsidRPr="00010A38">
        <w:rPr>
          <w:rFonts w:asciiTheme="majorHAnsi" w:hAnsiTheme="majorHAnsi" w:cstheme="majorHAnsi"/>
          <w:sz w:val="24"/>
          <w:szCs w:val="24"/>
        </w:rPr>
        <w:t xml:space="preserve"> is one of the most common types of superficial fungal infections in humans. Its ecology is different from those of the genera </w:t>
      </w:r>
      <w:r w:rsidR="004C7E08" w:rsidRPr="00327080">
        <w:rPr>
          <w:rFonts w:asciiTheme="majorHAnsi" w:hAnsiTheme="majorHAnsi" w:cstheme="majorHAnsi"/>
          <w:i/>
          <w:sz w:val="24"/>
          <w:szCs w:val="24"/>
        </w:rPr>
        <w:t>Trichophyton</w:t>
      </w:r>
      <w:r w:rsidR="004C7E08" w:rsidRPr="00327080">
        <w:rPr>
          <w:rFonts w:asciiTheme="majorHAnsi" w:hAnsiTheme="majorHAnsi" w:cstheme="majorHAnsi"/>
          <w:sz w:val="24"/>
          <w:szCs w:val="24"/>
        </w:rPr>
        <w:t xml:space="preserve"> and </w:t>
      </w:r>
      <w:r w:rsidR="004C7E08" w:rsidRPr="00327080">
        <w:rPr>
          <w:rFonts w:asciiTheme="majorHAnsi" w:hAnsiTheme="majorHAnsi" w:cstheme="majorHAnsi"/>
          <w:i/>
          <w:sz w:val="24"/>
          <w:szCs w:val="24"/>
        </w:rPr>
        <w:t>Microsporum</w:t>
      </w:r>
      <w:r w:rsidR="004C7E08" w:rsidRPr="00327080">
        <w:rPr>
          <w:rFonts w:asciiTheme="majorHAnsi" w:hAnsiTheme="majorHAnsi" w:cstheme="majorHAnsi"/>
          <w:sz w:val="24"/>
          <w:szCs w:val="24"/>
        </w:rPr>
        <w:t>,</w:t>
      </w:r>
      <w:r w:rsidR="004C7E08" w:rsidRPr="00010A38">
        <w:rPr>
          <w:rFonts w:asciiTheme="majorHAnsi" w:hAnsiTheme="majorHAnsi" w:cstheme="majorHAnsi"/>
          <w:sz w:val="24"/>
          <w:szCs w:val="24"/>
        </w:rPr>
        <w:t xml:space="preserve"> and it only rarely causes infections of the hair. Known as anthropophilic dermatophytes, </w:t>
      </w:r>
      <w:r w:rsidRPr="00010A38">
        <w:rPr>
          <w:rFonts w:asciiTheme="majorHAnsi" w:hAnsiTheme="majorHAnsi" w:cstheme="majorHAnsi"/>
          <w:i/>
          <w:sz w:val="24"/>
          <w:szCs w:val="24"/>
        </w:rPr>
        <w:t>Epidermophyton floccosum</w:t>
      </w:r>
      <w:r w:rsidRPr="00010A38">
        <w:rPr>
          <w:rFonts w:asciiTheme="majorHAnsi" w:hAnsiTheme="majorHAnsi" w:cstheme="majorHAnsi"/>
          <w:sz w:val="24"/>
          <w:szCs w:val="24"/>
        </w:rPr>
        <w:t xml:space="preserve"> </w:t>
      </w:r>
      <w:r w:rsidR="004C7E08" w:rsidRPr="00010A38">
        <w:rPr>
          <w:rFonts w:asciiTheme="majorHAnsi" w:hAnsiTheme="majorHAnsi" w:cstheme="majorHAnsi"/>
          <w:sz w:val="24"/>
          <w:szCs w:val="24"/>
        </w:rPr>
        <w:t>is now the sole species that exemp</w:t>
      </w:r>
      <w:r w:rsidRPr="00010A38">
        <w:rPr>
          <w:rFonts w:asciiTheme="majorHAnsi" w:hAnsiTheme="majorHAnsi" w:cstheme="majorHAnsi"/>
          <w:sz w:val="24"/>
          <w:szCs w:val="24"/>
        </w:rPr>
        <w:t>lifies the genus Epidermophyton</w:t>
      </w:r>
      <w:r w:rsidR="004C7E08" w:rsidRPr="00010A38">
        <w:rPr>
          <w:rFonts w:asciiTheme="majorHAnsi" w:hAnsiTheme="majorHAnsi" w:cstheme="majorHAnsi"/>
          <w:sz w:val="24"/>
          <w:szCs w:val="24"/>
        </w:rPr>
        <w:t xml:space="preserve"> (Liu et al., 2021)</w:t>
      </w:r>
      <w:r w:rsidRPr="00010A38">
        <w:rPr>
          <w:rFonts w:asciiTheme="majorHAnsi" w:hAnsiTheme="majorHAnsi" w:cstheme="majorHAnsi"/>
          <w:sz w:val="24"/>
          <w:szCs w:val="24"/>
        </w:rPr>
        <w:t>.</w:t>
      </w:r>
    </w:p>
    <w:p w:rsidR="001B4824" w:rsidRPr="00010A38" w:rsidRDefault="004C7E08" w:rsidP="003951C2">
      <w:pPr>
        <w:spacing w:line="360" w:lineRule="auto"/>
        <w:ind w:firstLine="720"/>
        <w:jc w:val="both"/>
        <w:rPr>
          <w:rFonts w:asciiTheme="majorHAnsi" w:hAnsiTheme="majorHAnsi" w:cstheme="majorHAnsi"/>
          <w:sz w:val="24"/>
          <w:szCs w:val="24"/>
        </w:rPr>
      </w:pPr>
      <w:r w:rsidRPr="00010A38">
        <w:rPr>
          <w:rFonts w:asciiTheme="majorHAnsi" w:hAnsiTheme="majorHAnsi" w:cstheme="majorHAnsi"/>
          <w:sz w:val="24"/>
          <w:szCs w:val="24"/>
        </w:rPr>
        <w:t>These fungi can spread by direct contact or contaminated surfaces, and they do thrive in warm, humid settings. Drugs with antifungal properties are usually used in treatment</w:t>
      </w:r>
      <w:r w:rsidR="003220B3" w:rsidRPr="00010A38">
        <w:rPr>
          <w:rFonts w:asciiTheme="majorHAnsi" w:hAnsiTheme="majorHAnsi" w:cstheme="majorHAnsi"/>
          <w:sz w:val="24"/>
          <w:szCs w:val="24"/>
        </w:rPr>
        <w:t xml:space="preserve"> (Figure 2)</w:t>
      </w:r>
      <w:r w:rsidRPr="00010A38">
        <w:rPr>
          <w:rFonts w:asciiTheme="majorHAnsi" w:hAnsiTheme="majorHAnsi" w:cstheme="majorHAnsi"/>
          <w:sz w:val="24"/>
          <w:szCs w:val="24"/>
        </w:rPr>
        <w:t>.</w:t>
      </w:r>
    </w:p>
    <w:p w:rsidR="003220B3" w:rsidRPr="00010A38" w:rsidRDefault="00327080" w:rsidP="003951C2">
      <w:pPr>
        <w:spacing w:line="360" w:lineRule="auto"/>
        <w:jc w:val="both"/>
        <w:rPr>
          <w:rFonts w:asciiTheme="majorHAnsi" w:hAnsiTheme="majorHAnsi" w:cstheme="majorHAnsi"/>
          <w:sz w:val="24"/>
          <w:szCs w:val="24"/>
        </w:rPr>
      </w:pPr>
      <w:r>
        <w:rPr>
          <w:rFonts w:asciiTheme="majorHAnsi" w:hAnsiTheme="majorHAnsi" w:cstheme="majorHAnsi"/>
          <w:noProof/>
          <w:sz w:val="24"/>
          <w:szCs w:val="24"/>
          <w:lang w:val="en-IN" w:eastAsia="en-IN"/>
        </w:rPr>
        <w:lastRenderedPageBreak/>
        <w:drawing>
          <wp:inline distT="0" distB="0" distL="0" distR="0">
            <wp:extent cx="5486400" cy="3200400"/>
            <wp:effectExtent l="0" t="57150" r="0" b="190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220B3" w:rsidRPr="00010A38" w:rsidRDefault="003220B3"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Fig</w:t>
      </w:r>
      <w:r w:rsidR="00E94B36">
        <w:rPr>
          <w:rFonts w:asciiTheme="majorHAnsi" w:hAnsiTheme="majorHAnsi" w:cstheme="majorHAnsi"/>
          <w:b/>
          <w:sz w:val="24"/>
          <w:szCs w:val="24"/>
        </w:rPr>
        <w:t xml:space="preserve">ure </w:t>
      </w:r>
      <w:r w:rsidRPr="00010A38">
        <w:rPr>
          <w:rFonts w:asciiTheme="majorHAnsi" w:hAnsiTheme="majorHAnsi" w:cstheme="majorHAnsi"/>
          <w:b/>
          <w:sz w:val="24"/>
          <w:szCs w:val="24"/>
        </w:rPr>
        <w:t>2</w:t>
      </w:r>
      <w:r w:rsidRPr="00010A38">
        <w:rPr>
          <w:rFonts w:asciiTheme="majorHAnsi" w:hAnsiTheme="majorHAnsi" w:cstheme="majorHAnsi"/>
          <w:sz w:val="24"/>
          <w:szCs w:val="24"/>
        </w:rPr>
        <w:t>. Fungal pathogen involved in ringworm</w:t>
      </w:r>
    </w:p>
    <w:p w:rsidR="001B4824" w:rsidRPr="00010A38" w:rsidRDefault="004C7E08"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5. Symptoms of Ringworm</w:t>
      </w:r>
    </w:p>
    <w:p w:rsidR="001B4824" w:rsidRPr="00010A38" w:rsidRDefault="004C7E08"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Depending on the part of the body afflicted, ringworm symptoms m</w:t>
      </w:r>
      <w:r w:rsidR="00CC08DB" w:rsidRPr="00010A38">
        <w:rPr>
          <w:rFonts w:asciiTheme="majorHAnsi" w:hAnsiTheme="majorHAnsi" w:cstheme="majorHAnsi"/>
          <w:sz w:val="24"/>
          <w:szCs w:val="24"/>
        </w:rPr>
        <w:t>ight vary but typically include-</w:t>
      </w:r>
    </w:p>
    <w:p w:rsidR="001B4824" w:rsidRPr="00010A38" w:rsidRDefault="0068486E"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w:t>
      </w:r>
      <w:r w:rsidR="00CC08DB" w:rsidRPr="00010A38">
        <w:rPr>
          <w:rFonts w:asciiTheme="majorHAnsi" w:hAnsiTheme="majorHAnsi" w:cstheme="majorHAnsi"/>
          <w:b/>
          <w:sz w:val="24"/>
          <w:szCs w:val="24"/>
        </w:rPr>
        <w:t>5.1) Red, Circular Rash-</w:t>
      </w:r>
      <w:r w:rsidR="004C7E08" w:rsidRPr="00010A38">
        <w:rPr>
          <w:rFonts w:asciiTheme="majorHAnsi" w:hAnsiTheme="majorHAnsi" w:cstheme="majorHAnsi"/>
          <w:sz w:val="24"/>
          <w:szCs w:val="24"/>
        </w:rPr>
        <w:t xml:space="preserve"> A red, raised, and frequently scaly region that can look like a ring when it spreads outward.</w:t>
      </w:r>
    </w:p>
    <w:p w:rsidR="001B4824" w:rsidRPr="00010A38" w:rsidRDefault="0068486E"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w:t>
      </w:r>
      <w:r w:rsidR="00CC08DB" w:rsidRPr="00010A38">
        <w:rPr>
          <w:rFonts w:asciiTheme="majorHAnsi" w:hAnsiTheme="majorHAnsi" w:cstheme="majorHAnsi"/>
          <w:b/>
          <w:sz w:val="24"/>
          <w:szCs w:val="24"/>
        </w:rPr>
        <w:t>5.2) Itching and Irritation-</w:t>
      </w:r>
      <w:r w:rsidR="004C7E08" w:rsidRPr="00010A38">
        <w:rPr>
          <w:rFonts w:asciiTheme="majorHAnsi" w:hAnsiTheme="majorHAnsi" w:cstheme="majorHAnsi"/>
          <w:b/>
          <w:sz w:val="24"/>
          <w:szCs w:val="24"/>
        </w:rPr>
        <w:t xml:space="preserve"> </w:t>
      </w:r>
      <w:r w:rsidR="004C7E08" w:rsidRPr="00010A38">
        <w:rPr>
          <w:rFonts w:asciiTheme="majorHAnsi" w:hAnsiTheme="majorHAnsi" w:cstheme="majorHAnsi"/>
          <w:sz w:val="24"/>
          <w:szCs w:val="24"/>
        </w:rPr>
        <w:t>In general, affected areas itch and may feel painful.</w:t>
      </w:r>
    </w:p>
    <w:p w:rsidR="001B4824" w:rsidRPr="00010A38" w:rsidRDefault="0068486E"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w:t>
      </w:r>
      <w:r w:rsidR="00CC08DB" w:rsidRPr="00010A38">
        <w:rPr>
          <w:rFonts w:asciiTheme="majorHAnsi" w:hAnsiTheme="majorHAnsi" w:cstheme="majorHAnsi"/>
          <w:b/>
          <w:sz w:val="24"/>
          <w:szCs w:val="24"/>
        </w:rPr>
        <w:t>5.3) Bald Patches-</w:t>
      </w:r>
      <w:r w:rsidR="004C7E08" w:rsidRPr="00010A38">
        <w:rPr>
          <w:rFonts w:asciiTheme="majorHAnsi" w:hAnsiTheme="majorHAnsi" w:cstheme="majorHAnsi"/>
          <w:b/>
          <w:sz w:val="24"/>
          <w:szCs w:val="24"/>
        </w:rPr>
        <w:t xml:space="preserve"> </w:t>
      </w:r>
      <w:r w:rsidR="004C7E08" w:rsidRPr="00010A38">
        <w:rPr>
          <w:rFonts w:asciiTheme="majorHAnsi" w:hAnsiTheme="majorHAnsi" w:cstheme="majorHAnsi"/>
          <w:sz w:val="24"/>
          <w:szCs w:val="24"/>
        </w:rPr>
        <w:t>Hair loss in patches may occur in circumstances where the scalp is affected.</w:t>
      </w:r>
    </w:p>
    <w:p w:rsidR="001B4824" w:rsidRPr="00010A38" w:rsidRDefault="0068486E"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w:t>
      </w:r>
      <w:r w:rsidR="00CC08DB" w:rsidRPr="00010A38">
        <w:rPr>
          <w:rFonts w:asciiTheme="majorHAnsi" w:hAnsiTheme="majorHAnsi" w:cstheme="majorHAnsi"/>
          <w:b/>
          <w:sz w:val="24"/>
          <w:szCs w:val="24"/>
        </w:rPr>
        <w:t>5.</w:t>
      </w:r>
      <w:r w:rsidR="004C7E08" w:rsidRPr="00010A38">
        <w:rPr>
          <w:rFonts w:asciiTheme="majorHAnsi" w:hAnsiTheme="majorHAnsi" w:cstheme="majorHAnsi"/>
          <w:b/>
          <w:sz w:val="24"/>
          <w:szCs w:val="24"/>
        </w:rPr>
        <w:t>4) Dry, Flaky Skin</w:t>
      </w:r>
      <w:r w:rsidR="00CC08DB" w:rsidRPr="00010A38">
        <w:rPr>
          <w:rFonts w:asciiTheme="majorHAnsi" w:hAnsiTheme="majorHAnsi" w:cstheme="majorHAnsi"/>
          <w:sz w:val="24"/>
          <w:szCs w:val="24"/>
        </w:rPr>
        <w:t>-</w:t>
      </w:r>
      <w:r w:rsidR="004C7E08" w:rsidRPr="00010A38">
        <w:rPr>
          <w:rFonts w:asciiTheme="majorHAnsi" w:hAnsiTheme="majorHAnsi" w:cstheme="majorHAnsi"/>
          <w:sz w:val="24"/>
          <w:szCs w:val="24"/>
        </w:rPr>
        <w:t xml:space="preserve"> Dryness and flakiness of the skin may occur in the afflicted area.</w:t>
      </w:r>
    </w:p>
    <w:p w:rsidR="001B4824" w:rsidRPr="00010A38" w:rsidRDefault="0068486E"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w:t>
      </w:r>
      <w:r w:rsidR="00CC08DB" w:rsidRPr="00010A38">
        <w:rPr>
          <w:rFonts w:asciiTheme="majorHAnsi" w:hAnsiTheme="majorHAnsi" w:cstheme="majorHAnsi"/>
          <w:b/>
          <w:sz w:val="24"/>
          <w:szCs w:val="24"/>
        </w:rPr>
        <w:t>5.5) Blisters or Pustules-</w:t>
      </w:r>
      <w:r w:rsidR="004C7E08" w:rsidRPr="00010A38">
        <w:rPr>
          <w:rFonts w:asciiTheme="majorHAnsi" w:hAnsiTheme="majorHAnsi" w:cstheme="majorHAnsi"/>
          <w:b/>
          <w:sz w:val="24"/>
          <w:szCs w:val="24"/>
        </w:rPr>
        <w:t xml:space="preserve"> </w:t>
      </w:r>
      <w:r w:rsidR="004C7E08" w:rsidRPr="00010A38">
        <w:rPr>
          <w:rFonts w:asciiTheme="majorHAnsi" w:hAnsiTheme="majorHAnsi" w:cstheme="majorHAnsi"/>
          <w:sz w:val="24"/>
          <w:szCs w:val="24"/>
        </w:rPr>
        <w:t>Around the rash's margins, little blisters or pustules can sometimes form.</w:t>
      </w:r>
    </w:p>
    <w:p w:rsidR="001B4824" w:rsidRPr="00010A38" w:rsidRDefault="0068486E"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w:t>
      </w:r>
      <w:r w:rsidR="00CC08DB" w:rsidRPr="00010A38">
        <w:rPr>
          <w:rFonts w:asciiTheme="majorHAnsi" w:hAnsiTheme="majorHAnsi" w:cstheme="majorHAnsi"/>
          <w:b/>
          <w:sz w:val="24"/>
          <w:szCs w:val="24"/>
        </w:rPr>
        <w:t>5.6) Nail Changes-</w:t>
      </w:r>
      <w:r w:rsidR="004C7E08" w:rsidRPr="00010A38">
        <w:rPr>
          <w:rFonts w:asciiTheme="majorHAnsi" w:hAnsiTheme="majorHAnsi" w:cstheme="majorHAnsi"/>
          <w:b/>
          <w:sz w:val="24"/>
          <w:szCs w:val="24"/>
        </w:rPr>
        <w:t xml:space="preserve"> </w:t>
      </w:r>
      <w:r w:rsidR="004C7E08" w:rsidRPr="00010A38">
        <w:rPr>
          <w:rFonts w:asciiTheme="majorHAnsi" w:hAnsiTheme="majorHAnsi" w:cstheme="majorHAnsi"/>
          <w:sz w:val="24"/>
          <w:szCs w:val="24"/>
        </w:rPr>
        <w:t>Nails infected by ringworm may thicken</w:t>
      </w:r>
      <w:r w:rsidR="00CC08DB" w:rsidRPr="00010A38">
        <w:rPr>
          <w:rFonts w:asciiTheme="majorHAnsi" w:hAnsiTheme="majorHAnsi" w:cstheme="majorHAnsi"/>
          <w:sz w:val="24"/>
          <w:szCs w:val="24"/>
        </w:rPr>
        <w:t>, break, or turn discolored (</w:t>
      </w:r>
      <w:hyperlink r:id="rId22">
        <w:r w:rsidR="004C7E08" w:rsidRPr="00010A38">
          <w:rPr>
            <w:rStyle w:val="Hyperlink"/>
            <w:rFonts w:asciiTheme="majorHAnsi" w:hAnsiTheme="majorHAnsi" w:cstheme="majorHAnsi"/>
            <w:color w:val="auto"/>
            <w:sz w:val="24"/>
            <w:szCs w:val="24"/>
          </w:rPr>
          <w:t>https://www.aad.org/public/diseases/a-z/ringworm-symptoms</w:t>
        </w:r>
      </w:hyperlink>
      <w:r w:rsidR="00CC08DB" w:rsidRPr="00010A38">
        <w:rPr>
          <w:rStyle w:val="Hyperlink"/>
          <w:rFonts w:asciiTheme="majorHAnsi" w:hAnsiTheme="majorHAnsi" w:cstheme="majorHAnsi"/>
          <w:color w:val="auto"/>
          <w:sz w:val="24"/>
          <w:szCs w:val="24"/>
        </w:rPr>
        <w:t>).</w:t>
      </w:r>
    </w:p>
    <w:p w:rsidR="001B4824" w:rsidRPr="00010A38" w:rsidRDefault="004C7E08"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6. Ringworm Variations by Body Area</w:t>
      </w:r>
    </w:p>
    <w:p w:rsidR="0068486E" w:rsidRDefault="0068486E"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lastRenderedPageBreak/>
        <w:t>Ringworm, or dermatophytosis, manifests differently depending on the area of the body it affects. On the body (</w:t>
      </w:r>
      <w:r w:rsidRPr="00010A38">
        <w:rPr>
          <w:rFonts w:asciiTheme="majorHAnsi" w:hAnsiTheme="majorHAnsi" w:cstheme="majorHAnsi"/>
          <w:i/>
          <w:sz w:val="24"/>
          <w:szCs w:val="24"/>
        </w:rPr>
        <w:t>tinea corporis</w:t>
      </w:r>
      <w:r w:rsidRPr="00010A38">
        <w:rPr>
          <w:rFonts w:asciiTheme="majorHAnsi" w:hAnsiTheme="majorHAnsi" w:cstheme="majorHAnsi"/>
          <w:sz w:val="24"/>
          <w:szCs w:val="24"/>
        </w:rPr>
        <w:t xml:space="preserve">), it typically appears as itchy, circular patches with raised, scaly borders and clear centers, often on the arms, legs, or torso </w:t>
      </w:r>
      <w:r w:rsidR="00130BF9" w:rsidRPr="00010A38">
        <w:rPr>
          <w:rFonts w:asciiTheme="majorHAnsi" w:hAnsiTheme="majorHAnsi" w:cstheme="majorHAnsi"/>
          <w:sz w:val="24"/>
          <w:szCs w:val="24"/>
        </w:rPr>
        <w:t>(</w:t>
      </w:r>
      <w:hyperlink r:id="rId23" w:history="1">
        <w:r w:rsidR="00130BF9" w:rsidRPr="00010A38">
          <w:rPr>
            <w:rStyle w:val="Hyperlink"/>
            <w:rFonts w:asciiTheme="majorHAnsi" w:hAnsiTheme="majorHAnsi" w:cstheme="majorHAnsi"/>
            <w:color w:val="auto"/>
            <w:sz w:val="24"/>
            <w:szCs w:val="24"/>
          </w:rPr>
          <w:t>https://www.healthline.com/health/ringworm</w:t>
        </w:r>
      </w:hyperlink>
      <w:r w:rsidR="00130BF9" w:rsidRPr="00010A38">
        <w:rPr>
          <w:rFonts w:asciiTheme="majorHAnsi" w:hAnsiTheme="majorHAnsi" w:cstheme="majorHAnsi"/>
          <w:sz w:val="24"/>
          <w:szCs w:val="24"/>
        </w:rPr>
        <w:t>) (</w:t>
      </w:r>
      <w:hyperlink r:id="rId24" w:history="1">
        <w:r w:rsidR="00130BF9" w:rsidRPr="00010A38">
          <w:rPr>
            <w:rStyle w:val="Hyperlink"/>
            <w:rFonts w:asciiTheme="majorHAnsi" w:hAnsiTheme="majorHAnsi" w:cstheme="majorHAnsi"/>
            <w:color w:val="auto"/>
            <w:sz w:val="24"/>
            <w:szCs w:val="24"/>
          </w:rPr>
          <w:t>https://www.mayoclinic.org/diseases-conditions/ringworm-body/symptoms-causes/syc-20353780</w:t>
        </w:r>
      </w:hyperlink>
      <w:r w:rsidR="00130BF9" w:rsidRPr="00010A38">
        <w:rPr>
          <w:rFonts w:asciiTheme="majorHAnsi" w:hAnsiTheme="majorHAnsi" w:cstheme="majorHAnsi"/>
          <w:sz w:val="24"/>
          <w:szCs w:val="24"/>
        </w:rPr>
        <w:t>)</w:t>
      </w:r>
      <w:r w:rsidRPr="00010A38">
        <w:rPr>
          <w:rFonts w:asciiTheme="majorHAnsi" w:hAnsiTheme="majorHAnsi" w:cstheme="majorHAnsi"/>
          <w:sz w:val="24"/>
          <w:szCs w:val="24"/>
        </w:rPr>
        <w:t>.</w:t>
      </w:r>
      <w:r w:rsidR="00130BF9" w:rsidRPr="00010A38">
        <w:rPr>
          <w:rFonts w:asciiTheme="majorHAnsi" w:hAnsiTheme="majorHAnsi" w:cstheme="majorHAnsi"/>
          <w:sz w:val="24"/>
          <w:szCs w:val="24"/>
        </w:rPr>
        <w:t xml:space="preserve"> </w:t>
      </w:r>
      <w:r w:rsidRPr="00010A38">
        <w:rPr>
          <w:rFonts w:asciiTheme="majorHAnsi" w:hAnsiTheme="majorHAnsi" w:cstheme="majorHAnsi"/>
          <w:sz w:val="24"/>
          <w:szCs w:val="24"/>
        </w:rPr>
        <w:t xml:space="preserve"> The scalp (</w:t>
      </w:r>
      <w:r w:rsidRPr="00010A38">
        <w:rPr>
          <w:rFonts w:asciiTheme="majorHAnsi" w:hAnsiTheme="majorHAnsi" w:cstheme="majorHAnsi"/>
          <w:i/>
          <w:sz w:val="24"/>
          <w:szCs w:val="24"/>
        </w:rPr>
        <w:t>tinea capitis</w:t>
      </w:r>
      <w:r w:rsidRPr="00010A38">
        <w:rPr>
          <w:rFonts w:asciiTheme="majorHAnsi" w:hAnsiTheme="majorHAnsi" w:cstheme="majorHAnsi"/>
          <w:sz w:val="24"/>
          <w:szCs w:val="24"/>
        </w:rPr>
        <w:t xml:space="preserve">) is commonly affected in children, causing itchy, scaly bald spots where hair may break or fall out </w:t>
      </w:r>
      <w:r w:rsidR="00A22D47" w:rsidRPr="00010A38">
        <w:rPr>
          <w:rFonts w:asciiTheme="majorHAnsi" w:hAnsiTheme="majorHAnsi" w:cstheme="majorHAnsi"/>
          <w:sz w:val="24"/>
          <w:szCs w:val="24"/>
        </w:rPr>
        <w:t>(</w:t>
      </w:r>
      <w:hyperlink r:id="rId25" w:history="1">
        <w:r w:rsidR="00A22D47" w:rsidRPr="00010A38">
          <w:rPr>
            <w:rStyle w:val="Hyperlink"/>
            <w:rFonts w:asciiTheme="majorHAnsi" w:hAnsiTheme="majorHAnsi" w:cstheme="majorHAnsi"/>
            <w:color w:val="auto"/>
            <w:sz w:val="24"/>
            <w:szCs w:val="24"/>
          </w:rPr>
          <w:t>https://www.healthline.com/health/ringworm</w:t>
        </w:r>
      </w:hyperlink>
      <w:r w:rsidR="00A22D47" w:rsidRPr="00010A38">
        <w:rPr>
          <w:rFonts w:asciiTheme="majorHAnsi" w:hAnsiTheme="majorHAnsi" w:cstheme="majorHAnsi"/>
          <w:sz w:val="24"/>
          <w:szCs w:val="24"/>
        </w:rPr>
        <w:t>)</w:t>
      </w:r>
      <w:r w:rsidRPr="00010A38">
        <w:rPr>
          <w:rFonts w:asciiTheme="majorHAnsi" w:hAnsiTheme="majorHAnsi" w:cstheme="majorHAnsi"/>
          <w:sz w:val="24"/>
          <w:szCs w:val="24"/>
        </w:rPr>
        <w:t>.</w:t>
      </w:r>
      <w:r w:rsidR="00A22D47" w:rsidRPr="00010A38">
        <w:rPr>
          <w:rFonts w:asciiTheme="majorHAnsi" w:hAnsiTheme="majorHAnsi" w:cstheme="majorHAnsi"/>
          <w:sz w:val="24"/>
          <w:szCs w:val="24"/>
        </w:rPr>
        <w:t xml:space="preserve"> </w:t>
      </w:r>
      <w:r w:rsidRPr="00010A38">
        <w:rPr>
          <w:rFonts w:asciiTheme="majorHAnsi" w:hAnsiTheme="majorHAnsi" w:cstheme="majorHAnsi"/>
          <w:sz w:val="24"/>
          <w:szCs w:val="24"/>
        </w:rPr>
        <w:t xml:space="preserve">In the groin area (tinea cruris or jock itch), ringworm presents as an itchy, scaly rash on the inner thighs and buttocks, more prevalent in males and adolescent boys </w:t>
      </w:r>
      <w:r w:rsidR="00A22D47" w:rsidRPr="00010A38">
        <w:rPr>
          <w:rFonts w:asciiTheme="majorHAnsi" w:hAnsiTheme="majorHAnsi" w:cstheme="majorHAnsi"/>
          <w:sz w:val="24"/>
          <w:szCs w:val="24"/>
        </w:rPr>
        <w:t>(</w:t>
      </w:r>
      <w:hyperlink r:id="rId26" w:history="1">
        <w:r w:rsidR="00A22D47" w:rsidRPr="00010A38">
          <w:rPr>
            <w:rStyle w:val="Hyperlink"/>
            <w:rFonts w:asciiTheme="majorHAnsi" w:hAnsiTheme="majorHAnsi" w:cstheme="majorHAnsi"/>
            <w:color w:val="auto"/>
            <w:sz w:val="24"/>
            <w:szCs w:val="24"/>
          </w:rPr>
          <w:t>https://www.webmd.com/skin-problems-and-treatments/what-you-should-know-about-ringworm</w:t>
        </w:r>
      </w:hyperlink>
      <w:r w:rsidR="00A22D47" w:rsidRPr="00010A38">
        <w:rPr>
          <w:rFonts w:asciiTheme="majorHAnsi" w:hAnsiTheme="majorHAnsi" w:cstheme="majorHAnsi"/>
          <w:sz w:val="24"/>
          <w:szCs w:val="24"/>
        </w:rPr>
        <w:t>)</w:t>
      </w:r>
      <w:r w:rsidRPr="00010A38">
        <w:rPr>
          <w:rFonts w:asciiTheme="majorHAnsi" w:hAnsiTheme="majorHAnsi" w:cstheme="majorHAnsi"/>
          <w:sz w:val="24"/>
          <w:szCs w:val="24"/>
        </w:rPr>
        <w:t>.</w:t>
      </w:r>
      <w:r w:rsidR="00A22D47" w:rsidRPr="00010A38">
        <w:rPr>
          <w:rFonts w:asciiTheme="majorHAnsi" w:hAnsiTheme="majorHAnsi" w:cstheme="majorHAnsi"/>
          <w:sz w:val="24"/>
          <w:szCs w:val="24"/>
        </w:rPr>
        <w:t xml:space="preserve"> </w:t>
      </w:r>
      <w:r w:rsidRPr="00010A38">
        <w:rPr>
          <w:rFonts w:asciiTheme="majorHAnsi" w:hAnsiTheme="majorHAnsi" w:cstheme="majorHAnsi"/>
          <w:sz w:val="24"/>
          <w:szCs w:val="24"/>
        </w:rPr>
        <w:t>Athlete's foot (</w:t>
      </w:r>
      <w:r w:rsidRPr="00010A38">
        <w:rPr>
          <w:rFonts w:asciiTheme="majorHAnsi" w:hAnsiTheme="majorHAnsi" w:cstheme="majorHAnsi"/>
          <w:i/>
          <w:sz w:val="24"/>
          <w:szCs w:val="24"/>
        </w:rPr>
        <w:t>tinea pedis</w:t>
      </w:r>
      <w:r w:rsidRPr="00010A38">
        <w:rPr>
          <w:rFonts w:asciiTheme="majorHAnsi" w:hAnsiTheme="majorHAnsi" w:cstheme="majorHAnsi"/>
          <w:sz w:val="24"/>
          <w:szCs w:val="24"/>
        </w:rPr>
        <w:t>) affects the feet, causing peeling, itching, and sometimes bl</w:t>
      </w:r>
      <w:r w:rsidR="00C60656" w:rsidRPr="00010A38">
        <w:rPr>
          <w:rFonts w:asciiTheme="majorHAnsi" w:hAnsiTheme="majorHAnsi" w:cstheme="majorHAnsi"/>
          <w:sz w:val="24"/>
          <w:szCs w:val="24"/>
        </w:rPr>
        <w:t>istering between the toes</w:t>
      </w:r>
      <w:r w:rsidRPr="00010A38">
        <w:rPr>
          <w:rFonts w:asciiTheme="majorHAnsi" w:hAnsiTheme="majorHAnsi" w:cstheme="majorHAnsi"/>
          <w:sz w:val="24"/>
          <w:szCs w:val="24"/>
        </w:rPr>
        <w:t>. Beard ringworm (</w:t>
      </w:r>
      <w:r w:rsidRPr="00010A38">
        <w:rPr>
          <w:rFonts w:asciiTheme="majorHAnsi" w:hAnsiTheme="majorHAnsi" w:cstheme="majorHAnsi"/>
          <w:i/>
          <w:sz w:val="24"/>
          <w:szCs w:val="24"/>
        </w:rPr>
        <w:t>tinea barbae</w:t>
      </w:r>
      <w:r w:rsidRPr="00010A38">
        <w:rPr>
          <w:rFonts w:asciiTheme="majorHAnsi" w:hAnsiTheme="majorHAnsi" w:cstheme="majorHAnsi"/>
          <w:sz w:val="24"/>
          <w:szCs w:val="24"/>
        </w:rPr>
        <w:t>) results in itchy, scaly spots on the cheeks, chin, and upper neck, potentially leading to hair loss. Hand ringworm (</w:t>
      </w:r>
      <w:r w:rsidRPr="00010A38">
        <w:rPr>
          <w:rFonts w:asciiTheme="majorHAnsi" w:hAnsiTheme="majorHAnsi" w:cstheme="majorHAnsi"/>
          <w:i/>
          <w:sz w:val="24"/>
          <w:szCs w:val="24"/>
        </w:rPr>
        <w:t>tinea manuum</w:t>
      </w:r>
      <w:r w:rsidRPr="00010A38">
        <w:rPr>
          <w:rFonts w:asciiTheme="majorHAnsi" w:hAnsiTheme="majorHAnsi" w:cstheme="majorHAnsi"/>
          <w:sz w:val="24"/>
          <w:szCs w:val="24"/>
        </w:rPr>
        <w:t>) is characterized by dry, cracked skin on the palms and ring-shaped patches on the back of the hands. Lastly, nail ringworm (</w:t>
      </w:r>
      <w:r w:rsidRPr="00010A38">
        <w:rPr>
          <w:rFonts w:asciiTheme="majorHAnsi" w:hAnsiTheme="majorHAnsi" w:cstheme="majorHAnsi"/>
          <w:i/>
          <w:sz w:val="24"/>
          <w:szCs w:val="24"/>
        </w:rPr>
        <w:t>tinea unguium</w:t>
      </w:r>
      <w:r w:rsidRPr="00010A38">
        <w:rPr>
          <w:rFonts w:asciiTheme="majorHAnsi" w:hAnsiTheme="majorHAnsi" w:cstheme="majorHAnsi"/>
          <w:sz w:val="24"/>
          <w:szCs w:val="24"/>
        </w:rPr>
        <w:t xml:space="preserve"> or onychomycosis) causes thickening and discoloration of the nails, more commonly affecting toenails </w:t>
      </w:r>
      <w:r w:rsidR="001322EA" w:rsidRPr="00010A38">
        <w:rPr>
          <w:rFonts w:asciiTheme="majorHAnsi" w:hAnsiTheme="majorHAnsi" w:cstheme="majorHAnsi"/>
          <w:sz w:val="24"/>
          <w:szCs w:val="24"/>
        </w:rPr>
        <w:t>(</w:t>
      </w:r>
      <w:hyperlink r:id="rId27" w:history="1">
        <w:r w:rsidR="001322EA" w:rsidRPr="00010A38">
          <w:rPr>
            <w:rStyle w:val="Hyperlink"/>
            <w:rFonts w:asciiTheme="majorHAnsi" w:hAnsiTheme="majorHAnsi" w:cstheme="majorHAnsi"/>
            <w:color w:val="auto"/>
            <w:sz w:val="24"/>
            <w:szCs w:val="24"/>
          </w:rPr>
          <w:t>https://www.webmd.com/skin-problems-and-treatments/what-you-should-know-about-ringworm</w:t>
        </w:r>
      </w:hyperlink>
      <w:r w:rsidR="001322EA" w:rsidRPr="00010A38">
        <w:rPr>
          <w:rFonts w:asciiTheme="majorHAnsi" w:hAnsiTheme="majorHAnsi" w:cstheme="majorHAnsi"/>
          <w:sz w:val="24"/>
          <w:szCs w:val="24"/>
        </w:rPr>
        <w:t>) (</w:t>
      </w:r>
      <w:hyperlink r:id="rId28" w:history="1">
        <w:r w:rsidR="001322EA" w:rsidRPr="00010A38">
          <w:rPr>
            <w:rStyle w:val="Hyperlink"/>
            <w:rFonts w:asciiTheme="majorHAnsi" w:hAnsiTheme="majorHAnsi" w:cstheme="majorHAnsi"/>
            <w:color w:val="auto"/>
            <w:sz w:val="24"/>
            <w:szCs w:val="24"/>
          </w:rPr>
          <w:t>https://www.everydayhealth.com/ringworm/guide/</w:t>
        </w:r>
      </w:hyperlink>
      <w:r w:rsidR="001322EA" w:rsidRPr="00010A38">
        <w:rPr>
          <w:rFonts w:asciiTheme="majorHAnsi" w:hAnsiTheme="majorHAnsi" w:cstheme="majorHAnsi"/>
          <w:sz w:val="24"/>
          <w:szCs w:val="24"/>
        </w:rPr>
        <w:t>) (Figure 3)</w:t>
      </w:r>
      <w:r w:rsidRPr="00010A38">
        <w:rPr>
          <w:rFonts w:asciiTheme="majorHAnsi" w:hAnsiTheme="majorHAnsi" w:cstheme="majorHAnsi"/>
          <w:sz w:val="24"/>
          <w:szCs w:val="24"/>
        </w:rPr>
        <w:t>.</w:t>
      </w:r>
      <w:r w:rsidR="001322EA" w:rsidRPr="00010A38">
        <w:rPr>
          <w:rFonts w:asciiTheme="majorHAnsi" w:hAnsiTheme="majorHAnsi" w:cstheme="majorHAnsi"/>
          <w:sz w:val="24"/>
          <w:szCs w:val="24"/>
        </w:rPr>
        <w:t xml:space="preserve"> </w:t>
      </w:r>
    </w:p>
    <w:p w:rsidR="00327080" w:rsidRDefault="00327080" w:rsidP="003951C2">
      <w:pPr>
        <w:spacing w:line="360" w:lineRule="auto"/>
        <w:jc w:val="both"/>
        <w:rPr>
          <w:rFonts w:asciiTheme="majorHAnsi" w:hAnsiTheme="majorHAnsi" w:cstheme="majorHAnsi"/>
          <w:sz w:val="24"/>
          <w:szCs w:val="24"/>
        </w:rPr>
      </w:pPr>
    </w:p>
    <w:p w:rsidR="00327080" w:rsidRPr="00010A38" w:rsidRDefault="00327080" w:rsidP="003951C2">
      <w:pPr>
        <w:spacing w:line="360" w:lineRule="auto"/>
        <w:jc w:val="both"/>
        <w:rPr>
          <w:rFonts w:asciiTheme="majorHAnsi" w:hAnsiTheme="majorHAnsi" w:cstheme="majorHAnsi"/>
          <w:sz w:val="24"/>
          <w:szCs w:val="24"/>
        </w:rPr>
      </w:pPr>
      <w:r>
        <w:rPr>
          <w:rFonts w:asciiTheme="majorHAnsi" w:hAnsiTheme="majorHAnsi" w:cstheme="majorHAnsi"/>
          <w:noProof/>
          <w:sz w:val="24"/>
          <w:szCs w:val="24"/>
          <w:lang w:val="en-IN" w:eastAsia="en-IN"/>
        </w:rPr>
        <w:drawing>
          <wp:inline distT="0" distB="0" distL="0" distR="0">
            <wp:extent cx="5987332" cy="2592125"/>
            <wp:effectExtent l="57150" t="57150" r="33020" b="3683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1B4824" w:rsidRPr="00010A38" w:rsidRDefault="00EB73C3"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Fig</w:t>
      </w:r>
      <w:r w:rsidR="006F6B96">
        <w:rPr>
          <w:rFonts w:asciiTheme="majorHAnsi" w:hAnsiTheme="majorHAnsi" w:cstheme="majorHAnsi"/>
          <w:b/>
          <w:sz w:val="24"/>
          <w:szCs w:val="24"/>
        </w:rPr>
        <w:t>ure</w:t>
      </w:r>
      <w:r w:rsidRPr="00010A38">
        <w:rPr>
          <w:rFonts w:asciiTheme="majorHAnsi" w:hAnsiTheme="majorHAnsi" w:cstheme="majorHAnsi"/>
          <w:b/>
          <w:sz w:val="24"/>
          <w:szCs w:val="24"/>
        </w:rPr>
        <w:t xml:space="preserve"> 3.</w:t>
      </w:r>
      <w:r w:rsidR="004C7E08" w:rsidRPr="00010A38">
        <w:rPr>
          <w:rFonts w:asciiTheme="majorHAnsi" w:hAnsiTheme="majorHAnsi" w:cstheme="majorHAnsi"/>
          <w:b/>
          <w:sz w:val="24"/>
          <w:szCs w:val="24"/>
        </w:rPr>
        <w:t xml:space="preserve"> </w:t>
      </w:r>
      <w:r w:rsidR="004C7E08" w:rsidRPr="00010A38">
        <w:rPr>
          <w:rFonts w:asciiTheme="majorHAnsi" w:hAnsiTheme="majorHAnsi" w:cstheme="majorHAnsi"/>
          <w:sz w:val="24"/>
          <w:szCs w:val="24"/>
        </w:rPr>
        <w:t>Body Area-specific Ringworm Variations</w:t>
      </w:r>
    </w:p>
    <w:p w:rsidR="001B4824" w:rsidRPr="00010A38" w:rsidRDefault="004C7E08"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lastRenderedPageBreak/>
        <w:t> 7. Diagnosis of Ringworm</w:t>
      </w:r>
    </w:p>
    <w:p w:rsidR="00E820A6" w:rsidRPr="00010A38" w:rsidRDefault="00E820A6"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 xml:space="preserve">7.1 </w:t>
      </w:r>
      <w:r w:rsidR="004C7E08" w:rsidRPr="00010A38">
        <w:rPr>
          <w:rFonts w:asciiTheme="majorHAnsi" w:hAnsiTheme="majorHAnsi" w:cstheme="majorHAnsi"/>
          <w:b/>
          <w:sz w:val="24"/>
          <w:szCs w:val="24"/>
        </w:rPr>
        <w:t>Clinical Examination</w:t>
      </w:r>
      <w:r w:rsidR="006D09B6" w:rsidRPr="00010A38">
        <w:rPr>
          <w:rFonts w:asciiTheme="majorHAnsi" w:hAnsiTheme="majorHAnsi" w:cstheme="majorHAnsi"/>
          <w:sz w:val="24"/>
          <w:szCs w:val="24"/>
        </w:rPr>
        <w:t xml:space="preserve">- </w:t>
      </w:r>
      <w:r w:rsidRPr="00010A38">
        <w:rPr>
          <w:rFonts w:asciiTheme="majorHAnsi" w:hAnsiTheme="majorHAnsi" w:cstheme="majorHAnsi"/>
          <w:sz w:val="24"/>
          <w:szCs w:val="24"/>
        </w:rPr>
        <w:t>Clinical testing for ringworm is a systematic assessment to ascertain the characteristics of the illn</w:t>
      </w:r>
      <w:r w:rsidR="00CE19DE" w:rsidRPr="00010A38">
        <w:rPr>
          <w:rFonts w:asciiTheme="majorHAnsi" w:hAnsiTheme="majorHAnsi" w:cstheme="majorHAnsi"/>
          <w:sz w:val="24"/>
          <w:szCs w:val="24"/>
        </w:rPr>
        <w:t xml:space="preserve">ess and confirm the diagnosis. </w:t>
      </w:r>
      <w:r w:rsidRPr="00010A38">
        <w:rPr>
          <w:rFonts w:asciiTheme="majorHAnsi" w:hAnsiTheme="majorHAnsi" w:cstheme="majorHAnsi"/>
          <w:sz w:val="24"/>
          <w:szCs w:val="24"/>
        </w:rPr>
        <w:t>During the examination, the following typically transpires: Visual Inspection, Symptom Assessment, Site-specific Examination, Palpation, Evaluation of Adjacent Areas, and Documentation.  This thorough assessment facilitates an accurate diagnosis, guiding appropriate therapy and management of ringworm.</w:t>
      </w:r>
    </w:p>
    <w:p w:rsidR="00E820A6" w:rsidRPr="00010A38" w:rsidRDefault="006D09B6"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 xml:space="preserve">7.2 </w:t>
      </w:r>
      <w:r w:rsidR="004C7E08" w:rsidRPr="00010A38">
        <w:rPr>
          <w:rFonts w:asciiTheme="majorHAnsi" w:hAnsiTheme="majorHAnsi" w:cstheme="majorHAnsi"/>
          <w:b/>
          <w:sz w:val="24"/>
          <w:szCs w:val="24"/>
        </w:rPr>
        <w:t>Laboratory Tests</w:t>
      </w:r>
      <w:r w:rsidRPr="00010A38">
        <w:rPr>
          <w:rFonts w:asciiTheme="majorHAnsi" w:hAnsiTheme="majorHAnsi" w:cstheme="majorHAnsi"/>
          <w:sz w:val="24"/>
          <w:szCs w:val="24"/>
        </w:rPr>
        <w:t xml:space="preserve">- </w:t>
      </w:r>
      <w:r w:rsidR="00E820A6" w:rsidRPr="00010A38">
        <w:rPr>
          <w:rFonts w:asciiTheme="majorHAnsi" w:hAnsiTheme="majorHAnsi" w:cstheme="majorHAnsi"/>
          <w:sz w:val="24"/>
          <w:szCs w:val="24"/>
        </w:rPr>
        <w:t>Laboratory testing is essential for determining the existence of a fungal illness, such as ringworm.  The following tests are commonly utilized:  Laboratory Assessments - Fungal Culture, Wood's Lamp Examination, Skin Biopsy, PCR (Polymerase Chain Reaction) Testing.  These laboratory tests confirm the diagnosis of ringworm and differentiate it from other dermatological conditions, ensuring the appropriate treatment is delivered.</w:t>
      </w:r>
    </w:p>
    <w:p w:rsidR="002A7537" w:rsidRPr="00010A38" w:rsidRDefault="006D09B6"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 xml:space="preserve">7.3 </w:t>
      </w:r>
      <w:r w:rsidR="004C7E08" w:rsidRPr="00010A38">
        <w:rPr>
          <w:rFonts w:asciiTheme="majorHAnsi" w:hAnsiTheme="majorHAnsi" w:cstheme="majorHAnsi"/>
          <w:b/>
          <w:sz w:val="24"/>
          <w:szCs w:val="24"/>
        </w:rPr>
        <w:t>Differential Diagnosis</w:t>
      </w:r>
      <w:r w:rsidRPr="00010A38">
        <w:rPr>
          <w:rFonts w:asciiTheme="majorHAnsi" w:hAnsiTheme="majorHAnsi" w:cstheme="majorHAnsi"/>
          <w:sz w:val="24"/>
          <w:szCs w:val="24"/>
        </w:rPr>
        <w:t xml:space="preserve">- </w:t>
      </w:r>
      <w:r w:rsidRPr="00010A38">
        <w:rPr>
          <w:rFonts w:asciiTheme="majorHAnsi" w:hAnsiTheme="majorHAnsi" w:cstheme="majorHAnsi"/>
          <w:i/>
          <w:sz w:val="24"/>
          <w:szCs w:val="24"/>
        </w:rPr>
        <w:t xml:space="preserve">Tinea corporis </w:t>
      </w:r>
      <w:r w:rsidRPr="00010A38">
        <w:rPr>
          <w:rFonts w:asciiTheme="majorHAnsi" w:hAnsiTheme="majorHAnsi" w:cstheme="majorHAnsi"/>
          <w:sz w:val="24"/>
          <w:szCs w:val="24"/>
        </w:rPr>
        <w:t xml:space="preserve">may resemble other disorders included in the differential diagnosis.  Typically, these also have annular lesions.  Further investigation is warranted in instances that do not respond to antifungal treatment or have a negative potassium hydroxide microscopic examination.  In cases of severe disease, particularly with extensive skin involvement, the clinician must exclude other, more perilous conditions </w:t>
      </w:r>
      <w:r w:rsidR="009C017B" w:rsidRPr="00010A38">
        <w:rPr>
          <w:rFonts w:asciiTheme="majorHAnsi" w:hAnsiTheme="majorHAnsi" w:cstheme="majorHAnsi"/>
          <w:sz w:val="24"/>
          <w:szCs w:val="24"/>
        </w:rPr>
        <w:t>(Yee &amp; Al Aboud 2022</w:t>
      </w:r>
      <w:r w:rsidRPr="00010A38">
        <w:rPr>
          <w:rFonts w:asciiTheme="majorHAnsi" w:hAnsiTheme="majorHAnsi" w:cstheme="majorHAnsi"/>
          <w:sz w:val="24"/>
          <w:szCs w:val="24"/>
        </w:rPr>
        <w:t>).  Differential diagnosis is essential to distinguish ringworm from other skin conditions that may present with analogous symptoms (Ely &amp; Rosenfeld et al., 2014). Key factors to consider are as follows:  Eczema (Atopic Dermatitis), Psoriasis, Contact Dermatitis, Pityriasis Rosea, Nummular Eczema, Seborrheic Dermatitis, Folliculitis, Tinea Versicolor, Bacterial Infections.</w:t>
      </w:r>
    </w:p>
    <w:p w:rsidR="001B4824" w:rsidRPr="00010A38" w:rsidRDefault="004C7E08"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8. Treatment Options</w:t>
      </w:r>
    </w:p>
    <w:p w:rsidR="006D09B6" w:rsidRPr="00010A38" w:rsidRDefault="006D09B6"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 xml:space="preserve">Over-the-Counter antifungal treatments, including creams, ointments, sprays, powders, and gels, are commonly used to treat fungal skin infections like athlete's foot, ringworm, jock itch, and yeast </w:t>
      </w:r>
      <w:r w:rsidR="00CE19DE" w:rsidRPr="00010A38">
        <w:rPr>
          <w:rFonts w:asciiTheme="majorHAnsi" w:hAnsiTheme="majorHAnsi" w:cstheme="majorHAnsi"/>
          <w:sz w:val="24"/>
          <w:szCs w:val="24"/>
        </w:rPr>
        <w:t>(Chen et al., 2021</w:t>
      </w:r>
      <w:r w:rsidRPr="00010A38">
        <w:rPr>
          <w:rFonts w:asciiTheme="majorHAnsi" w:hAnsiTheme="majorHAnsi" w:cstheme="majorHAnsi"/>
          <w:sz w:val="24"/>
          <w:szCs w:val="24"/>
        </w:rPr>
        <w:t>).</w:t>
      </w:r>
    </w:p>
    <w:p w:rsidR="003E25D4" w:rsidRPr="00010A38" w:rsidRDefault="006D09B6"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Table 1.</w:t>
      </w:r>
      <w:r w:rsidR="002A7537" w:rsidRPr="00010A38">
        <w:rPr>
          <w:rFonts w:asciiTheme="majorHAnsi" w:hAnsiTheme="majorHAnsi" w:cstheme="majorHAnsi"/>
          <w:b/>
          <w:sz w:val="24"/>
          <w:szCs w:val="24"/>
        </w:rPr>
        <w:t xml:space="preserve"> </w:t>
      </w:r>
      <w:r w:rsidR="003E25D4" w:rsidRPr="00010A38">
        <w:rPr>
          <w:rFonts w:asciiTheme="majorHAnsi" w:hAnsiTheme="majorHAnsi" w:cstheme="majorHAnsi"/>
          <w:b/>
          <w:sz w:val="24"/>
          <w:szCs w:val="24"/>
        </w:rPr>
        <w:t xml:space="preserve"> </w:t>
      </w:r>
      <w:r w:rsidR="00E71DB5" w:rsidRPr="00010A38">
        <w:rPr>
          <w:rFonts w:asciiTheme="majorHAnsi" w:hAnsiTheme="majorHAnsi" w:cstheme="majorHAnsi"/>
          <w:sz w:val="24"/>
          <w:szCs w:val="24"/>
        </w:rPr>
        <w:t>Pharmacological Intervention for Tinea</w:t>
      </w:r>
    </w:p>
    <w:p w:rsidR="00E71DB5" w:rsidRPr="00010A38" w:rsidRDefault="00E71DB5" w:rsidP="003951C2">
      <w:pPr>
        <w:spacing w:line="360" w:lineRule="auto"/>
        <w:jc w:val="both"/>
        <w:rPr>
          <w:rFonts w:asciiTheme="majorHAnsi" w:hAnsiTheme="majorHAnsi" w:cstheme="majorHAnsi"/>
          <w:b/>
          <w:sz w:val="24"/>
          <w:szCs w:val="24"/>
        </w:rPr>
        <w:sectPr w:rsidR="00E71DB5" w:rsidRPr="00010A38" w:rsidSect="00D23120">
          <w:footerReference w:type="default" r:id="rId34"/>
          <w:type w:val="continuous"/>
          <w:pgSz w:w="12240" w:h="15840"/>
          <w:pgMar w:top="1440" w:right="1800" w:bottom="1440" w:left="1800" w:header="720" w:footer="720" w:gutter="0"/>
          <w:cols w:space="720"/>
        </w:sectPr>
      </w:pPr>
    </w:p>
    <w:p w:rsidR="001B4824" w:rsidRPr="00010A38" w:rsidRDefault="001B4824" w:rsidP="003951C2">
      <w:pPr>
        <w:spacing w:line="360" w:lineRule="auto"/>
        <w:jc w:val="both"/>
        <w:rPr>
          <w:rFonts w:asciiTheme="majorHAnsi" w:hAnsiTheme="majorHAnsi" w:cstheme="majorHAnsi"/>
          <w:sz w:val="24"/>
          <w:szCs w:val="24"/>
        </w:rPr>
      </w:pPr>
    </w:p>
    <w:tbl>
      <w:tblPr>
        <w:tblStyle w:val="TableGrid"/>
        <w:tblpPr w:leftFromText="180" w:rightFromText="180" w:vertAnchor="text" w:tblpX="-612" w:tblpY="1"/>
        <w:tblOverlap w:val="never"/>
        <w:tblW w:w="5900" w:type="pct"/>
        <w:tblLayout w:type="fixed"/>
        <w:tblLook w:val="04A0" w:firstRow="1" w:lastRow="0" w:firstColumn="1" w:lastColumn="0" w:noHBand="0" w:noVBand="1"/>
      </w:tblPr>
      <w:tblGrid>
        <w:gridCol w:w="550"/>
        <w:gridCol w:w="1108"/>
        <w:gridCol w:w="1077"/>
        <w:gridCol w:w="908"/>
        <w:gridCol w:w="1506"/>
        <w:gridCol w:w="2518"/>
        <w:gridCol w:w="2790"/>
      </w:tblGrid>
      <w:tr w:rsidR="00D23120" w:rsidRPr="00010A38" w:rsidTr="00D23120">
        <w:trPr>
          <w:trHeight w:val="800"/>
        </w:trPr>
        <w:tc>
          <w:tcPr>
            <w:tcW w:w="263" w:type="pct"/>
          </w:tcPr>
          <w:p w:rsidR="002A7537" w:rsidRPr="00010A38" w:rsidRDefault="002A7537" w:rsidP="003951C2">
            <w:pPr>
              <w:spacing w:after="120" w:line="360" w:lineRule="auto"/>
              <w:jc w:val="both"/>
              <w:rPr>
                <w:rFonts w:asciiTheme="majorHAnsi" w:hAnsiTheme="majorHAnsi" w:cstheme="majorHAnsi"/>
                <w:b/>
                <w:sz w:val="24"/>
                <w:szCs w:val="24"/>
              </w:rPr>
            </w:pPr>
            <w:r w:rsidRPr="00010A38">
              <w:rPr>
                <w:rFonts w:asciiTheme="majorHAnsi" w:hAnsiTheme="majorHAnsi" w:cstheme="majorHAnsi"/>
                <w:b/>
                <w:sz w:val="24"/>
                <w:szCs w:val="24"/>
              </w:rPr>
              <w:lastRenderedPageBreak/>
              <w:t>S.No.</w:t>
            </w:r>
          </w:p>
        </w:tc>
        <w:tc>
          <w:tcPr>
            <w:tcW w:w="530" w:type="pct"/>
          </w:tcPr>
          <w:p w:rsidR="002A7537" w:rsidRPr="00010A38" w:rsidRDefault="002A7537" w:rsidP="003951C2">
            <w:pPr>
              <w:spacing w:after="120" w:line="360" w:lineRule="auto"/>
              <w:jc w:val="both"/>
              <w:rPr>
                <w:rFonts w:asciiTheme="majorHAnsi" w:hAnsiTheme="majorHAnsi" w:cstheme="majorHAnsi"/>
                <w:b/>
                <w:sz w:val="24"/>
                <w:szCs w:val="24"/>
              </w:rPr>
            </w:pPr>
            <w:r w:rsidRPr="00010A38">
              <w:rPr>
                <w:rFonts w:asciiTheme="majorHAnsi" w:hAnsiTheme="majorHAnsi" w:cstheme="majorHAnsi"/>
                <w:b/>
                <w:sz w:val="24"/>
                <w:szCs w:val="24"/>
              </w:rPr>
              <w:t>Medication</w:t>
            </w:r>
          </w:p>
        </w:tc>
        <w:tc>
          <w:tcPr>
            <w:tcW w:w="515" w:type="pct"/>
          </w:tcPr>
          <w:p w:rsidR="002A7537" w:rsidRPr="00010A38" w:rsidRDefault="002A7537" w:rsidP="003951C2">
            <w:pPr>
              <w:spacing w:after="120" w:line="360" w:lineRule="auto"/>
              <w:jc w:val="both"/>
              <w:rPr>
                <w:rFonts w:asciiTheme="majorHAnsi" w:hAnsiTheme="majorHAnsi" w:cstheme="majorHAnsi"/>
                <w:b/>
                <w:sz w:val="24"/>
                <w:szCs w:val="24"/>
              </w:rPr>
            </w:pPr>
            <w:r w:rsidRPr="00010A38">
              <w:rPr>
                <w:rFonts w:asciiTheme="majorHAnsi" w:hAnsiTheme="majorHAnsi" w:cstheme="majorHAnsi"/>
                <w:b/>
                <w:sz w:val="24"/>
                <w:szCs w:val="24"/>
              </w:rPr>
              <w:t>Brand name</w:t>
            </w:r>
          </w:p>
        </w:tc>
        <w:tc>
          <w:tcPr>
            <w:tcW w:w="434" w:type="pct"/>
          </w:tcPr>
          <w:p w:rsidR="002A7537" w:rsidRPr="00010A38" w:rsidRDefault="002A7537" w:rsidP="003951C2">
            <w:pPr>
              <w:spacing w:after="120" w:line="360" w:lineRule="auto"/>
              <w:jc w:val="both"/>
              <w:rPr>
                <w:rFonts w:asciiTheme="majorHAnsi" w:hAnsiTheme="majorHAnsi" w:cstheme="majorHAnsi"/>
                <w:b/>
                <w:sz w:val="24"/>
                <w:szCs w:val="24"/>
              </w:rPr>
            </w:pPr>
            <w:r w:rsidRPr="00010A38">
              <w:rPr>
                <w:rFonts w:asciiTheme="majorHAnsi" w:hAnsiTheme="majorHAnsi" w:cstheme="majorHAnsi"/>
                <w:b/>
                <w:sz w:val="24"/>
                <w:szCs w:val="24"/>
              </w:rPr>
              <w:t>PubChem CID</w:t>
            </w:r>
          </w:p>
        </w:tc>
        <w:tc>
          <w:tcPr>
            <w:tcW w:w="720" w:type="pct"/>
          </w:tcPr>
          <w:p w:rsidR="002A7537" w:rsidRPr="00010A38" w:rsidRDefault="002A7537" w:rsidP="003951C2">
            <w:pPr>
              <w:spacing w:after="120" w:line="360" w:lineRule="auto"/>
              <w:jc w:val="both"/>
              <w:rPr>
                <w:rFonts w:asciiTheme="majorHAnsi" w:hAnsiTheme="majorHAnsi" w:cstheme="majorHAnsi"/>
                <w:b/>
                <w:sz w:val="24"/>
                <w:szCs w:val="24"/>
              </w:rPr>
            </w:pPr>
            <w:r w:rsidRPr="00010A38">
              <w:rPr>
                <w:rFonts w:asciiTheme="majorHAnsi" w:hAnsiTheme="majorHAnsi" w:cstheme="majorHAnsi"/>
                <w:b/>
                <w:sz w:val="24"/>
                <w:szCs w:val="24"/>
              </w:rPr>
              <w:t>Formula</w:t>
            </w:r>
          </w:p>
        </w:tc>
        <w:tc>
          <w:tcPr>
            <w:tcW w:w="1204" w:type="pct"/>
          </w:tcPr>
          <w:p w:rsidR="002A7537" w:rsidRPr="00010A38" w:rsidRDefault="002A7537" w:rsidP="003951C2">
            <w:pPr>
              <w:spacing w:after="120" w:line="360" w:lineRule="auto"/>
              <w:jc w:val="both"/>
              <w:rPr>
                <w:rFonts w:asciiTheme="majorHAnsi" w:hAnsiTheme="majorHAnsi" w:cstheme="majorHAnsi"/>
                <w:b/>
                <w:sz w:val="24"/>
                <w:szCs w:val="24"/>
              </w:rPr>
            </w:pPr>
            <w:r w:rsidRPr="00010A38">
              <w:rPr>
                <w:rFonts w:asciiTheme="majorHAnsi" w:hAnsiTheme="majorHAnsi" w:cstheme="majorHAnsi"/>
                <w:b/>
                <w:sz w:val="24"/>
                <w:szCs w:val="24"/>
              </w:rPr>
              <w:t>Structure</w:t>
            </w:r>
          </w:p>
        </w:tc>
        <w:tc>
          <w:tcPr>
            <w:tcW w:w="1334" w:type="pct"/>
          </w:tcPr>
          <w:p w:rsidR="002A7537" w:rsidRPr="00010A38" w:rsidRDefault="002A7537" w:rsidP="003951C2">
            <w:pPr>
              <w:spacing w:after="120" w:line="360" w:lineRule="auto"/>
              <w:jc w:val="both"/>
              <w:rPr>
                <w:rFonts w:asciiTheme="majorHAnsi" w:hAnsiTheme="majorHAnsi" w:cstheme="majorHAnsi"/>
                <w:b/>
                <w:sz w:val="24"/>
                <w:szCs w:val="24"/>
              </w:rPr>
            </w:pPr>
            <w:r w:rsidRPr="00010A38">
              <w:rPr>
                <w:rFonts w:asciiTheme="majorHAnsi" w:hAnsiTheme="majorHAnsi" w:cstheme="majorHAnsi"/>
                <w:b/>
                <w:sz w:val="24"/>
                <w:szCs w:val="24"/>
              </w:rPr>
              <w:t>Use</w:t>
            </w:r>
          </w:p>
        </w:tc>
      </w:tr>
      <w:tr w:rsidR="00D23120" w:rsidRPr="00010A38" w:rsidTr="00D23120">
        <w:trPr>
          <w:trHeight w:val="2330"/>
        </w:trPr>
        <w:tc>
          <w:tcPr>
            <w:tcW w:w="263" w:type="pct"/>
          </w:tcPr>
          <w:p w:rsidR="002A7537" w:rsidRPr="00010A38" w:rsidRDefault="002A7537" w:rsidP="003951C2">
            <w:pPr>
              <w:spacing w:after="120" w:line="360" w:lineRule="auto"/>
              <w:jc w:val="both"/>
              <w:rPr>
                <w:rFonts w:asciiTheme="majorHAnsi" w:hAnsiTheme="majorHAnsi" w:cstheme="majorHAnsi"/>
                <w:bCs/>
                <w:sz w:val="24"/>
                <w:szCs w:val="24"/>
              </w:rPr>
            </w:pPr>
            <w:r w:rsidRPr="00010A38">
              <w:rPr>
                <w:rFonts w:asciiTheme="majorHAnsi" w:hAnsiTheme="majorHAnsi" w:cstheme="majorHAnsi"/>
                <w:bCs/>
                <w:sz w:val="24"/>
                <w:szCs w:val="24"/>
              </w:rPr>
              <w:t>1</w:t>
            </w:r>
          </w:p>
        </w:tc>
        <w:tc>
          <w:tcPr>
            <w:tcW w:w="530"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bCs/>
                <w:sz w:val="24"/>
                <w:szCs w:val="24"/>
              </w:rPr>
              <w:t>Clotrimazole</w:t>
            </w:r>
          </w:p>
          <w:p w:rsidR="002A7537" w:rsidRPr="00010A38" w:rsidRDefault="002A7537" w:rsidP="003951C2">
            <w:pPr>
              <w:spacing w:after="120" w:line="360" w:lineRule="auto"/>
              <w:jc w:val="both"/>
              <w:rPr>
                <w:rFonts w:asciiTheme="majorHAnsi" w:hAnsiTheme="majorHAnsi" w:cstheme="majorHAnsi"/>
                <w:sz w:val="24"/>
                <w:szCs w:val="24"/>
              </w:rPr>
            </w:pPr>
          </w:p>
        </w:tc>
        <w:tc>
          <w:tcPr>
            <w:tcW w:w="515"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Lotrimin AF, Mycelex</w:t>
            </w:r>
          </w:p>
          <w:p w:rsidR="002A7537" w:rsidRPr="00010A38" w:rsidRDefault="002A7537" w:rsidP="003951C2">
            <w:pPr>
              <w:spacing w:after="120" w:line="360" w:lineRule="auto"/>
              <w:jc w:val="both"/>
              <w:rPr>
                <w:rFonts w:asciiTheme="majorHAnsi" w:hAnsiTheme="majorHAnsi" w:cstheme="majorHAnsi"/>
                <w:sz w:val="24"/>
                <w:szCs w:val="24"/>
              </w:rPr>
            </w:pPr>
          </w:p>
        </w:tc>
        <w:tc>
          <w:tcPr>
            <w:tcW w:w="434"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2812</w:t>
            </w:r>
          </w:p>
        </w:tc>
        <w:tc>
          <w:tcPr>
            <w:tcW w:w="720"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C</w:t>
            </w:r>
            <w:r w:rsidRPr="00010A38">
              <w:rPr>
                <w:rFonts w:asciiTheme="majorHAnsi" w:hAnsiTheme="majorHAnsi" w:cstheme="majorHAnsi"/>
                <w:sz w:val="24"/>
                <w:szCs w:val="24"/>
                <w:vertAlign w:val="subscript"/>
              </w:rPr>
              <w:t>22</w:t>
            </w:r>
            <w:r w:rsidRPr="00010A38">
              <w:rPr>
                <w:rFonts w:asciiTheme="majorHAnsi" w:hAnsiTheme="majorHAnsi" w:cstheme="majorHAnsi"/>
                <w:sz w:val="24"/>
                <w:szCs w:val="24"/>
              </w:rPr>
              <w:t>H</w:t>
            </w:r>
            <w:r w:rsidRPr="00010A38">
              <w:rPr>
                <w:rFonts w:asciiTheme="majorHAnsi" w:hAnsiTheme="majorHAnsi" w:cstheme="majorHAnsi"/>
                <w:sz w:val="24"/>
                <w:szCs w:val="24"/>
                <w:vertAlign w:val="subscript"/>
              </w:rPr>
              <w:t>17</w:t>
            </w:r>
            <w:r w:rsidRPr="00010A38">
              <w:rPr>
                <w:rFonts w:asciiTheme="majorHAnsi" w:hAnsiTheme="majorHAnsi" w:cstheme="majorHAnsi"/>
                <w:sz w:val="24"/>
                <w:szCs w:val="24"/>
              </w:rPr>
              <w:t>C</w:t>
            </w:r>
            <w:r w:rsidRPr="00010A38">
              <w:rPr>
                <w:rFonts w:asciiTheme="majorHAnsi" w:hAnsiTheme="majorHAnsi" w:cstheme="majorHAnsi"/>
                <w:sz w:val="24"/>
                <w:szCs w:val="24"/>
                <w:vertAlign w:val="subscript"/>
              </w:rPr>
              <w:t>l</w:t>
            </w:r>
            <w:r w:rsidRPr="00010A38">
              <w:rPr>
                <w:rFonts w:asciiTheme="majorHAnsi" w:hAnsiTheme="majorHAnsi" w:cstheme="majorHAnsi"/>
                <w:sz w:val="24"/>
                <w:szCs w:val="24"/>
              </w:rPr>
              <w:t>N</w:t>
            </w:r>
            <w:r w:rsidRPr="00010A38">
              <w:rPr>
                <w:rFonts w:asciiTheme="majorHAnsi" w:hAnsiTheme="majorHAnsi" w:cstheme="majorHAnsi"/>
                <w:sz w:val="24"/>
                <w:szCs w:val="24"/>
                <w:vertAlign w:val="subscript"/>
              </w:rPr>
              <w:t>2</w:t>
            </w:r>
          </w:p>
        </w:tc>
        <w:tc>
          <w:tcPr>
            <w:tcW w:w="1204" w:type="pct"/>
          </w:tcPr>
          <w:p w:rsidR="002A7537" w:rsidRPr="000D0CEB" w:rsidRDefault="000D0CEB" w:rsidP="003951C2">
            <w:pPr>
              <w:pStyle w:val="NormalWeb"/>
              <w:jc w:val="both"/>
            </w:pPr>
            <w:r>
              <w:rPr>
                <w:noProof/>
                <w:lang w:val="en-IN" w:eastAsia="en-IN"/>
              </w:rPr>
              <w:drawing>
                <wp:inline distT="0" distB="0" distL="0" distR="0" wp14:anchorId="70541E8B" wp14:editId="6624B381">
                  <wp:extent cx="1596022" cy="1528964"/>
                  <wp:effectExtent l="0" t="0" r="0" b="0"/>
                  <wp:docPr id="2" name="Picture 2" descr="C:\Users\ADMIN\Downloads\Clotrimazole_Conformer3D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lotrimazole_Conformer3D_large.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38095" t="12890" r="36147" b="17133"/>
                          <a:stretch/>
                        </pic:blipFill>
                        <pic:spPr bwMode="auto">
                          <a:xfrm>
                            <a:off x="0" y="0"/>
                            <a:ext cx="1606926" cy="1539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4"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Clotrimazole is effective against a variety of fungal infections, including athlete's foot, ringworm, and jock itch. It works by inhibiting the</w:t>
            </w:r>
            <w:r w:rsidR="0078439F" w:rsidRPr="00010A38">
              <w:rPr>
                <w:rFonts w:asciiTheme="majorHAnsi" w:hAnsiTheme="majorHAnsi" w:cstheme="majorHAnsi"/>
                <w:sz w:val="24"/>
                <w:szCs w:val="24"/>
              </w:rPr>
              <w:t xml:space="preserve"> growth of the fungus </w:t>
            </w:r>
            <w:r w:rsidRPr="00010A38">
              <w:rPr>
                <w:rFonts w:asciiTheme="majorHAnsi" w:hAnsiTheme="majorHAnsi" w:cstheme="majorHAnsi"/>
                <w:sz w:val="24"/>
                <w:szCs w:val="24"/>
              </w:rPr>
              <w:t>(Evans,</w:t>
            </w:r>
            <w:r w:rsidR="0078439F" w:rsidRPr="00010A38">
              <w:rPr>
                <w:rFonts w:asciiTheme="majorHAnsi" w:hAnsiTheme="majorHAnsi" w:cstheme="majorHAnsi"/>
                <w:sz w:val="24"/>
                <w:szCs w:val="24"/>
              </w:rPr>
              <w:t xml:space="preserve"> </w:t>
            </w:r>
            <w:r w:rsidRPr="00010A38">
              <w:rPr>
                <w:rFonts w:asciiTheme="majorHAnsi" w:hAnsiTheme="majorHAnsi" w:cstheme="majorHAnsi"/>
                <w:sz w:val="24"/>
                <w:szCs w:val="24"/>
              </w:rPr>
              <w:t>1994)</w:t>
            </w:r>
            <w:r w:rsidR="0078439F" w:rsidRPr="00010A38">
              <w:rPr>
                <w:rFonts w:asciiTheme="majorHAnsi" w:hAnsiTheme="majorHAnsi" w:cstheme="majorHAnsi"/>
                <w:sz w:val="24"/>
                <w:szCs w:val="24"/>
              </w:rPr>
              <w:t>.</w:t>
            </w:r>
          </w:p>
        </w:tc>
      </w:tr>
      <w:tr w:rsidR="00D23120" w:rsidRPr="00010A38" w:rsidTr="00D23120">
        <w:trPr>
          <w:trHeight w:val="2078"/>
        </w:trPr>
        <w:tc>
          <w:tcPr>
            <w:tcW w:w="263" w:type="pct"/>
          </w:tcPr>
          <w:p w:rsidR="002A7537" w:rsidRPr="00010A38" w:rsidRDefault="002A7537" w:rsidP="003951C2">
            <w:pPr>
              <w:spacing w:after="120" w:line="360" w:lineRule="auto"/>
              <w:jc w:val="both"/>
              <w:rPr>
                <w:rFonts w:asciiTheme="majorHAnsi" w:hAnsiTheme="majorHAnsi" w:cstheme="majorHAnsi"/>
                <w:bCs/>
                <w:sz w:val="24"/>
                <w:szCs w:val="24"/>
              </w:rPr>
            </w:pPr>
            <w:r w:rsidRPr="00010A38">
              <w:rPr>
                <w:rFonts w:asciiTheme="majorHAnsi" w:hAnsiTheme="majorHAnsi" w:cstheme="majorHAnsi"/>
                <w:bCs/>
                <w:sz w:val="24"/>
                <w:szCs w:val="24"/>
              </w:rPr>
              <w:t>2</w:t>
            </w:r>
          </w:p>
        </w:tc>
        <w:tc>
          <w:tcPr>
            <w:tcW w:w="530"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bCs/>
                <w:sz w:val="24"/>
                <w:szCs w:val="24"/>
              </w:rPr>
              <w:t>Terbinafine</w:t>
            </w:r>
          </w:p>
          <w:p w:rsidR="002A7537" w:rsidRPr="00010A38" w:rsidRDefault="002A7537" w:rsidP="003951C2">
            <w:pPr>
              <w:spacing w:after="120" w:line="360" w:lineRule="auto"/>
              <w:jc w:val="both"/>
              <w:rPr>
                <w:rFonts w:asciiTheme="majorHAnsi" w:hAnsiTheme="majorHAnsi" w:cstheme="majorHAnsi"/>
                <w:sz w:val="24"/>
                <w:szCs w:val="24"/>
              </w:rPr>
            </w:pPr>
          </w:p>
        </w:tc>
        <w:tc>
          <w:tcPr>
            <w:tcW w:w="515"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Lamisil AT</w:t>
            </w:r>
          </w:p>
          <w:p w:rsidR="002A7537" w:rsidRPr="00010A38" w:rsidRDefault="002A7537" w:rsidP="003951C2">
            <w:pPr>
              <w:spacing w:after="120" w:line="360" w:lineRule="auto"/>
              <w:jc w:val="both"/>
              <w:rPr>
                <w:rFonts w:asciiTheme="majorHAnsi" w:hAnsiTheme="majorHAnsi" w:cstheme="majorHAnsi"/>
                <w:sz w:val="24"/>
                <w:szCs w:val="24"/>
              </w:rPr>
            </w:pPr>
          </w:p>
        </w:tc>
        <w:tc>
          <w:tcPr>
            <w:tcW w:w="434"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1549008</w:t>
            </w:r>
          </w:p>
        </w:tc>
        <w:tc>
          <w:tcPr>
            <w:tcW w:w="720"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C</w:t>
            </w:r>
            <w:r w:rsidRPr="00010A38">
              <w:rPr>
                <w:rFonts w:asciiTheme="majorHAnsi" w:hAnsiTheme="majorHAnsi" w:cstheme="majorHAnsi"/>
                <w:sz w:val="24"/>
                <w:szCs w:val="24"/>
                <w:vertAlign w:val="subscript"/>
              </w:rPr>
              <w:t>21</w:t>
            </w:r>
            <w:r w:rsidRPr="00010A38">
              <w:rPr>
                <w:rFonts w:asciiTheme="majorHAnsi" w:hAnsiTheme="majorHAnsi" w:cstheme="majorHAnsi"/>
                <w:sz w:val="24"/>
                <w:szCs w:val="24"/>
              </w:rPr>
              <w:t>H</w:t>
            </w:r>
            <w:r w:rsidRPr="00010A38">
              <w:rPr>
                <w:rFonts w:asciiTheme="majorHAnsi" w:hAnsiTheme="majorHAnsi" w:cstheme="majorHAnsi"/>
                <w:sz w:val="24"/>
                <w:szCs w:val="24"/>
                <w:vertAlign w:val="subscript"/>
              </w:rPr>
              <w:t>25</w:t>
            </w:r>
            <w:r w:rsidRPr="00010A38">
              <w:rPr>
                <w:rFonts w:asciiTheme="majorHAnsi" w:hAnsiTheme="majorHAnsi" w:cstheme="majorHAnsi"/>
                <w:sz w:val="24"/>
                <w:szCs w:val="24"/>
              </w:rPr>
              <w:t>N</w:t>
            </w:r>
          </w:p>
        </w:tc>
        <w:tc>
          <w:tcPr>
            <w:tcW w:w="1204" w:type="pct"/>
          </w:tcPr>
          <w:p w:rsidR="000D0CEB" w:rsidRDefault="000D0CEB" w:rsidP="003951C2">
            <w:pPr>
              <w:pStyle w:val="NormalWeb"/>
              <w:jc w:val="both"/>
            </w:pPr>
            <w:r>
              <w:rPr>
                <w:noProof/>
                <w:lang w:val="en-IN" w:eastAsia="en-IN"/>
              </w:rPr>
              <w:drawing>
                <wp:inline distT="0" distB="0" distL="0" distR="0" wp14:anchorId="29074331" wp14:editId="16A974C9">
                  <wp:extent cx="1527464" cy="1143000"/>
                  <wp:effectExtent l="0" t="0" r="0" b="0"/>
                  <wp:docPr id="3" name="Picture 3" descr="C:\Users\ADMIN\Downloads\Terbinafine_Conformer3D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erbinafine_Conformer3D_large.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36682" t="24516" r="36448" b="24465"/>
                          <a:stretch/>
                        </pic:blipFill>
                        <pic:spPr bwMode="auto">
                          <a:xfrm>
                            <a:off x="0" y="0"/>
                            <a:ext cx="1533606" cy="1147596"/>
                          </a:xfrm>
                          <a:prstGeom prst="rect">
                            <a:avLst/>
                          </a:prstGeom>
                          <a:noFill/>
                          <a:ln>
                            <a:noFill/>
                          </a:ln>
                          <a:extLst>
                            <a:ext uri="{53640926-AAD7-44D8-BBD7-CCE9431645EC}">
                              <a14:shadowObscured xmlns:a14="http://schemas.microsoft.com/office/drawing/2010/main"/>
                            </a:ext>
                          </a:extLst>
                        </pic:spPr>
                      </pic:pic>
                    </a:graphicData>
                  </a:graphic>
                </wp:inline>
              </w:drawing>
            </w:r>
          </w:p>
          <w:p w:rsidR="002A7537" w:rsidRPr="00010A38" w:rsidRDefault="002A7537" w:rsidP="003951C2">
            <w:pPr>
              <w:spacing w:after="120" w:line="360" w:lineRule="auto"/>
              <w:jc w:val="both"/>
              <w:rPr>
                <w:rFonts w:asciiTheme="majorHAnsi" w:hAnsiTheme="majorHAnsi" w:cstheme="majorHAnsi"/>
                <w:sz w:val="24"/>
                <w:szCs w:val="24"/>
              </w:rPr>
            </w:pPr>
          </w:p>
        </w:tc>
        <w:tc>
          <w:tcPr>
            <w:tcW w:w="1334"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 xml:space="preserve">Terbinafine is another popular treatment for fungal infections. It works by disrupting the cell membrane of the fungus, leading to its death. It is often used for athlete’s </w:t>
            </w:r>
            <w:r w:rsidR="0078439F" w:rsidRPr="00010A38">
              <w:rPr>
                <w:rFonts w:asciiTheme="majorHAnsi" w:hAnsiTheme="majorHAnsi" w:cstheme="majorHAnsi"/>
                <w:sz w:val="24"/>
                <w:szCs w:val="24"/>
              </w:rPr>
              <w:t>foot, ringworm, and jock itch (Evans, 1994).</w:t>
            </w:r>
          </w:p>
        </w:tc>
      </w:tr>
      <w:tr w:rsidR="00D23120" w:rsidRPr="00010A38" w:rsidTr="00D23120">
        <w:trPr>
          <w:trHeight w:val="2870"/>
        </w:trPr>
        <w:tc>
          <w:tcPr>
            <w:tcW w:w="263" w:type="pct"/>
          </w:tcPr>
          <w:p w:rsidR="002A7537" w:rsidRPr="00010A38" w:rsidRDefault="002A7537" w:rsidP="003951C2">
            <w:pPr>
              <w:spacing w:after="120" w:line="360" w:lineRule="auto"/>
              <w:jc w:val="both"/>
              <w:rPr>
                <w:rFonts w:asciiTheme="majorHAnsi" w:hAnsiTheme="majorHAnsi" w:cstheme="majorHAnsi"/>
                <w:bCs/>
                <w:sz w:val="24"/>
                <w:szCs w:val="24"/>
              </w:rPr>
            </w:pPr>
            <w:r w:rsidRPr="00010A38">
              <w:rPr>
                <w:rFonts w:asciiTheme="majorHAnsi" w:hAnsiTheme="majorHAnsi" w:cstheme="majorHAnsi"/>
                <w:bCs/>
                <w:sz w:val="24"/>
                <w:szCs w:val="24"/>
              </w:rPr>
              <w:t>3</w:t>
            </w:r>
          </w:p>
        </w:tc>
        <w:tc>
          <w:tcPr>
            <w:tcW w:w="530"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bCs/>
                <w:sz w:val="24"/>
                <w:szCs w:val="24"/>
              </w:rPr>
              <w:t>Miconazole</w:t>
            </w:r>
          </w:p>
          <w:p w:rsidR="002A7537" w:rsidRPr="00010A38" w:rsidRDefault="002A7537" w:rsidP="003951C2">
            <w:pPr>
              <w:spacing w:after="120" w:line="360" w:lineRule="auto"/>
              <w:jc w:val="both"/>
              <w:rPr>
                <w:rFonts w:asciiTheme="majorHAnsi" w:hAnsiTheme="majorHAnsi" w:cstheme="majorHAnsi"/>
                <w:bCs/>
                <w:sz w:val="24"/>
                <w:szCs w:val="24"/>
              </w:rPr>
            </w:pPr>
          </w:p>
        </w:tc>
        <w:tc>
          <w:tcPr>
            <w:tcW w:w="515"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Monistat, Micatin, Lotrimin AF</w:t>
            </w:r>
          </w:p>
          <w:p w:rsidR="002A7537" w:rsidRPr="00010A38" w:rsidRDefault="002A7537" w:rsidP="003951C2">
            <w:pPr>
              <w:spacing w:after="120" w:line="360" w:lineRule="auto"/>
              <w:jc w:val="both"/>
              <w:rPr>
                <w:rFonts w:asciiTheme="majorHAnsi" w:hAnsiTheme="majorHAnsi" w:cstheme="majorHAnsi"/>
                <w:sz w:val="24"/>
                <w:szCs w:val="24"/>
              </w:rPr>
            </w:pPr>
          </w:p>
        </w:tc>
        <w:tc>
          <w:tcPr>
            <w:tcW w:w="434"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4189</w:t>
            </w:r>
          </w:p>
        </w:tc>
        <w:tc>
          <w:tcPr>
            <w:tcW w:w="720"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C</w:t>
            </w:r>
            <w:r w:rsidRPr="00010A38">
              <w:rPr>
                <w:rFonts w:asciiTheme="majorHAnsi" w:hAnsiTheme="majorHAnsi" w:cstheme="majorHAnsi"/>
                <w:sz w:val="24"/>
                <w:szCs w:val="24"/>
                <w:vertAlign w:val="subscript"/>
              </w:rPr>
              <w:t>18</w:t>
            </w:r>
            <w:r w:rsidRPr="00010A38">
              <w:rPr>
                <w:rFonts w:asciiTheme="majorHAnsi" w:hAnsiTheme="majorHAnsi" w:cstheme="majorHAnsi"/>
                <w:sz w:val="24"/>
                <w:szCs w:val="24"/>
              </w:rPr>
              <w:t>H</w:t>
            </w:r>
            <w:r w:rsidRPr="00010A38">
              <w:rPr>
                <w:rFonts w:asciiTheme="majorHAnsi" w:hAnsiTheme="majorHAnsi" w:cstheme="majorHAnsi"/>
                <w:sz w:val="24"/>
                <w:szCs w:val="24"/>
                <w:vertAlign w:val="subscript"/>
              </w:rPr>
              <w:t>14</w:t>
            </w:r>
            <w:r w:rsidRPr="00010A38">
              <w:rPr>
                <w:rFonts w:asciiTheme="majorHAnsi" w:hAnsiTheme="majorHAnsi" w:cstheme="majorHAnsi"/>
                <w:sz w:val="24"/>
                <w:szCs w:val="24"/>
              </w:rPr>
              <w:t>C</w:t>
            </w:r>
            <w:r w:rsidRPr="00010A38">
              <w:rPr>
                <w:rFonts w:asciiTheme="majorHAnsi" w:hAnsiTheme="majorHAnsi" w:cstheme="majorHAnsi"/>
                <w:sz w:val="24"/>
                <w:szCs w:val="24"/>
                <w:vertAlign w:val="subscript"/>
              </w:rPr>
              <w:t>l4</w:t>
            </w:r>
            <w:r w:rsidRPr="00010A38">
              <w:rPr>
                <w:rFonts w:asciiTheme="majorHAnsi" w:hAnsiTheme="majorHAnsi" w:cstheme="majorHAnsi"/>
                <w:sz w:val="24"/>
                <w:szCs w:val="24"/>
              </w:rPr>
              <w:t>N</w:t>
            </w:r>
            <w:r w:rsidRPr="00010A38">
              <w:rPr>
                <w:rFonts w:asciiTheme="majorHAnsi" w:hAnsiTheme="majorHAnsi" w:cstheme="majorHAnsi"/>
                <w:sz w:val="24"/>
                <w:szCs w:val="24"/>
                <w:vertAlign w:val="subscript"/>
              </w:rPr>
              <w:t>2</w:t>
            </w:r>
            <w:r w:rsidRPr="00010A38">
              <w:rPr>
                <w:rFonts w:asciiTheme="majorHAnsi" w:hAnsiTheme="majorHAnsi" w:cstheme="majorHAnsi"/>
                <w:sz w:val="24"/>
                <w:szCs w:val="24"/>
              </w:rPr>
              <w:t>O</w:t>
            </w:r>
          </w:p>
        </w:tc>
        <w:tc>
          <w:tcPr>
            <w:tcW w:w="1204" w:type="pct"/>
          </w:tcPr>
          <w:p w:rsidR="002A7537" w:rsidRPr="00E61D38" w:rsidRDefault="00E61D38" w:rsidP="003951C2">
            <w:pPr>
              <w:pStyle w:val="NormalWeb"/>
              <w:jc w:val="both"/>
            </w:pPr>
            <w:r>
              <w:rPr>
                <w:noProof/>
                <w:lang w:val="en-IN" w:eastAsia="en-IN"/>
              </w:rPr>
              <w:drawing>
                <wp:inline distT="0" distB="0" distL="0" distR="0" wp14:anchorId="7DF20F85" wp14:editId="4A4A4C9D">
                  <wp:extent cx="1520456" cy="1257300"/>
                  <wp:effectExtent l="0" t="0" r="0" b="0"/>
                  <wp:docPr id="20" name="Picture 20" descr="C:\Users\ADMIN\Downloads\Miconazole_Conformer3D_lar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Miconazole_Conformer3D_large (1).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38185" t="22828" r="35103" b="14517"/>
                          <a:stretch/>
                        </pic:blipFill>
                        <pic:spPr bwMode="auto">
                          <a:xfrm>
                            <a:off x="0" y="0"/>
                            <a:ext cx="1523987" cy="12602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4"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Miconazole is a broad-spectrum antifungal that is effective for skin infections such as ringworm, athlete's foot, and jock itch, as w</w:t>
            </w:r>
            <w:r w:rsidR="0078439F" w:rsidRPr="00010A38">
              <w:rPr>
                <w:rFonts w:asciiTheme="majorHAnsi" w:hAnsiTheme="majorHAnsi" w:cstheme="majorHAnsi"/>
                <w:sz w:val="24"/>
                <w:szCs w:val="24"/>
              </w:rPr>
              <w:t>ell as vaginal yeast infections</w:t>
            </w:r>
            <w:r w:rsidRPr="00010A38">
              <w:rPr>
                <w:rFonts w:asciiTheme="majorHAnsi" w:hAnsiTheme="majorHAnsi" w:cstheme="majorHAnsi"/>
                <w:sz w:val="24"/>
                <w:szCs w:val="24"/>
              </w:rPr>
              <w:t xml:space="preserve"> </w:t>
            </w:r>
            <w:r w:rsidR="0078439F" w:rsidRPr="00010A38">
              <w:rPr>
                <w:rFonts w:asciiTheme="majorHAnsi" w:hAnsiTheme="majorHAnsi" w:cstheme="majorHAnsi"/>
                <w:sz w:val="24"/>
                <w:szCs w:val="24"/>
              </w:rPr>
              <w:t xml:space="preserve">(Firooz </w:t>
            </w:r>
            <w:r w:rsidRPr="00010A38">
              <w:rPr>
                <w:rFonts w:asciiTheme="majorHAnsi" w:hAnsiTheme="majorHAnsi" w:cstheme="majorHAnsi"/>
                <w:sz w:val="24"/>
                <w:szCs w:val="24"/>
              </w:rPr>
              <w:t>et al.,</w:t>
            </w:r>
            <w:r w:rsidR="0078439F" w:rsidRPr="00010A38">
              <w:rPr>
                <w:rFonts w:asciiTheme="majorHAnsi" w:hAnsiTheme="majorHAnsi" w:cstheme="majorHAnsi"/>
                <w:sz w:val="24"/>
                <w:szCs w:val="24"/>
              </w:rPr>
              <w:t xml:space="preserve"> </w:t>
            </w:r>
            <w:r w:rsidR="00A82BFB" w:rsidRPr="00010A38">
              <w:rPr>
                <w:rFonts w:asciiTheme="majorHAnsi" w:hAnsiTheme="majorHAnsi" w:cstheme="majorHAnsi"/>
                <w:sz w:val="24"/>
                <w:szCs w:val="24"/>
              </w:rPr>
              <w:t>201</w:t>
            </w:r>
            <w:r w:rsidRPr="00010A38">
              <w:rPr>
                <w:rFonts w:asciiTheme="majorHAnsi" w:hAnsiTheme="majorHAnsi" w:cstheme="majorHAnsi"/>
                <w:sz w:val="24"/>
                <w:szCs w:val="24"/>
              </w:rPr>
              <w:t>6)</w:t>
            </w:r>
            <w:r w:rsidR="0078439F" w:rsidRPr="00010A38">
              <w:rPr>
                <w:rFonts w:asciiTheme="majorHAnsi" w:hAnsiTheme="majorHAnsi" w:cstheme="majorHAnsi"/>
                <w:sz w:val="24"/>
                <w:szCs w:val="24"/>
              </w:rPr>
              <w:t>.</w:t>
            </w:r>
          </w:p>
        </w:tc>
      </w:tr>
      <w:tr w:rsidR="00D23120" w:rsidRPr="00010A38" w:rsidTr="00D23120">
        <w:tc>
          <w:tcPr>
            <w:tcW w:w="263" w:type="pct"/>
          </w:tcPr>
          <w:p w:rsidR="002A7537" w:rsidRPr="00010A38" w:rsidRDefault="002A7537" w:rsidP="003951C2">
            <w:pPr>
              <w:spacing w:after="120" w:line="360" w:lineRule="auto"/>
              <w:jc w:val="both"/>
              <w:rPr>
                <w:rFonts w:asciiTheme="majorHAnsi" w:hAnsiTheme="majorHAnsi" w:cstheme="majorHAnsi"/>
                <w:bCs/>
                <w:sz w:val="24"/>
                <w:szCs w:val="24"/>
              </w:rPr>
            </w:pPr>
            <w:r w:rsidRPr="00010A38">
              <w:rPr>
                <w:rFonts w:asciiTheme="majorHAnsi" w:hAnsiTheme="majorHAnsi" w:cstheme="majorHAnsi"/>
                <w:bCs/>
                <w:sz w:val="24"/>
                <w:szCs w:val="24"/>
              </w:rPr>
              <w:t>4</w:t>
            </w:r>
          </w:p>
        </w:tc>
        <w:tc>
          <w:tcPr>
            <w:tcW w:w="530"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bCs/>
                <w:sz w:val="24"/>
                <w:szCs w:val="24"/>
              </w:rPr>
              <w:t>Tolnaftate</w:t>
            </w:r>
          </w:p>
          <w:p w:rsidR="002A7537" w:rsidRPr="00010A38" w:rsidRDefault="002A7537" w:rsidP="003951C2">
            <w:pPr>
              <w:spacing w:after="120" w:line="360" w:lineRule="auto"/>
              <w:jc w:val="both"/>
              <w:rPr>
                <w:rFonts w:asciiTheme="majorHAnsi" w:hAnsiTheme="majorHAnsi" w:cstheme="majorHAnsi"/>
                <w:bCs/>
                <w:sz w:val="24"/>
                <w:szCs w:val="24"/>
              </w:rPr>
            </w:pPr>
          </w:p>
        </w:tc>
        <w:tc>
          <w:tcPr>
            <w:tcW w:w="515"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lastRenderedPageBreak/>
              <w:t>Tinactin</w:t>
            </w:r>
          </w:p>
        </w:tc>
        <w:tc>
          <w:tcPr>
            <w:tcW w:w="434"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5510</w:t>
            </w:r>
          </w:p>
        </w:tc>
        <w:tc>
          <w:tcPr>
            <w:tcW w:w="720"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C</w:t>
            </w:r>
            <w:r w:rsidRPr="00010A38">
              <w:rPr>
                <w:rFonts w:asciiTheme="majorHAnsi" w:hAnsiTheme="majorHAnsi" w:cstheme="majorHAnsi"/>
                <w:sz w:val="24"/>
                <w:szCs w:val="24"/>
                <w:vertAlign w:val="subscript"/>
              </w:rPr>
              <w:t>19</w:t>
            </w:r>
            <w:r w:rsidRPr="00010A38">
              <w:rPr>
                <w:rFonts w:asciiTheme="majorHAnsi" w:hAnsiTheme="majorHAnsi" w:cstheme="majorHAnsi"/>
                <w:sz w:val="24"/>
                <w:szCs w:val="24"/>
              </w:rPr>
              <w:t>H</w:t>
            </w:r>
            <w:r w:rsidRPr="00010A38">
              <w:rPr>
                <w:rFonts w:asciiTheme="majorHAnsi" w:hAnsiTheme="majorHAnsi" w:cstheme="majorHAnsi"/>
                <w:sz w:val="24"/>
                <w:szCs w:val="24"/>
                <w:vertAlign w:val="subscript"/>
              </w:rPr>
              <w:t>17</w:t>
            </w:r>
            <w:r w:rsidRPr="00010A38">
              <w:rPr>
                <w:rFonts w:asciiTheme="majorHAnsi" w:hAnsiTheme="majorHAnsi" w:cstheme="majorHAnsi"/>
                <w:sz w:val="24"/>
                <w:szCs w:val="24"/>
              </w:rPr>
              <w:t>NOS</w:t>
            </w:r>
          </w:p>
        </w:tc>
        <w:tc>
          <w:tcPr>
            <w:tcW w:w="1204" w:type="pct"/>
          </w:tcPr>
          <w:p w:rsidR="002A7537" w:rsidRPr="00A952B8" w:rsidRDefault="00A952B8" w:rsidP="003951C2">
            <w:pPr>
              <w:pStyle w:val="NormalWeb"/>
              <w:jc w:val="both"/>
            </w:pPr>
            <w:r>
              <w:t xml:space="preserve"> </w:t>
            </w:r>
            <w:r>
              <w:rPr>
                <w:noProof/>
                <w:lang w:val="en-IN" w:eastAsia="en-IN"/>
              </w:rPr>
              <w:lastRenderedPageBreak/>
              <w:drawing>
                <wp:inline distT="0" distB="0" distL="0" distR="0" wp14:anchorId="1F6A0113" wp14:editId="40B7E7CE">
                  <wp:extent cx="1497371" cy="1092200"/>
                  <wp:effectExtent l="0" t="0" r="0" b="0"/>
                  <wp:docPr id="21" name="Picture 21" descr="C:\Users\ADMIN\Downloads\Tolnaftate_Conformer3D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Tolnaftate_Conformer3D_large.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37325" t="23479" r="37841" b="20756"/>
                          <a:stretch/>
                        </pic:blipFill>
                        <pic:spPr bwMode="auto">
                          <a:xfrm>
                            <a:off x="0" y="0"/>
                            <a:ext cx="1496389" cy="10914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4"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lastRenderedPageBreak/>
              <w:t xml:space="preserve">Tolfnaftate is commonly used to treat athlete’s foot, jock itch, and ringworm. It </w:t>
            </w:r>
            <w:r w:rsidRPr="00010A38">
              <w:rPr>
                <w:rFonts w:asciiTheme="majorHAnsi" w:hAnsiTheme="majorHAnsi" w:cstheme="majorHAnsi"/>
                <w:sz w:val="24"/>
                <w:szCs w:val="24"/>
              </w:rPr>
              <w:lastRenderedPageBreak/>
              <w:t>works by inhibiting the growth of the fu</w:t>
            </w:r>
            <w:r w:rsidR="0078439F" w:rsidRPr="00010A38">
              <w:rPr>
                <w:rFonts w:asciiTheme="majorHAnsi" w:hAnsiTheme="majorHAnsi" w:cstheme="majorHAnsi"/>
                <w:sz w:val="24"/>
                <w:szCs w:val="24"/>
              </w:rPr>
              <w:t>ngi that cause these conditions</w:t>
            </w:r>
            <w:r w:rsidRPr="00010A38">
              <w:rPr>
                <w:rFonts w:asciiTheme="majorHAnsi" w:hAnsiTheme="majorHAnsi" w:cstheme="majorHAnsi"/>
                <w:sz w:val="24"/>
                <w:szCs w:val="24"/>
              </w:rPr>
              <w:t xml:space="preserve"> </w:t>
            </w:r>
            <w:r w:rsidR="0078439F" w:rsidRPr="00010A38">
              <w:rPr>
                <w:rFonts w:asciiTheme="majorHAnsi" w:hAnsiTheme="majorHAnsi" w:cstheme="majorHAnsi"/>
                <w:sz w:val="24"/>
                <w:szCs w:val="24"/>
              </w:rPr>
              <w:t>(</w:t>
            </w:r>
            <w:r w:rsidR="008B5D97" w:rsidRPr="00010A38">
              <w:rPr>
                <w:rFonts w:asciiTheme="majorHAnsi" w:hAnsiTheme="majorHAnsi" w:cstheme="majorHAnsi"/>
                <w:sz w:val="24"/>
                <w:szCs w:val="24"/>
              </w:rPr>
              <w:t>Gire</w:t>
            </w:r>
            <w:r w:rsidR="0078439F" w:rsidRPr="00010A38">
              <w:rPr>
                <w:rFonts w:asciiTheme="majorHAnsi" w:hAnsiTheme="majorHAnsi" w:cstheme="majorHAnsi"/>
                <w:sz w:val="24"/>
                <w:szCs w:val="24"/>
              </w:rPr>
              <w:t xml:space="preserve"> </w:t>
            </w:r>
            <w:r w:rsidRPr="00010A38">
              <w:rPr>
                <w:rFonts w:asciiTheme="majorHAnsi" w:hAnsiTheme="majorHAnsi" w:cstheme="majorHAnsi"/>
                <w:sz w:val="24"/>
                <w:szCs w:val="24"/>
              </w:rPr>
              <w:t>et  al.,</w:t>
            </w:r>
            <w:r w:rsidR="0078439F" w:rsidRPr="00010A38">
              <w:rPr>
                <w:rFonts w:asciiTheme="majorHAnsi" w:hAnsiTheme="majorHAnsi" w:cstheme="majorHAnsi"/>
                <w:sz w:val="24"/>
                <w:szCs w:val="24"/>
              </w:rPr>
              <w:t xml:space="preserve"> </w:t>
            </w:r>
            <w:r w:rsidRPr="00010A38">
              <w:rPr>
                <w:rFonts w:asciiTheme="majorHAnsi" w:hAnsiTheme="majorHAnsi" w:cstheme="majorHAnsi"/>
                <w:sz w:val="24"/>
                <w:szCs w:val="24"/>
              </w:rPr>
              <w:t>2018)</w:t>
            </w:r>
            <w:r w:rsidR="0078439F" w:rsidRPr="00010A38">
              <w:rPr>
                <w:rFonts w:asciiTheme="majorHAnsi" w:hAnsiTheme="majorHAnsi" w:cstheme="majorHAnsi"/>
                <w:sz w:val="24"/>
                <w:szCs w:val="24"/>
              </w:rPr>
              <w:t>.</w:t>
            </w:r>
          </w:p>
        </w:tc>
      </w:tr>
      <w:tr w:rsidR="00D23120" w:rsidRPr="00010A38" w:rsidTr="00D23120">
        <w:trPr>
          <w:trHeight w:val="416"/>
        </w:trPr>
        <w:tc>
          <w:tcPr>
            <w:tcW w:w="263" w:type="pct"/>
          </w:tcPr>
          <w:p w:rsidR="002A7537" w:rsidRPr="00010A38" w:rsidRDefault="002A7537" w:rsidP="003951C2">
            <w:pPr>
              <w:spacing w:after="120" w:line="360" w:lineRule="auto"/>
              <w:jc w:val="both"/>
              <w:rPr>
                <w:rFonts w:asciiTheme="majorHAnsi" w:hAnsiTheme="majorHAnsi" w:cstheme="majorHAnsi"/>
                <w:bCs/>
                <w:sz w:val="24"/>
                <w:szCs w:val="24"/>
              </w:rPr>
            </w:pPr>
            <w:r w:rsidRPr="00010A38">
              <w:rPr>
                <w:rFonts w:asciiTheme="majorHAnsi" w:hAnsiTheme="majorHAnsi" w:cstheme="majorHAnsi"/>
                <w:bCs/>
                <w:sz w:val="24"/>
                <w:szCs w:val="24"/>
              </w:rPr>
              <w:lastRenderedPageBreak/>
              <w:t>5</w:t>
            </w:r>
          </w:p>
        </w:tc>
        <w:tc>
          <w:tcPr>
            <w:tcW w:w="530"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bCs/>
                <w:sz w:val="24"/>
                <w:szCs w:val="24"/>
              </w:rPr>
              <w:t>Ketoconazole</w:t>
            </w:r>
          </w:p>
          <w:p w:rsidR="002A7537" w:rsidRPr="00010A38" w:rsidRDefault="002A7537" w:rsidP="003951C2">
            <w:pPr>
              <w:spacing w:after="120" w:line="360" w:lineRule="auto"/>
              <w:jc w:val="both"/>
              <w:rPr>
                <w:rFonts w:asciiTheme="majorHAnsi" w:hAnsiTheme="majorHAnsi" w:cstheme="majorHAnsi"/>
                <w:bCs/>
                <w:sz w:val="24"/>
                <w:szCs w:val="24"/>
              </w:rPr>
            </w:pPr>
          </w:p>
        </w:tc>
        <w:tc>
          <w:tcPr>
            <w:tcW w:w="515"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 xml:space="preserve">Nizoral </w:t>
            </w:r>
          </w:p>
          <w:p w:rsidR="002A7537" w:rsidRPr="00010A38" w:rsidRDefault="002A7537" w:rsidP="003951C2">
            <w:pPr>
              <w:spacing w:after="120" w:line="360" w:lineRule="auto"/>
              <w:jc w:val="both"/>
              <w:rPr>
                <w:rFonts w:asciiTheme="majorHAnsi" w:hAnsiTheme="majorHAnsi" w:cstheme="majorHAnsi"/>
                <w:sz w:val="24"/>
                <w:szCs w:val="24"/>
              </w:rPr>
            </w:pPr>
          </w:p>
        </w:tc>
        <w:tc>
          <w:tcPr>
            <w:tcW w:w="434"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 xml:space="preserve">456201  </w:t>
            </w:r>
          </w:p>
        </w:tc>
        <w:tc>
          <w:tcPr>
            <w:tcW w:w="720"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C</w:t>
            </w:r>
            <w:r w:rsidRPr="00010A38">
              <w:rPr>
                <w:rFonts w:asciiTheme="majorHAnsi" w:hAnsiTheme="majorHAnsi" w:cstheme="majorHAnsi"/>
                <w:sz w:val="24"/>
                <w:szCs w:val="24"/>
                <w:vertAlign w:val="subscript"/>
              </w:rPr>
              <w:t>26</w:t>
            </w:r>
            <w:r w:rsidRPr="00010A38">
              <w:rPr>
                <w:rFonts w:asciiTheme="majorHAnsi" w:hAnsiTheme="majorHAnsi" w:cstheme="majorHAnsi"/>
                <w:sz w:val="24"/>
                <w:szCs w:val="24"/>
              </w:rPr>
              <w:t>H</w:t>
            </w:r>
            <w:r w:rsidRPr="00010A38">
              <w:rPr>
                <w:rFonts w:asciiTheme="majorHAnsi" w:hAnsiTheme="majorHAnsi" w:cstheme="majorHAnsi"/>
                <w:sz w:val="24"/>
                <w:szCs w:val="24"/>
                <w:vertAlign w:val="subscript"/>
              </w:rPr>
              <w:t>28</w:t>
            </w:r>
            <w:r w:rsidRPr="00010A38">
              <w:rPr>
                <w:rFonts w:asciiTheme="majorHAnsi" w:hAnsiTheme="majorHAnsi" w:cstheme="majorHAnsi"/>
                <w:sz w:val="24"/>
                <w:szCs w:val="24"/>
              </w:rPr>
              <w:t>Cl</w:t>
            </w:r>
            <w:r w:rsidRPr="00010A38">
              <w:rPr>
                <w:rFonts w:asciiTheme="majorHAnsi" w:hAnsiTheme="majorHAnsi" w:cstheme="majorHAnsi"/>
                <w:sz w:val="24"/>
                <w:szCs w:val="24"/>
                <w:vertAlign w:val="subscript"/>
              </w:rPr>
              <w:t>2</w:t>
            </w:r>
            <w:r w:rsidRPr="00010A38">
              <w:rPr>
                <w:rFonts w:asciiTheme="majorHAnsi" w:hAnsiTheme="majorHAnsi" w:cstheme="majorHAnsi"/>
                <w:sz w:val="24"/>
                <w:szCs w:val="24"/>
              </w:rPr>
              <w:t>N</w:t>
            </w:r>
            <w:r w:rsidRPr="00010A38">
              <w:rPr>
                <w:rFonts w:asciiTheme="majorHAnsi" w:hAnsiTheme="majorHAnsi" w:cstheme="majorHAnsi"/>
                <w:sz w:val="24"/>
                <w:szCs w:val="24"/>
                <w:vertAlign w:val="subscript"/>
              </w:rPr>
              <w:t>4</w:t>
            </w:r>
            <w:r w:rsidRPr="00010A38">
              <w:rPr>
                <w:rFonts w:asciiTheme="majorHAnsi" w:hAnsiTheme="majorHAnsi" w:cstheme="majorHAnsi"/>
                <w:sz w:val="24"/>
                <w:szCs w:val="24"/>
              </w:rPr>
              <w:t>O</w:t>
            </w:r>
            <w:r w:rsidRPr="00010A38">
              <w:rPr>
                <w:rFonts w:asciiTheme="majorHAnsi" w:hAnsiTheme="majorHAnsi" w:cstheme="majorHAnsi"/>
                <w:sz w:val="24"/>
                <w:szCs w:val="24"/>
                <w:vertAlign w:val="subscript"/>
              </w:rPr>
              <w:t>4</w:t>
            </w:r>
          </w:p>
        </w:tc>
        <w:tc>
          <w:tcPr>
            <w:tcW w:w="1204" w:type="pct"/>
          </w:tcPr>
          <w:p w:rsidR="00A952B8" w:rsidRDefault="00A952B8" w:rsidP="003951C2">
            <w:pPr>
              <w:pStyle w:val="NormalWeb"/>
              <w:jc w:val="both"/>
            </w:pPr>
            <w:r>
              <w:t xml:space="preserve"> </w:t>
            </w:r>
            <w:r>
              <w:rPr>
                <w:noProof/>
                <w:lang w:val="en-IN" w:eastAsia="en-IN"/>
              </w:rPr>
              <w:drawing>
                <wp:inline distT="0" distB="0" distL="0" distR="0" wp14:anchorId="6A44A2A0" wp14:editId="661FB754">
                  <wp:extent cx="1499020" cy="946150"/>
                  <wp:effectExtent l="0" t="0" r="0" b="0"/>
                  <wp:docPr id="22" name="Picture 22" descr="C:\Users\ADMIN\Downloads\(+)-Ketoconazole_Conformer3D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Ketoconazole_Conformer3D_large.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35604" t="25742" r="35773" b="29208"/>
                          <a:stretch/>
                        </pic:blipFill>
                        <pic:spPr bwMode="auto">
                          <a:xfrm>
                            <a:off x="0" y="0"/>
                            <a:ext cx="1506349" cy="950776"/>
                          </a:xfrm>
                          <a:prstGeom prst="rect">
                            <a:avLst/>
                          </a:prstGeom>
                          <a:noFill/>
                          <a:ln>
                            <a:noFill/>
                          </a:ln>
                          <a:extLst>
                            <a:ext uri="{53640926-AAD7-44D8-BBD7-CCE9431645EC}">
                              <a14:shadowObscured xmlns:a14="http://schemas.microsoft.com/office/drawing/2010/main"/>
                            </a:ext>
                          </a:extLst>
                        </pic:spPr>
                      </pic:pic>
                    </a:graphicData>
                  </a:graphic>
                </wp:inline>
              </w:drawing>
            </w:r>
          </w:p>
          <w:p w:rsidR="002A7537" w:rsidRPr="00010A38" w:rsidRDefault="002A7537" w:rsidP="003951C2">
            <w:pPr>
              <w:spacing w:after="120" w:line="360" w:lineRule="auto"/>
              <w:jc w:val="both"/>
              <w:rPr>
                <w:rFonts w:asciiTheme="majorHAnsi" w:hAnsiTheme="majorHAnsi" w:cstheme="majorHAnsi"/>
                <w:sz w:val="24"/>
                <w:szCs w:val="24"/>
              </w:rPr>
            </w:pPr>
          </w:p>
        </w:tc>
        <w:tc>
          <w:tcPr>
            <w:tcW w:w="1334"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 xml:space="preserve">Ketoconazole is used for treating skin and scalp fungal infections, including athlete's foot, ringworm, and dandruff caused by </w:t>
            </w:r>
            <w:r w:rsidRPr="00010A38">
              <w:rPr>
                <w:rFonts w:asciiTheme="majorHAnsi" w:hAnsiTheme="majorHAnsi" w:cstheme="majorHAnsi"/>
                <w:i/>
                <w:iCs/>
                <w:sz w:val="24"/>
                <w:szCs w:val="24"/>
              </w:rPr>
              <w:t>Malassezia</w:t>
            </w:r>
            <w:r w:rsidRPr="00010A38">
              <w:rPr>
                <w:rFonts w:asciiTheme="majorHAnsi" w:hAnsiTheme="majorHAnsi" w:cstheme="majorHAnsi"/>
                <w:sz w:val="24"/>
                <w:szCs w:val="24"/>
              </w:rPr>
              <w:t xml:space="preserve"> fungi. It works by interferin</w:t>
            </w:r>
            <w:r w:rsidR="0078439F" w:rsidRPr="00010A38">
              <w:rPr>
                <w:rFonts w:asciiTheme="majorHAnsi" w:hAnsiTheme="majorHAnsi" w:cstheme="majorHAnsi"/>
                <w:sz w:val="24"/>
                <w:szCs w:val="24"/>
              </w:rPr>
              <w:t>g with the fungal cell membrane</w:t>
            </w:r>
            <w:r w:rsidRPr="00010A38">
              <w:rPr>
                <w:rFonts w:asciiTheme="majorHAnsi" w:hAnsiTheme="majorHAnsi" w:cstheme="majorHAnsi"/>
                <w:sz w:val="24"/>
                <w:szCs w:val="24"/>
              </w:rPr>
              <w:t xml:space="preserve"> (Van </w:t>
            </w:r>
            <w:r w:rsidR="0078439F" w:rsidRPr="00010A38">
              <w:rPr>
                <w:rFonts w:asciiTheme="majorHAnsi" w:hAnsiTheme="majorHAnsi" w:cstheme="majorHAnsi"/>
                <w:sz w:val="24"/>
                <w:szCs w:val="24"/>
              </w:rPr>
              <w:t xml:space="preserve">Cutsem, </w:t>
            </w:r>
            <w:r w:rsidRPr="00010A38">
              <w:rPr>
                <w:rFonts w:asciiTheme="majorHAnsi" w:hAnsiTheme="majorHAnsi" w:cstheme="majorHAnsi"/>
                <w:sz w:val="24"/>
                <w:szCs w:val="24"/>
              </w:rPr>
              <w:t xml:space="preserve"> 1983).</w:t>
            </w:r>
          </w:p>
        </w:tc>
      </w:tr>
      <w:tr w:rsidR="00D23120" w:rsidRPr="00010A38" w:rsidTr="00D23120">
        <w:tc>
          <w:tcPr>
            <w:tcW w:w="263" w:type="pct"/>
          </w:tcPr>
          <w:p w:rsidR="002A7537" w:rsidRPr="00010A38" w:rsidRDefault="002A7537" w:rsidP="003951C2">
            <w:pPr>
              <w:spacing w:after="120" w:line="360" w:lineRule="auto"/>
              <w:jc w:val="both"/>
              <w:rPr>
                <w:rFonts w:asciiTheme="majorHAnsi" w:hAnsiTheme="majorHAnsi" w:cstheme="majorHAnsi"/>
                <w:bCs/>
                <w:sz w:val="24"/>
                <w:szCs w:val="24"/>
              </w:rPr>
            </w:pPr>
            <w:r w:rsidRPr="00010A38">
              <w:rPr>
                <w:rFonts w:asciiTheme="majorHAnsi" w:hAnsiTheme="majorHAnsi" w:cstheme="majorHAnsi"/>
                <w:bCs/>
                <w:sz w:val="24"/>
                <w:szCs w:val="24"/>
              </w:rPr>
              <w:t>6</w:t>
            </w:r>
          </w:p>
        </w:tc>
        <w:tc>
          <w:tcPr>
            <w:tcW w:w="530"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bCs/>
                <w:sz w:val="24"/>
                <w:szCs w:val="24"/>
              </w:rPr>
              <w:t>Undecylenic Acid</w:t>
            </w:r>
          </w:p>
          <w:p w:rsidR="002A7537" w:rsidRPr="00010A38" w:rsidRDefault="002A7537" w:rsidP="003951C2">
            <w:pPr>
              <w:spacing w:after="120" w:line="360" w:lineRule="auto"/>
              <w:jc w:val="both"/>
              <w:rPr>
                <w:rFonts w:asciiTheme="majorHAnsi" w:hAnsiTheme="majorHAnsi" w:cstheme="majorHAnsi"/>
                <w:bCs/>
                <w:sz w:val="24"/>
                <w:szCs w:val="24"/>
              </w:rPr>
            </w:pPr>
          </w:p>
        </w:tc>
        <w:tc>
          <w:tcPr>
            <w:tcW w:w="515"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Fungi-Nail, Mycocide</w:t>
            </w:r>
          </w:p>
        </w:tc>
        <w:tc>
          <w:tcPr>
            <w:tcW w:w="434"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 xml:space="preserve">5634  </w:t>
            </w:r>
          </w:p>
        </w:tc>
        <w:tc>
          <w:tcPr>
            <w:tcW w:w="720"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C</w:t>
            </w:r>
            <w:r w:rsidRPr="00010A38">
              <w:rPr>
                <w:rFonts w:asciiTheme="majorHAnsi" w:hAnsiTheme="majorHAnsi" w:cstheme="majorHAnsi"/>
                <w:sz w:val="24"/>
                <w:szCs w:val="24"/>
                <w:vertAlign w:val="subscript"/>
              </w:rPr>
              <w:t>11</w:t>
            </w:r>
            <w:r w:rsidRPr="00010A38">
              <w:rPr>
                <w:rFonts w:asciiTheme="majorHAnsi" w:hAnsiTheme="majorHAnsi" w:cstheme="majorHAnsi"/>
                <w:sz w:val="24"/>
                <w:szCs w:val="24"/>
              </w:rPr>
              <w:t>H</w:t>
            </w:r>
            <w:r w:rsidRPr="00010A38">
              <w:rPr>
                <w:rFonts w:asciiTheme="majorHAnsi" w:hAnsiTheme="majorHAnsi" w:cstheme="majorHAnsi"/>
                <w:sz w:val="24"/>
                <w:szCs w:val="24"/>
                <w:vertAlign w:val="subscript"/>
              </w:rPr>
              <w:t>20</w:t>
            </w:r>
            <w:r w:rsidRPr="00010A38">
              <w:rPr>
                <w:rFonts w:asciiTheme="majorHAnsi" w:hAnsiTheme="majorHAnsi" w:cstheme="majorHAnsi"/>
                <w:sz w:val="24"/>
                <w:szCs w:val="24"/>
              </w:rPr>
              <w:t>O</w:t>
            </w:r>
            <w:r w:rsidRPr="00010A38">
              <w:rPr>
                <w:rFonts w:asciiTheme="majorHAnsi" w:hAnsiTheme="majorHAnsi" w:cstheme="majorHAnsi"/>
                <w:sz w:val="24"/>
                <w:szCs w:val="24"/>
                <w:vertAlign w:val="subscript"/>
              </w:rPr>
              <w:t>2</w:t>
            </w:r>
          </w:p>
        </w:tc>
        <w:tc>
          <w:tcPr>
            <w:tcW w:w="1204" w:type="pct"/>
          </w:tcPr>
          <w:p w:rsidR="003C2FFB" w:rsidRDefault="003C2FFB" w:rsidP="003951C2">
            <w:pPr>
              <w:pStyle w:val="NormalWeb"/>
              <w:jc w:val="both"/>
            </w:pPr>
          </w:p>
          <w:p w:rsidR="00A952B8" w:rsidRDefault="00A952B8" w:rsidP="003951C2">
            <w:pPr>
              <w:pStyle w:val="NormalWeb"/>
              <w:jc w:val="both"/>
            </w:pPr>
            <w:r>
              <w:rPr>
                <w:noProof/>
                <w:lang w:val="en-IN" w:eastAsia="en-IN"/>
              </w:rPr>
              <w:drawing>
                <wp:inline distT="0" distB="0" distL="0" distR="0" wp14:anchorId="69C8FE3C" wp14:editId="5ECE3324">
                  <wp:extent cx="1498600" cy="466546"/>
                  <wp:effectExtent l="0" t="0" r="0" b="0"/>
                  <wp:docPr id="23" name="Picture 23" descr="C:\Users\ADMIN\Downloads\Undecylenic-Acid_Conformer3D_lar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Undecylenic-Acid_Conformer3D_large (2).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36045" t="37314" r="36067" b="38059"/>
                          <a:stretch/>
                        </pic:blipFill>
                        <pic:spPr bwMode="auto">
                          <a:xfrm>
                            <a:off x="0" y="0"/>
                            <a:ext cx="1503942" cy="468209"/>
                          </a:xfrm>
                          <a:prstGeom prst="rect">
                            <a:avLst/>
                          </a:prstGeom>
                          <a:noFill/>
                          <a:ln>
                            <a:noFill/>
                          </a:ln>
                          <a:extLst>
                            <a:ext uri="{53640926-AAD7-44D8-BBD7-CCE9431645EC}">
                              <a14:shadowObscured xmlns:a14="http://schemas.microsoft.com/office/drawing/2010/main"/>
                            </a:ext>
                          </a:extLst>
                        </pic:spPr>
                      </pic:pic>
                    </a:graphicData>
                  </a:graphic>
                </wp:inline>
              </w:drawing>
            </w:r>
          </w:p>
          <w:p w:rsidR="002A7537" w:rsidRPr="00010A38" w:rsidRDefault="002A7537" w:rsidP="003951C2">
            <w:pPr>
              <w:spacing w:after="120" w:line="360" w:lineRule="auto"/>
              <w:jc w:val="both"/>
              <w:rPr>
                <w:rFonts w:asciiTheme="majorHAnsi" w:hAnsiTheme="majorHAnsi" w:cstheme="majorHAnsi"/>
                <w:sz w:val="24"/>
                <w:szCs w:val="24"/>
              </w:rPr>
            </w:pPr>
          </w:p>
        </w:tc>
        <w:tc>
          <w:tcPr>
            <w:tcW w:w="1334"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Undecylenic acid is effective in treating fungal infections of the skin, especially on the nails and feet. It is often used for at</w:t>
            </w:r>
            <w:r w:rsidR="0078439F" w:rsidRPr="00010A38">
              <w:rPr>
                <w:rFonts w:asciiTheme="majorHAnsi" w:hAnsiTheme="majorHAnsi" w:cstheme="majorHAnsi"/>
                <w:sz w:val="24"/>
                <w:szCs w:val="24"/>
              </w:rPr>
              <w:t>hlete’s foot and toenail fungus</w:t>
            </w:r>
            <w:r w:rsidRPr="00010A38">
              <w:rPr>
                <w:rFonts w:asciiTheme="majorHAnsi" w:hAnsiTheme="majorHAnsi" w:cstheme="majorHAnsi"/>
                <w:sz w:val="24"/>
                <w:szCs w:val="24"/>
              </w:rPr>
              <w:t xml:space="preserve"> (Shapiro, 1983).</w:t>
            </w:r>
          </w:p>
        </w:tc>
      </w:tr>
      <w:tr w:rsidR="00D23120" w:rsidRPr="00010A38" w:rsidTr="00D23120">
        <w:trPr>
          <w:trHeight w:val="458"/>
        </w:trPr>
        <w:tc>
          <w:tcPr>
            <w:tcW w:w="263" w:type="pct"/>
          </w:tcPr>
          <w:p w:rsidR="002A7537" w:rsidRPr="00010A38" w:rsidRDefault="002A7537" w:rsidP="003951C2">
            <w:pPr>
              <w:spacing w:after="120" w:line="360" w:lineRule="auto"/>
              <w:jc w:val="both"/>
              <w:rPr>
                <w:rFonts w:asciiTheme="majorHAnsi" w:hAnsiTheme="majorHAnsi" w:cstheme="majorHAnsi"/>
                <w:bCs/>
                <w:sz w:val="24"/>
                <w:szCs w:val="24"/>
              </w:rPr>
            </w:pPr>
            <w:r w:rsidRPr="00010A38">
              <w:rPr>
                <w:rFonts w:asciiTheme="majorHAnsi" w:hAnsiTheme="majorHAnsi" w:cstheme="majorHAnsi"/>
                <w:bCs/>
                <w:sz w:val="24"/>
                <w:szCs w:val="24"/>
              </w:rPr>
              <w:t>7</w:t>
            </w:r>
          </w:p>
        </w:tc>
        <w:tc>
          <w:tcPr>
            <w:tcW w:w="530"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bCs/>
                <w:sz w:val="24"/>
                <w:szCs w:val="24"/>
              </w:rPr>
              <w:t xml:space="preserve">Econazole </w:t>
            </w:r>
          </w:p>
        </w:tc>
        <w:tc>
          <w:tcPr>
            <w:tcW w:w="515"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Ecoza, Spectazole</w:t>
            </w:r>
          </w:p>
        </w:tc>
        <w:tc>
          <w:tcPr>
            <w:tcW w:w="434"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3198</w:t>
            </w:r>
          </w:p>
        </w:tc>
        <w:tc>
          <w:tcPr>
            <w:tcW w:w="720"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C</w:t>
            </w:r>
            <w:r w:rsidRPr="00010A38">
              <w:rPr>
                <w:rFonts w:asciiTheme="majorHAnsi" w:hAnsiTheme="majorHAnsi" w:cstheme="majorHAnsi"/>
                <w:sz w:val="24"/>
                <w:szCs w:val="24"/>
                <w:vertAlign w:val="subscript"/>
              </w:rPr>
              <w:t>18</w:t>
            </w:r>
            <w:r w:rsidRPr="00010A38">
              <w:rPr>
                <w:rFonts w:asciiTheme="majorHAnsi" w:hAnsiTheme="majorHAnsi" w:cstheme="majorHAnsi"/>
                <w:sz w:val="24"/>
                <w:szCs w:val="24"/>
              </w:rPr>
              <w:t>H</w:t>
            </w:r>
            <w:r w:rsidRPr="00010A38">
              <w:rPr>
                <w:rFonts w:asciiTheme="majorHAnsi" w:hAnsiTheme="majorHAnsi" w:cstheme="majorHAnsi"/>
                <w:sz w:val="24"/>
                <w:szCs w:val="24"/>
                <w:vertAlign w:val="subscript"/>
              </w:rPr>
              <w:t>15</w:t>
            </w:r>
            <w:r w:rsidRPr="00010A38">
              <w:rPr>
                <w:rFonts w:asciiTheme="majorHAnsi" w:hAnsiTheme="majorHAnsi" w:cstheme="majorHAnsi"/>
                <w:sz w:val="24"/>
                <w:szCs w:val="24"/>
              </w:rPr>
              <w:t>C</w:t>
            </w:r>
            <w:r w:rsidRPr="00010A38">
              <w:rPr>
                <w:rFonts w:asciiTheme="majorHAnsi" w:hAnsiTheme="majorHAnsi" w:cstheme="majorHAnsi"/>
                <w:sz w:val="24"/>
                <w:szCs w:val="24"/>
                <w:vertAlign w:val="subscript"/>
              </w:rPr>
              <w:t>l3</w:t>
            </w:r>
            <w:r w:rsidRPr="00010A38">
              <w:rPr>
                <w:rFonts w:asciiTheme="majorHAnsi" w:hAnsiTheme="majorHAnsi" w:cstheme="majorHAnsi"/>
                <w:sz w:val="24"/>
                <w:szCs w:val="24"/>
              </w:rPr>
              <w:t>N</w:t>
            </w:r>
            <w:r w:rsidRPr="00010A38">
              <w:rPr>
                <w:rFonts w:asciiTheme="majorHAnsi" w:hAnsiTheme="majorHAnsi" w:cstheme="majorHAnsi"/>
                <w:sz w:val="24"/>
                <w:szCs w:val="24"/>
                <w:vertAlign w:val="subscript"/>
              </w:rPr>
              <w:t>2</w:t>
            </w:r>
            <w:r w:rsidRPr="00010A38">
              <w:rPr>
                <w:rFonts w:asciiTheme="majorHAnsi" w:hAnsiTheme="majorHAnsi" w:cstheme="majorHAnsi"/>
                <w:sz w:val="24"/>
                <w:szCs w:val="24"/>
              </w:rPr>
              <w:t>O</w:t>
            </w:r>
          </w:p>
        </w:tc>
        <w:tc>
          <w:tcPr>
            <w:tcW w:w="1204" w:type="pct"/>
          </w:tcPr>
          <w:p w:rsidR="002A7537" w:rsidRPr="00BD39E6" w:rsidRDefault="00A952B8" w:rsidP="003951C2">
            <w:pPr>
              <w:pStyle w:val="NormalWeb"/>
              <w:jc w:val="both"/>
            </w:pPr>
            <w:r>
              <w:t xml:space="preserve"> </w:t>
            </w:r>
            <w:r>
              <w:rPr>
                <w:noProof/>
                <w:lang w:val="en-IN" w:eastAsia="en-IN"/>
              </w:rPr>
              <w:drawing>
                <wp:inline distT="0" distB="0" distL="0" distR="0" wp14:anchorId="278CC2C6" wp14:editId="5E18DF79">
                  <wp:extent cx="1532191" cy="1295400"/>
                  <wp:effectExtent l="0" t="0" r="0" b="0"/>
                  <wp:docPr id="24" name="Picture 24" descr="C:\Users\ADMIN\Downloads\Econazole_Conformer3D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Econazole_Conformer3D_large.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34782" t="14509" r="37085" b="18024"/>
                          <a:stretch/>
                        </pic:blipFill>
                        <pic:spPr bwMode="auto">
                          <a:xfrm>
                            <a:off x="0" y="0"/>
                            <a:ext cx="1536994" cy="12994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4" w:type="pct"/>
          </w:tcPr>
          <w:p w:rsidR="002A7537" w:rsidRPr="00010A38" w:rsidRDefault="002A7537" w:rsidP="003951C2">
            <w:pPr>
              <w:spacing w:after="120" w:line="360" w:lineRule="auto"/>
              <w:jc w:val="both"/>
              <w:rPr>
                <w:rFonts w:asciiTheme="majorHAnsi" w:hAnsiTheme="majorHAnsi" w:cstheme="majorHAnsi"/>
                <w:sz w:val="24"/>
                <w:szCs w:val="24"/>
              </w:rPr>
            </w:pPr>
            <w:r w:rsidRPr="00010A38">
              <w:rPr>
                <w:rFonts w:asciiTheme="majorHAnsi" w:hAnsiTheme="majorHAnsi" w:cstheme="majorHAnsi"/>
                <w:sz w:val="24"/>
                <w:szCs w:val="24"/>
              </w:rPr>
              <w:t>Apply to the affected area</w:t>
            </w:r>
            <w:r w:rsidR="0078439F" w:rsidRPr="00010A38">
              <w:rPr>
                <w:rFonts w:asciiTheme="majorHAnsi" w:hAnsiTheme="majorHAnsi" w:cstheme="majorHAnsi"/>
                <w:sz w:val="24"/>
                <w:szCs w:val="24"/>
              </w:rPr>
              <w:t xml:space="preserve"> once daily for up to 2-4 weeks </w:t>
            </w:r>
            <w:r w:rsidRPr="00010A38">
              <w:rPr>
                <w:rFonts w:asciiTheme="majorHAnsi" w:hAnsiTheme="majorHAnsi" w:cstheme="majorHAnsi"/>
                <w:sz w:val="24"/>
                <w:szCs w:val="24"/>
              </w:rPr>
              <w:t>(Tatara</w:t>
            </w:r>
            <w:r w:rsidR="0078439F" w:rsidRPr="00010A38">
              <w:rPr>
                <w:rFonts w:asciiTheme="majorHAnsi" w:hAnsiTheme="majorHAnsi" w:cstheme="majorHAnsi"/>
                <w:sz w:val="24"/>
                <w:szCs w:val="24"/>
              </w:rPr>
              <w:t xml:space="preserve"> </w:t>
            </w:r>
            <w:r w:rsidRPr="00010A38">
              <w:rPr>
                <w:rFonts w:asciiTheme="majorHAnsi" w:hAnsiTheme="majorHAnsi" w:cstheme="majorHAnsi"/>
                <w:sz w:val="24"/>
                <w:szCs w:val="24"/>
              </w:rPr>
              <w:t>et al., 2018)</w:t>
            </w:r>
            <w:r w:rsidR="0078439F" w:rsidRPr="00010A38">
              <w:rPr>
                <w:rFonts w:asciiTheme="majorHAnsi" w:hAnsiTheme="majorHAnsi" w:cstheme="majorHAnsi"/>
                <w:sz w:val="24"/>
                <w:szCs w:val="24"/>
              </w:rPr>
              <w:t>.</w:t>
            </w:r>
          </w:p>
        </w:tc>
      </w:tr>
    </w:tbl>
    <w:p w:rsidR="0002358A" w:rsidRPr="00D23120" w:rsidRDefault="0002358A" w:rsidP="003951C2">
      <w:pPr>
        <w:spacing w:line="360" w:lineRule="auto"/>
        <w:jc w:val="both"/>
        <w:rPr>
          <w:rFonts w:asciiTheme="majorHAnsi" w:hAnsiTheme="majorHAnsi" w:cstheme="majorHAnsi"/>
          <w:sz w:val="24"/>
          <w:szCs w:val="24"/>
        </w:rPr>
        <w:sectPr w:rsidR="0002358A" w:rsidRPr="00D23120" w:rsidSect="00D23120">
          <w:type w:val="continuous"/>
          <w:pgSz w:w="12240" w:h="15840"/>
          <w:pgMar w:top="1440" w:right="1797" w:bottom="1440" w:left="1797" w:header="720" w:footer="720" w:gutter="0"/>
          <w:cols w:space="720"/>
          <w:docGrid w:linePitch="299"/>
        </w:sectPr>
      </w:pPr>
    </w:p>
    <w:p w:rsidR="001B4824" w:rsidRPr="00010A38" w:rsidRDefault="004C7E08"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lastRenderedPageBreak/>
        <w:t>9. Prescription medications</w:t>
      </w:r>
    </w:p>
    <w:p w:rsidR="001B4824" w:rsidRPr="00010A38" w:rsidRDefault="004C7E08"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Prescription medications, such as topical or oral antifungal treatments for ringworm, may be necessary for severe or persistent infections, depending on the severity and location of the infection.</w:t>
      </w:r>
    </w:p>
    <w:p w:rsidR="001B4824" w:rsidRPr="00010A38" w:rsidRDefault="0002358A"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 xml:space="preserve">9.1 </w:t>
      </w:r>
      <w:r w:rsidR="004C7E08" w:rsidRPr="00010A38">
        <w:rPr>
          <w:rFonts w:asciiTheme="majorHAnsi" w:hAnsiTheme="majorHAnsi" w:cstheme="majorHAnsi"/>
          <w:b/>
          <w:sz w:val="24"/>
          <w:szCs w:val="24"/>
        </w:rPr>
        <w:t>Topical Prescription Antifungal Medications</w:t>
      </w:r>
    </w:p>
    <w:p w:rsidR="001B4824" w:rsidRPr="00010A38" w:rsidRDefault="004C7E08"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Healthcare providers may prescribe stronger topical antifungal medication for severe or resistant cases of ringworm, applied directly to the affected skin.</w:t>
      </w:r>
    </w:p>
    <w:p w:rsidR="001B4824" w:rsidRPr="00010A38" w:rsidRDefault="0002358A"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9.1.1</w:t>
      </w:r>
      <w:r w:rsidR="004C7E08" w:rsidRPr="00010A38">
        <w:rPr>
          <w:rFonts w:asciiTheme="majorHAnsi" w:hAnsiTheme="majorHAnsi" w:cstheme="majorHAnsi"/>
          <w:b/>
          <w:sz w:val="24"/>
          <w:szCs w:val="24"/>
        </w:rPr>
        <w:t xml:space="preserve"> Terbinafine 1% (Lamisil)—Terbinafine</w:t>
      </w:r>
      <w:r w:rsidR="004C7E08" w:rsidRPr="00010A38">
        <w:rPr>
          <w:rFonts w:asciiTheme="majorHAnsi" w:hAnsiTheme="majorHAnsi" w:cstheme="majorHAnsi"/>
          <w:sz w:val="24"/>
          <w:szCs w:val="24"/>
        </w:rPr>
        <w:t xml:space="preserve"> is a highly effective topical antifungal that inhibits fungal cell membrane synthesis, leading to the death of the fungus. Apply once or twice daily to the affected area. Treatment typically lasts for 1-2 weeks, but it may be longer depend</w:t>
      </w:r>
      <w:r w:rsidR="00C06884">
        <w:rPr>
          <w:rFonts w:asciiTheme="majorHAnsi" w:hAnsiTheme="majorHAnsi" w:cstheme="majorHAnsi"/>
          <w:sz w:val="24"/>
          <w:szCs w:val="24"/>
        </w:rPr>
        <w:t xml:space="preserve">ing on the infection's severity </w:t>
      </w:r>
      <w:r w:rsidR="00C06884" w:rsidRPr="00010A38">
        <w:rPr>
          <w:rFonts w:asciiTheme="majorHAnsi" w:hAnsiTheme="majorHAnsi" w:cstheme="majorHAnsi"/>
          <w:sz w:val="24"/>
          <w:szCs w:val="24"/>
        </w:rPr>
        <w:t>(Evans, 1994).</w:t>
      </w:r>
    </w:p>
    <w:p w:rsidR="001B4824" w:rsidRPr="00010A38" w:rsidRDefault="0002358A"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 xml:space="preserve">9.1.2 </w:t>
      </w:r>
      <w:r w:rsidR="004C7E08" w:rsidRPr="00010A38">
        <w:rPr>
          <w:rFonts w:asciiTheme="majorHAnsi" w:hAnsiTheme="majorHAnsi" w:cstheme="majorHAnsi"/>
          <w:b/>
          <w:sz w:val="24"/>
          <w:szCs w:val="24"/>
        </w:rPr>
        <w:t>Clotrimazole 1% (Lotrimin, Mycelex)—Clotrimazole</w:t>
      </w:r>
      <w:r w:rsidR="004C7E08" w:rsidRPr="00010A38">
        <w:rPr>
          <w:rFonts w:asciiTheme="majorHAnsi" w:hAnsiTheme="majorHAnsi" w:cstheme="majorHAnsi"/>
          <w:sz w:val="24"/>
          <w:szCs w:val="24"/>
        </w:rPr>
        <w:t xml:space="preserve"> is a broad-spectrum antifungal that works by inhibiting fungal growth. Apply twice daily for 2-4 weeks until the infection clears up</w:t>
      </w:r>
      <w:r w:rsidR="00C06884">
        <w:rPr>
          <w:rFonts w:asciiTheme="majorHAnsi" w:hAnsiTheme="majorHAnsi" w:cstheme="majorHAnsi"/>
          <w:sz w:val="24"/>
          <w:szCs w:val="24"/>
        </w:rPr>
        <w:t xml:space="preserve"> </w:t>
      </w:r>
      <w:r w:rsidR="00C06884" w:rsidRPr="00010A38">
        <w:rPr>
          <w:rFonts w:asciiTheme="majorHAnsi" w:hAnsiTheme="majorHAnsi" w:cstheme="majorHAnsi"/>
          <w:sz w:val="24"/>
          <w:szCs w:val="24"/>
        </w:rPr>
        <w:t>(Evans, 1994).</w:t>
      </w:r>
    </w:p>
    <w:p w:rsidR="001B4824" w:rsidRPr="00010A38" w:rsidRDefault="0002358A"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 xml:space="preserve">9.1.3 </w:t>
      </w:r>
      <w:r w:rsidR="004C7E08" w:rsidRPr="00010A38">
        <w:rPr>
          <w:rFonts w:asciiTheme="majorHAnsi" w:hAnsiTheme="majorHAnsi" w:cstheme="majorHAnsi"/>
          <w:b/>
          <w:sz w:val="24"/>
          <w:szCs w:val="24"/>
        </w:rPr>
        <w:t>Ketoconazole 2% (Nizoral)—Ketoconazole</w:t>
      </w:r>
      <w:r w:rsidR="004C7E08" w:rsidRPr="00010A38">
        <w:rPr>
          <w:rFonts w:asciiTheme="majorHAnsi" w:hAnsiTheme="majorHAnsi" w:cstheme="majorHAnsi"/>
          <w:sz w:val="24"/>
          <w:szCs w:val="24"/>
        </w:rPr>
        <w:t xml:space="preserve"> is another potent antifungal, especially useful for treating dermatophyte infections like ringworm. It disrupts fungal cell membranes. Usually applied on</w:t>
      </w:r>
      <w:r w:rsidR="00C06884">
        <w:rPr>
          <w:rFonts w:asciiTheme="majorHAnsi" w:hAnsiTheme="majorHAnsi" w:cstheme="majorHAnsi"/>
          <w:sz w:val="24"/>
          <w:szCs w:val="24"/>
        </w:rPr>
        <w:t xml:space="preserve">ce or twice a day for 2-4 weeks </w:t>
      </w:r>
      <w:r w:rsidR="00C06884" w:rsidRPr="00010A38">
        <w:rPr>
          <w:rFonts w:asciiTheme="majorHAnsi" w:hAnsiTheme="majorHAnsi" w:cstheme="majorHAnsi"/>
          <w:sz w:val="24"/>
          <w:szCs w:val="24"/>
        </w:rPr>
        <w:t>(Van Cutsem, 1983).</w:t>
      </w:r>
    </w:p>
    <w:p w:rsidR="001B4824" w:rsidRPr="00010A38" w:rsidRDefault="0002358A"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 xml:space="preserve">9.1.4 </w:t>
      </w:r>
      <w:r w:rsidR="004C7E08" w:rsidRPr="00010A38">
        <w:rPr>
          <w:rFonts w:asciiTheme="majorHAnsi" w:hAnsiTheme="majorHAnsi" w:cstheme="majorHAnsi"/>
          <w:b/>
          <w:sz w:val="24"/>
          <w:szCs w:val="24"/>
        </w:rPr>
        <w:t>Miconazole 2% (Monistat, Micatin)—Miconazole</w:t>
      </w:r>
      <w:r w:rsidR="004C7E08" w:rsidRPr="00010A38">
        <w:rPr>
          <w:rFonts w:asciiTheme="majorHAnsi" w:hAnsiTheme="majorHAnsi" w:cstheme="majorHAnsi"/>
          <w:sz w:val="24"/>
          <w:szCs w:val="24"/>
        </w:rPr>
        <w:t xml:space="preserve"> works by interfering with the synthesis of fungal cell membranes. Applied twice daily to </w:t>
      </w:r>
      <w:r w:rsidR="00C06884">
        <w:rPr>
          <w:rFonts w:asciiTheme="majorHAnsi" w:hAnsiTheme="majorHAnsi" w:cstheme="majorHAnsi"/>
          <w:sz w:val="24"/>
          <w:szCs w:val="24"/>
        </w:rPr>
        <w:t xml:space="preserve">the affected area for 2-4 weeks </w:t>
      </w:r>
      <w:r w:rsidR="00C06884" w:rsidRPr="00010A38">
        <w:rPr>
          <w:rFonts w:asciiTheme="majorHAnsi" w:hAnsiTheme="majorHAnsi" w:cstheme="majorHAnsi"/>
          <w:sz w:val="24"/>
          <w:szCs w:val="24"/>
        </w:rPr>
        <w:t>(Firooz et al., 2016).</w:t>
      </w:r>
    </w:p>
    <w:p w:rsidR="001B4824" w:rsidRPr="00010A38" w:rsidRDefault="0002358A"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 xml:space="preserve">9.1.5 </w:t>
      </w:r>
      <w:r w:rsidR="004C7E08" w:rsidRPr="00010A38">
        <w:rPr>
          <w:rFonts w:asciiTheme="majorHAnsi" w:hAnsiTheme="majorHAnsi" w:cstheme="majorHAnsi"/>
          <w:b/>
          <w:sz w:val="24"/>
          <w:szCs w:val="24"/>
        </w:rPr>
        <w:t xml:space="preserve">Econazole 1% (Spectazole)—Econazole </w:t>
      </w:r>
      <w:r w:rsidR="004C7E08" w:rsidRPr="00010A38">
        <w:rPr>
          <w:rFonts w:asciiTheme="majorHAnsi" w:hAnsiTheme="majorHAnsi" w:cstheme="majorHAnsi"/>
          <w:sz w:val="24"/>
          <w:szCs w:val="24"/>
        </w:rPr>
        <w:t>is effective against dermatophytes and yeasts. Apply to the affected area</w:t>
      </w:r>
      <w:r w:rsidR="00C06884">
        <w:rPr>
          <w:rFonts w:asciiTheme="majorHAnsi" w:hAnsiTheme="majorHAnsi" w:cstheme="majorHAnsi"/>
          <w:sz w:val="24"/>
          <w:szCs w:val="24"/>
        </w:rPr>
        <w:t xml:space="preserve"> once daily for up to 2-4 weeks </w:t>
      </w:r>
      <w:r w:rsidR="00C06884" w:rsidRPr="00010A38">
        <w:rPr>
          <w:rFonts w:asciiTheme="majorHAnsi" w:hAnsiTheme="majorHAnsi" w:cstheme="majorHAnsi"/>
          <w:sz w:val="24"/>
          <w:szCs w:val="24"/>
        </w:rPr>
        <w:t>(Tatara et al., 2018).</w:t>
      </w:r>
    </w:p>
    <w:p w:rsidR="001B4824" w:rsidRPr="00010A38" w:rsidRDefault="009A7608"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 xml:space="preserve">10. </w:t>
      </w:r>
      <w:r w:rsidR="00E05719" w:rsidRPr="00010A38">
        <w:rPr>
          <w:rFonts w:asciiTheme="majorHAnsi" w:hAnsiTheme="majorHAnsi" w:cstheme="majorHAnsi"/>
          <w:b/>
          <w:sz w:val="24"/>
          <w:szCs w:val="24"/>
        </w:rPr>
        <w:t>Oral Antifungal Medications</w:t>
      </w:r>
    </w:p>
    <w:p w:rsidR="001B4824" w:rsidRPr="00010A38" w:rsidRDefault="009A7608"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 xml:space="preserve">10.1 </w:t>
      </w:r>
      <w:r w:rsidR="004C7E08" w:rsidRPr="00010A38">
        <w:rPr>
          <w:rFonts w:asciiTheme="majorHAnsi" w:hAnsiTheme="majorHAnsi" w:cstheme="majorHAnsi"/>
          <w:b/>
          <w:sz w:val="24"/>
          <w:szCs w:val="24"/>
        </w:rPr>
        <w:t>Terbinafine (Lamisil)—Terbinafine</w:t>
      </w:r>
      <w:r w:rsidR="004C7E08" w:rsidRPr="00010A38">
        <w:rPr>
          <w:rFonts w:asciiTheme="majorHAnsi" w:hAnsiTheme="majorHAnsi" w:cstheme="majorHAnsi"/>
          <w:sz w:val="24"/>
          <w:szCs w:val="24"/>
        </w:rPr>
        <w:t xml:space="preserve"> is a first-line treatment for dermatophyte infections, including ringworm. It works by inhibiting the enzyme that fungi use to create their cell membranes, which results in the death of the fungus. More than 80% of patients often get a mycological cure while taking oral Terbinafine 250 mg daily for superficial dermatophyte infections such as onychomycosis, tinea pedis, and tinea corporis/cruris. In </w:t>
      </w:r>
      <w:r w:rsidR="004C7E08" w:rsidRPr="00010A38">
        <w:rPr>
          <w:rFonts w:asciiTheme="majorHAnsi" w:hAnsiTheme="majorHAnsi" w:cstheme="majorHAnsi"/>
          <w:sz w:val="24"/>
          <w:szCs w:val="24"/>
        </w:rPr>
        <w:lastRenderedPageBreak/>
        <w:t>individuals with dermatophyte onychomycosis, oral terbinafine has a better cost-effectiveness ratio than continuous itraconazole, ketoconazole, and griseofulvin. Additionally, it is less expensive for patients with severe dermatophyte skin infections than ora</w:t>
      </w:r>
      <w:r w:rsidRPr="00010A38">
        <w:rPr>
          <w:rFonts w:asciiTheme="majorHAnsi" w:hAnsiTheme="majorHAnsi" w:cstheme="majorHAnsi"/>
          <w:sz w:val="24"/>
          <w:szCs w:val="24"/>
        </w:rPr>
        <w:t xml:space="preserve">l ketoconazole or griseofulvin </w:t>
      </w:r>
      <w:r w:rsidR="004C7E08" w:rsidRPr="00010A38">
        <w:rPr>
          <w:rFonts w:asciiTheme="majorHAnsi" w:hAnsiTheme="majorHAnsi" w:cstheme="majorHAnsi"/>
          <w:sz w:val="24"/>
          <w:szCs w:val="24"/>
        </w:rPr>
        <w:t>(McClellan et al., 1999)</w:t>
      </w:r>
      <w:r w:rsidR="00E05719" w:rsidRPr="00010A38">
        <w:rPr>
          <w:rFonts w:asciiTheme="majorHAnsi" w:hAnsiTheme="majorHAnsi" w:cstheme="majorHAnsi"/>
          <w:sz w:val="24"/>
          <w:szCs w:val="24"/>
        </w:rPr>
        <w:t xml:space="preserve"> (Table 2).</w:t>
      </w:r>
    </w:p>
    <w:p w:rsidR="001B4824" w:rsidRPr="00010A38" w:rsidRDefault="009A7608"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 xml:space="preserve">10.2 </w:t>
      </w:r>
      <w:r w:rsidR="004C7E08" w:rsidRPr="00010A38">
        <w:rPr>
          <w:rFonts w:asciiTheme="majorHAnsi" w:hAnsiTheme="majorHAnsi" w:cstheme="majorHAnsi"/>
          <w:b/>
          <w:sz w:val="24"/>
          <w:szCs w:val="24"/>
        </w:rPr>
        <w:t xml:space="preserve">Itraconazole (Sporanox) - </w:t>
      </w:r>
      <w:r w:rsidR="004C7E08" w:rsidRPr="00010A38">
        <w:rPr>
          <w:rFonts w:asciiTheme="majorHAnsi" w:hAnsiTheme="majorHAnsi" w:cstheme="majorHAnsi"/>
          <w:sz w:val="24"/>
          <w:szCs w:val="24"/>
        </w:rPr>
        <w:t xml:space="preserve">Itraconazole is a broad-spectrum antifungal that works by inhibiting fungal cell membrane synthesis. In both human and veterinary medicine, Itraconazole (ITZ) has been used extensively for the treatment and prevention of fungal infections because of its broad spectrum and safety profile in </w:t>
      </w:r>
      <w:r w:rsidRPr="00010A38">
        <w:rPr>
          <w:rFonts w:asciiTheme="majorHAnsi" w:hAnsiTheme="majorHAnsi" w:cstheme="majorHAnsi"/>
          <w:sz w:val="24"/>
          <w:szCs w:val="24"/>
        </w:rPr>
        <w:t>comparison to other antifungals</w:t>
      </w:r>
      <w:r w:rsidR="004C7E08" w:rsidRPr="00010A38">
        <w:rPr>
          <w:rFonts w:asciiTheme="majorHAnsi" w:hAnsiTheme="majorHAnsi" w:cstheme="majorHAnsi"/>
          <w:sz w:val="24"/>
          <w:szCs w:val="24"/>
        </w:rPr>
        <w:t xml:space="preserve"> (Sousa et al., 2024)</w:t>
      </w:r>
      <w:r w:rsidR="00E05719" w:rsidRPr="00010A38">
        <w:rPr>
          <w:rFonts w:asciiTheme="majorHAnsi" w:hAnsiTheme="majorHAnsi" w:cstheme="majorHAnsi"/>
          <w:sz w:val="24"/>
          <w:szCs w:val="24"/>
        </w:rPr>
        <w:t xml:space="preserve"> (Table 2).</w:t>
      </w:r>
    </w:p>
    <w:p w:rsidR="001B4824" w:rsidRPr="00010A38" w:rsidRDefault="009A7608"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 xml:space="preserve">10.3 </w:t>
      </w:r>
      <w:r w:rsidR="004C7E08" w:rsidRPr="00010A38">
        <w:rPr>
          <w:rFonts w:asciiTheme="majorHAnsi" w:hAnsiTheme="majorHAnsi" w:cstheme="majorHAnsi"/>
          <w:b/>
          <w:sz w:val="24"/>
          <w:szCs w:val="24"/>
        </w:rPr>
        <w:t>Fluconazole (Diflucan) -</w:t>
      </w:r>
      <w:r w:rsidR="004C7E08" w:rsidRPr="00010A38">
        <w:rPr>
          <w:rFonts w:asciiTheme="majorHAnsi" w:hAnsiTheme="majorHAnsi" w:cstheme="majorHAnsi"/>
          <w:sz w:val="24"/>
          <w:szCs w:val="24"/>
        </w:rPr>
        <w:t xml:space="preserve"> Fluconazole is another oral antifungal that is effective for treating dermatophyte infections, although it’s more commonly used for yeast infections. It is beneficial to prescribe fluconazole for onychomycosis since it is easy to administer once a week, has superior absorption compared to other medications, and is safe for use in individuals with heart f</w:t>
      </w:r>
      <w:r w:rsidRPr="00010A38">
        <w:rPr>
          <w:rFonts w:asciiTheme="majorHAnsi" w:hAnsiTheme="majorHAnsi" w:cstheme="majorHAnsi"/>
          <w:sz w:val="24"/>
          <w:szCs w:val="24"/>
        </w:rPr>
        <w:t xml:space="preserve">ailure and other comorbidities </w:t>
      </w:r>
      <w:r w:rsidR="004C7E08" w:rsidRPr="00010A38">
        <w:rPr>
          <w:rFonts w:asciiTheme="majorHAnsi" w:hAnsiTheme="majorHAnsi" w:cstheme="majorHAnsi"/>
          <w:sz w:val="24"/>
          <w:szCs w:val="24"/>
        </w:rPr>
        <w:t>(Gupta et al., 2001)</w:t>
      </w:r>
      <w:r w:rsidR="00E05719" w:rsidRPr="00010A38">
        <w:rPr>
          <w:rFonts w:asciiTheme="majorHAnsi" w:hAnsiTheme="majorHAnsi" w:cstheme="majorHAnsi"/>
          <w:sz w:val="24"/>
          <w:szCs w:val="24"/>
        </w:rPr>
        <w:t xml:space="preserve"> (Table 2)</w:t>
      </w:r>
      <w:r w:rsidRPr="00010A38">
        <w:rPr>
          <w:rFonts w:asciiTheme="majorHAnsi" w:hAnsiTheme="majorHAnsi" w:cstheme="majorHAnsi"/>
          <w:sz w:val="24"/>
          <w:szCs w:val="24"/>
        </w:rPr>
        <w:t>.</w:t>
      </w:r>
    </w:p>
    <w:p w:rsidR="001B4824" w:rsidRPr="00010A38" w:rsidRDefault="004C7E08"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10.4 Griseofulvin (Gris-PEG) -</w:t>
      </w:r>
      <w:r w:rsidRPr="00010A38">
        <w:rPr>
          <w:rFonts w:asciiTheme="majorHAnsi" w:hAnsiTheme="majorHAnsi" w:cstheme="majorHAnsi"/>
          <w:sz w:val="24"/>
          <w:szCs w:val="24"/>
        </w:rPr>
        <w:t xml:space="preserve"> Griseofulvin is a well-established treatment for fungal infections, particularly when topical treatments are ineffective. It works by interfering with fungal cell division. Clinical use of griseofulvin is safe, with comparatively mild adverse effects including headache, nausea, vomiting, and sleeplessness. Rare but more serious adverse events include hepatotoxicity, photosensitivity, and Stevens-Johnson syndrome. The US Food and Drug Administration has approved its use in children over the age of 2 and it is available in tablet or oral suspension form (Yesudian et al., 2021)</w:t>
      </w:r>
      <w:r w:rsidR="00E05719" w:rsidRPr="00010A38">
        <w:rPr>
          <w:rFonts w:asciiTheme="majorHAnsi" w:hAnsiTheme="majorHAnsi" w:cstheme="majorHAnsi"/>
          <w:sz w:val="24"/>
          <w:szCs w:val="24"/>
        </w:rPr>
        <w:t xml:space="preserve"> (Table 2)</w:t>
      </w:r>
      <w:r w:rsidRPr="00010A38">
        <w:rPr>
          <w:rFonts w:asciiTheme="majorHAnsi" w:hAnsiTheme="majorHAnsi" w:cstheme="majorHAnsi"/>
          <w:sz w:val="24"/>
          <w:szCs w:val="24"/>
        </w:rPr>
        <w:t>.</w:t>
      </w:r>
    </w:p>
    <w:p w:rsidR="00E05719" w:rsidRPr="00010A38" w:rsidRDefault="00E05719" w:rsidP="003951C2">
      <w:pPr>
        <w:spacing w:line="360" w:lineRule="auto"/>
        <w:jc w:val="both"/>
        <w:rPr>
          <w:rFonts w:asciiTheme="majorHAnsi" w:hAnsiTheme="majorHAnsi" w:cstheme="majorHAnsi"/>
          <w:b/>
          <w:sz w:val="24"/>
          <w:szCs w:val="24"/>
        </w:rPr>
      </w:pPr>
      <w:r w:rsidRPr="00010A38">
        <w:rPr>
          <w:rFonts w:asciiTheme="majorHAnsi" w:hAnsiTheme="majorHAnsi" w:cstheme="majorHAnsi"/>
          <w:b/>
          <w:sz w:val="24"/>
          <w:szCs w:val="24"/>
        </w:rPr>
        <w:t>Table 2. Oral Antifungal Medications</w:t>
      </w:r>
    </w:p>
    <w:tbl>
      <w:tblPr>
        <w:tblStyle w:val="TableGrid"/>
        <w:tblW w:w="10890" w:type="dxa"/>
        <w:tblInd w:w="-702" w:type="dxa"/>
        <w:tblLayout w:type="fixed"/>
        <w:tblLook w:val="04A0" w:firstRow="1" w:lastRow="0" w:firstColumn="1" w:lastColumn="0" w:noHBand="0" w:noVBand="1"/>
      </w:tblPr>
      <w:tblGrid>
        <w:gridCol w:w="540"/>
        <w:gridCol w:w="1530"/>
        <w:gridCol w:w="1440"/>
        <w:gridCol w:w="1260"/>
        <w:gridCol w:w="1710"/>
        <w:gridCol w:w="2340"/>
        <w:gridCol w:w="2070"/>
      </w:tblGrid>
      <w:tr w:rsidR="00D23120" w:rsidRPr="00010A38" w:rsidTr="00D23120">
        <w:tc>
          <w:tcPr>
            <w:tcW w:w="540" w:type="dxa"/>
          </w:tcPr>
          <w:p w:rsidR="00E05719" w:rsidRPr="00010A38" w:rsidRDefault="00E05719" w:rsidP="003951C2">
            <w:pPr>
              <w:spacing w:line="360" w:lineRule="auto"/>
              <w:jc w:val="both"/>
              <w:rPr>
                <w:rFonts w:asciiTheme="majorHAnsi" w:hAnsiTheme="majorHAnsi" w:cstheme="majorHAnsi"/>
                <w:b/>
                <w:sz w:val="24"/>
                <w:szCs w:val="24"/>
              </w:rPr>
            </w:pPr>
            <w:r w:rsidRPr="00010A38">
              <w:rPr>
                <w:rFonts w:asciiTheme="majorHAnsi" w:hAnsiTheme="majorHAnsi" w:cstheme="majorHAnsi"/>
                <w:b/>
                <w:sz w:val="24"/>
                <w:szCs w:val="24"/>
              </w:rPr>
              <w:t>S.No</w:t>
            </w:r>
          </w:p>
        </w:tc>
        <w:tc>
          <w:tcPr>
            <w:tcW w:w="1530" w:type="dxa"/>
          </w:tcPr>
          <w:p w:rsidR="00E05719" w:rsidRPr="00010A38" w:rsidRDefault="00E05719" w:rsidP="003951C2">
            <w:pPr>
              <w:spacing w:line="360" w:lineRule="auto"/>
              <w:jc w:val="both"/>
              <w:rPr>
                <w:rFonts w:asciiTheme="majorHAnsi" w:hAnsiTheme="majorHAnsi" w:cstheme="majorHAnsi"/>
                <w:b/>
                <w:sz w:val="24"/>
                <w:szCs w:val="24"/>
              </w:rPr>
            </w:pPr>
            <w:r w:rsidRPr="00010A38">
              <w:rPr>
                <w:rFonts w:asciiTheme="majorHAnsi" w:hAnsiTheme="majorHAnsi" w:cstheme="majorHAnsi"/>
                <w:b/>
                <w:sz w:val="24"/>
                <w:szCs w:val="24"/>
              </w:rPr>
              <w:t>Medication</w:t>
            </w:r>
          </w:p>
        </w:tc>
        <w:tc>
          <w:tcPr>
            <w:tcW w:w="1440" w:type="dxa"/>
          </w:tcPr>
          <w:p w:rsidR="00E05719" w:rsidRPr="00010A38" w:rsidRDefault="00E05719" w:rsidP="003951C2">
            <w:pPr>
              <w:spacing w:line="360" w:lineRule="auto"/>
              <w:jc w:val="both"/>
              <w:rPr>
                <w:rFonts w:asciiTheme="majorHAnsi" w:hAnsiTheme="majorHAnsi" w:cstheme="majorHAnsi"/>
                <w:b/>
                <w:sz w:val="24"/>
                <w:szCs w:val="24"/>
              </w:rPr>
            </w:pPr>
            <w:r w:rsidRPr="00010A38">
              <w:rPr>
                <w:rFonts w:asciiTheme="majorHAnsi" w:hAnsiTheme="majorHAnsi" w:cstheme="majorHAnsi"/>
                <w:b/>
                <w:sz w:val="24"/>
                <w:szCs w:val="24"/>
              </w:rPr>
              <w:t>Brand Name</w:t>
            </w:r>
          </w:p>
        </w:tc>
        <w:tc>
          <w:tcPr>
            <w:tcW w:w="1260" w:type="dxa"/>
          </w:tcPr>
          <w:p w:rsidR="00E05719" w:rsidRPr="00010A38" w:rsidRDefault="00E05719" w:rsidP="003951C2">
            <w:pPr>
              <w:spacing w:line="360" w:lineRule="auto"/>
              <w:jc w:val="both"/>
              <w:rPr>
                <w:rFonts w:asciiTheme="majorHAnsi" w:hAnsiTheme="majorHAnsi" w:cstheme="majorHAnsi"/>
                <w:b/>
                <w:sz w:val="24"/>
                <w:szCs w:val="24"/>
              </w:rPr>
            </w:pPr>
            <w:r w:rsidRPr="00010A38">
              <w:rPr>
                <w:rFonts w:asciiTheme="majorHAnsi" w:hAnsiTheme="majorHAnsi" w:cstheme="majorHAnsi"/>
                <w:b/>
                <w:sz w:val="24"/>
                <w:szCs w:val="24"/>
              </w:rPr>
              <w:t>Pubchem CID</w:t>
            </w:r>
          </w:p>
        </w:tc>
        <w:tc>
          <w:tcPr>
            <w:tcW w:w="1710" w:type="dxa"/>
          </w:tcPr>
          <w:p w:rsidR="00E05719" w:rsidRPr="00010A38" w:rsidRDefault="00E05719" w:rsidP="003951C2">
            <w:pPr>
              <w:spacing w:line="360" w:lineRule="auto"/>
              <w:jc w:val="both"/>
              <w:rPr>
                <w:rFonts w:asciiTheme="majorHAnsi" w:hAnsiTheme="majorHAnsi" w:cstheme="majorHAnsi"/>
                <w:b/>
                <w:sz w:val="24"/>
                <w:szCs w:val="24"/>
              </w:rPr>
            </w:pPr>
            <w:r w:rsidRPr="00010A38">
              <w:rPr>
                <w:rFonts w:asciiTheme="majorHAnsi" w:hAnsiTheme="majorHAnsi" w:cstheme="majorHAnsi"/>
                <w:b/>
                <w:sz w:val="24"/>
                <w:szCs w:val="24"/>
              </w:rPr>
              <w:t>Molecular formula</w:t>
            </w:r>
          </w:p>
        </w:tc>
        <w:tc>
          <w:tcPr>
            <w:tcW w:w="2340" w:type="dxa"/>
          </w:tcPr>
          <w:p w:rsidR="00E05719" w:rsidRPr="00010A38" w:rsidRDefault="00E05719" w:rsidP="003951C2">
            <w:pPr>
              <w:spacing w:line="360" w:lineRule="auto"/>
              <w:jc w:val="both"/>
              <w:rPr>
                <w:rFonts w:asciiTheme="majorHAnsi" w:hAnsiTheme="majorHAnsi" w:cstheme="majorHAnsi"/>
                <w:b/>
                <w:sz w:val="24"/>
                <w:szCs w:val="24"/>
              </w:rPr>
            </w:pPr>
            <w:r w:rsidRPr="00010A38">
              <w:rPr>
                <w:rFonts w:asciiTheme="majorHAnsi" w:hAnsiTheme="majorHAnsi" w:cstheme="majorHAnsi"/>
                <w:b/>
                <w:sz w:val="24"/>
                <w:szCs w:val="24"/>
              </w:rPr>
              <w:t>Structure</w:t>
            </w:r>
          </w:p>
        </w:tc>
        <w:tc>
          <w:tcPr>
            <w:tcW w:w="2070" w:type="dxa"/>
          </w:tcPr>
          <w:p w:rsidR="00E05719" w:rsidRPr="00010A38" w:rsidRDefault="00E05719" w:rsidP="003951C2">
            <w:pPr>
              <w:spacing w:line="360" w:lineRule="auto"/>
              <w:jc w:val="both"/>
              <w:rPr>
                <w:rFonts w:asciiTheme="majorHAnsi" w:hAnsiTheme="majorHAnsi" w:cstheme="majorHAnsi"/>
                <w:b/>
                <w:sz w:val="24"/>
                <w:szCs w:val="24"/>
              </w:rPr>
            </w:pPr>
            <w:r w:rsidRPr="00010A38">
              <w:rPr>
                <w:rFonts w:asciiTheme="majorHAnsi" w:hAnsiTheme="majorHAnsi" w:cstheme="majorHAnsi"/>
                <w:b/>
                <w:sz w:val="24"/>
                <w:szCs w:val="24"/>
              </w:rPr>
              <w:t>Common side effects</w:t>
            </w:r>
          </w:p>
        </w:tc>
      </w:tr>
      <w:tr w:rsidR="00D23120" w:rsidRPr="00010A38" w:rsidTr="00D23120">
        <w:trPr>
          <w:trHeight w:val="890"/>
        </w:trPr>
        <w:tc>
          <w:tcPr>
            <w:tcW w:w="540" w:type="dxa"/>
          </w:tcPr>
          <w:p w:rsidR="00E05719" w:rsidRPr="00010A38" w:rsidRDefault="00E0571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1</w:t>
            </w:r>
          </w:p>
        </w:tc>
        <w:tc>
          <w:tcPr>
            <w:tcW w:w="1530" w:type="dxa"/>
          </w:tcPr>
          <w:p w:rsidR="00E05719" w:rsidRPr="00010A38" w:rsidRDefault="00E05719" w:rsidP="003951C2">
            <w:pPr>
              <w:spacing w:line="360" w:lineRule="auto"/>
              <w:jc w:val="both"/>
              <w:rPr>
                <w:rFonts w:asciiTheme="majorHAnsi" w:hAnsiTheme="majorHAnsi" w:cstheme="majorHAnsi"/>
                <w:b/>
                <w:sz w:val="24"/>
                <w:szCs w:val="24"/>
              </w:rPr>
            </w:pPr>
            <w:r w:rsidRPr="00010A38">
              <w:rPr>
                <w:rStyle w:val="Strong"/>
                <w:rFonts w:asciiTheme="majorHAnsi" w:hAnsiTheme="majorHAnsi" w:cstheme="majorHAnsi"/>
                <w:sz w:val="24"/>
                <w:szCs w:val="24"/>
              </w:rPr>
              <w:t>Itraconazole</w:t>
            </w:r>
          </w:p>
        </w:tc>
        <w:tc>
          <w:tcPr>
            <w:tcW w:w="1440" w:type="dxa"/>
          </w:tcPr>
          <w:p w:rsidR="00E05719" w:rsidRPr="00010A38" w:rsidRDefault="00E05719" w:rsidP="003951C2">
            <w:pPr>
              <w:spacing w:line="360" w:lineRule="auto"/>
              <w:jc w:val="both"/>
              <w:rPr>
                <w:rFonts w:asciiTheme="majorHAnsi" w:hAnsiTheme="majorHAnsi" w:cstheme="majorHAnsi"/>
                <w:b/>
                <w:sz w:val="24"/>
                <w:szCs w:val="24"/>
              </w:rPr>
            </w:pPr>
            <w:r w:rsidRPr="00010A38">
              <w:rPr>
                <w:rStyle w:val="Strong"/>
                <w:rFonts w:asciiTheme="majorHAnsi" w:hAnsiTheme="majorHAnsi" w:cstheme="majorHAnsi"/>
                <w:sz w:val="24"/>
                <w:szCs w:val="24"/>
              </w:rPr>
              <w:t>Sporanox</w:t>
            </w:r>
          </w:p>
        </w:tc>
        <w:tc>
          <w:tcPr>
            <w:tcW w:w="1260" w:type="dxa"/>
          </w:tcPr>
          <w:p w:rsidR="00E05719" w:rsidRPr="00010A38" w:rsidRDefault="00E0571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shd w:val="clear" w:color="auto" w:fill="FFFFFF"/>
              </w:rPr>
              <w:t>55283</w:t>
            </w:r>
          </w:p>
        </w:tc>
        <w:tc>
          <w:tcPr>
            <w:tcW w:w="1710" w:type="dxa"/>
          </w:tcPr>
          <w:p w:rsidR="00E05719" w:rsidRPr="00010A38" w:rsidRDefault="00E0571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ab/>
            </w:r>
          </w:p>
          <w:p w:rsidR="00E05719" w:rsidRPr="00010A38" w:rsidRDefault="00E0571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C</w:t>
            </w:r>
            <w:r w:rsidRPr="00010A38">
              <w:rPr>
                <w:rFonts w:asciiTheme="majorHAnsi" w:hAnsiTheme="majorHAnsi" w:cstheme="majorHAnsi"/>
                <w:sz w:val="24"/>
                <w:szCs w:val="24"/>
                <w:vertAlign w:val="subscript"/>
              </w:rPr>
              <w:t>35</w:t>
            </w:r>
            <w:r w:rsidRPr="00010A38">
              <w:rPr>
                <w:rFonts w:asciiTheme="majorHAnsi" w:hAnsiTheme="majorHAnsi" w:cstheme="majorHAnsi"/>
                <w:sz w:val="24"/>
                <w:szCs w:val="24"/>
              </w:rPr>
              <w:t>H</w:t>
            </w:r>
            <w:r w:rsidRPr="00010A38">
              <w:rPr>
                <w:rFonts w:asciiTheme="majorHAnsi" w:hAnsiTheme="majorHAnsi" w:cstheme="majorHAnsi"/>
                <w:sz w:val="24"/>
                <w:szCs w:val="24"/>
                <w:vertAlign w:val="subscript"/>
              </w:rPr>
              <w:t>38</w:t>
            </w:r>
            <w:r w:rsidRPr="00010A38">
              <w:rPr>
                <w:rFonts w:asciiTheme="majorHAnsi" w:hAnsiTheme="majorHAnsi" w:cstheme="majorHAnsi"/>
                <w:sz w:val="24"/>
                <w:szCs w:val="24"/>
              </w:rPr>
              <w:t>C</w:t>
            </w:r>
            <w:r w:rsidRPr="00010A38">
              <w:rPr>
                <w:rFonts w:asciiTheme="majorHAnsi" w:hAnsiTheme="majorHAnsi" w:cstheme="majorHAnsi"/>
                <w:sz w:val="24"/>
                <w:szCs w:val="24"/>
                <w:vertAlign w:val="subscript"/>
              </w:rPr>
              <w:t>l2</w:t>
            </w:r>
            <w:r w:rsidRPr="00010A38">
              <w:rPr>
                <w:rFonts w:asciiTheme="majorHAnsi" w:hAnsiTheme="majorHAnsi" w:cstheme="majorHAnsi"/>
                <w:sz w:val="24"/>
                <w:szCs w:val="24"/>
              </w:rPr>
              <w:t>N</w:t>
            </w:r>
            <w:r w:rsidRPr="00010A38">
              <w:rPr>
                <w:rFonts w:asciiTheme="majorHAnsi" w:hAnsiTheme="majorHAnsi" w:cstheme="majorHAnsi"/>
                <w:sz w:val="24"/>
                <w:szCs w:val="24"/>
                <w:vertAlign w:val="subscript"/>
              </w:rPr>
              <w:t>8</w:t>
            </w:r>
            <w:r w:rsidRPr="00010A38">
              <w:rPr>
                <w:rFonts w:asciiTheme="majorHAnsi" w:hAnsiTheme="majorHAnsi" w:cstheme="majorHAnsi"/>
                <w:sz w:val="24"/>
                <w:szCs w:val="24"/>
              </w:rPr>
              <w:t>O</w:t>
            </w:r>
            <w:r w:rsidRPr="00010A38">
              <w:rPr>
                <w:rFonts w:asciiTheme="majorHAnsi" w:hAnsiTheme="majorHAnsi" w:cstheme="majorHAnsi"/>
                <w:sz w:val="24"/>
                <w:szCs w:val="24"/>
                <w:vertAlign w:val="subscript"/>
              </w:rPr>
              <w:t>4</w:t>
            </w:r>
          </w:p>
        </w:tc>
        <w:tc>
          <w:tcPr>
            <w:tcW w:w="2340" w:type="dxa"/>
          </w:tcPr>
          <w:p w:rsidR="00BD39E6" w:rsidRDefault="00BD39E6" w:rsidP="003951C2">
            <w:pPr>
              <w:pStyle w:val="NormalWeb"/>
              <w:jc w:val="both"/>
            </w:pPr>
            <w:r>
              <w:t xml:space="preserve"> </w:t>
            </w:r>
            <w:r>
              <w:rPr>
                <w:noProof/>
                <w:lang w:val="en-IN" w:eastAsia="en-IN"/>
              </w:rPr>
              <w:drawing>
                <wp:inline distT="0" distB="0" distL="0" distR="0" wp14:anchorId="394622E7" wp14:editId="52B5C791">
                  <wp:extent cx="1380122" cy="577850"/>
                  <wp:effectExtent l="0" t="0" r="0" b="0"/>
                  <wp:docPr id="26" name="Picture 26" descr="C:\Users\ADMIN\Downloads\Itraconazole_Conformer3D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wnloads\Itraconazole_Conformer3D_large.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36647" t="34281" r="36452" b="35861"/>
                          <a:stretch/>
                        </pic:blipFill>
                        <pic:spPr bwMode="auto">
                          <a:xfrm>
                            <a:off x="0" y="0"/>
                            <a:ext cx="1382636" cy="578902"/>
                          </a:xfrm>
                          <a:prstGeom prst="rect">
                            <a:avLst/>
                          </a:prstGeom>
                          <a:noFill/>
                          <a:ln>
                            <a:noFill/>
                          </a:ln>
                          <a:extLst>
                            <a:ext uri="{53640926-AAD7-44D8-BBD7-CCE9431645EC}">
                              <a14:shadowObscured xmlns:a14="http://schemas.microsoft.com/office/drawing/2010/main"/>
                            </a:ext>
                          </a:extLst>
                        </pic:spPr>
                      </pic:pic>
                    </a:graphicData>
                  </a:graphic>
                </wp:inline>
              </w:drawing>
            </w:r>
          </w:p>
          <w:p w:rsidR="00E05719" w:rsidRPr="00010A38" w:rsidRDefault="00E05719" w:rsidP="003951C2">
            <w:pPr>
              <w:spacing w:line="360" w:lineRule="auto"/>
              <w:jc w:val="both"/>
              <w:rPr>
                <w:rFonts w:asciiTheme="majorHAnsi" w:hAnsiTheme="majorHAnsi" w:cstheme="majorHAnsi"/>
                <w:sz w:val="24"/>
                <w:szCs w:val="24"/>
              </w:rPr>
            </w:pPr>
          </w:p>
        </w:tc>
        <w:tc>
          <w:tcPr>
            <w:tcW w:w="2070" w:type="dxa"/>
          </w:tcPr>
          <w:p w:rsidR="00E05719" w:rsidRPr="00010A38" w:rsidRDefault="00E0571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 xml:space="preserve">Nausea, headache, liver toxicity (rare but serious), and gastrointestinal </w:t>
            </w:r>
            <w:r w:rsidRPr="00010A38">
              <w:rPr>
                <w:rFonts w:asciiTheme="majorHAnsi" w:hAnsiTheme="majorHAnsi" w:cstheme="majorHAnsi"/>
                <w:sz w:val="24"/>
                <w:szCs w:val="24"/>
              </w:rPr>
              <w:lastRenderedPageBreak/>
              <w:t>issues. (Sousa et.al., 2024)</w:t>
            </w:r>
          </w:p>
        </w:tc>
      </w:tr>
      <w:tr w:rsidR="00D23120" w:rsidRPr="00010A38" w:rsidTr="00D23120">
        <w:tc>
          <w:tcPr>
            <w:tcW w:w="540" w:type="dxa"/>
          </w:tcPr>
          <w:p w:rsidR="00E05719" w:rsidRPr="00010A38" w:rsidRDefault="00E0571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lastRenderedPageBreak/>
              <w:t>2</w:t>
            </w:r>
          </w:p>
        </w:tc>
        <w:tc>
          <w:tcPr>
            <w:tcW w:w="1530" w:type="dxa"/>
          </w:tcPr>
          <w:p w:rsidR="00E05719" w:rsidRPr="00010A38" w:rsidRDefault="00E0571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Fluconazole</w:t>
            </w:r>
          </w:p>
        </w:tc>
        <w:tc>
          <w:tcPr>
            <w:tcW w:w="1440" w:type="dxa"/>
          </w:tcPr>
          <w:p w:rsidR="00E05719" w:rsidRPr="00010A38" w:rsidRDefault="00E0571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Diflucan</w:t>
            </w:r>
          </w:p>
        </w:tc>
        <w:tc>
          <w:tcPr>
            <w:tcW w:w="1260" w:type="dxa"/>
          </w:tcPr>
          <w:p w:rsidR="00E05719" w:rsidRPr="00010A38" w:rsidRDefault="00E0571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shd w:val="clear" w:color="auto" w:fill="FFFFFF"/>
              </w:rPr>
              <w:t>3365</w:t>
            </w:r>
          </w:p>
        </w:tc>
        <w:tc>
          <w:tcPr>
            <w:tcW w:w="1710" w:type="dxa"/>
          </w:tcPr>
          <w:p w:rsidR="00E05719" w:rsidRPr="00010A38" w:rsidRDefault="00E0571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ab/>
            </w:r>
          </w:p>
          <w:p w:rsidR="00E05719" w:rsidRPr="00010A38" w:rsidRDefault="00E0571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C</w:t>
            </w:r>
            <w:r w:rsidRPr="00010A38">
              <w:rPr>
                <w:rFonts w:asciiTheme="majorHAnsi" w:hAnsiTheme="majorHAnsi" w:cstheme="majorHAnsi"/>
                <w:sz w:val="24"/>
                <w:szCs w:val="24"/>
                <w:vertAlign w:val="subscript"/>
              </w:rPr>
              <w:t>13</w:t>
            </w:r>
            <w:r w:rsidRPr="00010A38">
              <w:rPr>
                <w:rFonts w:asciiTheme="majorHAnsi" w:hAnsiTheme="majorHAnsi" w:cstheme="majorHAnsi"/>
                <w:sz w:val="24"/>
                <w:szCs w:val="24"/>
              </w:rPr>
              <w:t>H</w:t>
            </w:r>
            <w:r w:rsidRPr="00010A38">
              <w:rPr>
                <w:rFonts w:asciiTheme="majorHAnsi" w:hAnsiTheme="majorHAnsi" w:cstheme="majorHAnsi"/>
                <w:sz w:val="24"/>
                <w:szCs w:val="24"/>
                <w:vertAlign w:val="subscript"/>
              </w:rPr>
              <w:t>12</w:t>
            </w:r>
            <w:r w:rsidRPr="00010A38">
              <w:rPr>
                <w:rFonts w:asciiTheme="majorHAnsi" w:hAnsiTheme="majorHAnsi" w:cstheme="majorHAnsi"/>
                <w:sz w:val="24"/>
                <w:szCs w:val="24"/>
              </w:rPr>
              <w:t>F</w:t>
            </w:r>
            <w:r w:rsidRPr="00010A38">
              <w:rPr>
                <w:rFonts w:asciiTheme="majorHAnsi" w:hAnsiTheme="majorHAnsi" w:cstheme="majorHAnsi"/>
                <w:sz w:val="24"/>
                <w:szCs w:val="24"/>
                <w:vertAlign w:val="subscript"/>
              </w:rPr>
              <w:t>2</w:t>
            </w:r>
            <w:r w:rsidRPr="00010A38">
              <w:rPr>
                <w:rFonts w:asciiTheme="majorHAnsi" w:hAnsiTheme="majorHAnsi" w:cstheme="majorHAnsi"/>
                <w:sz w:val="24"/>
                <w:szCs w:val="24"/>
              </w:rPr>
              <w:t>N</w:t>
            </w:r>
            <w:r w:rsidRPr="00010A38">
              <w:rPr>
                <w:rFonts w:asciiTheme="majorHAnsi" w:hAnsiTheme="majorHAnsi" w:cstheme="majorHAnsi"/>
                <w:sz w:val="24"/>
                <w:szCs w:val="24"/>
                <w:vertAlign w:val="subscript"/>
              </w:rPr>
              <w:t>6</w:t>
            </w:r>
            <w:r w:rsidRPr="00010A38">
              <w:rPr>
                <w:rFonts w:asciiTheme="majorHAnsi" w:hAnsiTheme="majorHAnsi" w:cstheme="majorHAnsi"/>
                <w:sz w:val="24"/>
                <w:szCs w:val="24"/>
              </w:rPr>
              <w:t>O</w:t>
            </w:r>
          </w:p>
        </w:tc>
        <w:tc>
          <w:tcPr>
            <w:tcW w:w="2340" w:type="dxa"/>
          </w:tcPr>
          <w:p w:rsidR="00E05719" w:rsidRPr="00BD39E6" w:rsidRDefault="00BD39E6" w:rsidP="003951C2">
            <w:pPr>
              <w:pStyle w:val="NormalWeb"/>
              <w:jc w:val="both"/>
            </w:pPr>
            <w:r>
              <w:t xml:space="preserve"> </w:t>
            </w:r>
            <w:r>
              <w:rPr>
                <w:noProof/>
                <w:lang w:val="en-IN" w:eastAsia="en-IN"/>
              </w:rPr>
              <w:drawing>
                <wp:inline distT="0" distB="0" distL="0" distR="0" wp14:anchorId="4DE2B11B" wp14:editId="0CB1363F">
                  <wp:extent cx="1437931" cy="1136650"/>
                  <wp:effectExtent l="0" t="0" r="0" b="0"/>
                  <wp:docPr id="27" name="Picture 27" descr="C:\Users\ADMIN\Downloads\Fluconazole_Conformer3D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Fluconazole_Conformer3D_large.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34998" t="16058" r="37982" b="23358"/>
                          <a:stretch/>
                        </pic:blipFill>
                        <pic:spPr bwMode="auto">
                          <a:xfrm>
                            <a:off x="0" y="0"/>
                            <a:ext cx="1437931" cy="1136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70" w:type="dxa"/>
          </w:tcPr>
          <w:p w:rsidR="00E05719" w:rsidRPr="00010A38" w:rsidRDefault="00E0571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Gastrointestinal disturbances, heada</w:t>
            </w:r>
            <w:r w:rsidR="008B5D97" w:rsidRPr="00010A38">
              <w:rPr>
                <w:rFonts w:asciiTheme="majorHAnsi" w:hAnsiTheme="majorHAnsi" w:cstheme="majorHAnsi"/>
                <w:sz w:val="24"/>
                <w:szCs w:val="24"/>
              </w:rPr>
              <w:t>che, and liver function changes</w:t>
            </w:r>
            <w:r w:rsidRPr="00010A38">
              <w:rPr>
                <w:rFonts w:asciiTheme="majorHAnsi" w:hAnsiTheme="majorHAnsi" w:cstheme="majorHAnsi"/>
                <w:sz w:val="24"/>
                <w:szCs w:val="24"/>
              </w:rPr>
              <w:t xml:space="preserve"> </w:t>
            </w:r>
            <w:r w:rsidRPr="00010A38">
              <w:rPr>
                <w:rFonts w:asciiTheme="majorHAnsi" w:hAnsiTheme="majorHAnsi" w:cstheme="majorHAnsi"/>
                <w:sz w:val="24"/>
                <w:szCs w:val="24"/>
                <w:shd w:val="clear" w:color="auto" w:fill="FFFFFF"/>
              </w:rPr>
              <w:t>(Gupta et al.,</w:t>
            </w:r>
            <w:r w:rsidR="008B5D97" w:rsidRPr="00010A38">
              <w:rPr>
                <w:rFonts w:asciiTheme="majorHAnsi" w:hAnsiTheme="majorHAnsi" w:cstheme="majorHAnsi"/>
                <w:sz w:val="24"/>
                <w:szCs w:val="24"/>
                <w:shd w:val="clear" w:color="auto" w:fill="FFFFFF"/>
              </w:rPr>
              <w:t xml:space="preserve"> </w:t>
            </w:r>
            <w:r w:rsidRPr="00010A38">
              <w:rPr>
                <w:rFonts w:asciiTheme="majorHAnsi" w:hAnsiTheme="majorHAnsi" w:cstheme="majorHAnsi"/>
                <w:sz w:val="24"/>
                <w:szCs w:val="24"/>
                <w:shd w:val="clear" w:color="auto" w:fill="FFFFFF"/>
              </w:rPr>
              <w:t>2001)</w:t>
            </w:r>
            <w:r w:rsidR="008B5D97" w:rsidRPr="00010A38">
              <w:rPr>
                <w:rFonts w:asciiTheme="majorHAnsi" w:hAnsiTheme="majorHAnsi" w:cstheme="majorHAnsi"/>
                <w:sz w:val="24"/>
                <w:szCs w:val="24"/>
                <w:shd w:val="clear" w:color="auto" w:fill="FFFFFF"/>
              </w:rPr>
              <w:t>.</w:t>
            </w:r>
          </w:p>
        </w:tc>
      </w:tr>
      <w:tr w:rsidR="00D23120" w:rsidRPr="00010A38" w:rsidTr="00D23120">
        <w:tc>
          <w:tcPr>
            <w:tcW w:w="540" w:type="dxa"/>
          </w:tcPr>
          <w:p w:rsidR="00E05719" w:rsidRPr="00010A38" w:rsidRDefault="00E0571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3</w:t>
            </w:r>
          </w:p>
        </w:tc>
        <w:tc>
          <w:tcPr>
            <w:tcW w:w="1530" w:type="dxa"/>
          </w:tcPr>
          <w:p w:rsidR="00E05719" w:rsidRPr="00010A38" w:rsidRDefault="00E0571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Griseofulvin</w:t>
            </w:r>
          </w:p>
        </w:tc>
        <w:tc>
          <w:tcPr>
            <w:tcW w:w="1440" w:type="dxa"/>
          </w:tcPr>
          <w:p w:rsidR="00E05719" w:rsidRPr="00010A38" w:rsidRDefault="00E0571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Gris-PEG</w:t>
            </w:r>
          </w:p>
        </w:tc>
        <w:tc>
          <w:tcPr>
            <w:tcW w:w="1260" w:type="dxa"/>
          </w:tcPr>
          <w:p w:rsidR="00E05719" w:rsidRPr="00010A38" w:rsidRDefault="00E0571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shd w:val="clear" w:color="auto" w:fill="FFFFFF"/>
              </w:rPr>
              <w:t>441140</w:t>
            </w:r>
          </w:p>
        </w:tc>
        <w:tc>
          <w:tcPr>
            <w:tcW w:w="1710" w:type="dxa"/>
          </w:tcPr>
          <w:p w:rsidR="00E05719" w:rsidRPr="00010A38" w:rsidRDefault="00E0571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C</w:t>
            </w:r>
            <w:r w:rsidRPr="00010A38">
              <w:rPr>
                <w:rFonts w:asciiTheme="majorHAnsi" w:hAnsiTheme="majorHAnsi" w:cstheme="majorHAnsi"/>
                <w:sz w:val="24"/>
                <w:szCs w:val="24"/>
                <w:vertAlign w:val="subscript"/>
              </w:rPr>
              <w:t>17</w:t>
            </w:r>
            <w:r w:rsidRPr="00010A38">
              <w:rPr>
                <w:rFonts w:asciiTheme="majorHAnsi" w:hAnsiTheme="majorHAnsi" w:cstheme="majorHAnsi"/>
                <w:sz w:val="24"/>
                <w:szCs w:val="24"/>
              </w:rPr>
              <w:t>H</w:t>
            </w:r>
            <w:r w:rsidRPr="00010A38">
              <w:rPr>
                <w:rFonts w:asciiTheme="majorHAnsi" w:hAnsiTheme="majorHAnsi" w:cstheme="majorHAnsi"/>
                <w:sz w:val="24"/>
                <w:szCs w:val="24"/>
                <w:vertAlign w:val="subscript"/>
              </w:rPr>
              <w:t>17</w:t>
            </w:r>
            <w:r w:rsidRPr="00010A38">
              <w:rPr>
                <w:rFonts w:asciiTheme="majorHAnsi" w:hAnsiTheme="majorHAnsi" w:cstheme="majorHAnsi"/>
                <w:sz w:val="24"/>
                <w:szCs w:val="24"/>
              </w:rPr>
              <w:t>C</w:t>
            </w:r>
            <w:r w:rsidRPr="00010A38">
              <w:rPr>
                <w:rFonts w:asciiTheme="majorHAnsi" w:hAnsiTheme="majorHAnsi" w:cstheme="majorHAnsi"/>
                <w:sz w:val="24"/>
                <w:szCs w:val="24"/>
                <w:vertAlign w:val="subscript"/>
              </w:rPr>
              <w:t>l</w:t>
            </w:r>
            <w:r w:rsidRPr="00010A38">
              <w:rPr>
                <w:rFonts w:asciiTheme="majorHAnsi" w:hAnsiTheme="majorHAnsi" w:cstheme="majorHAnsi"/>
                <w:sz w:val="24"/>
                <w:szCs w:val="24"/>
              </w:rPr>
              <w:t>O</w:t>
            </w:r>
            <w:r w:rsidRPr="00010A38">
              <w:rPr>
                <w:rFonts w:asciiTheme="majorHAnsi" w:hAnsiTheme="majorHAnsi" w:cstheme="majorHAnsi"/>
                <w:sz w:val="24"/>
                <w:szCs w:val="24"/>
                <w:vertAlign w:val="subscript"/>
              </w:rPr>
              <w:t>6</w:t>
            </w:r>
          </w:p>
        </w:tc>
        <w:tc>
          <w:tcPr>
            <w:tcW w:w="2340" w:type="dxa"/>
          </w:tcPr>
          <w:p w:rsidR="00E05719" w:rsidRPr="00D23120" w:rsidRDefault="00D23120" w:rsidP="003951C2">
            <w:pPr>
              <w:pStyle w:val="NormalWeb"/>
              <w:jc w:val="both"/>
            </w:pPr>
            <w:r>
              <w:t xml:space="preserve"> </w:t>
            </w:r>
            <w:r>
              <w:rPr>
                <w:noProof/>
                <w:lang w:val="en-IN" w:eastAsia="en-IN"/>
              </w:rPr>
              <w:drawing>
                <wp:inline distT="0" distB="0" distL="0" distR="0" wp14:anchorId="6F8EF68C" wp14:editId="5A955337">
                  <wp:extent cx="1402909" cy="812800"/>
                  <wp:effectExtent l="0" t="0" r="0" b="0"/>
                  <wp:docPr id="28" name="Picture 28" descr="C:\Users\ADMIN\Downloads\Griseofulvin_Conformer3D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Griseofulvin_Conformer3D_large.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35550" t="24665" r="35549" b="30358"/>
                          <a:stretch/>
                        </pic:blipFill>
                        <pic:spPr bwMode="auto">
                          <a:xfrm>
                            <a:off x="0" y="0"/>
                            <a:ext cx="1402909" cy="812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70" w:type="dxa"/>
          </w:tcPr>
          <w:p w:rsidR="00E05719" w:rsidRPr="00010A38" w:rsidRDefault="00E05719" w:rsidP="003951C2">
            <w:pPr>
              <w:pStyle w:val="NormalWeb"/>
              <w:spacing w:line="360" w:lineRule="auto"/>
              <w:jc w:val="both"/>
              <w:rPr>
                <w:rFonts w:asciiTheme="majorHAnsi" w:hAnsiTheme="majorHAnsi" w:cstheme="majorHAnsi"/>
              </w:rPr>
            </w:pPr>
            <w:r w:rsidRPr="00010A38">
              <w:rPr>
                <w:rFonts w:asciiTheme="majorHAnsi" w:hAnsiTheme="majorHAnsi" w:cstheme="majorHAnsi"/>
              </w:rPr>
              <w:t>Headache, gastrointestinal upset, and photosensitivity (increased sensitivity to sunlight). (Yesudian et al., 2021)</w:t>
            </w:r>
          </w:p>
        </w:tc>
      </w:tr>
      <w:tr w:rsidR="00D23120" w:rsidRPr="00010A38" w:rsidTr="00D23120">
        <w:tc>
          <w:tcPr>
            <w:tcW w:w="540" w:type="dxa"/>
          </w:tcPr>
          <w:p w:rsidR="00E05719" w:rsidRPr="00010A38" w:rsidRDefault="00E0571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4</w:t>
            </w:r>
          </w:p>
        </w:tc>
        <w:tc>
          <w:tcPr>
            <w:tcW w:w="1530" w:type="dxa"/>
          </w:tcPr>
          <w:p w:rsidR="00E05719" w:rsidRPr="00010A38" w:rsidRDefault="00E0571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Terbinafine</w:t>
            </w:r>
          </w:p>
        </w:tc>
        <w:tc>
          <w:tcPr>
            <w:tcW w:w="1440" w:type="dxa"/>
          </w:tcPr>
          <w:p w:rsidR="00E05719" w:rsidRPr="00010A38" w:rsidRDefault="00E0571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Lamisil</w:t>
            </w:r>
          </w:p>
        </w:tc>
        <w:tc>
          <w:tcPr>
            <w:tcW w:w="1260" w:type="dxa"/>
          </w:tcPr>
          <w:p w:rsidR="00E05719" w:rsidRPr="00010A38" w:rsidRDefault="00E05719" w:rsidP="003951C2">
            <w:pPr>
              <w:spacing w:line="360" w:lineRule="auto"/>
              <w:jc w:val="both"/>
              <w:rPr>
                <w:rFonts w:asciiTheme="majorHAnsi" w:hAnsiTheme="majorHAnsi" w:cstheme="majorHAnsi"/>
                <w:sz w:val="24"/>
                <w:szCs w:val="24"/>
                <w:shd w:val="clear" w:color="auto" w:fill="FFFFFF"/>
              </w:rPr>
            </w:pPr>
            <w:r w:rsidRPr="00010A38">
              <w:rPr>
                <w:rFonts w:asciiTheme="majorHAnsi" w:hAnsiTheme="majorHAnsi" w:cstheme="majorHAnsi"/>
                <w:sz w:val="24"/>
                <w:szCs w:val="24"/>
                <w:shd w:val="clear" w:color="auto" w:fill="FFFFFF"/>
              </w:rPr>
              <w:t>1549008</w:t>
            </w:r>
          </w:p>
        </w:tc>
        <w:tc>
          <w:tcPr>
            <w:tcW w:w="1710" w:type="dxa"/>
          </w:tcPr>
          <w:p w:rsidR="00E05719" w:rsidRPr="00010A38" w:rsidRDefault="00E0571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C</w:t>
            </w:r>
            <w:r w:rsidRPr="00010A38">
              <w:rPr>
                <w:rFonts w:asciiTheme="majorHAnsi" w:hAnsiTheme="majorHAnsi" w:cstheme="majorHAnsi"/>
                <w:sz w:val="24"/>
                <w:szCs w:val="24"/>
                <w:vertAlign w:val="subscript"/>
              </w:rPr>
              <w:t>21</w:t>
            </w:r>
            <w:r w:rsidRPr="00010A38">
              <w:rPr>
                <w:rFonts w:asciiTheme="majorHAnsi" w:hAnsiTheme="majorHAnsi" w:cstheme="majorHAnsi"/>
                <w:sz w:val="24"/>
                <w:szCs w:val="24"/>
              </w:rPr>
              <w:t>H</w:t>
            </w:r>
            <w:r w:rsidRPr="00010A38">
              <w:rPr>
                <w:rFonts w:asciiTheme="majorHAnsi" w:hAnsiTheme="majorHAnsi" w:cstheme="majorHAnsi"/>
                <w:sz w:val="24"/>
                <w:szCs w:val="24"/>
                <w:vertAlign w:val="subscript"/>
              </w:rPr>
              <w:t>25</w:t>
            </w:r>
            <w:r w:rsidRPr="00010A38">
              <w:rPr>
                <w:rFonts w:asciiTheme="majorHAnsi" w:hAnsiTheme="majorHAnsi" w:cstheme="majorHAnsi"/>
                <w:sz w:val="24"/>
                <w:szCs w:val="24"/>
              </w:rPr>
              <w:t>N</w:t>
            </w:r>
          </w:p>
        </w:tc>
        <w:tc>
          <w:tcPr>
            <w:tcW w:w="2340" w:type="dxa"/>
          </w:tcPr>
          <w:p w:rsidR="00E05719" w:rsidRPr="00D23120" w:rsidRDefault="00D23120" w:rsidP="003951C2">
            <w:pPr>
              <w:pStyle w:val="NormalWeb"/>
              <w:jc w:val="both"/>
            </w:pPr>
            <w:r>
              <w:t xml:space="preserve"> </w:t>
            </w:r>
            <w:r>
              <w:rPr>
                <w:noProof/>
                <w:lang w:val="en-IN" w:eastAsia="en-IN"/>
              </w:rPr>
              <w:drawing>
                <wp:inline distT="0" distB="0" distL="0" distR="0" wp14:anchorId="7100EA34" wp14:editId="4B25B065">
                  <wp:extent cx="1416050" cy="958338"/>
                  <wp:effectExtent l="0" t="0" r="0" b="0"/>
                  <wp:docPr id="29" name="Picture 29" descr="C:\Users\ADMIN\Downloads\Terbinafine_Conformer3D_lar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wnloads\Terbinafine_Conformer3D_large (1).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36622" t="24031" r="36322" b="24031"/>
                          <a:stretch/>
                        </pic:blipFill>
                        <pic:spPr bwMode="auto">
                          <a:xfrm>
                            <a:off x="0" y="0"/>
                            <a:ext cx="1417571" cy="9593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70" w:type="dxa"/>
          </w:tcPr>
          <w:p w:rsidR="00E05719" w:rsidRPr="00010A38" w:rsidRDefault="00E05719" w:rsidP="003951C2">
            <w:pPr>
              <w:spacing w:line="360" w:lineRule="auto"/>
              <w:jc w:val="both"/>
              <w:rPr>
                <w:rFonts w:asciiTheme="majorHAnsi" w:hAnsiTheme="majorHAnsi" w:cstheme="majorHAnsi"/>
                <w:b/>
                <w:sz w:val="24"/>
                <w:szCs w:val="24"/>
              </w:rPr>
            </w:pPr>
            <w:r w:rsidRPr="00010A38">
              <w:rPr>
                <w:rFonts w:asciiTheme="majorHAnsi" w:hAnsiTheme="majorHAnsi" w:cstheme="majorHAnsi"/>
                <w:sz w:val="24"/>
                <w:szCs w:val="24"/>
              </w:rPr>
              <w:t>Gastrointestinal issues (e.g., nausea, diarrhea), liver function changes (rare but serious), and skin rashes.</w:t>
            </w:r>
            <w:r w:rsidRPr="00010A38">
              <w:rPr>
                <w:rFonts w:asciiTheme="majorHAnsi" w:eastAsia="Times New Roman" w:hAnsiTheme="majorHAnsi" w:cstheme="majorHAnsi"/>
                <w:sz w:val="24"/>
                <w:szCs w:val="24"/>
              </w:rPr>
              <w:t xml:space="preserve"> </w:t>
            </w:r>
            <w:r w:rsidR="008B5D97" w:rsidRPr="00010A38">
              <w:rPr>
                <w:rFonts w:asciiTheme="majorHAnsi" w:eastAsia="Times New Roman" w:hAnsiTheme="majorHAnsi" w:cstheme="majorHAnsi"/>
                <w:sz w:val="24"/>
                <w:szCs w:val="24"/>
              </w:rPr>
              <w:t>(McClellan et al</w:t>
            </w:r>
            <w:r w:rsidRPr="00010A38">
              <w:rPr>
                <w:rFonts w:asciiTheme="majorHAnsi" w:eastAsia="Times New Roman" w:hAnsiTheme="majorHAnsi" w:cstheme="majorHAnsi"/>
                <w:sz w:val="24"/>
                <w:szCs w:val="24"/>
              </w:rPr>
              <w:t>., 1999)</w:t>
            </w:r>
          </w:p>
        </w:tc>
      </w:tr>
    </w:tbl>
    <w:p w:rsidR="00E05719" w:rsidRPr="00010A38" w:rsidRDefault="00E05719" w:rsidP="003951C2">
      <w:pPr>
        <w:spacing w:line="360" w:lineRule="auto"/>
        <w:jc w:val="both"/>
        <w:rPr>
          <w:rFonts w:asciiTheme="majorHAnsi" w:hAnsiTheme="majorHAnsi" w:cstheme="majorHAnsi"/>
          <w:sz w:val="24"/>
          <w:szCs w:val="24"/>
        </w:rPr>
      </w:pPr>
    </w:p>
    <w:p w:rsidR="001B4824" w:rsidRPr="00010A38" w:rsidRDefault="004C7E08"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11</w:t>
      </w:r>
      <w:r w:rsidR="003A4185" w:rsidRPr="00010A38">
        <w:rPr>
          <w:rFonts w:asciiTheme="majorHAnsi" w:hAnsiTheme="majorHAnsi" w:cstheme="majorHAnsi"/>
          <w:b/>
          <w:sz w:val="24"/>
          <w:szCs w:val="24"/>
        </w:rPr>
        <w:t>.</w:t>
      </w:r>
      <w:r w:rsidRPr="00010A38">
        <w:rPr>
          <w:rFonts w:asciiTheme="majorHAnsi" w:hAnsiTheme="majorHAnsi" w:cstheme="majorHAnsi"/>
          <w:b/>
          <w:sz w:val="24"/>
          <w:szCs w:val="24"/>
        </w:rPr>
        <w:t xml:space="preserve"> Home Remedies and Their Efficacy</w:t>
      </w:r>
    </w:p>
    <w:p w:rsidR="001B4824" w:rsidRPr="00010A38" w:rsidRDefault="004C7E08"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 xml:space="preserve">Ringworm treatment often involves over-the-counter and prescription treatments, but some individuals prefer home remedies for cost or natural preferences. Common home </w:t>
      </w:r>
      <w:r w:rsidRPr="00010A38">
        <w:rPr>
          <w:rFonts w:asciiTheme="majorHAnsi" w:hAnsiTheme="majorHAnsi" w:cstheme="majorHAnsi"/>
          <w:sz w:val="24"/>
          <w:szCs w:val="24"/>
        </w:rPr>
        <w:lastRenderedPageBreak/>
        <w:t>remedies include OTC, prescription, and natural methods, with varying effectiveness</w:t>
      </w:r>
      <w:r w:rsidR="003A4185" w:rsidRPr="00010A38">
        <w:rPr>
          <w:rFonts w:asciiTheme="majorHAnsi" w:hAnsiTheme="majorHAnsi" w:cstheme="majorHAnsi"/>
          <w:sz w:val="24"/>
          <w:szCs w:val="24"/>
        </w:rPr>
        <w:t xml:space="preserve"> (Table 3)</w:t>
      </w:r>
      <w:r w:rsidRPr="00010A38">
        <w:rPr>
          <w:rFonts w:asciiTheme="majorHAnsi" w:hAnsiTheme="majorHAnsi" w:cstheme="majorHAnsi"/>
          <w:sz w:val="24"/>
          <w:szCs w:val="24"/>
        </w:rPr>
        <w:t>.</w:t>
      </w:r>
    </w:p>
    <w:p w:rsidR="001B4824" w:rsidRPr="00010A38" w:rsidRDefault="006C2C55" w:rsidP="003951C2">
      <w:pPr>
        <w:spacing w:line="360" w:lineRule="auto"/>
        <w:jc w:val="both"/>
        <w:rPr>
          <w:rFonts w:asciiTheme="majorHAnsi" w:hAnsiTheme="majorHAnsi" w:cstheme="majorHAnsi"/>
          <w:sz w:val="24"/>
          <w:szCs w:val="24"/>
        </w:rPr>
      </w:pPr>
      <w:r>
        <w:rPr>
          <w:rFonts w:asciiTheme="majorHAnsi" w:hAnsiTheme="majorHAnsi" w:cstheme="majorHAnsi"/>
          <w:b/>
          <w:sz w:val="24"/>
          <w:szCs w:val="24"/>
        </w:rPr>
        <w:t xml:space="preserve">11.1 Tea Tree Oil- </w:t>
      </w:r>
      <w:r w:rsidR="004C7E08" w:rsidRPr="006C2C55">
        <w:rPr>
          <w:rFonts w:asciiTheme="majorHAnsi" w:hAnsiTheme="majorHAnsi" w:cstheme="majorHAnsi"/>
          <w:sz w:val="24"/>
          <w:szCs w:val="24"/>
        </w:rPr>
        <w:t>Tea</w:t>
      </w:r>
      <w:r w:rsidR="004C7E08" w:rsidRPr="00010A38">
        <w:rPr>
          <w:rFonts w:asciiTheme="majorHAnsi" w:hAnsiTheme="majorHAnsi" w:cstheme="majorHAnsi"/>
          <w:sz w:val="24"/>
          <w:szCs w:val="24"/>
        </w:rPr>
        <w:t xml:space="preserve"> tree oil (</w:t>
      </w:r>
      <w:r w:rsidR="004C7E08" w:rsidRPr="00010A38">
        <w:rPr>
          <w:rFonts w:asciiTheme="majorHAnsi" w:hAnsiTheme="majorHAnsi" w:cstheme="majorHAnsi"/>
          <w:i/>
          <w:sz w:val="24"/>
          <w:szCs w:val="24"/>
        </w:rPr>
        <w:t>Melaleuca alternifolia</w:t>
      </w:r>
      <w:r w:rsidR="004C7E08" w:rsidRPr="00010A38">
        <w:rPr>
          <w:rFonts w:asciiTheme="majorHAnsi" w:hAnsiTheme="majorHAnsi" w:cstheme="majorHAnsi"/>
          <w:sz w:val="24"/>
          <w:szCs w:val="24"/>
        </w:rPr>
        <w:t>) is a widely popular home remedy for fungal infections, including ringworm, due to its antifungal and antiseptic properties. Several studies have shown that tea tree oil has antifungal properties, which can help treat various types of fungi, including dermatophytes like the ones that cause ringworm. The antifungal properties of tea tree oil may help explain at least some of the ways that tea tree oil ointment treats dandruff, a mild form of seborrheic dermatitis, and fungal infections of the skin and mucous membranes (Nenoff et al., 1996).</w:t>
      </w:r>
    </w:p>
    <w:p w:rsidR="001B4824" w:rsidRPr="00010A38" w:rsidRDefault="004C7E08"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11.2 Apple Cider Vinegar</w:t>
      </w:r>
      <w:r w:rsidR="006C2C55">
        <w:rPr>
          <w:rFonts w:asciiTheme="majorHAnsi" w:hAnsiTheme="majorHAnsi" w:cstheme="majorHAnsi"/>
          <w:sz w:val="24"/>
          <w:szCs w:val="24"/>
        </w:rPr>
        <w:t xml:space="preserve">- </w:t>
      </w:r>
      <w:r w:rsidRPr="00010A38">
        <w:rPr>
          <w:rFonts w:asciiTheme="majorHAnsi" w:hAnsiTheme="majorHAnsi" w:cstheme="majorHAnsi"/>
          <w:sz w:val="24"/>
          <w:szCs w:val="24"/>
        </w:rPr>
        <w:t>Apple cider vinegar (ACV) is believed to have antifungal properties due to its acidity, which can help alter the pH of the skin and inhibit fungal growth. Since the skin's acidity serves as a crucial antimicrobial barrier, infectious microorganisms can spread when alkaline products frequently undermine this resistance. This could lead to bacterial infections like Propionibacterium acnes, which cause acne, and Staphylococcus aureus, which causes or contributes to eczema, or fungal diseases like athlete's foot, ringworm, and yeast infections (Clark et al., 2019).</w:t>
      </w:r>
    </w:p>
    <w:p w:rsidR="001B4824" w:rsidRPr="00010A38" w:rsidRDefault="006C2C55" w:rsidP="003951C2">
      <w:pPr>
        <w:spacing w:line="360" w:lineRule="auto"/>
        <w:jc w:val="both"/>
        <w:rPr>
          <w:rFonts w:asciiTheme="majorHAnsi" w:hAnsiTheme="majorHAnsi" w:cstheme="majorHAnsi"/>
          <w:sz w:val="24"/>
          <w:szCs w:val="24"/>
        </w:rPr>
      </w:pPr>
      <w:r>
        <w:rPr>
          <w:rFonts w:asciiTheme="majorHAnsi" w:hAnsiTheme="majorHAnsi" w:cstheme="majorHAnsi"/>
          <w:b/>
          <w:sz w:val="24"/>
          <w:szCs w:val="24"/>
        </w:rPr>
        <w:t xml:space="preserve">11.3 Coconut Oil- </w:t>
      </w:r>
      <w:r w:rsidR="004C7E08" w:rsidRPr="006C2C55">
        <w:rPr>
          <w:rFonts w:asciiTheme="majorHAnsi" w:hAnsiTheme="majorHAnsi" w:cstheme="majorHAnsi"/>
          <w:sz w:val="24"/>
          <w:szCs w:val="24"/>
        </w:rPr>
        <w:t xml:space="preserve">Coconut </w:t>
      </w:r>
      <w:r w:rsidR="004C7E08" w:rsidRPr="00010A38">
        <w:rPr>
          <w:rFonts w:asciiTheme="majorHAnsi" w:hAnsiTheme="majorHAnsi" w:cstheme="majorHAnsi"/>
          <w:sz w:val="24"/>
          <w:szCs w:val="24"/>
        </w:rPr>
        <w:t>oil contains caprylic acid, a fatty acid that has antifungal and antimicrobial properties. It is often cited as a natural remedy for treating fungal skin infections. Coconut oil is widely used to cure many hair and scalp issues, including grey hair. Ringworm infections can be effectively treated with coconut oil's therapeutic qualities. This is a basic ingredient that you probably already have in your house. The oil makes the region silky and smooth while offering excellent relief from itchy skin. Ringworm on the scalp can also be effectively treated with coconut oil (Antony et al., 2017).</w:t>
      </w:r>
    </w:p>
    <w:p w:rsidR="001B4824" w:rsidRPr="00010A38" w:rsidRDefault="006C2C55" w:rsidP="003951C2">
      <w:pPr>
        <w:spacing w:line="360" w:lineRule="auto"/>
        <w:jc w:val="both"/>
        <w:rPr>
          <w:rFonts w:asciiTheme="majorHAnsi" w:hAnsiTheme="majorHAnsi" w:cstheme="majorHAnsi"/>
          <w:sz w:val="24"/>
          <w:szCs w:val="24"/>
        </w:rPr>
      </w:pPr>
      <w:r>
        <w:rPr>
          <w:rFonts w:asciiTheme="majorHAnsi" w:hAnsiTheme="majorHAnsi" w:cstheme="majorHAnsi"/>
          <w:b/>
          <w:sz w:val="24"/>
          <w:szCs w:val="24"/>
        </w:rPr>
        <w:t xml:space="preserve">11.4 Garlic- </w:t>
      </w:r>
      <w:r w:rsidR="004C7E08" w:rsidRPr="006C2C55">
        <w:rPr>
          <w:rFonts w:asciiTheme="majorHAnsi" w:hAnsiTheme="majorHAnsi" w:cstheme="majorHAnsi"/>
          <w:sz w:val="24"/>
          <w:szCs w:val="24"/>
        </w:rPr>
        <w:t>Garlic</w:t>
      </w:r>
      <w:r w:rsidR="004C7E08" w:rsidRPr="00010A38">
        <w:rPr>
          <w:rFonts w:asciiTheme="majorHAnsi" w:hAnsiTheme="majorHAnsi" w:cstheme="majorHAnsi"/>
          <w:sz w:val="24"/>
          <w:szCs w:val="24"/>
        </w:rPr>
        <w:t xml:space="preserve"> contains allicin, which has been shown to have antifungal, antibacterial, and antiviral properties. </w:t>
      </w:r>
      <w:r w:rsidR="004C7E08" w:rsidRPr="00C06884">
        <w:rPr>
          <w:rFonts w:asciiTheme="majorHAnsi" w:hAnsiTheme="majorHAnsi" w:cstheme="majorHAnsi"/>
          <w:i/>
          <w:sz w:val="24"/>
          <w:szCs w:val="24"/>
        </w:rPr>
        <w:t>Allium sativum</w:t>
      </w:r>
      <w:r w:rsidR="004C7E08" w:rsidRPr="00010A38">
        <w:rPr>
          <w:rFonts w:asciiTheme="majorHAnsi" w:hAnsiTheme="majorHAnsi" w:cstheme="majorHAnsi"/>
          <w:sz w:val="24"/>
          <w:szCs w:val="24"/>
        </w:rPr>
        <w:t xml:space="preserve">, often known as garlic, belongs to the </w:t>
      </w:r>
      <w:r w:rsidR="004C7E08" w:rsidRPr="00C06884">
        <w:rPr>
          <w:rFonts w:asciiTheme="majorHAnsi" w:hAnsiTheme="majorHAnsi" w:cstheme="majorHAnsi"/>
          <w:i/>
          <w:sz w:val="24"/>
          <w:szCs w:val="24"/>
        </w:rPr>
        <w:t>Alliaceae</w:t>
      </w:r>
      <w:r w:rsidR="004C7E08" w:rsidRPr="00010A38">
        <w:rPr>
          <w:rFonts w:asciiTheme="majorHAnsi" w:hAnsiTheme="majorHAnsi" w:cstheme="majorHAnsi"/>
          <w:sz w:val="24"/>
          <w:szCs w:val="24"/>
        </w:rPr>
        <w:t xml:space="preserve"> family. Garlic has antifungal properties. Allicin, an important ingredient in garlic, is sulfur-containing and inhibits the growth of fungus and germs. The majority of garlic's biological qualities, such as its bactericidal, antifungal, and antiviral effects, are attributed to its main component, allicin. All of the garlic extracts at greater </w:t>
      </w:r>
      <w:r w:rsidR="004C7E08" w:rsidRPr="00010A38">
        <w:rPr>
          <w:rFonts w:asciiTheme="majorHAnsi" w:hAnsiTheme="majorHAnsi" w:cstheme="majorHAnsi"/>
          <w:sz w:val="24"/>
          <w:szCs w:val="24"/>
        </w:rPr>
        <w:lastRenderedPageBreak/>
        <w:t>concentrations showed that the antifungal effect increase</w:t>
      </w:r>
      <w:r w:rsidR="00A8374C" w:rsidRPr="00010A38">
        <w:rPr>
          <w:rFonts w:asciiTheme="majorHAnsi" w:hAnsiTheme="majorHAnsi" w:cstheme="majorHAnsi"/>
          <w:sz w:val="24"/>
          <w:szCs w:val="24"/>
        </w:rPr>
        <w:t>s with increasing concentration</w:t>
      </w:r>
      <w:r w:rsidR="004C7E08" w:rsidRPr="00010A38">
        <w:rPr>
          <w:rFonts w:asciiTheme="majorHAnsi" w:hAnsiTheme="majorHAnsi" w:cstheme="majorHAnsi"/>
          <w:sz w:val="24"/>
          <w:szCs w:val="24"/>
        </w:rPr>
        <w:t xml:space="preserve"> (Nagansurkar et al., 2023)</w:t>
      </w:r>
      <w:r w:rsidR="00A8374C" w:rsidRPr="00010A38">
        <w:rPr>
          <w:rFonts w:asciiTheme="majorHAnsi" w:hAnsiTheme="majorHAnsi" w:cstheme="majorHAnsi"/>
          <w:sz w:val="24"/>
          <w:szCs w:val="24"/>
        </w:rPr>
        <w:t>.</w:t>
      </w:r>
    </w:p>
    <w:p w:rsidR="001B4824" w:rsidRPr="00010A38" w:rsidRDefault="00A8374C"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 xml:space="preserve">11.5 </w:t>
      </w:r>
      <w:r w:rsidR="006C2C55">
        <w:rPr>
          <w:rFonts w:asciiTheme="majorHAnsi" w:hAnsiTheme="majorHAnsi" w:cstheme="majorHAnsi"/>
          <w:b/>
          <w:sz w:val="24"/>
          <w:szCs w:val="24"/>
        </w:rPr>
        <w:t xml:space="preserve">Aloe Vera- </w:t>
      </w:r>
      <w:r w:rsidR="004C7E08" w:rsidRPr="00C06884">
        <w:rPr>
          <w:rFonts w:asciiTheme="majorHAnsi" w:hAnsiTheme="majorHAnsi" w:cstheme="majorHAnsi"/>
          <w:sz w:val="24"/>
          <w:szCs w:val="24"/>
        </w:rPr>
        <w:t>Aloe vera</w:t>
      </w:r>
      <w:r w:rsidR="004C7E08" w:rsidRPr="00010A38">
        <w:rPr>
          <w:rFonts w:asciiTheme="majorHAnsi" w:hAnsiTheme="majorHAnsi" w:cstheme="majorHAnsi"/>
          <w:sz w:val="24"/>
          <w:szCs w:val="24"/>
        </w:rPr>
        <w:t xml:space="preserve"> is known for its soothing properties and contains antimicrobial compounds that may help reduce inflammation and irritation caused by fungal infections. Two items with distinct medicinal uses are derived from the aloe plant. Aloe juice or latex is used as a strong laxative, mainly in its dried form. Aloe gel's ability to heal wounds and function as a general tonic makes it useful both inside and externally. Even if the animal licks it sometimes, aloe vera gel's strong antifungal therapeutic activity can effectively treat ringworm without causing any negative side effects. Thus, more studies on those uses will offer more proof of the inner gel made from aloe vera</w:t>
      </w:r>
      <w:r w:rsidRPr="00010A38">
        <w:rPr>
          <w:rFonts w:asciiTheme="majorHAnsi" w:hAnsiTheme="majorHAnsi" w:cstheme="majorHAnsi"/>
          <w:sz w:val="24"/>
          <w:szCs w:val="24"/>
        </w:rPr>
        <w:t xml:space="preserve"> leaves' therapeutic potential </w:t>
      </w:r>
      <w:r w:rsidR="004C7E08" w:rsidRPr="00010A38">
        <w:rPr>
          <w:rFonts w:asciiTheme="majorHAnsi" w:hAnsiTheme="majorHAnsi" w:cstheme="majorHAnsi"/>
          <w:sz w:val="24"/>
          <w:szCs w:val="24"/>
        </w:rPr>
        <w:t>(Hassan et al., 2004)</w:t>
      </w:r>
      <w:r w:rsidRPr="00010A38">
        <w:rPr>
          <w:rFonts w:asciiTheme="majorHAnsi" w:hAnsiTheme="majorHAnsi" w:cstheme="majorHAnsi"/>
          <w:sz w:val="24"/>
          <w:szCs w:val="24"/>
        </w:rPr>
        <w:t>.</w:t>
      </w:r>
    </w:p>
    <w:p w:rsidR="001B4824" w:rsidRPr="00010A38" w:rsidRDefault="00A8374C"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 xml:space="preserve">11.6 </w:t>
      </w:r>
      <w:r w:rsidR="006C2C55">
        <w:rPr>
          <w:rFonts w:asciiTheme="majorHAnsi" w:hAnsiTheme="majorHAnsi" w:cstheme="majorHAnsi"/>
          <w:b/>
          <w:sz w:val="24"/>
          <w:szCs w:val="24"/>
        </w:rPr>
        <w:t xml:space="preserve">Turmeric- </w:t>
      </w:r>
      <w:r w:rsidR="004C7E08" w:rsidRPr="006C2C55">
        <w:rPr>
          <w:rFonts w:asciiTheme="majorHAnsi" w:hAnsiTheme="majorHAnsi" w:cstheme="majorHAnsi"/>
          <w:sz w:val="24"/>
          <w:szCs w:val="24"/>
        </w:rPr>
        <w:t>Turmeric</w:t>
      </w:r>
      <w:r w:rsidR="004C7E08" w:rsidRPr="00010A38">
        <w:rPr>
          <w:rFonts w:asciiTheme="majorHAnsi" w:hAnsiTheme="majorHAnsi" w:cstheme="majorHAnsi"/>
          <w:sz w:val="24"/>
          <w:szCs w:val="24"/>
        </w:rPr>
        <w:t xml:space="preserve"> contains curcumin, which has antifungal, anti-inflammatory, and antioxidant properties. All of the garlic extracts at greater concentrations showed that the antifungal effect increases with increasing concentration. The </w:t>
      </w:r>
      <w:r w:rsidR="004C7E08" w:rsidRPr="006C2C55">
        <w:rPr>
          <w:rFonts w:asciiTheme="majorHAnsi" w:hAnsiTheme="majorHAnsi" w:cstheme="majorHAnsi"/>
          <w:i/>
          <w:sz w:val="24"/>
          <w:szCs w:val="24"/>
        </w:rPr>
        <w:t>Zingiberaceae</w:t>
      </w:r>
      <w:r w:rsidR="004C7E08" w:rsidRPr="00010A38">
        <w:rPr>
          <w:rFonts w:asciiTheme="majorHAnsi" w:hAnsiTheme="majorHAnsi" w:cstheme="majorHAnsi"/>
          <w:sz w:val="24"/>
          <w:szCs w:val="24"/>
        </w:rPr>
        <w:t xml:space="preserve"> family includes turmeric, or </w:t>
      </w:r>
      <w:r w:rsidR="004C7E08" w:rsidRPr="00010A38">
        <w:rPr>
          <w:rFonts w:asciiTheme="majorHAnsi" w:hAnsiTheme="majorHAnsi" w:cstheme="majorHAnsi"/>
          <w:i/>
          <w:sz w:val="24"/>
          <w:szCs w:val="24"/>
        </w:rPr>
        <w:t>Curcuma longa</w:t>
      </w:r>
      <w:r w:rsidR="004C7E08" w:rsidRPr="00010A38">
        <w:rPr>
          <w:rFonts w:asciiTheme="majorHAnsi" w:hAnsiTheme="majorHAnsi" w:cstheme="majorHAnsi"/>
          <w:sz w:val="24"/>
          <w:szCs w:val="24"/>
        </w:rPr>
        <w:t xml:space="preserve"> L., which is widely used to treat ringworm, tinea, rash, and itching. Turmeric's primary bioactive ingredient, curcumin, has a wide range of pharmacological characteristics. Antibacterial, antiviral, renoprotective, cardioprotective, antioxidant, anticancer, anti-osteoarthritis, antidiarrheal, and neuroprotective qualities </w:t>
      </w:r>
      <w:r w:rsidRPr="00010A38">
        <w:rPr>
          <w:rFonts w:asciiTheme="majorHAnsi" w:hAnsiTheme="majorHAnsi" w:cstheme="majorHAnsi"/>
          <w:sz w:val="24"/>
          <w:szCs w:val="24"/>
        </w:rPr>
        <w:t>are among their many attributes</w:t>
      </w:r>
      <w:r w:rsidR="004C7E08" w:rsidRPr="00010A38">
        <w:rPr>
          <w:rFonts w:asciiTheme="majorHAnsi" w:hAnsiTheme="majorHAnsi" w:cstheme="majorHAnsi"/>
          <w:sz w:val="24"/>
          <w:szCs w:val="24"/>
        </w:rPr>
        <w:t xml:space="preserve"> (Nagansurkar et al., 2023)</w:t>
      </w:r>
      <w:r w:rsidRPr="00010A38">
        <w:rPr>
          <w:rFonts w:asciiTheme="majorHAnsi" w:hAnsiTheme="majorHAnsi" w:cstheme="majorHAnsi"/>
          <w:sz w:val="24"/>
          <w:szCs w:val="24"/>
        </w:rPr>
        <w:t>.</w:t>
      </w:r>
    </w:p>
    <w:p w:rsidR="001B4824" w:rsidRPr="00010A38" w:rsidRDefault="00A8374C"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 xml:space="preserve">11.7 </w:t>
      </w:r>
      <w:r w:rsidR="006C2C55">
        <w:rPr>
          <w:rFonts w:asciiTheme="majorHAnsi" w:hAnsiTheme="majorHAnsi" w:cstheme="majorHAnsi"/>
          <w:b/>
          <w:sz w:val="24"/>
          <w:szCs w:val="24"/>
        </w:rPr>
        <w:t xml:space="preserve">Oregano Oil- </w:t>
      </w:r>
      <w:r w:rsidR="004C7E08" w:rsidRPr="006C2C55">
        <w:rPr>
          <w:rFonts w:asciiTheme="majorHAnsi" w:hAnsiTheme="majorHAnsi" w:cstheme="majorHAnsi"/>
          <w:sz w:val="24"/>
          <w:szCs w:val="24"/>
        </w:rPr>
        <w:t>Oregano</w:t>
      </w:r>
      <w:r w:rsidR="004C7E08" w:rsidRPr="00010A38">
        <w:rPr>
          <w:rFonts w:asciiTheme="majorHAnsi" w:hAnsiTheme="majorHAnsi" w:cstheme="majorHAnsi"/>
          <w:sz w:val="24"/>
          <w:szCs w:val="24"/>
        </w:rPr>
        <w:t xml:space="preserve"> oil contains carvacrol and thymol, both of which have strong antifungal and antibacterial properties. Because of its </w:t>
      </w:r>
      <w:r w:rsidR="004C7E08" w:rsidRPr="006C2C55">
        <w:rPr>
          <w:rFonts w:asciiTheme="majorHAnsi" w:hAnsiTheme="majorHAnsi" w:cstheme="majorHAnsi"/>
          <w:sz w:val="24"/>
          <w:szCs w:val="24"/>
        </w:rPr>
        <w:t>antifungal</w:t>
      </w:r>
      <w:r w:rsidR="004C7E08" w:rsidRPr="00010A38">
        <w:rPr>
          <w:rFonts w:asciiTheme="majorHAnsi" w:hAnsiTheme="majorHAnsi" w:cstheme="majorHAnsi"/>
          <w:sz w:val="24"/>
          <w:szCs w:val="24"/>
        </w:rPr>
        <w:t xml:space="preserve"> qualities, oregano essential oil is one of the most researched essential oils. It can stop the growth of a variety of fungi, including Aspergillus species, Fusarium species, and Penicillium species. The primary constituents of oregano essential oil are terpinene</w:t>
      </w:r>
      <w:r w:rsidRPr="00010A38">
        <w:rPr>
          <w:rFonts w:asciiTheme="majorHAnsi" w:hAnsiTheme="majorHAnsi" w:cstheme="majorHAnsi"/>
          <w:sz w:val="24"/>
          <w:szCs w:val="24"/>
        </w:rPr>
        <w:t>, cymene, thymol, and carvacrol</w:t>
      </w:r>
      <w:r w:rsidR="004C7E08" w:rsidRPr="00010A38">
        <w:rPr>
          <w:rFonts w:asciiTheme="majorHAnsi" w:hAnsiTheme="majorHAnsi" w:cstheme="majorHAnsi"/>
          <w:sz w:val="24"/>
          <w:szCs w:val="24"/>
        </w:rPr>
        <w:t xml:space="preserve"> (Bedoya-Serna et al., 2018)</w:t>
      </w:r>
      <w:r w:rsidRPr="00010A38">
        <w:rPr>
          <w:rFonts w:asciiTheme="majorHAnsi" w:hAnsiTheme="majorHAnsi" w:cstheme="majorHAnsi"/>
          <w:sz w:val="24"/>
          <w:szCs w:val="24"/>
        </w:rPr>
        <w:t>.</w:t>
      </w:r>
    </w:p>
    <w:p w:rsidR="001B4824" w:rsidRPr="00010A38" w:rsidRDefault="00A8374C"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 xml:space="preserve">11.8 </w:t>
      </w:r>
      <w:r w:rsidR="006C2C55">
        <w:rPr>
          <w:rFonts w:asciiTheme="majorHAnsi" w:hAnsiTheme="majorHAnsi" w:cstheme="majorHAnsi"/>
          <w:b/>
          <w:sz w:val="24"/>
          <w:szCs w:val="24"/>
        </w:rPr>
        <w:t xml:space="preserve">Lemongrass Oil- </w:t>
      </w:r>
      <w:r w:rsidR="004C7E08" w:rsidRPr="006C2C55">
        <w:rPr>
          <w:rFonts w:asciiTheme="majorHAnsi" w:hAnsiTheme="majorHAnsi" w:cstheme="majorHAnsi"/>
          <w:sz w:val="24"/>
          <w:szCs w:val="24"/>
        </w:rPr>
        <w:t>Lemongrass</w:t>
      </w:r>
      <w:r w:rsidR="004C7E08" w:rsidRPr="00010A38">
        <w:rPr>
          <w:rFonts w:asciiTheme="majorHAnsi" w:hAnsiTheme="majorHAnsi" w:cstheme="majorHAnsi"/>
          <w:sz w:val="24"/>
          <w:szCs w:val="24"/>
        </w:rPr>
        <w:t xml:space="preserve"> oil has been shown to have </w:t>
      </w:r>
      <w:r w:rsidR="004C7E08" w:rsidRPr="006C2C55">
        <w:rPr>
          <w:rFonts w:asciiTheme="majorHAnsi" w:hAnsiTheme="majorHAnsi" w:cstheme="majorHAnsi"/>
          <w:sz w:val="24"/>
          <w:szCs w:val="24"/>
        </w:rPr>
        <w:t>antifungal</w:t>
      </w:r>
      <w:r w:rsidR="004C7E08" w:rsidRPr="00010A38">
        <w:rPr>
          <w:rFonts w:asciiTheme="majorHAnsi" w:hAnsiTheme="majorHAnsi" w:cstheme="majorHAnsi"/>
          <w:sz w:val="24"/>
          <w:szCs w:val="24"/>
        </w:rPr>
        <w:t xml:space="preserve"> properties against certain fungi, including dermatophytes. A member of the grass family, lemongrass (</w:t>
      </w:r>
      <w:r w:rsidR="004C7E08" w:rsidRPr="00010A38">
        <w:rPr>
          <w:rFonts w:asciiTheme="majorHAnsi" w:hAnsiTheme="majorHAnsi" w:cstheme="majorHAnsi"/>
          <w:i/>
          <w:sz w:val="24"/>
          <w:szCs w:val="24"/>
        </w:rPr>
        <w:t>Cymbopogon citratus L.</w:t>
      </w:r>
      <w:r w:rsidR="004C7E08" w:rsidRPr="00010A38">
        <w:rPr>
          <w:rFonts w:asciiTheme="majorHAnsi" w:hAnsiTheme="majorHAnsi" w:cstheme="majorHAnsi"/>
          <w:sz w:val="24"/>
          <w:szCs w:val="24"/>
        </w:rPr>
        <w:t xml:space="preserve">) has a dry essential oil content of 1% to 2%. The chemical makeup of this plant varies greatly depending on the genetic diversity, habitat, and agronomic practices of the culture. There is a lot of interest in using lemongrass oil to </w:t>
      </w:r>
      <w:r w:rsidR="004C7E08" w:rsidRPr="00010A38">
        <w:rPr>
          <w:rFonts w:asciiTheme="majorHAnsi" w:hAnsiTheme="majorHAnsi" w:cstheme="majorHAnsi"/>
          <w:sz w:val="24"/>
          <w:szCs w:val="24"/>
        </w:rPr>
        <w:lastRenderedPageBreak/>
        <w:t>preserve food crops that have been stored because it demonstrated a wide range of fungi</w:t>
      </w:r>
      <w:r w:rsidR="0064545F" w:rsidRPr="00010A38">
        <w:rPr>
          <w:rFonts w:asciiTheme="majorHAnsi" w:hAnsiTheme="majorHAnsi" w:cstheme="majorHAnsi"/>
          <w:sz w:val="24"/>
          <w:szCs w:val="24"/>
        </w:rPr>
        <w:t xml:space="preserve"> </w:t>
      </w:r>
      <w:r w:rsidR="004C7E08" w:rsidRPr="00010A38">
        <w:rPr>
          <w:rFonts w:asciiTheme="majorHAnsi" w:hAnsiTheme="majorHAnsi" w:cstheme="majorHAnsi"/>
          <w:sz w:val="24"/>
          <w:szCs w:val="24"/>
        </w:rPr>
        <w:t>toxicity by completely inhibiting the growth of 35, 45, and 47 fungal species at 500, 1000, and 1500 ppm, respectively. Its fungi</w:t>
      </w:r>
      <w:r w:rsidR="0064545F" w:rsidRPr="00010A38">
        <w:rPr>
          <w:rFonts w:asciiTheme="majorHAnsi" w:hAnsiTheme="majorHAnsi" w:cstheme="majorHAnsi"/>
          <w:sz w:val="24"/>
          <w:szCs w:val="24"/>
        </w:rPr>
        <w:t xml:space="preserve"> </w:t>
      </w:r>
      <w:r w:rsidR="004C7E08" w:rsidRPr="00010A38">
        <w:rPr>
          <w:rFonts w:asciiTheme="majorHAnsi" w:hAnsiTheme="majorHAnsi" w:cstheme="majorHAnsi"/>
          <w:sz w:val="24"/>
          <w:szCs w:val="24"/>
        </w:rPr>
        <w:t>toxic potency remained unchanged for 210 days of stor</w:t>
      </w:r>
      <w:r w:rsidRPr="00010A38">
        <w:rPr>
          <w:rFonts w:asciiTheme="majorHAnsi" w:hAnsiTheme="majorHAnsi" w:cstheme="majorHAnsi"/>
          <w:sz w:val="24"/>
          <w:szCs w:val="24"/>
        </w:rPr>
        <w:t>age before beginning to decline</w:t>
      </w:r>
      <w:r w:rsidR="004C7E08" w:rsidRPr="00010A38">
        <w:rPr>
          <w:rFonts w:asciiTheme="majorHAnsi" w:hAnsiTheme="majorHAnsi" w:cstheme="majorHAnsi"/>
          <w:sz w:val="24"/>
          <w:szCs w:val="24"/>
        </w:rPr>
        <w:t xml:space="preserve"> (Tzortzakis et al., 2007)</w:t>
      </w:r>
      <w:r w:rsidRPr="00010A38">
        <w:rPr>
          <w:rFonts w:asciiTheme="majorHAnsi" w:hAnsiTheme="majorHAnsi" w:cstheme="majorHAnsi"/>
          <w:sz w:val="24"/>
          <w:szCs w:val="24"/>
        </w:rPr>
        <w:t>.</w:t>
      </w:r>
    </w:p>
    <w:p w:rsidR="00E05719" w:rsidRPr="00010A38" w:rsidRDefault="00E05719" w:rsidP="003951C2">
      <w:pPr>
        <w:spacing w:line="360" w:lineRule="auto"/>
        <w:jc w:val="both"/>
        <w:rPr>
          <w:rFonts w:asciiTheme="majorHAnsi" w:hAnsiTheme="majorHAnsi" w:cstheme="majorHAnsi"/>
          <w:b/>
          <w:sz w:val="24"/>
          <w:szCs w:val="24"/>
        </w:rPr>
      </w:pPr>
      <w:r w:rsidRPr="00010A38">
        <w:rPr>
          <w:rFonts w:asciiTheme="majorHAnsi" w:hAnsiTheme="majorHAnsi" w:cstheme="majorHAnsi"/>
          <w:b/>
          <w:sz w:val="24"/>
          <w:szCs w:val="24"/>
        </w:rPr>
        <w:t xml:space="preserve">Table </w:t>
      </w:r>
      <w:r w:rsidR="003A4185" w:rsidRPr="00010A38">
        <w:rPr>
          <w:rFonts w:asciiTheme="majorHAnsi" w:hAnsiTheme="majorHAnsi" w:cstheme="majorHAnsi"/>
          <w:b/>
          <w:sz w:val="24"/>
          <w:szCs w:val="24"/>
        </w:rPr>
        <w:t>3</w:t>
      </w:r>
      <w:r w:rsidRPr="00010A38">
        <w:rPr>
          <w:rFonts w:asciiTheme="majorHAnsi" w:hAnsiTheme="majorHAnsi" w:cstheme="majorHAnsi"/>
          <w:b/>
          <w:sz w:val="24"/>
          <w:szCs w:val="24"/>
        </w:rPr>
        <w:t xml:space="preserve">. </w:t>
      </w:r>
      <w:r w:rsidR="00207B79" w:rsidRPr="00010A38">
        <w:rPr>
          <w:rFonts w:asciiTheme="majorHAnsi" w:hAnsiTheme="majorHAnsi" w:cstheme="majorHAnsi"/>
          <w:b/>
          <w:sz w:val="24"/>
          <w:szCs w:val="24"/>
        </w:rPr>
        <w:t>Home Remedies and Their Effectiveness</w:t>
      </w:r>
    </w:p>
    <w:tbl>
      <w:tblPr>
        <w:tblStyle w:val="TableGrid"/>
        <w:tblW w:w="5443" w:type="pct"/>
        <w:tblLayout w:type="fixed"/>
        <w:tblLook w:val="04A0" w:firstRow="1" w:lastRow="0" w:firstColumn="1" w:lastColumn="0" w:noHBand="0" w:noVBand="1"/>
      </w:tblPr>
      <w:tblGrid>
        <w:gridCol w:w="703"/>
        <w:gridCol w:w="2106"/>
        <w:gridCol w:w="3483"/>
        <w:gridCol w:w="3355"/>
      </w:tblGrid>
      <w:tr w:rsidR="00AC0866" w:rsidRPr="00010A38" w:rsidTr="00AC0866">
        <w:trPr>
          <w:trHeight w:val="135"/>
        </w:trPr>
        <w:tc>
          <w:tcPr>
            <w:tcW w:w="364" w:type="pct"/>
          </w:tcPr>
          <w:p w:rsidR="00207B79" w:rsidRPr="00010A38" w:rsidRDefault="00207B79" w:rsidP="003951C2">
            <w:pPr>
              <w:pStyle w:val="NormalWeb"/>
              <w:spacing w:line="360" w:lineRule="auto"/>
              <w:jc w:val="both"/>
              <w:rPr>
                <w:rFonts w:asciiTheme="majorHAnsi" w:hAnsiTheme="majorHAnsi" w:cstheme="majorHAnsi"/>
                <w:b/>
              </w:rPr>
            </w:pPr>
            <w:r w:rsidRPr="00010A38">
              <w:rPr>
                <w:rFonts w:asciiTheme="majorHAnsi" w:hAnsiTheme="majorHAnsi" w:cstheme="majorHAnsi"/>
                <w:b/>
              </w:rPr>
              <w:t>S.No</w:t>
            </w:r>
          </w:p>
        </w:tc>
        <w:tc>
          <w:tcPr>
            <w:tcW w:w="1091" w:type="pct"/>
          </w:tcPr>
          <w:p w:rsidR="00207B79" w:rsidRPr="00010A38" w:rsidRDefault="00207B79" w:rsidP="003951C2">
            <w:pPr>
              <w:pStyle w:val="NormalWeb"/>
              <w:spacing w:line="360" w:lineRule="auto"/>
              <w:jc w:val="both"/>
              <w:rPr>
                <w:rFonts w:asciiTheme="majorHAnsi" w:hAnsiTheme="majorHAnsi" w:cstheme="majorHAnsi"/>
                <w:b/>
              </w:rPr>
            </w:pPr>
            <w:r w:rsidRPr="00010A38">
              <w:rPr>
                <w:rFonts w:asciiTheme="majorHAnsi" w:hAnsiTheme="majorHAnsi" w:cstheme="majorHAnsi"/>
                <w:b/>
              </w:rPr>
              <w:t>Natural products</w:t>
            </w:r>
          </w:p>
        </w:tc>
        <w:tc>
          <w:tcPr>
            <w:tcW w:w="1805" w:type="pct"/>
          </w:tcPr>
          <w:p w:rsidR="00207B79" w:rsidRPr="00010A38" w:rsidRDefault="00207B79" w:rsidP="003951C2">
            <w:pPr>
              <w:pStyle w:val="NormalWeb"/>
              <w:spacing w:line="360" w:lineRule="auto"/>
              <w:jc w:val="both"/>
              <w:rPr>
                <w:rFonts w:asciiTheme="majorHAnsi" w:hAnsiTheme="majorHAnsi" w:cstheme="majorHAnsi"/>
                <w:b/>
              </w:rPr>
            </w:pPr>
            <w:r w:rsidRPr="00010A38">
              <w:rPr>
                <w:rFonts w:asciiTheme="majorHAnsi" w:hAnsiTheme="majorHAnsi" w:cstheme="majorHAnsi"/>
                <w:b/>
              </w:rPr>
              <w:t>Use</w:t>
            </w:r>
          </w:p>
        </w:tc>
        <w:tc>
          <w:tcPr>
            <w:tcW w:w="1739" w:type="pct"/>
          </w:tcPr>
          <w:p w:rsidR="00207B79" w:rsidRPr="00010A38" w:rsidRDefault="00207B79" w:rsidP="003951C2">
            <w:pPr>
              <w:pStyle w:val="NormalWeb"/>
              <w:spacing w:line="360" w:lineRule="auto"/>
              <w:jc w:val="both"/>
              <w:rPr>
                <w:rFonts w:asciiTheme="majorHAnsi" w:hAnsiTheme="majorHAnsi" w:cstheme="majorHAnsi"/>
                <w:b/>
              </w:rPr>
            </w:pPr>
            <w:r w:rsidRPr="00010A38">
              <w:rPr>
                <w:rFonts w:asciiTheme="majorHAnsi" w:hAnsiTheme="majorHAnsi" w:cstheme="majorHAnsi"/>
                <w:b/>
              </w:rPr>
              <w:t>Caution</w:t>
            </w:r>
          </w:p>
        </w:tc>
      </w:tr>
      <w:tr w:rsidR="00AC0866" w:rsidRPr="00010A38" w:rsidTr="00AC0866">
        <w:trPr>
          <w:trHeight w:val="3743"/>
        </w:trPr>
        <w:tc>
          <w:tcPr>
            <w:tcW w:w="364" w:type="pct"/>
          </w:tcPr>
          <w:p w:rsidR="00207B79" w:rsidRPr="00010A38" w:rsidRDefault="00207B79" w:rsidP="003951C2">
            <w:pPr>
              <w:pStyle w:val="NormalWeb"/>
              <w:spacing w:line="360" w:lineRule="auto"/>
              <w:jc w:val="both"/>
              <w:rPr>
                <w:rFonts w:asciiTheme="majorHAnsi" w:hAnsiTheme="majorHAnsi" w:cstheme="majorHAnsi"/>
                <w:b/>
              </w:rPr>
            </w:pPr>
            <w:r w:rsidRPr="00010A38">
              <w:rPr>
                <w:rFonts w:asciiTheme="majorHAnsi" w:hAnsiTheme="majorHAnsi" w:cstheme="majorHAnsi"/>
                <w:b/>
              </w:rPr>
              <w:t>1</w:t>
            </w:r>
          </w:p>
        </w:tc>
        <w:tc>
          <w:tcPr>
            <w:tcW w:w="1091" w:type="pct"/>
          </w:tcPr>
          <w:p w:rsidR="00375DB9" w:rsidRPr="00010A38" w:rsidRDefault="00207B79" w:rsidP="003951C2">
            <w:pPr>
              <w:pStyle w:val="NormalWeb"/>
              <w:spacing w:line="360" w:lineRule="auto"/>
              <w:jc w:val="both"/>
              <w:rPr>
                <w:rFonts w:asciiTheme="majorHAnsi" w:hAnsiTheme="majorHAnsi" w:cstheme="majorHAnsi"/>
              </w:rPr>
            </w:pPr>
            <w:r w:rsidRPr="00010A38">
              <w:rPr>
                <w:rFonts w:asciiTheme="majorHAnsi" w:hAnsiTheme="majorHAnsi" w:cstheme="majorHAnsi"/>
              </w:rPr>
              <w:t>Tea Tree Oil</w:t>
            </w:r>
            <w:r w:rsidR="00375DB9">
              <w:rPr>
                <w:rFonts w:asciiTheme="majorHAnsi" w:hAnsiTheme="majorHAnsi" w:cstheme="majorHAnsi"/>
                <w:noProof/>
                <w:lang w:val="en-IN" w:eastAsia="en-IN"/>
              </w:rPr>
              <w:drawing>
                <wp:inline distT="0" distB="0" distL="0" distR="0" wp14:anchorId="6801BF38">
                  <wp:extent cx="1028700" cy="154367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2904" cy="1549979"/>
                          </a:xfrm>
                          <a:prstGeom prst="rect">
                            <a:avLst/>
                          </a:prstGeom>
                          <a:noFill/>
                        </pic:spPr>
                      </pic:pic>
                    </a:graphicData>
                  </a:graphic>
                </wp:inline>
              </w:drawing>
            </w:r>
          </w:p>
        </w:tc>
        <w:tc>
          <w:tcPr>
            <w:tcW w:w="1805" w:type="pct"/>
          </w:tcPr>
          <w:p w:rsidR="00207B79" w:rsidRPr="00010A38" w:rsidRDefault="00207B79" w:rsidP="003951C2">
            <w:pPr>
              <w:pStyle w:val="ListParagraph"/>
              <w:numPr>
                <w:ilvl w:val="0"/>
                <w:numId w:val="3"/>
              </w:numPr>
              <w:spacing w:before="100" w:beforeAutospacing="1" w:after="100" w:afterAutospacing="1"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Dilute tea tree oil with a carrier oil (like coconut or olive oil) to avoid skin irritation (usually 1-part tea tree oil to 3 parts carrier oil).</w:t>
            </w:r>
          </w:p>
          <w:p w:rsidR="00207B79" w:rsidRPr="00010A38" w:rsidRDefault="00207B79" w:rsidP="003951C2">
            <w:pPr>
              <w:pStyle w:val="ListParagraph"/>
              <w:numPr>
                <w:ilvl w:val="0"/>
                <w:numId w:val="3"/>
              </w:numPr>
              <w:spacing w:before="100" w:beforeAutospacing="1" w:after="100" w:afterAutospacing="1"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Apply to the affected area 2-3 times a day using a clean cotton ball.</w:t>
            </w:r>
          </w:p>
        </w:tc>
        <w:tc>
          <w:tcPr>
            <w:tcW w:w="1739" w:type="pct"/>
          </w:tcPr>
          <w:p w:rsidR="00207B79" w:rsidRPr="00010A38" w:rsidRDefault="00207B79" w:rsidP="003951C2">
            <w:pPr>
              <w:spacing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Tea tree oil can cause irritation or allergic reactions in some people, so always do a p</w:t>
            </w:r>
            <w:r w:rsidR="00514114" w:rsidRPr="00010A38">
              <w:rPr>
                <w:rFonts w:asciiTheme="majorHAnsi" w:eastAsia="Times New Roman" w:hAnsiTheme="majorHAnsi" w:cstheme="majorHAnsi"/>
                <w:sz w:val="24"/>
                <w:szCs w:val="24"/>
              </w:rPr>
              <w:t>atch test on a small area first</w:t>
            </w:r>
            <w:r w:rsidRPr="00010A38">
              <w:rPr>
                <w:rFonts w:asciiTheme="majorHAnsi" w:hAnsiTheme="majorHAnsi" w:cstheme="majorHAnsi"/>
                <w:sz w:val="24"/>
                <w:szCs w:val="24"/>
                <w:shd w:val="clear" w:color="auto" w:fill="FFFFFF"/>
              </w:rPr>
              <w:t xml:space="preserve"> (Nenoff et al., 1996)</w:t>
            </w:r>
            <w:r w:rsidR="00514114" w:rsidRPr="00010A38">
              <w:rPr>
                <w:rFonts w:asciiTheme="majorHAnsi" w:hAnsiTheme="majorHAnsi" w:cstheme="majorHAnsi"/>
                <w:sz w:val="24"/>
                <w:szCs w:val="24"/>
                <w:shd w:val="clear" w:color="auto" w:fill="FFFFFF"/>
              </w:rPr>
              <w:t>.</w:t>
            </w:r>
          </w:p>
          <w:p w:rsidR="00207B79" w:rsidRPr="00010A38" w:rsidRDefault="00207B79" w:rsidP="003951C2">
            <w:pPr>
              <w:spacing w:before="100" w:beforeAutospacing="1" w:after="100" w:afterAutospacing="1" w:line="360" w:lineRule="auto"/>
              <w:jc w:val="both"/>
              <w:rPr>
                <w:rFonts w:asciiTheme="majorHAnsi" w:eastAsia="Times New Roman" w:hAnsiTheme="majorHAnsi" w:cstheme="majorHAnsi"/>
                <w:sz w:val="24"/>
                <w:szCs w:val="24"/>
              </w:rPr>
            </w:pPr>
          </w:p>
        </w:tc>
      </w:tr>
      <w:tr w:rsidR="00AC0866" w:rsidRPr="00010A38" w:rsidTr="00AC0866">
        <w:trPr>
          <w:trHeight w:val="3473"/>
        </w:trPr>
        <w:tc>
          <w:tcPr>
            <w:tcW w:w="364" w:type="pct"/>
          </w:tcPr>
          <w:p w:rsidR="00207B79" w:rsidRPr="00010A38" w:rsidRDefault="00207B79" w:rsidP="003951C2">
            <w:pPr>
              <w:pStyle w:val="NormalWeb"/>
              <w:spacing w:line="360" w:lineRule="auto"/>
              <w:jc w:val="both"/>
              <w:rPr>
                <w:rFonts w:asciiTheme="majorHAnsi" w:hAnsiTheme="majorHAnsi" w:cstheme="majorHAnsi"/>
              </w:rPr>
            </w:pPr>
            <w:r w:rsidRPr="00010A38">
              <w:rPr>
                <w:rFonts w:asciiTheme="majorHAnsi" w:hAnsiTheme="majorHAnsi" w:cstheme="majorHAnsi"/>
              </w:rPr>
              <w:t>2</w:t>
            </w:r>
          </w:p>
        </w:tc>
        <w:tc>
          <w:tcPr>
            <w:tcW w:w="1091" w:type="pct"/>
          </w:tcPr>
          <w:p w:rsidR="00207B79" w:rsidRPr="00010A38" w:rsidRDefault="00AC0866" w:rsidP="003951C2">
            <w:pPr>
              <w:spacing w:before="100" w:beforeAutospacing="1" w:after="100" w:afterAutospacing="1"/>
              <w:jc w:val="both"/>
              <w:rPr>
                <w:rFonts w:asciiTheme="majorHAnsi" w:hAnsiTheme="majorHAnsi" w:cstheme="majorHAnsi"/>
              </w:rPr>
            </w:pPr>
            <w:r>
              <w:rPr>
                <w:rFonts w:asciiTheme="majorHAnsi" w:hAnsiTheme="majorHAnsi" w:cstheme="majorHAnsi"/>
                <w:noProof/>
                <w:lang w:val="en-IN" w:eastAsia="en-IN"/>
              </w:rPr>
              <w:drawing>
                <wp:anchor distT="0" distB="0" distL="114300" distR="114300" simplePos="0" relativeHeight="251663872" behindDoc="1" locked="0" layoutInCell="1" allowOverlap="1" wp14:anchorId="262720E0" wp14:editId="4624F748">
                  <wp:simplePos x="0" y="0"/>
                  <wp:positionH relativeFrom="column">
                    <wp:posOffset>35560</wp:posOffset>
                  </wp:positionH>
                  <wp:positionV relativeFrom="paragraph">
                    <wp:posOffset>187960</wp:posOffset>
                  </wp:positionV>
                  <wp:extent cx="1092200" cy="1456055"/>
                  <wp:effectExtent l="0" t="0" r="0" b="0"/>
                  <wp:wrapThrough wrapText="bothSides">
                    <wp:wrapPolygon edited="0">
                      <wp:start x="0" y="0"/>
                      <wp:lineTo x="0" y="21195"/>
                      <wp:lineTo x="21098" y="21195"/>
                      <wp:lineTo x="21098"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92200" cy="145605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rPr>
              <w:t xml:space="preserve">Apple cider veniger </w:t>
            </w:r>
          </w:p>
        </w:tc>
        <w:tc>
          <w:tcPr>
            <w:tcW w:w="1805" w:type="pct"/>
          </w:tcPr>
          <w:p w:rsidR="00207B79" w:rsidRPr="00010A38" w:rsidRDefault="00207B79" w:rsidP="003951C2">
            <w:pPr>
              <w:pStyle w:val="ListParagraph"/>
              <w:numPr>
                <w:ilvl w:val="0"/>
                <w:numId w:val="4"/>
              </w:numPr>
              <w:spacing w:before="100" w:beforeAutospacing="1" w:after="100" w:afterAutospacing="1"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Dilute ACV with water (1:1 ratio) and apply it to the affected area using a cotton ball or clean cloth.</w:t>
            </w:r>
          </w:p>
          <w:p w:rsidR="00207B79" w:rsidRPr="00010A38" w:rsidRDefault="00207B79" w:rsidP="003951C2">
            <w:pPr>
              <w:pStyle w:val="ListParagraph"/>
              <w:numPr>
                <w:ilvl w:val="0"/>
                <w:numId w:val="4"/>
              </w:numPr>
              <w:spacing w:before="100" w:beforeAutospacing="1" w:after="100" w:afterAutospacing="1"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Let it sit for 15-20 minutes before rinsing it off. Apply up to 3 times a day.</w:t>
            </w:r>
          </w:p>
        </w:tc>
        <w:tc>
          <w:tcPr>
            <w:tcW w:w="1739" w:type="pct"/>
          </w:tcPr>
          <w:p w:rsidR="00207B79" w:rsidRPr="00010A38" w:rsidRDefault="00207B79" w:rsidP="003951C2">
            <w:pPr>
              <w:spacing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ACV can be irritating to sensitive skin, so start with a diluted solution and disco</w:t>
            </w:r>
            <w:r w:rsidR="00514114" w:rsidRPr="00010A38">
              <w:rPr>
                <w:rFonts w:asciiTheme="majorHAnsi" w:eastAsia="Times New Roman" w:hAnsiTheme="majorHAnsi" w:cstheme="majorHAnsi"/>
                <w:sz w:val="24"/>
                <w:szCs w:val="24"/>
              </w:rPr>
              <w:t>ntinue use if irritation occurs</w:t>
            </w:r>
            <w:r w:rsidRPr="00010A38">
              <w:rPr>
                <w:rFonts w:asciiTheme="majorHAnsi" w:hAnsiTheme="majorHAnsi" w:cstheme="majorHAnsi"/>
                <w:sz w:val="24"/>
                <w:szCs w:val="24"/>
                <w:shd w:val="clear" w:color="auto" w:fill="FFFFFF"/>
              </w:rPr>
              <w:t xml:space="preserve"> (Clark et al., 2019)</w:t>
            </w:r>
            <w:r w:rsidR="00514114" w:rsidRPr="00010A38">
              <w:rPr>
                <w:rFonts w:asciiTheme="majorHAnsi" w:hAnsiTheme="majorHAnsi" w:cstheme="majorHAnsi"/>
                <w:sz w:val="24"/>
                <w:szCs w:val="24"/>
                <w:shd w:val="clear" w:color="auto" w:fill="FFFFFF"/>
              </w:rPr>
              <w:t>.</w:t>
            </w:r>
          </w:p>
        </w:tc>
      </w:tr>
      <w:tr w:rsidR="00AC0866" w:rsidRPr="00010A38" w:rsidTr="00AC0866">
        <w:trPr>
          <w:trHeight w:val="1619"/>
        </w:trPr>
        <w:tc>
          <w:tcPr>
            <w:tcW w:w="364" w:type="pct"/>
          </w:tcPr>
          <w:p w:rsidR="00207B79" w:rsidRPr="00010A38" w:rsidRDefault="00207B79" w:rsidP="003951C2">
            <w:pPr>
              <w:pStyle w:val="NormalWeb"/>
              <w:spacing w:line="360" w:lineRule="auto"/>
              <w:jc w:val="both"/>
              <w:rPr>
                <w:rFonts w:asciiTheme="majorHAnsi" w:hAnsiTheme="majorHAnsi" w:cstheme="majorHAnsi"/>
                <w:b/>
              </w:rPr>
            </w:pPr>
            <w:r w:rsidRPr="00010A38">
              <w:rPr>
                <w:rFonts w:asciiTheme="majorHAnsi" w:hAnsiTheme="majorHAnsi" w:cstheme="majorHAnsi"/>
                <w:b/>
              </w:rPr>
              <w:t>3</w:t>
            </w:r>
          </w:p>
        </w:tc>
        <w:tc>
          <w:tcPr>
            <w:tcW w:w="1091" w:type="pct"/>
          </w:tcPr>
          <w:p w:rsidR="00207B79" w:rsidRPr="00010A38" w:rsidRDefault="00AC0866" w:rsidP="003951C2">
            <w:pPr>
              <w:spacing w:line="360" w:lineRule="auto"/>
              <w:jc w:val="both"/>
              <w:rPr>
                <w:rFonts w:asciiTheme="majorHAnsi" w:hAnsiTheme="majorHAnsi" w:cstheme="majorHAnsi"/>
                <w:sz w:val="24"/>
                <w:szCs w:val="24"/>
              </w:rPr>
            </w:pPr>
            <w:r>
              <w:rPr>
                <w:rFonts w:asciiTheme="majorHAnsi" w:hAnsiTheme="majorHAnsi" w:cstheme="majorHAnsi"/>
                <w:b/>
                <w:noProof/>
                <w:lang w:val="en-IN" w:eastAsia="en-IN"/>
              </w:rPr>
              <w:drawing>
                <wp:anchor distT="0" distB="0" distL="114300" distR="114300" simplePos="0" relativeHeight="251662848" behindDoc="1" locked="0" layoutInCell="1" allowOverlap="1" wp14:anchorId="435CF50A" wp14:editId="60315021">
                  <wp:simplePos x="0" y="0"/>
                  <wp:positionH relativeFrom="column">
                    <wp:posOffset>31750</wp:posOffset>
                  </wp:positionH>
                  <wp:positionV relativeFrom="paragraph">
                    <wp:posOffset>234950</wp:posOffset>
                  </wp:positionV>
                  <wp:extent cx="1162050" cy="869950"/>
                  <wp:effectExtent l="0" t="0" r="0" b="0"/>
                  <wp:wrapThrough wrapText="bothSides">
                    <wp:wrapPolygon edited="0">
                      <wp:start x="0" y="0"/>
                      <wp:lineTo x="0" y="21285"/>
                      <wp:lineTo x="21246" y="21285"/>
                      <wp:lineTo x="21246"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2050" cy="869950"/>
                          </a:xfrm>
                          <a:prstGeom prst="rect">
                            <a:avLst/>
                          </a:prstGeom>
                          <a:noFill/>
                        </pic:spPr>
                      </pic:pic>
                    </a:graphicData>
                  </a:graphic>
                  <wp14:sizeRelH relativeFrom="page">
                    <wp14:pctWidth>0</wp14:pctWidth>
                  </wp14:sizeRelH>
                  <wp14:sizeRelV relativeFrom="page">
                    <wp14:pctHeight>0</wp14:pctHeight>
                  </wp14:sizeRelV>
                </wp:anchor>
              </w:drawing>
            </w:r>
            <w:r w:rsidR="00207B79" w:rsidRPr="00010A38">
              <w:rPr>
                <w:rFonts w:asciiTheme="majorHAnsi" w:eastAsia="Times New Roman" w:hAnsiTheme="majorHAnsi" w:cstheme="majorHAnsi"/>
                <w:bCs/>
                <w:sz w:val="24"/>
                <w:szCs w:val="24"/>
              </w:rPr>
              <w:t>Coconut Oil</w:t>
            </w:r>
          </w:p>
          <w:p w:rsidR="00207B79" w:rsidRPr="00010A38" w:rsidRDefault="00207B79" w:rsidP="003951C2">
            <w:pPr>
              <w:pStyle w:val="NormalWeb"/>
              <w:spacing w:line="360" w:lineRule="auto"/>
              <w:jc w:val="both"/>
              <w:rPr>
                <w:rFonts w:asciiTheme="majorHAnsi" w:hAnsiTheme="majorHAnsi" w:cstheme="majorHAnsi"/>
                <w:b/>
              </w:rPr>
            </w:pPr>
          </w:p>
        </w:tc>
        <w:tc>
          <w:tcPr>
            <w:tcW w:w="1805" w:type="pct"/>
          </w:tcPr>
          <w:p w:rsidR="00207B79" w:rsidRPr="00010A38" w:rsidRDefault="00207B79" w:rsidP="003951C2">
            <w:pPr>
              <w:pStyle w:val="ListParagraph"/>
              <w:numPr>
                <w:ilvl w:val="0"/>
                <w:numId w:val="5"/>
              </w:numPr>
              <w:spacing w:before="100" w:beforeAutospacing="1" w:after="100" w:afterAutospacing="1"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lastRenderedPageBreak/>
              <w:t xml:space="preserve">Apply a thin layer of virgin coconut oil directly to the affected area 2-3 times a day. </w:t>
            </w:r>
          </w:p>
        </w:tc>
        <w:tc>
          <w:tcPr>
            <w:tcW w:w="1739" w:type="pct"/>
          </w:tcPr>
          <w:p w:rsidR="00207B79" w:rsidRPr="00010A38" w:rsidRDefault="00207B79" w:rsidP="003951C2">
            <w:pPr>
              <w:spacing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Coconut oil is generally well-tolerated, but discontinues use if an</w:t>
            </w:r>
            <w:r w:rsidR="00514114" w:rsidRPr="00010A38">
              <w:rPr>
                <w:rFonts w:asciiTheme="majorHAnsi" w:eastAsia="Times New Roman" w:hAnsiTheme="majorHAnsi" w:cstheme="majorHAnsi"/>
                <w:sz w:val="24"/>
                <w:szCs w:val="24"/>
              </w:rPr>
              <w:t>y irritation or breakouts occur</w:t>
            </w:r>
            <w:r w:rsidRPr="00010A38">
              <w:rPr>
                <w:rFonts w:asciiTheme="majorHAnsi" w:eastAsia="Times New Roman" w:hAnsiTheme="majorHAnsi" w:cstheme="majorHAnsi"/>
                <w:sz w:val="24"/>
                <w:szCs w:val="24"/>
              </w:rPr>
              <w:t xml:space="preserve"> (</w:t>
            </w:r>
            <w:r w:rsidRPr="00010A38">
              <w:rPr>
                <w:rFonts w:asciiTheme="majorHAnsi" w:hAnsiTheme="majorHAnsi" w:cstheme="majorHAnsi"/>
                <w:sz w:val="24"/>
                <w:szCs w:val="24"/>
                <w:shd w:val="clear" w:color="auto" w:fill="FFFFFF"/>
              </w:rPr>
              <w:t>Antony et al., 2017)</w:t>
            </w:r>
            <w:r w:rsidR="00514114" w:rsidRPr="00010A38">
              <w:rPr>
                <w:rFonts w:asciiTheme="majorHAnsi" w:hAnsiTheme="majorHAnsi" w:cstheme="majorHAnsi"/>
                <w:sz w:val="24"/>
                <w:szCs w:val="24"/>
                <w:shd w:val="clear" w:color="auto" w:fill="FFFFFF"/>
              </w:rPr>
              <w:t>.</w:t>
            </w:r>
          </w:p>
        </w:tc>
      </w:tr>
      <w:tr w:rsidR="00AC0866" w:rsidRPr="00010A38" w:rsidTr="00AC0866">
        <w:trPr>
          <w:trHeight w:val="135"/>
        </w:trPr>
        <w:tc>
          <w:tcPr>
            <w:tcW w:w="364" w:type="pct"/>
          </w:tcPr>
          <w:p w:rsidR="00207B79" w:rsidRPr="00010A38" w:rsidRDefault="00207B79" w:rsidP="003951C2">
            <w:pPr>
              <w:pStyle w:val="NormalWeb"/>
              <w:spacing w:line="360" w:lineRule="auto"/>
              <w:jc w:val="both"/>
              <w:rPr>
                <w:rFonts w:asciiTheme="majorHAnsi" w:hAnsiTheme="majorHAnsi" w:cstheme="majorHAnsi"/>
                <w:b/>
              </w:rPr>
            </w:pPr>
            <w:r w:rsidRPr="00010A38">
              <w:rPr>
                <w:rFonts w:asciiTheme="majorHAnsi" w:hAnsiTheme="majorHAnsi" w:cstheme="majorHAnsi"/>
                <w:b/>
              </w:rPr>
              <w:lastRenderedPageBreak/>
              <w:t>4</w:t>
            </w:r>
          </w:p>
        </w:tc>
        <w:tc>
          <w:tcPr>
            <w:tcW w:w="1091" w:type="pct"/>
          </w:tcPr>
          <w:p w:rsidR="00207B79" w:rsidRDefault="00207B79" w:rsidP="003951C2">
            <w:pPr>
              <w:spacing w:line="360" w:lineRule="auto"/>
              <w:jc w:val="both"/>
              <w:rPr>
                <w:rFonts w:asciiTheme="majorHAnsi" w:eastAsia="Times New Roman" w:hAnsiTheme="majorHAnsi" w:cstheme="majorHAnsi"/>
                <w:bCs/>
                <w:sz w:val="24"/>
                <w:szCs w:val="24"/>
              </w:rPr>
            </w:pPr>
            <w:r w:rsidRPr="00010A38">
              <w:rPr>
                <w:rFonts w:asciiTheme="majorHAnsi" w:eastAsia="Times New Roman" w:hAnsiTheme="majorHAnsi" w:cstheme="majorHAnsi"/>
                <w:bCs/>
                <w:sz w:val="24"/>
                <w:szCs w:val="24"/>
              </w:rPr>
              <w:t>Garlic</w:t>
            </w:r>
          </w:p>
          <w:p w:rsidR="00AC0866" w:rsidRPr="00010A38" w:rsidRDefault="00AC0866" w:rsidP="003951C2">
            <w:pPr>
              <w:spacing w:line="360" w:lineRule="auto"/>
              <w:jc w:val="both"/>
              <w:rPr>
                <w:rFonts w:asciiTheme="majorHAnsi" w:eastAsia="Times New Roman" w:hAnsiTheme="majorHAnsi" w:cstheme="majorHAnsi"/>
                <w:bCs/>
                <w:sz w:val="24"/>
                <w:szCs w:val="24"/>
              </w:rPr>
            </w:pPr>
            <w:r>
              <w:rPr>
                <w:rFonts w:asciiTheme="majorHAnsi" w:eastAsia="Times New Roman" w:hAnsiTheme="majorHAnsi" w:cstheme="majorHAnsi"/>
                <w:bCs/>
                <w:noProof/>
                <w:sz w:val="24"/>
                <w:szCs w:val="24"/>
                <w:lang w:val="en-IN" w:eastAsia="en-IN"/>
              </w:rPr>
              <w:drawing>
                <wp:inline distT="0" distB="0" distL="0" distR="0" wp14:anchorId="639A8F32" wp14:editId="3B74666D">
                  <wp:extent cx="1184377" cy="831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4377" cy="831850"/>
                          </a:xfrm>
                          <a:prstGeom prst="rect">
                            <a:avLst/>
                          </a:prstGeom>
                          <a:noFill/>
                        </pic:spPr>
                      </pic:pic>
                    </a:graphicData>
                  </a:graphic>
                </wp:inline>
              </w:drawing>
            </w:r>
          </w:p>
        </w:tc>
        <w:tc>
          <w:tcPr>
            <w:tcW w:w="1805" w:type="pct"/>
          </w:tcPr>
          <w:p w:rsidR="00207B79" w:rsidRPr="00010A38" w:rsidRDefault="00207B79" w:rsidP="003951C2">
            <w:pPr>
              <w:pStyle w:val="ListParagraph"/>
              <w:numPr>
                <w:ilvl w:val="0"/>
                <w:numId w:val="6"/>
              </w:numPr>
              <w:spacing w:before="100" w:beforeAutospacing="1" w:after="100" w:afterAutospacing="1"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Crush a few fresh garlic cloves to release the allicin and apply the paste to the affected area for 15-20 minutes, then wash it off.</w:t>
            </w:r>
          </w:p>
          <w:p w:rsidR="00207B79" w:rsidRPr="00010A38" w:rsidRDefault="00207B79" w:rsidP="003951C2">
            <w:pPr>
              <w:pStyle w:val="ListParagraph"/>
              <w:numPr>
                <w:ilvl w:val="0"/>
                <w:numId w:val="6"/>
              </w:numPr>
              <w:spacing w:before="100" w:beforeAutospacing="1" w:after="100" w:afterAutospacing="1"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Alternatively, garlic oil can be applied to the skin (diluted if necessary) 2-3 times a day.</w:t>
            </w:r>
          </w:p>
        </w:tc>
        <w:tc>
          <w:tcPr>
            <w:tcW w:w="1739" w:type="pct"/>
          </w:tcPr>
          <w:p w:rsidR="00207B79" w:rsidRPr="00010A38" w:rsidRDefault="00207B79" w:rsidP="003951C2">
            <w:pPr>
              <w:spacing w:after="200"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Garlic can cause skin irritation, especially when applied in concentrated amounts. It may</w:t>
            </w:r>
            <w:r w:rsidR="00514114" w:rsidRPr="00010A38">
              <w:rPr>
                <w:rFonts w:asciiTheme="majorHAnsi" w:eastAsia="Times New Roman" w:hAnsiTheme="majorHAnsi" w:cstheme="majorHAnsi"/>
                <w:sz w:val="24"/>
                <w:szCs w:val="24"/>
              </w:rPr>
              <w:t xml:space="preserve"> also cause a burning sensation</w:t>
            </w:r>
            <w:r w:rsidRPr="00010A38">
              <w:rPr>
                <w:rFonts w:asciiTheme="majorHAnsi" w:hAnsiTheme="majorHAnsi" w:cstheme="majorHAnsi"/>
                <w:sz w:val="24"/>
                <w:szCs w:val="24"/>
                <w:shd w:val="clear" w:color="auto" w:fill="FFFFFF"/>
              </w:rPr>
              <w:t xml:space="preserve"> (Nagansurkar et al., 2023)</w:t>
            </w:r>
            <w:r w:rsidR="00514114" w:rsidRPr="00010A38">
              <w:rPr>
                <w:rFonts w:asciiTheme="majorHAnsi" w:hAnsiTheme="majorHAnsi" w:cstheme="majorHAnsi"/>
                <w:sz w:val="24"/>
                <w:szCs w:val="24"/>
                <w:shd w:val="clear" w:color="auto" w:fill="FFFFFF"/>
              </w:rPr>
              <w:t>.</w:t>
            </w:r>
          </w:p>
          <w:p w:rsidR="00207B79" w:rsidRPr="00010A38" w:rsidRDefault="00207B79" w:rsidP="003951C2">
            <w:pPr>
              <w:spacing w:before="100" w:beforeAutospacing="1" w:after="100" w:afterAutospacing="1" w:line="360" w:lineRule="auto"/>
              <w:jc w:val="both"/>
              <w:rPr>
                <w:rFonts w:asciiTheme="majorHAnsi" w:eastAsia="Times New Roman" w:hAnsiTheme="majorHAnsi" w:cstheme="majorHAnsi"/>
                <w:sz w:val="24"/>
                <w:szCs w:val="24"/>
              </w:rPr>
            </w:pPr>
          </w:p>
        </w:tc>
      </w:tr>
      <w:tr w:rsidR="00AC0866" w:rsidRPr="00010A38" w:rsidTr="00AC0866">
        <w:trPr>
          <w:trHeight w:val="135"/>
        </w:trPr>
        <w:tc>
          <w:tcPr>
            <w:tcW w:w="364" w:type="pct"/>
          </w:tcPr>
          <w:p w:rsidR="00207B79" w:rsidRPr="00010A38" w:rsidRDefault="00207B79" w:rsidP="003951C2">
            <w:pPr>
              <w:pStyle w:val="NormalWeb"/>
              <w:spacing w:line="360" w:lineRule="auto"/>
              <w:jc w:val="both"/>
              <w:rPr>
                <w:rFonts w:asciiTheme="majorHAnsi" w:hAnsiTheme="majorHAnsi" w:cstheme="majorHAnsi"/>
                <w:b/>
              </w:rPr>
            </w:pPr>
            <w:r w:rsidRPr="00010A38">
              <w:rPr>
                <w:rFonts w:asciiTheme="majorHAnsi" w:hAnsiTheme="majorHAnsi" w:cstheme="majorHAnsi"/>
                <w:b/>
              </w:rPr>
              <w:t>5</w:t>
            </w:r>
          </w:p>
        </w:tc>
        <w:tc>
          <w:tcPr>
            <w:tcW w:w="1091" w:type="pct"/>
          </w:tcPr>
          <w:p w:rsidR="00375DB9" w:rsidRDefault="00375DB9" w:rsidP="003951C2">
            <w:pPr>
              <w:spacing w:line="360" w:lineRule="auto"/>
              <w:jc w:val="both"/>
              <w:rPr>
                <w:rFonts w:asciiTheme="majorHAnsi" w:eastAsia="Times New Roman" w:hAnsiTheme="majorHAnsi" w:cstheme="majorHAnsi"/>
                <w:bCs/>
                <w:sz w:val="24"/>
                <w:szCs w:val="24"/>
              </w:rPr>
            </w:pPr>
            <w:r>
              <w:rPr>
                <w:rFonts w:asciiTheme="majorHAnsi" w:eastAsia="Times New Roman" w:hAnsiTheme="majorHAnsi" w:cstheme="majorHAnsi"/>
                <w:bCs/>
                <w:sz w:val="24"/>
                <w:szCs w:val="24"/>
              </w:rPr>
              <w:t xml:space="preserve">Aloe vera </w:t>
            </w:r>
          </w:p>
          <w:p w:rsidR="00207B79" w:rsidRPr="00010A38" w:rsidRDefault="00375DB9" w:rsidP="003951C2">
            <w:pPr>
              <w:spacing w:line="360" w:lineRule="auto"/>
              <w:jc w:val="both"/>
              <w:rPr>
                <w:rFonts w:asciiTheme="majorHAnsi" w:eastAsia="Times New Roman" w:hAnsiTheme="majorHAnsi" w:cstheme="majorHAnsi"/>
                <w:bCs/>
                <w:sz w:val="24"/>
                <w:szCs w:val="24"/>
              </w:rPr>
            </w:pPr>
            <w:r>
              <w:rPr>
                <w:rFonts w:asciiTheme="majorHAnsi" w:eastAsia="Times New Roman" w:hAnsiTheme="majorHAnsi" w:cstheme="majorHAnsi"/>
                <w:bCs/>
                <w:noProof/>
                <w:sz w:val="24"/>
                <w:szCs w:val="24"/>
                <w:lang w:val="en-IN" w:eastAsia="en-IN"/>
              </w:rPr>
              <w:drawing>
                <wp:inline distT="0" distB="0" distL="0" distR="0" wp14:anchorId="4FAFA259">
                  <wp:extent cx="1206500" cy="1358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07231" cy="1359723"/>
                          </a:xfrm>
                          <a:prstGeom prst="rect">
                            <a:avLst/>
                          </a:prstGeom>
                          <a:noFill/>
                        </pic:spPr>
                      </pic:pic>
                    </a:graphicData>
                  </a:graphic>
                </wp:inline>
              </w:drawing>
            </w:r>
          </w:p>
        </w:tc>
        <w:tc>
          <w:tcPr>
            <w:tcW w:w="1805" w:type="pct"/>
          </w:tcPr>
          <w:p w:rsidR="00207B79" w:rsidRPr="00010A38" w:rsidRDefault="00207B79" w:rsidP="003951C2">
            <w:pPr>
              <w:pStyle w:val="ListParagraph"/>
              <w:numPr>
                <w:ilvl w:val="0"/>
                <w:numId w:val="7"/>
              </w:numPr>
              <w:spacing w:before="100" w:beforeAutospacing="1" w:after="100" w:afterAutospacing="1"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Apply fresh aloe vera gel directly from the plant to the affected area and leave it on for 20-30 minutes.</w:t>
            </w:r>
          </w:p>
          <w:p w:rsidR="00207B79" w:rsidRPr="00010A38" w:rsidRDefault="00207B79" w:rsidP="003951C2">
            <w:pPr>
              <w:pStyle w:val="ListParagraph"/>
              <w:numPr>
                <w:ilvl w:val="0"/>
                <w:numId w:val="7"/>
              </w:numPr>
              <w:spacing w:before="100" w:beforeAutospacing="1" w:after="100" w:afterAutospacing="1"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Repeat 2-3 times a day.</w:t>
            </w:r>
          </w:p>
        </w:tc>
        <w:tc>
          <w:tcPr>
            <w:tcW w:w="1739" w:type="pct"/>
          </w:tcPr>
          <w:p w:rsidR="00207B79" w:rsidRPr="00010A38" w:rsidRDefault="00207B79" w:rsidP="003951C2">
            <w:pPr>
              <w:spacing w:before="100" w:beforeAutospacing="1" w:after="100" w:afterAutospacing="1"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Aloe vera is generally safe, but check for any allergic reactions, especi</w:t>
            </w:r>
            <w:r w:rsidR="00514114" w:rsidRPr="00010A38">
              <w:rPr>
                <w:rFonts w:asciiTheme="majorHAnsi" w:eastAsia="Times New Roman" w:hAnsiTheme="majorHAnsi" w:cstheme="majorHAnsi"/>
                <w:sz w:val="24"/>
                <w:szCs w:val="24"/>
              </w:rPr>
              <w:t>ally if you have sensitive skin</w:t>
            </w:r>
            <w:r w:rsidRPr="00010A38">
              <w:rPr>
                <w:rFonts w:asciiTheme="majorHAnsi" w:hAnsiTheme="majorHAnsi" w:cstheme="majorHAnsi"/>
                <w:sz w:val="24"/>
                <w:szCs w:val="24"/>
              </w:rPr>
              <w:t xml:space="preserve"> (Fatima et al.2022)</w:t>
            </w:r>
            <w:r w:rsidR="00514114" w:rsidRPr="00010A38">
              <w:rPr>
                <w:rFonts w:asciiTheme="majorHAnsi" w:hAnsiTheme="majorHAnsi" w:cstheme="majorHAnsi"/>
                <w:sz w:val="24"/>
                <w:szCs w:val="24"/>
              </w:rPr>
              <w:t>.</w:t>
            </w:r>
          </w:p>
          <w:p w:rsidR="00207B79" w:rsidRPr="00010A38" w:rsidRDefault="00207B79" w:rsidP="003951C2">
            <w:pPr>
              <w:spacing w:before="100" w:beforeAutospacing="1" w:after="100" w:afterAutospacing="1" w:line="360" w:lineRule="auto"/>
              <w:jc w:val="both"/>
              <w:rPr>
                <w:rFonts w:asciiTheme="majorHAnsi" w:eastAsia="Times New Roman" w:hAnsiTheme="majorHAnsi" w:cstheme="majorHAnsi"/>
                <w:sz w:val="24"/>
                <w:szCs w:val="24"/>
              </w:rPr>
            </w:pPr>
          </w:p>
        </w:tc>
      </w:tr>
      <w:tr w:rsidR="00AC0866" w:rsidRPr="00010A38" w:rsidTr="00AC0866">
        <w:trPr>
          <w:trHeight w:val="135"/>
        </w:trPr>
        <w:tc>
          <w:tcPr>
            <w:tcW w:w="364" w:type="pct"/>
          </w:tcPr>
          <w:p w:rsidR="00207B79" w:rsidRPr="00010A38" w:rsidRDefault="00207B79" w:rsidP="003951C2">
            <w:pPr>
              <w:pStyle w:val="NormalWeb"/>
              <w:spacing w:line="360" w:lineRule="auto"/>
              <w:jc w:val="both"/>
              <w:rPr>
                <w:rFonts w:asciiTheme="majorHAnsi" w:hAnsiTheme="majorHAnsi" w:cstheme="majorHAnsi"/>
                <w:b/>
              </w:rPr>
            </w:pPr>
            <w:r w:rsidRPr="00010A38">
              <w:rPr>
                <w:rFonts w:asciiTheme="majorHAnsi" w:hAnsiTheme="majorHAnsi" w:cstheme="majorHAnsi"/>
                <w:b/>
              </w:rPr>
              <w:t>6</w:t>
            </w:r>
          </w:p>
        </w:tc>
        <w:tc>
          <w:tcPr>
            <w:tcW w:w="1091" w:type="pct"/>
          </w:tcPr>
          <w:p w:rsidR="00207B79" w:rsidRDefault="00207B79" w:rsidP="003951C2">
            <w:pPr>
              <w:spacing w:line="360" w:lineRule="auto"/>
              <w:jc w:val="both"/>
              <w:rPr>
                <w:rFonts w:asciiTheme="majorHAnsi" w:eastAsia="Times New Roman" w:hAnsiTheme="majorHAnsi" w:cstheme="majorHAnsi"/>
                <w:bCs/>
                <w:sz w:val="24"/>
                <w:szCs w:val="24"/>
              </w:rPr>
            </w:pPr>
            <w:r w:rsidRPr="00010A38">
              <w:rPr>
                <w:rFonts w:asciiTheme="majorHAnsi" w:eastAsia="Times New Roman" w:hAnsiTheme="majorHAnsi" w:cstheme="majorHAnsi"/>
                <w:bCs/>
                <w:sz w:val="24"/>
                <w:szCs w:val="24"/>
              </w:rPr>
              <w:t>Turmeric</w:t>
            </w:r>
          </w:p>
          <w:p w:rsidR="00375DB9" w:rsidRPr="00010A38" w:rsidRDefault="00375DB9" w:rsidP="003951C2">
            <w:pPr>
              <w:spacing w:line="360" w:lineRule="auto"/>
              <w:jc w:val="both"/>
              <w:rPr>
                <w:rFonts w:asciiTheme="majorHAnsi" w:eastAsia="Times New Roman" w:hAnsiTheme="majorHAnsi" w:cstheme="majorHAnsi"/>
                <w:bCs/>
                <w:sz w:val="24"/>
                <w:szCs w:val="24"/>
              </w:rPr>
            </w:pPr>
            <w:r>
              <w:rPr>
                <w:rFonts w:asciiTheme="majorHAnsi" w:eastAsia="Times New Roman" w:hAnsiTheme="majorHAnsi" w:cstheme="majorHAnsi"/>
                <w:bCs/>
                <w:noProof/>
                <w:sz w:val="24"/>
                <w:szCs w:val="24"/>
                <w:lang w:val="en-IN" w:eastAsia="en-IN"/>
              </w:rPr>
              <w:drawing>
                <wp:inline distT="0" distB="0" distL="0" distR="0" wp14:anchorId="203A762E">
                  <wp:extent cx="1310117" cy="901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0707" cy="902106"/>
                          </a:xfrm>
                          <a:prstGeom prst="rect">
                            <a:avLst/>
                          </a:prstGeom>
                          <a:noFill/>
                        </pic:spPr>
                      </pic:pic>
                    </a:graphicData>
                  </a:graphic>
                </wp:inline>
              </w:drawing>
            </w:r>
          </w:p>
        </w:tc>
        <w:tc>
          <w:tcPr>
            <w:tcW w:w="1805" w:type="pct"/>
          </w:tcPr>
          <w:p w:rsidR="00207B79" w:rsidRPr="00010A38" w:rsidRDefault="00207B79" w:rsidP="003951C2">
            <w:pPr>
              <w:pStyle w:val="ListParagraph"/>
              <w:numPr>
                <w:ilvl w:val="0"/>
                <w:numId w:val="8"/>
              </w:numPr>
              <w:spacing w:before="100" w:beforeAutospacing="1" w:after="100" w:afterAutospacing="1"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Make a paste using turmeric powder and water (or coconut oil) and apply it to the affected area.</w:t>
            </w:r>
          </w:p>
          <w:p w:rsidR="00207B79" w:rsidRPr="00010A38" w:rsidRDefault="00207B79" w:rsidP="003951C2">
            <w:pPr>
              <w:pStyle w:val="ListParagraph"/>
              <w:numPr>
                <w:ilvl w:val="0"/>
                <w:numId w:val="8"/>
              </w:numPr>
              <w:spacing w:before="100" w:beforeAutospacing="1" w:after="100" w:afterAutospacing="1"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Leave it on for about 15-20 minutes before rinsing off.</w:t>
            </w:r>
          </w:p>
          <w:p w:rsidR="00207B79" w:rsidRPr="00010A38" w:rsidRDefault="00207B79" w:rsidP="003951C2">
            <w:pPr>
              <w:pStyle w:val="ListParagraph"/>
              <w:spacing w:before="100" w:beforeAutospacing="1" w:after="100" w:afterAutospacing="1" w:line="360" w:lineRule="auto"/>
              <w:jc w:val="both"/>
              <w:rPr>
                <w:rFonts w:asciiTheme="majorHAnsi" w:eastAsia="Times New Roman" w:hAnsiTheme="majorHAnsi" w:cstheme="majorHAnsi"/>
                <w:sz w:val="24"/>
                <w:szCs w:val="24"/>
              </w:rPr>
            </w:pPr>
          </w:p>
        </w:tc>
        <w:tc>
          <w:tcPr>
            <w:tcW w:w="1739" w:type="pct"/>
          </w:tcPr>
          <w:p w:rsidR="00207B79" w:rsidRPr="00010A38" w:rsidRDefault="00207B79" w:rsidP="003951C2">
            <w:pPr>
              <w:spacing w:after="200"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Turmeric can stain the skin and clothing. It may also cause irritation in some people</w:t>
            </w:r>
            <w:r w:rsidR="00514114" w:rsidRPr="00010A38">
              <w:rPr>
                <w:rFonts w:asciiTheme="majorHAnsi" w:eastAsia="Times New Roman" w:hAnsiTheme="majorHAnsi" w:cstheme="majorHAnsi"/>
                <w:sz w:val="24"/>
                <w:szCs w:val="24"/>
              </w:rPr>
              <w:t>, so test on a small area first</w:t>
            </w:r>
            <w:r w:rsidRPr="00010A38">
              <w:rPr>
                <w:rFonts w:asciiTheme="majorHAnsi" w:hAnsiTheme="majorHAnsi" w:cstheme="majorHAnsi"/>
                <w:sz w:val="24"/>
                <w:szCs w:val="24"/>
                <w:shd w:val="clear" w:color="auto" w:fill="FFFFFF"/>
              </w:rPr>
              <w:t xml:space="preserve"> (Nagansurkar et al., 2023)</w:t>
            </w:r>
            <w:r w:rsidR="00514114" w:rsidRPr="00010A38">
              <w:rPr>
                <w:rFonts w:asciiTheme="majorHAnsi" w:hAnsiTheme="majorHAnsi" w:cstheme="majorHAnsi"/>
                <w:sz w:val="24"/>
                <w:szCs w:val="24"/>
                <w:shd w:val="clear" w:color="auto" w:fill="FFFFFF"/>
              </w:rPr>
              <w:t>.</w:t>
            </w:r>
          </w:p>
          <w:p w:rsidR="00207B79" w:rsidRPr="00010A38" w:rsidRDefault="00207B79" w:rsidP="003951C2">
            <w:pPr>
              <w:spacing w:before="100" w:beforeAutospacing="1" w:after="100" w:afterAutospacing="1" w:line="360" w:lineRule="auto"/>
              <w:jc w:val="both"/>
              <w:rPr>
                <w:rFonts w:asciiTheme="majorHAnsi" w:eastAsia="Times New Roman" w:hAnsiTheme="majorHAnsi" w:cstheme="majorHAnsi"/>
                <w:sz w:val="24"/>
                <w:szCs w:val="24"/>
              </w:rPr>
            </w:pPr>
          </w:p>
        </w:tc>
      </w:tr>
      <w:tr w:rsidR="00AC0866" w:rsidRPr="00010A38" w:rsidTr="00AC0866">
        <w:trPr>
          <w:trHeight w:val="135"/>
        </w:trPr>
        <w:tc>
          <w:tcPr>
            <w:tcW w:w="364" w:type="pct"/>
          </w:tcPr>
          <w:p w:rsidR="00207B79" w:rsidRPr="00010A38" w:rsidRDefault="00207B79" w:rsidP="003951C2">
            <w:pPr>
              <w:pStyle w:val="NormalWeb"/>
              <w:spacing w:line="360" w:lineRule="auto"/>
              <w:jc w:val="both"/>
              <w:rPr>
                <w:rFonts w:asciiTheme="majorHAnsi" w:hAnsiTheme="majorHAnsi" w:cstheme="majorHAnsi"/>
                <w:b/>
              </w:rPr>
            </w:pPr>
            <w:r w:rsidRPr="00010A38">
              <w:rPr>
                <w:rFonts w:asciiTheme="majorHAnsi" w:hAnsiTheme="majorHAnsi" w:cstheme="majorHAnsi"/>
                <w:b/>
              </w:rPr>
              <w:lastRenderedPageBreak/>
              <w:t>7</w:t>
            </w:r>
          </w:p>
        </w:tc>
        <w:tc>
          <w:tcPr>
            <w:tcW w:w="1091" w:type="pct"/>
          </w:tcPr>
          <w:p w:rsidR="00207B79" w:rsidRDefault="00207B79" w:rsidP="003951C2">
            <w:pPr>
              <w:spacing w:line="360" w:lineRule="auto"/>
              <w:jc w:val="both"/>
              <w:rPr>
                <w:rFonts w:asciiTheme="majorHAnsi" w:eastAsia="Times New Roman" w:hAnsiTheme="majorHAnsi" w:cstheme="majorHAnsi"/>
                <w:bCs/>
                <w:sz w:val="24"/>
                <w:szCs w:val="24"/>
              </w:rPr>
            </w:pPr>
            <w:r w:rsidRPr="00010A38">
              <w:rPr>
                <w:rFonts w:asciiTheme="majorHAnsi" w:eastAsia="Times New Roman" w:hAnsiTheme="majorHAnsi" w:cstheme="majorHAnsi"/>
                <w:bCs/>
                <w:sz w:val="24"/>
                <w:szCs w:val="24"/>
              </w:rPr>
              <w:t>Oregano Oil</w:t>
            </w:r>
          </w:p>
          <w:p w:rsidR="00375DB9" w:rsidRPr="00010A38" w:rsidRDefault="00375DB9" w:rsidP="003951C2">
            <w:pPr>
              <w:spacing w:line="360" w:lineRule="auto"/>
              <w:jc w:val="both"/>
              <w:rPr>
                <w:rFonts w:asciiTheme="majorHAnsi" w:eastAsia="Times New Roman" w:hAnsiTheme="majorHAnsi" w:cstheme="majorHAnsi"/>
                <w:bCs/>
                <w:sz w:val="24"/>
                <w:szCs w:val="24"/>
              </w:rPr>
            </w:pPr>
            <w:r>
              <w:rPr>
                <w:rFonts w:asciiTheme="majorHAnsi" w:eastAsia="Times New Roman" w:hAnsiTheme="majorHAnsi" w:cstheme="majorHAnsi"/>
                <w:bCs/>
                <w:noProof/>
                <w:sz w:val="24"/>
                <w:szCs w:val="24"/>
                <w:lang w:val="en-IN" w:eastAsia="en-IN"/>
              </w:rPr>
              <w:drawing>
                <wp:inline distT="0" distB="0" distL="0" distR="0" wp14:anchorId="3B7F6788">
                  <wp:extent cx="1346200" cy="1346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pic:spPr>
                      </pic:pic>
                    </a:graphicData>
                  </a:graphic>
                </wp:inline>
              </w:drawing>
            </w:r>
          </w:p>
        </w:tc>
        <w:tc>
          <w:tcPr>
            <w:tcW w:w="1805" w:type="pct"/>
          </w:tcPr>
          <w:p w:rsidR="00207B79" w:rsidRPr="00010A38" w:rsidRDefault="00207B79" w:rsidP="003951C2">
            <w:pPr>
              <w:pStyle w:val="ListParagraph"/>
              <w:numPr>
                <w:ilvl w:val="0"/>
                <w:numId w:val="9"/>
              </w:numPr>
              <w:spacing w:before="100" w:beforeAutospacing="1" w:after="100" w:afterAutospacing="1"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Dilute oregano oil with a carrier oil (such as olive oil or coconut oil) in a 1:3 ratio.</w:t>
            </w:r>
          </w:p>
          <w:p w:rsidR="00207B79" w:rsidRPr="00010A38" w:rsidRDefault="00207B79" w:rsidP="003951C2">
            <w:pPr>
              <w:pStyle w:val="ListParagraph"/>
              <w:numPr>
                <w:ilvl w:val="0"/>
                <w:numId w:val="9"/>
              </w:numPr>
              <w:spacing w:before="100" w:beforeAutospacing="1" w:after="100" w:afterAutospacing="1"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Apply to the affected area once or twice a day.</w:t>
            </w:r>
          </w:p>
        </w:tc>
        <w:tc>
          <w:tcPr>
            <w:tcW w:w="1739" w:type="pct"/>
          </w:tcPr>
          <w:p w:rsidR="00207B79" w:rsidRPr="00010A38" w:rsidRDefault="00207B79" w:rsidP="003951C2">
            <w:pPr>
              <w:spacing w:before="100" w:beforeAutospacing="1" w:after="100" w:afterAutospacing="1"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Oregano oil is potent and can cause skin irritation. Always dilute it before applying,</w:t>
            </w:r>
            <w:r w:rsidR="00514114" w:rsidRPr="00010A38">
              <w:rPr>
                <w:rFonts w:asciiTheme="majorHAnsi" w:eastAsia="Times New Roman" w:hAnsiTheme="majorHAnsi" w:cstheme="majorHAnsi"/>
                <w:sz w:val="24"/>
                <w:szCs w:val="24"/>
              </w:rPr>
              <w:t xml:space="preserve"> and perform a patch test first</w:t>
            </w:r>
            <w:r w:rsidRPr="00010A38">
              <w:rPr>
                <w:rFonts w:asciiTheme="majorHAnsi" w:hAnsiTheme="majorHAnsi" w:cstheme="majorHAnsi"/>
                <w:sz w:val="24"/>
                <w:szCs w:val="24"/>
              </w:rPr>
              <w:t xml:space="preserve"> (Hebah et al., 2022)</w:t>
            </w:r>
            <w:r w:rsidR="00514114" w:rsidRPr="00010A38">
              <w:rPr>
                <w:rFonts w:asciiTheme="majorHAnsi" w:hAnsiTheme="majorHAnsi" w:cstheme="majorHAnsi"/>
                <w:sz w:val="24"/>
                <w:szCs w:val="24"/>
              </w:rPr>
              <w:t>.</w:t>
            </w:r>
          </w:p>
          <w:p w:rsidR="00207B79" w:rsidRPr="00010A38" w:rsidRDefault="00207B79" w:rsidP="003951C2">
            <w:pPr>
              <w:spacing w:before="100" w:beforeAutospacing="1" w:after="100" w:afterAutospacing="1" w:line="360" w:lineRule="auto"/>
              <w:jc w:val="both"/>
              <w:rPr>
                <w:rFonts w:asciiTheme="majorHAnsi" w:eastAsia="Times New Roman" w:hAnsiTheme="majorHAnsi" w:cstheme="majorHAnsi"/>
                <w:sz w:val="24"/>
                <w:szCs w:val="24"/>
              </w:rPr>
            </w:pPr>
          </w:p>
        </w:tc>
      </w:tr>
      <w:tr w:rsidR="00AC0866" w:rsidRPr="00010A38" w:rsidTr="00AC0866">
        <w:trPr>
          <w:trHeight w:val="2289"/>
        </w:trPr>
        <w:tc>
          <w:tcPr>
            <w:tcW w:w="364" w:type="pct"/>
          </w:tcPr>
          <w:p w:rsidR="00207B79" w:rsidRPr="00010A38" w:rsidRDefault="00207B79" w:rsidP="003951C2">
            <w:pPr>
              <w:pStyle w:val="NormalWeb"/>
              <w:spacing w:line="360" w:lineRule="auto"/>
              <w:jc w:val="both"/>
              <w:rPr>
                <w:rFonts w:asciiTheme="majorHAnsi" w:hAnsiTheme="majorHAnsi" w:cstheme="majorHAnsi"/>
                <w:b/>
              </w:rPr>
            </w:pPr>
            <w:r w:rsidRPr="00010A38">
              <w:rPr>
                <w:rFonts w:asciiTheme="majorHAnsi" w:hAnsiTheme="majorHAnsi" w:cstheme="majorHAnsi"/>
                <w:b/>
              </w:rPr>
              <w:t>8</w:t>
            </w:r>
          </w:p>
        </w:tc>
        <w:tc>
          <w:tcPr>
            <w:tcW w:w="1091" w:type="pct"/>
          </w:tcPr>
          <w:p w:rsidR="00207B79" w:rsidRDefault="00207B79" w:rsidP="003951C2">
            <w:pPr>
              <w:spacing w:line="360" w:lineRule="auto"/>
              <w:jc w:val="both"/>
              <w:rPr>
                <w:rFonts w:asciiTheme="majorHAnsi" w:eastAsia="Times New Roman" w:hAnsiTheme="majorHAnsi" w:cstheme="majorHAnsi"/>
                <w:bCs/>
                <w:sz w:val="24"/>
                <w:szCs w:val="24"/>
              </w:rPr>
            </w:pPr>
            <w:r w:rsidRPr="00010A38">
              <w:rPr>
                <w:rFonts w:asciiTheme="majorHAnsi" w:eastAsia="Times New Roman" w:hAnsiTheme="majorHAnsi" w:cstheme="majorHAnsi"/>
                <w:bCs/>
                <w:sz w:val="24"/>
                <w:szCs w:val="24"/>
              </w:rPr>
              <w:t>Lemongrass Oil</w:t>
            </w:r>
          </w:p>
          <w:p w:rsidR="00375DB9" w:rsidRPr="00010A38" w:rsidRDefault="00375DB9" w:rsidP="003951C2">
            <w:pPr>
              <w:spacing w:line="360" w:lineRule="auto"/>
              <w:jc w:val="both"/>
              <w:rPr>
                <w:rFonts w:asciiTheme="majorHAnsi" w:eastAsia="Times New Roman" w:hAnsiTheme="majorHAnsi" w:cstheme="majorHAnsi"/>
                <w:bCs/>
                <w:sz w:val="24"/>
                <w:szCs w:val="24"/>
              </w:rPr>
            </w:pPr>
            <w:r>
              <w:rPr>
                <w:rFonts w:asciiTheme="majorHAnsi" w:eastAsia="Times New Roman" w:hAnsiTheme="majorHAnsi" w:cstheme="majorHAnsi"/>
                <w:bCs/>
                <w:noProof/>
                <w:sz w:val="24"/>
                <w:szCs w:val="24"/>
                <w:lang w:val="en-IN" w:eastAsia="en-IN"/>
              </w:rPr>
              <w:drawing>
                <wp:inline distT="0" distB="0" distL="0" distR="0" wp14:anchorId="1B67D5CC">
                  <wp:extent cx="738837" cy="1174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2331" cy="1180306"/>
                          </a:xfrm>
                          <a:prstGeom prst="rect">
                            <a:avLst/>
                          </a:prstGeom>
                          <a:noFill/>
                        </pic:spPr>
                      </pic:pic>
                    </a:graphicData>
                  </a:graphic>
                </wp:inline>
              </w:drawing>
            </w:r>
          </w:p>
        </w:tc>
        <w:tc>
          <w:tcPr>
            <w:tcW w:w="1805" w:type="pct"/>
          </w:tcPr>
          <w:p w:rsidR="00207B79" w:rsidRPr="00010A38" w:rsidRDefault="00207B79" w:rsidP="003951C2">
            <w:pPr>
              <w:pStyle w:val="ListParagraph"/>
              <w:numPr>
                <w:ilvl w:val="0"/>
                <w:numId w:val="10"/>
              </w:numPr>
              <w:spacing w:before="100" w:beforeAutospacing="1" w:after="100" w:afterAutospacing="1"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Dilute lemongrass oil with carrier oil (like coconut oil or olive oil).</w:t>
            </w:r>
          </w:p>
          <w:p w:rsidR="00207B79" w:rsidRPr="00010A38" w:rsidRDefault="00207B79" w:rsidP="003951C2">
            <w:pPr>
              <w:pStyle w:val="ListParagraph"/>
              <w:numPr>
                <w:ilvl w:val="0"/>
                <w:numId w:val="10"/>
              </w:numPr>
              <w:spacing w:before="100" w:beforeAutospacing="1" w:after="100" w:afterAutospacing="1"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Apply the diluted oil to the affected area 2-3 times a day.</w:t>
            </w:r>
          </w:p>
        </w:tc>
        <w:tc>
          <w:tcPr>
            <w:tcW w:w="1739" w:type="pct"/>
          </w:tcPr>
          <w:p w:rsidR="00207B79" w:rsidRPr="00010A38" w:rsidRDefault="00207B79" w:rsidP="003951C2">
            <w:pPr>
              <w:spacing w:before="100" w:beforeAutospacing="1" w:after="100" w:afterAutospacing="1"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Lemongrass oil can be irritating, especially if not diluted properly. Al</w:t>
            </w:r>
            <w:r w:rsidR="00514114" w:rsidRPr="00010A38">
              <w:rPr>
                <w:rFonts w:asciiTheme="majorHAnsi" w:eastAsia="Times New Roman" w:hAnsiTheme="majorHAnsi" w:cstheme="majorHAnsi"/>
                <w:sz w:val="24"/>
                <w:szCs w:val="24"/>
              </w:rPr>
              <w:t>ways perform a patch test first</w:t>
            </w:r>
            <w:r w:rsidRPr="00010A38">
              <w:rPr>
                <w:rFonts w:asciiTheme="majorHAnsi" w:hAnsiTheme="majorHAnsi" w:cstheme="majorHAnsi"/>
                <w:sz w:val="24"/>
                <w:szCs w:val="24"/>
                <w:shd w:val="clear" w:color="auto" w:fill="FFFFFF"/>
              </w:rPr>
              <w:t xml:space="preserve"> (Tzortzakis et al., 2007)</w:t>
            </w:r>
            <w:r w:rsidR="00514114" w:rsidRPr="00010A38">
              <w:rPr>
                <w:rFonts w:asciiTheme="majorHAnsi" w:hAnsiTheme="majorHAnsi" w:cstheme="majorHAnsi"/>
                <w:sz w:val="24"/>
                <w:szCs w:val="24"/>
                <w:shd w:val="clear" w:color="auto" w:fill="FFFFFF"/>
              </w:rPr>
              <w:t>.</w:t>
            </w:r>
          </w:p>
        </w:tc>
      </w:tr>
    </w:tbl>
    <w:p w:rsidR="001B4824" w:rsidRPr="00010A38" w:rsidRDefault="001B4824" w:rsidP="003951C2">
      <w:pPr>
        <w:spacing w:line="360" w:lineRule="auto"/>
        <w:jc w:val="both"/>
        <w:rPr>
          <w:rFonts w:asciiTheme="majorHAnsi" w:hAnsiTheme="majorHAnsi" w:cstheme="majorHAnsi"/>
          <w:sz w:val="24"/>
          <w:szCs w:val="24"/>
        </w:rPr>
      </w:pPr>
    </w:p>
    <w:p w:rsidR="00207B79" w:rsidRPr="00010A38" w:rsidRDefault="00207B79" w:rsidP="003951C2">
      <w:pPr>
        <w:spacing w:line="360" w:lineRule="auto"/>
        <w:ind w:firstLine="720"/>
        <w:jc w:val="both"/>
        <w:rPr>
          <w:rFonts w:asciiTheme="majorHAnsi" w:hAnsiTheme="majorHAnsi" w:cstheme="majorHAnsi"/>
          <w:sz w:val="24"/>
          <w:szCs w:val="24"/>
        </w:rPr>
      </w:pPr>
      <w:r w:rsidRPr="00010A38">
        <w:rPr>
          <w:rFonts w:asciiTheme="majorHAnsi" w:hAnsiTheme="majorHAnsi" w:cstheme="majorHAnsi"/>
          <w:sz w:val="24"/>
          <w:szCs w:val="24"/>
        </w:rPr>
        <w:t>Essential Factors When Utilizing Home Remedies: Length of Application, Regularity, Dermal Sensitivity Assessment, Timing for Medical Consultation. Although home remedies such as tea tree oil, garlic, and coconut oil may alleviate minor ringworm cases, it is imperative to underscore that medical intervention is necessary for chronic infections.</w:t>
      </w:r>
    </w:p>
    <w:p w:rsidR="001B4824" w:rsidRPr="00010A38" w:rsidRDefault="00540CD2"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12</w:t>
      </w:r>
      <w:r w:rsidR="004C7E08" w:rsidRPr="00010A38">
        <w:rPr>
          <w:rFonts w:asciiTheme="majorHAnsi" w:hAnsiTheme="majorHAnsi" w:cstheme="majorHAnsi"/>
          <w:b/>
          <w:sz w:val="24"/>
          <w:szCs w:val="24"/>
        </w:rPr>
        <w:t>. Prevention Strategies</w:t>
      </w:r>
    </w:p>
    <w:p w:rsidR="00D7698A" w:rsidRPr="00010A38" w:rsidRDefault="00D7698A"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To avert ringworm, uphold hygiene, minimize exposure to fungi, and tend to the skin.  Wash regularly, dry moist areas, refrain from sharing personal belongings, utilize protective footwear, don loose clothing, and apply antifungal powders to perspiring regions.  Refrain from exchanging personal belongings and opt for breathable attire.  To avert ringworm infection, promptly address afflicted pets, cover lesions, refrain from scratching, and manage any underlying health issues (HILL et al., 1928).  Regularly launder garments and linens, and disinfect frequently-touched surfaces to decrease the risk of illness transmission.  Upholding adequate cleanliness is cr</w:t>
      </w:r>
      <w:r w:rsidR="00866132" w:rsidRPr="00010A38">
        <w:rPr>
          <w:rFonts w:asciiTheme="majorHAnsi" w:hAnsiTheme="majorHAnsi" w:cstheme="majorHAnsi"/>
          <w:sz w:val="24"/>
          <w:szCs w:val="24"/>
        </w:rPr>
        <w:t xml:space="preserve">ucial for preventing ringworm. </w:t>
      </w:r>
      <w:r w:rsidRPr="00010A38">
        <w:rPr>
          <w:rFonts w:asciiTheme="majorHAnsi" w:hAnsiTheme="majorHAnsi" w:cstheme="majorHAnsi"/>
          <w:sz w:val="24"/>
          <w:szCs w:val="24"/>
        </w:rPr>
        <w:t xml:space="preserve">Daily changes of socks and underwear, coupled with consistent bathing or showering, will inhibit the development of fungus that flourishes in wet environments </w:t>
      </w:r>
      <w:r w:rsidRPr="00010A38">
        <w:rPr>
          <w:rFonts w:asciiTheme="majorHAnsi" w:hAnsiTheme="majorHAnsi" w:cstheme="majorHAnsi"/>
          <w:sz w:val="24"/>
          <w:szCs w:val="24"/>
        </w:rPr>
        <w:lastRenderedPageBreak/>
        <w:t>such as the feet and groin.  Avoid constrictive underwear and pantyhose.  To prevent the transfer of fungus from your feet to your groin, don your socks before to your underwear.  Topical agents include miconazole, terbinafine, ketoconazole, clotrimazole, and tolnaftate may be administered for two to three weeks to address an active ringworm infection.  Oral medications are occasionally employed to address scalp fungal infections (Lewis et al., 1944).</w:t>
      </w:r>
    </w:p>
    <w:p w:rsidR="001B4824" w:rsidRPr="00010A38" w:rsidRDefault="004C7E08"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1</w:t>
      </w:r>
      <w:r w:rsidR="00866132" w:rsidRPr="00010A38">
        <w:rPr>
          <w:rFonts w:asciiTheme="majorHAnsi" w:hAnsiTheme="majorHAnsi" w:cstheme="majorHAnsi"/>
          <w:b/>
          <w:sz w:val="24"/>
          <w:szCs w:val="24"/>
        </w:rPr>
        <w:t>3</w:t>
      </w:r>
      <w:r w:rsidRPr="00010A38">
        <w:rPr>
          <w:rFonts w:asciiTheme="majorHAnsi" w:hAnsiTheme="majorHAnsi" w:cstheme="majorHAnsi"/>
          <w:b/>
          <w:sz w:val="24"/>
          <w:szCs w:val="24"/>
        </w:rPr>
        <w:t>. When to Seek Medical</w:t>
      </w:r>
      <w:r w:rsidR="00866132" w:rsidRPr="00010A38">
        <w:rPr>
          <w:rFonts w:asciiTheme="majorHAnsi" w:hAnsiTheme="majorHAnsi" w:cstheme="majorHAnsi"/>
          <w:b/>
          <w:sz w:val="24"/>
          <w:szCs w:val="24"/>
        </w:rPr>
        <w:t xml:space="preserve"> Advice for Ringworm Infections</w:t>
      </w:r>
    </w:p>
    <w:p w:rsidR="00CC4E49" w:rsidRPr="00010A38" w:rsidRDefault="00CC4E49" w:rsidP="003951C2">
      <w:pPr>
        <w:spacing w:line="360" w:lineRule="auto"/>
        <w:jc w:val="both"/>
        <w:rPr>
          <w:rFonts w:asciiTheme="majorHAnsi" w:eastAsia="Times New Roman" w:hAnsiTheme="majorHAnsi" w:cstheme="majorHAnsi"/>
          <w:sz w:val="24"/>
          <w:szCs w:val="24"/>
          <w:lang w:val="en-IN" w:eastAsia="en-IN"/>
        </w:rPr>
      </w:pPr>
      <w:r w:rsidRPr="00010A38">
        <w:rPr>
          <w:rFonts w:asciiTheme="majorHAnsi" w:hAnsiTheme="majorHAnsi" w:cstheme="majorHAnsi"/>
          <w:sz w:val="24"/>
          <w:szCs w:val="24"/>
        </w:rPr>
        <w:t xml:space="preserve">Consult a medical professional for ringworm infections if over-the-counter antifungal treatments have been applied consistently for two weeks without improvement, or if the infection seems to worsen, spreads rapidly, becomes swollen, painful, or begins to exude pus—signs that a secondary bacterial infection may be present.  Medical intervention is particularly crucial if the infection is situated on the scalp or beard, as these regions generally necessitate oral antifungal drugs due to deeper involvement.  Individuals with recurring ringworm infections should seek medical advice to exclude underlying disorders, such as immunocompromised states or repeated exposure to contaminated animals.  If the infection gets severe, affects extensive sections of the body, or involves the nails, expert treatment is required, as topical treatments are frequently inadequate.  Vulnerable populations, including newborns, the </w:t>
      </w:r>
      <w:r w:rsidR="00633F51" w:rsidRPr="00010A38">
        <w:rPr>
          <w:rFonts w:asciiTheme="majorHAnsi" w:hAnsiTheme="majorHAnsi" w:cstheme="majorHAnsi"/>
          <w:sz w:val="24"/>
          <w:szCs w:val="24"/>
        </w:rPr>
        <w:t>elderly</w:t>
      </w:r>
      <w:r w:rsidRPr="00010A38">
        <w:rPr>
          <w:rFonts w:asciiTheme="majorHAnsi" w:hAnsiTheme="majorHAnsi" w:cstheme="majorHAnsi"/>
          <w:sz w:val="24"/>
          <w:szCs w:val="24"/>
        </w:rPr>
        <w:t xml:space="preserve"> and immunocompromised individuals, should be assessed by a physician, even in the presence of moderate symptoms.  Finally, if there is any ambiguity regarding the nature of the rash as ringworm, obtaining an accurate diagnosis from a healthcare professional is crucial for </w:t>
      </w:r>
      <w:r w:rsidRPr="00010A38">
        <w:rPr>
          <w:rFonts w:asciiTheme="majorHAnsi" w:eastAsia="Times New Roman" w:hAnsiTheme="majorHAnsi" w:cstheme="majorHAnsi"/>
          <w:sz w:val="24"/>
          <w:szCs w:val="24"/>
          <w:lang w:val="en-IN" w:eastAsia="en-IN"/>
        </w:rPr>
        <w:t>for ensuring suitable treatment</w:t>
      </w:r>
      <w:r w:rsidR="009F080C" w:rsidRPr="00010A38">
        <w:rPr>
          <w:rFonts w:asciiTheme="majorHAnsi" w:eastAsia="Times New Roman" w:hAnsiTheme="majorHAnsi" w:cstheme="majorHAnsi"/>
          <w:sz w:val="24"/>
          <w:szCs w:val="24"/>
          <w:lang w:val="en-IN" w:eastAsia="en-IN"/>
        </w:rPr>
        <w:t xml:space="preserve"> (Figure 4)</w:t>
      </w:r>
      <w:r w:rsidRPr="00010A38">
        <w:rPr>
          <w:rFonts w:asciiTheme="majorHAnsi" w:eastAsia="Times New Roman" w:hAnsiTheme="majorHAnsi" w:cstheme="majorHAnsi"/>
          <w:sz w:val="24"/>
          <w:szCs w:val="24"/>
          <w:lang w:val="en-IN" w:eastAsia="en-IN"/>
        </w:rPr>
        <w:t>.</w:t>
      </w:r>
    </w:p>
    <w:p w:rsidR="00CC4E49" w:rsidRPr="00010A38" w:rsidRDefault="009E1028" w:rsidP="003951C2">
      <w:pPr>
        <w:spacing w:line="360" w:lineRule="auto"/>
        <w:jc w:val="both"/>
        <w:rPr>
          <w:rFonts w:asciiTheme="majorHAnsi" w:hAnsiTheme="majorHAnsi" w:cstheme="majorHAnsi"/>
          <w:sz w:val="24"/>
          <w:szCs w:val="24"/>
        </w:rPr>
      </w:pPr>
      <w:r w:rsidRPr="00010A38">
        <w:rPr>
          <w:rFonts w:asciiTheme="majorHAnsi" w:hAnsiTheme="majorHAnsi" w:cstheme="majorHAnsi"/>
          <w:noProof/>
          <w:sz w:val="24"/>
          <w:szCs w:val="24"/>
          <w:lang w:val="en-IN" w:eastAsia="en-IN"/>
        </w:rPr>
        <w:lastRenderedPageBreak/>
        <w:drawing>
          <wp:anchor distT="0" distB="0" distL="114300" distR="114300" simplePos="0" relativeHeight="251660800" behindDoc="0" locked="0" layoutInCell="1" allowOverlap="1" wp14:anchorId="289EA92A" wp14:editId="69CC7D5B">
            <wp:simplePos x="1138136" y="914400"/>
            <wp:positionH relativeFrom="margin">
              <wp:align>center</wp:align>
            </wp:positionH>
            <wp:positionV relativeFrom="margin">
              <wp:align>top</wp:align>
            </wp:positionV>
            <wp:extent cx="3529712" cy="8681085"/>
            <wp:effectExtent l="0" t="0" r="0" b="5715"/>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FC4291" w:rsidRDefault="00FC4291" w:rsidP="003951C2">
      <w:pPr>
        <w:spacing w:line="360" w:lineRule="auto"/>
        <w:jc w:val="both"/>
        <w:rPr>
          <w:rFonts w:asciiTheme="majorHAnsi" w:hAnsiTheme="majorHAnsi" w:cstheme="majorHAnsi"/>
          <w:b/>
          <w:sz w:val="24"/>
          <w:szCs w:val="24"/>
        </w:rPr>
      </w:pPr>
    </w:p>
    <w:p w:rsidR="002568B0" w:rsidRPr="00010A38" w:rsidRDefault="002568B0" w:rsidP="003951C2">
      <w:pPr>
        <w:spacing w:line="360" w:lineRule="auto"/>
        <w:jc w:val="both"/>
        <w:rPr>
          <w:rFonts w:asciiTheme="majorHAnsi" w:hAnsiTheme="majorHAnsi" w:cstheme="majorHAnsi"/>
          <w:b/>
          <w:sz w:val="24"/>
          <w:szCs w:val="24"/>
        </w:rPr>
      </w:pPr>
      <w:r w:rsidRPr="00010A38">
        <w:rPr>
          <w:rFonts w:asciiTheme="majorHAnsi" w:hAnsiTheme="majorHAnsi" w:cstheme="majorHAnsi"/>
          <w:b/>
          <w:sz w:val="24"/>
          <w:szCs w:val="24"/>
        </w:rPr>
        <w:lastRenderedPageBreak/>
        <w:t>Fig</w:t>
      </w:r>
      <w:r w:rsidR="009F080C" w:rsidRPr="00010A38">
        <w:rPr>
          <w:rFonts w:asciiTheme="majorHAnsi" w:hAnsiTheme="majorHAnsi" w:cstheme="majorHAnsi"/>
          <w:b/>
          <w:sz w:val="24"/>
          <w:szCs w:val="24"/>
        </w:rPr>
        <w:t xml:space="preserve"> 4</w:t>
      </w:r>
      <w:r w:rsidRPr="00010A38">
        <w:rPr>
          <w:rFonts w:asciiTheme="majorHAnsi" w:hAnsiTheme="majorHAnsi" w:cstheme="majorHAnsi"/>
          <w:b/>
          <w:sz w:val="24"/>
          <w:szCs w:val="24"/>
        </w:rPr>
        <w:t xml:space="preserve">. </w:t>
      </w:r>
      <w:r w:rsidR="00010A38" w:rsidRPr="00010A38">
        <w:rPr>
          <w:rFonts w:asciiTheme="majorHAnsi" w:hAnsiTheme="majorHAnsi" w:cstheme="majorHAnsi"/>
          <w:b/>
          <w:sz w:val="24"/>
          <w:szCs w:val="24"/>
        </w:rPr>
        <w:t>When to See a Doctor for Ringworm</w:t>
      </w:r>
    </w:p>
    <w:p w:rsidR="001B4824" w:rsidRPr="00010A38" w:rsidRDefault="00866132" w:rsidP="003951C2">
      <w:pPr>
        <w:spacing w:line="360" w:lineRule="auto"/>
        <w:jc w:val="both"/>
        <w:rPr>
          <w:rFonts w:asciiTheme="majorHAnsi" w:hAnsiTheme="majorHAnsi" w:cstheme="majorHAnsi"/>
          <w:sz w:val="24"/>
          <w:szCs w:val="24"/>
        </w:rPr>
      </w:pPr>
      <w:r w:rsidRPr="00010A38">
        <w:rPr>
          <w:rFonts w:asciiTheme="majorHAnsi" w:hAnsiTheme="majorHAnsi" w:cstheme="majorHAnsi"/>
          <w:b/>
          <w:sz w:val="24"/>
          <w:szCs w:val="24"/>
        </w:rPr>
        <w:t>14</w:t>
      </w:r>
      <w:r w:rsidR="004C7E08" w:rsidRPr="00010A38">
        <w:rPr>
          <w:rFonts w:asciiTheme="majorHAnsi" w:hAnsiTheme="majorHAnsi" w:cstheme="majorHAnsi"/>
          <w:b/>
          <w:sz w:val="24"/>
          <w:szCs w:val="24"/>
        </w:rPr>
        <w:t>. Factors Contributing to Persistent or Severe Ringworm Infections:</w:t>
      </w:r>
    </w:p>
    <w:p w:rsidR="00CC4E49" w:rsidRPr="00010A38" w:rsidRDefault="00CC4E4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Ringworm infections may endure due to inadequate treatment, compromised immune systems, and environmental factors such as elevated humidity and restrictive clothes.  Individuals with diabetes, HIV/AIDS, or undergoing immunosuppressive medication exhibit heightened susceptibility.  Untreated ringworms proliferate, expand, and intensify in agony. Healthcare practitioners may prescribe more potent antifungal drugs and evaluate underlying health issues. Effective hygiene procedures and the prevention of reinfection are essential for handling severe cases</w:t>
      </w:r>
      <w:r w:rsidR="00576FBA" w:rsidRPr="00010A38">
        <w:rPr>
          <w:rFonts w:asciiTheme="majorHAnsi" w:hAnsiTheme="majorHAnsi" w:cstheme="majorHAnsi"/>
          <w:sz w:val="24"/>
          <w:szCs w:val="24"/>
        </w:rPr>
        <w:t xml:space="preserve"> (Abdel-Wahab et al., 2022)</w:t>
      </w:r>
      <w:r w:rsidRPr="00010A38">
        <w:rPr>
          <w:rFonts w:asciiTheme="majorHAnsi" w:hAnsiTheme="majorHAnsi" w:cstheme="majorHAnsi"/>
          <w:sz w:val="24"/>
          <w:szCs w:val="24"/>
        </w:rPr>
        <w:t>.</w:t>
      </w:r>
    </w:p>
    <w:p w:rsidR="00CC4E49" w:rsidRPr="00010A38" w:rsidRDefault="00866132" w:rsidP="003951C2">
      <w:pPr>
        <w:spacing w:line="360" w:lineRule="auto"/>
        <w:jc w:val="both"/>
        <w:rPr>
          <w:rFonts w:asciiTheme="majorHAnsi" w:hAnsiTheme="majorHAnsi" w:cstheme="majorHAnsi"/>
          <w:b/>
          <w:sz w:val="24"/>
          <w:szCs w:val="24"/>
        </w:rPr>
      </w:pPr>
      <w:r w:rsidRPr="00010A38">
        <w:rPr>
          <w:rFonts w:asciiTheme="majorHAnsi" w:hAnsiTheme="majorHAnsi" w:cstheme="majorHAnsi"/>
          <w:b/>
          <w:sz w:val="24"/>
          <w:szCs w:val="24"/>
        </w:rPr>
        <w:t>15</w:t>
      </w:r>
      <w:r w:rsidR="004C7E08" w:rsidRPr="00010A38">
        <w:rPr>
          <w:rFonts w:asciiTheme="majorHAnsi" w:hAnsiTheme="majorHAnsi" w:cstheme="majorHAnsi"/>
          <w:b/>
          <w:sz w:val="24"/>
          <w:szCs w:val="24"/>
        </w:rPr>
        <w:t xml:space="preserve">. </w:t>
      </w:r>
      <w:r w:rsidR="00CC4E49" w:rsidRPr="00010A38">
        <w:rPr>
          <w:rFonts w:asciiTheme="majorHAnsi" w:hAnsiTheme="majorHAnsi" w:cstheme="majorHAnsi"/>
          <w:b/>
          <w:sz w:val="24"/>
          <w:szCs w:val="24"/>
        </w:rPr>
        <w:t>Conclusion</w:t>
      </w:r>
    </w:p>
    <w:p w:rsidR="00CC4E49" w:rsidRDefault="00CC4E49" w:rsidP="003951C2">
      <w:p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Ringworm is a prevalent yet extremely contagious fungal infection that is typically manageable with over-the-counter treatments; however, it may necessitate medical intervention if it becomes severe, chronic, or involves sensitive regio</w:t>
      </w:r>
      <w:r w:rsidR="009B2CE2" w:rsidRPr="00010A38">
        <w:rPr>
          <w:rFonts w:asciiTheme="majorHAnsi" w:hAnsiTheme="majorHAnsi" w:cstheme="majorHAnsi"/>
          <w:sz w:val="24"/>
          <w:szCs w:val="24"/>
        </w:rPr>
        <w:t xml:space="preserve">ns such as the scalp or nails. </w:t>
      </w:r>
      <w:r w:rsidRPr="00010A38">
        <w:rPr>
          <w:rFonts w:asciiTheme="majorHAnsi" w:hAnsiTheme="majorHAnsi" w:cstheme="majorHAnsi"/>
          <w:sz w:val="24"/>
          <w:szCs w:val="24"/>
        </w:rPr>
        <w:t>Identifying the appropriate moments to get medical consultation guarantees prompt and efficient care, while minimizing the likelihood of problems and transmission.  Preventing ringw</w:t>
      </w:r>
      <w:r w:rsidR="009B2CE2" w:rsidRPr="00010A38">
        <w:rPr>
          <w:rFonts w:asciiTheme="majorHAnsi" w:hAnsiTheme="majorHAnsi" w:cstheme="majorHAnsi"/>
          <w:sz w:val="24"/>
          <w:szCs w:val="24"/>
        </w:rPr>
        <w:t xml:space="preserve">orm is of similar significance. </w:t>
      </w:r>
      <w:r w:rsidRPr="00010A38">
        <w:rPr>
          <w:rFonts w:asciiTheme="majorHAnsi" w:hAnsiTheme="majorHAnsi" w:cstheme="majorHAnsi"/>
          <w:sz w:val="24"/>
          <w:szCs w:val="24"/>
        </w:rPr>
        <w:t xml:space="preserve">Maintaining proper personal hygiene, ensuring the skin remains dry and clean, refraining from sharing personal objects such as towels or razors, and addressing infections in pets can substantially mitigate </w:t>
      </w:r>
      <w:r w:rsidR="009B2CE2" w:rsidRPr="00010A38">
        <w:rPr>
          <w:rFonts w:asciiTheme="majorHAnsi" w:hAnsiTheme="majorHAnsi" w:cstheme="majorHAnsi"/>
          <w:sz w:val="24"/>
          <w:szCs w:val="24"/>
        </w:rPr>
        <w:t xml:space="preserve">the risk of infection. </w:t>
      </w:r>
      <w:r w:rsidRPr="00010A38">
        <w:rPr>
          <w:rFonts w:asciiTheme="majorHAnsi" w:hAnsiTheme="majorHAnsi" w:cstheme="majorHAnsi"/>
          <w:sz w:val="24"/>
          <w:szCs w:val="24"/>
        </w:rPr>
        <w:t>Timely and appropriate treatment not only alleviates symptoms rapidly but also inhibits the transm</w:t>
      </w:r>
      <w:r w:rsidR="009B2CE2" w:rsidRPr="00010A38">
        <w:rPr>
          <w:rFonts w:asciiTheme="majorHAnsi" w:hAnsiTheme="majorHAnsi" w:cstheme="majorHAnsi"/>
          <w:sz w:val="24"/>
          <w:szCs w:val="24"/>
        </w:rPr>
        <w:t xml:space="preserve">ission of the virus to others. </w:t>
      </w:r>
      <w:r w:rsidRPr="00010A38">
        <w:rPr>
          <w:rFonts w:asciiTheme="majorHAnsi" w:hAnsiTheme="majorHAnsi" w:cstheme="majorHAnsi"/>
          <w:sz w:val="24"/>
          <w:szCs w:val="24"/>
        </w:rPr>
        <w:t>Maintaining awareness and vigilance is essential for the proper management and prevention of ringworm.</w:t>
      </w:r>
    </w:p>
    <w:p w:rsidR="0066767B" w:rsidRDefault="0066767B" w:rsidP="003951C2">
      <w:pPr>
        <w:pStyle w:val="ListParagraph"/>
        <w:numPr>
          <w:ilvl w:val="0"/>
          <w:numId w:val="13"/>
        </w:numPr>
        <w:spacing w:line="360" w:lineRule="auto"/>
        <w:jc w:val="both"/>
        <w:rPr>
          <w:rFonts w:asciiTheme="majorHAnsi" w:hAnsiTheme="majorHAnsi" w:cstheme="majorHAnsi"/>
          <w:b/>
          <w:sz w:val="24"/>
          <w:szCs w:val="24"/>
          <w:shd w:val="clear" w:color="auto" w:fill="FFFFFF"/>
        </w:rPr>
      </w:pPr>
      <w:r w:rsidRPr="0066767B">
        <w:rPr>
          <w:rFonts w:asciiTheme="majorHAnsi" w:hAnsiTheme="majorHAnsi" w:cstheme="majorHAnsi"/>
          <w:b/>
          <w:sz w:val="24"/>
          <w:szCs w:val="24"/>
          <w:shd w:val="clear" w:color="auto" w:fill="FFFFFF"/>
        </w:rPr>
        <w:t>Acknowledgements</w:t>
      </w:r>
    </w:p>
    <w:p w:rsidR="0066767B" w:rsidRDefault="0066767B" w:rsidP="003951C2">
      <w:pPr>
        <w:spacing w:line="360" w:lineRule="auto"/>
        <w:jc w:val="both"/>
        <w:rPr>
          <w:rFonts w:asciiTheme="majorHAnsi" w:hAnsiTheme="majorHAnsi" w:cstheme="majorHAnsi"/>
          <w:sz w:val="24"/>
          <w:szCs w:val="24"/>
          <w:shd w:val="clear" w:color="auto" w:fill="FFFFFF"/>
        </w:rPr>
      </w:pPr>
      <w:r w:rsidRPr="004C2EA2">
        <w:rPr>
          <w:rFonts w:asciiTheme="majorHAnsi" w:hAnsiTheme="majorHAnsi" w:cstheme="majorHAnsi"/>
          <w:sz w:val="24"/>
          <w:szCs w:val="24"/>
          <w:shd w:val="clear" w:color="auto" w:fill="FFFFFF"/>
        </w:rPr>
        <w:t xml:space="preserve">The authors express gratitude to their </w:t>
      </w:r>
      <w:r w:rsidR="004C2EA2" w:rsidRPr="004C2EA2">
        <w:rPr>
          <w:rFonts w:asciiTheme="majorHAnsi" w:hAnsiTheme="majorHAnsi" w:cstheme="majorHAnsi"/>
          <w:sz w:val="24"/>
          <w:szCs w:val="24"/>
          <w:shd w:val="clear" w:color="auto" w:fill="FFFFFF"/>
        </w:rPr>
        <w:t>team</w:t>
      </w:r>
      <w:r w:rsidRPr="004C2EA2">
        <w:rPr>
          <w:rFonts w:asciiTheme="majorHAnsi" w:hAnsiTheme="majorHAnsi" w:cstheme="majorHAnsi"/>
          <w:sz w:val="24"/>
          <w:szCs w:val="24"/>
          <w:shd w:val="clear" w:color="auto" w:fill="FFFFFF"/>
        </w:rPr>
        <w:t xml:space="preserve"> for their invaluable help.</w:t>
      </w:r>
    </w:p>
    <w:p w:rsidR="004C2EA2" w:rsidRDefault="004C2EA2" w:rsidP="003951C2">
      <w:pPr>
        <w:pStyle w:val="ListParagraph"/>
        <w:numPr>
          <w:ilvl w:val="0"/>
          <w:numId w:val="13"/>
        </w:numPr>
        <w:spacing w:line="360" w:lineRule="auto"/>
        <w:jc w:val="both"/>
        <w:rPr>
          <w:b/>
        </w:rPr>
      </w:pPr>
      <w:r w:rsidRPr="004C2EA2">
        <w:rPr>
          <w:b/>
        </w:rPr>
        <w:t xml:space="preserve">Funding </w:t>
      </w:r>
    </w:p>
    <w:p w:rsidR="004C2EA2" w:rsidRPr="004C2EA2" w:rsidRDefault="004C2EA2" w:rsidP="003951C2">
      <w:pPr>
        <w:spacing w:line="360" w:lineRule="auto"/>
        <w:jc w:val="both"/>
      </w:pPr>
      <w:r w:rsidRPr="004C2EA2">
        <w:t xml:space="preserve">There is no funding for this research. </w:t>
      </w:r>
    </w:p>
    <w:p w:rsidR="004C2EA2" w:rsidRPr="004C2EA2" w:rsidRDefault="004C2EA2" w:rsidP="003951C2">
      <w:pPr>
        <w:pStyle w:val="ListParagraph"/>
        <w:numPr>
          <w:ilvl w:val="0"/>
          <w:numId w:val="13"/>
        </w:numPr>
        <w:spacing w:line="360" w:lineRule="auto"/>
        <w:jc w:val="both"/>
        <w:rPr>
          <w:b/>
        </w:rPr>
      </w:pPr>
      <w:r w:rsidRPr="004C2EA2">
        <w:rPr>
          <w:b/>
        </w:rPr>
        <w:t xml:space="preserve">Conflict of interest </w:t>
      </w:r>
    </w:p>
    <w:p w:rsidR="004C2EA2" w:rsidRPr="004C2EA2" w:rsidRDefault="004C2EA2" w:rsidP="003951C2">
      <w:pPr>
        <w:spacing w:line="360" w:lineRule="auto"/>
        <w:jc w:val="both"/>
        <w:rPr>
          <w:rFonts w:asciiTheme="majorHAnsi" w:hAnsiTheme="majorHAnsi" w:cstheme="majorHAnsi"/>
          <w:sz w:val="24"/>
          <w:szCs w:val="24"/>
          <w:shd w:val="clear" w:color="auto" w:fill="FFFFFF"/>
        </w:rPr>
      </w:pPr>
      <w:r w:rsidRPr="004C2EA2">
        <w:t xml:space="preserve">None. </w:t>
      </w:r>
    </w:p>
    <w:p w:rsidR="00633F51" w:rsidRPr="00633F51" w:rsidRDefault="00EB50B4" w:rsidP="003951C2">
      <w:pPr>
        <w:pStyle w:val="ListParagraph"/>
        <w:numPr>
          <w:ilvl w:val="0"/>
          <w:numId w:val="13"/>
        </w:numPr>
        <w:spacing w:line="360" w:lineRule="auto"/>
        <w:jc w:val="both"/>
        <w:rPr>
          <w:rFonts w:asciiTheme="majorHAnsi" w:hAnsiTheme="majorHAnsi" w:cstheme="majorHAnsi"/>
          <w:b/>
          <w:sz w:val="24"/>
          <w:szCs w:val="24"/>
          <w:shd w:val="clear" w:color="auto" w:fill="FFFFFF"/>
        </w:rPr>
      </w:pPr>
      <w:r w:rsidRPr="00010A38">
        <w:rPr>
          <w:rFonts w:asciiTheme="majorHAnsi" w:hAnsiTheme="majorHAnsi" w:cstheme="majorHAnsi"/>
          <w:b/>
          <w:sz w:val="24"/>
          <w:szCs w:val="24"/>
          <w:shd w:val="clear" w:color="auto" w:fill="FFFFFF"/>
        </w:rPr>
        <w:t>References</w:t>
      </w:r>
    </w:p>
    <w:p w:rsidR="00633F51" w:rsidRPr="00010A38" w:rsidRDefault="00633F51" w:rsidP="003951C2">
      <w:pPr>
        <w:pStyle w:val="ListParagraph"/>
        <w:numPr>
          <w:ilvl w:val="0"/>
          <w:numId w:val="15"/>
        </w:numPr>
        <w:spacing w:after="0" w:line="360" w:lineRule="auto"/>
        <w:jc w:val="both"/>
        <w:rPr>
          <w:rFonts w:asciiTheme="majorHAnsi" w:eastAsia="Times New Roman" w:hAnsiTheme="majorHAnsi" w:cstheme="majorHAnsi"/>
          <w:sz w:val="24"/>
          <w:szCs w:val="24"/>
        </w:rPr>
      </w:pPr>
      <w:r w:rsidRPr="00010A38">
        <w:rPr>
          <w:rFonts w:asciiTheme="majorHAnsi" w:hAnsiTheme="majorHAnsi" w:cstheme="majorHAnsi"/>
          <w:sz w:val="24"/>
          <w:szCs w:val="24"/>
        </w:rPr>
        <w:lastRenderedPageBreak/>
        <w:t>Abdel-Wahab H, Gund T. Herbal Antifungal Agents Used for the Treatment of Fungal Infections. Pediatrics Case Reports. 2022;1(1):2835-971.</w:t>
      </w:r>
    </w:p>
    <w:p w:rsidR="00633F51" w:rsidRPr="00010A38" w:rsidRDefault="00633F51" w:rsidP="003951C2">
      <w:pPr>
        <w:pStyle w:val="ListParagraph"/>
        <w:numPr>
          <w:ilvl w:val="0"/>
          <w:numId w:val="15"/>
        </w:numPr>
        <w:spacing w:after="0" w:line="360" w:lineRule="auto"/>
        <w:jc w:val="both"/>
        <w:rPr>
          <w:rFonts w:asciiTheme="majorHAnsi" w:eastAsia="Times New Roman" w:hAnsiTheme="majorHAnsi" w:cstheme="majorHAnsi"/>
          <w:sz w:val="24"/>
          <w:szCs w:val="24"/>
        </w:rPr>
      </w:pPr>
      <w:r w:rsidRPr="00010A38">
        <w:rPr>
          <w:rFonts w:asciiTheme="majorHAnsi" w:hAnsiTheme="majorHAnsi" w:cstheme="majorHAnsi"/>
          <w:sz w:val="24"/>
          <w:szCs w:val="24"/>
          <w:shd w:val="clear" w:color="auto" w:fill="FFFFFF"/>
        </w:rPr>
        <w:t>Antony R. Natural management of ringworm (tinea) infection. Pharma Science Monitor. 2017 Oct 1;8(4).</w:t>
      </w:r>
    </w:p>
    <w:p w:rsidR="00633F51" w:rsidRPr="00010A38" w:rsidRDefault="00633F51" w:rsidP="003951C2">
      <w:pPr>
        <w:pStyle w:val="ListParagraph"/>
        <w:numPr>
          <w:ilvl w:val="0"/>
          <w:numId w:val="15"/>
        </w:numPr>
        <w:spacing w:line="360" w:lineRule="auto"/>
        <w:jc w:val="both"/>
        <w:rPr>
          <w:rFonts w:asciiTheme="majorHAnsi" w:hAnsiTheme="majorHAnsi" w:cstheme="majorHAnsi"/>
          <w:b/>
          <w:sz w:val="24"/>
          <w:szCs w:val="24"/>
        </w:rPr>
      </w:pPr>
      <w:r w:rsidRPr="00010A38">
        <w:rPr>
          <w:rFonts w:asciiTheme="majorHAnsi" w:hAnsiTheme="majorHAnsi" w:cstheme="majorHAnsi"/>
          <w:sz w:val="24"/>
          <w:szCs w:val="24"/>
          <w:shd w:val="clear" w:color="auto" w:fill="FFFFFF"/>
        </w:rPr>
        <w:t>Bedoya-Serna CM, Dacanal GC, Fernandes AM, Pinho SC. Antifungal activity of nanoemulsions encapsulating oregano (Origanum vulgare) essential oil: in vitro study and application in Minas Padrão cheese. Brazilian journal of microbiology. 2018 Aug 14;49(4):929-35.</w:t>
      </w:r>
    </w:p>
    <w:p w:rsidR="00633F51" w:rsidRPr="00010A38" w:rsidRDefault="00633F51" w:rsidP="003951C2">
      <w:pPr>
        <w:pStyle w:val="ListParagraph"/>
        <w:numPr>
          <w:ilvl w:val="0"/>
          <w:numId w:val="15"/>
        </w:numPr>
        <w:spacing w:line="360" w:lineRule="auto"/>
        <w:jc w:val="both"/>
        <w:rPr>
          <w:rFonts w:asciiTheme="majorHAnsi" w:hAnsiTheme="majorHAnsi" w:cstheme="majorHAnsi"/>
          <w:b/>
          <w:sz w:val="24"/>
          <w:szCs w:val="24"/>
        </w:rPr>
      </w:pPr>
      <w:r w:rsidRPr="00010A38">
        <w:rPr>
          <w:rFonts w:asciiTheme="majorHAnsi" w:hAnsiTheme="majorHAnsi" w:cstheme="majorHAnsi"/>
          <w:sz w:val="24"/>
          <w:szCs w:val="24"/>
          <w:shd w:val="clear" w:color="auto" w:fill="FFFFFF"/>
        </w:rPr>
        <w:t>Blechert O, Xiong S, Chen J, Brand AC, Zhan P. Nutritional requirements of the human pathogenic fungus, Trichophyton rubrum, and nutritional immunity of the human skin as barrier against colonization. Fungal Biology Reviews. 2023 Sep 1;45:100330.</w:t>
      </w:r>
    </w:p>
    <w:p w:rsidR="00633F51" w:rsidRPr="00010A38" w:rsidRDefault="00633F51" w:rsidP="003951C2">
      <w:pPr>
        <w:pStyle w:val="ListParagraph"/>
        <w:numPr>
          <w:ilvl w:val="0"/>
          <w:numId w:val="15"/>
        </w:numPr>
        <w:spacing w:line="360" w:lineRule="auto"/>
        <w:jc w:val="both"/>
        <w:rPr>
          <w:rFonts w:asciiTheme="majorHAnsi" w:hAnsiTheme="majorHAnsi" w:cstheme="majorHAnsi"/>
          <w:b/>
          <w:sz w:val="24"/>
          <w:szCs w:val="24"/>
        </w:rPr>
      </w:pPr>
      <w:r w:rsidRPr="00010A38">
        <w:rPr>
          <w:rFonts w:asciiTheme="majorHAnsi" w:hAnsiTheme="majorHAnsi" w:cstheme="majorHAnsi"/>
          <w:sz w:val="24"/>
          <w:szCs w:val="24"/>
        </w:rPr>
        <w:t>Carter GR. Dermatophytes and dermatophytoses. InDiagnostic Procedure in Veterinary Bacteriology and Mycology 1990 Jan 1 (pp. 381-404). Academic Press.</w:t>
      </w:r>
    </w:p>
    <w:p w:rsidR="00633F51" w:rsidRPr="00010A38" w:rsidRDefault="00633F51" w:rsidP="003951C2">
      <w:pPr>
        <w:pStyle w:val="ListParagraph"/>
        <w:numPr>
          <w:ilvl w:val="0"/>
          <w:numId w:val="15"/>
        </w:numPr>
        <w:spacing w:after="0" w:line="360" w:lineRule="auto"/>
        <w:jc w:val="both"/>
        <w:rPr>
          <w:rFonts w:asciiTheme="majorHAnsi" w:eastAsia="Times New Roman" w:hAnsiTheme="majorHAnsi" w:cstheme="majorHAnsi"/>
          <w:sz w:val="24"/>
          <w:szCs w:val="24"/>
        </w:rPr>
      </w:pPr>
      <w:r w:rsidRPr="00010A38">
        <w:rPr>
          <w:rFonts w:asciiTheme="majorHAnsi" w:hAnsiTheme="majorHAnsi" w:cstheme="majorHAnsi"/>
          <w:sz w:val="24"/>
          <w:szCs w:val="24"/>
          <w:shd w:val="clear" w:color="auto" w:fill="FFFFFF"/>
        </w:rPr>
        <w:t>Chen E, Ghannoum M, Elewski BE. Treatment‐resistant tinea corporis, a potential public health issue. British Journal of Dermatology. 2021 Jan 1;184(1):164-5.</w:t>
      </w:r>
    </w:p>
    <w:p w:rsidR="00633F51" w:rsidRPr="00010A38" w:rsidRDefault="00633F51" w:rsidP="003951C2">
      <w:pPr>
        <w:pStyle w:val="ListParagraph"/>
        <w:numPr>
          <w:ilvl w:val="0"/>
          <w:numId w:val="15"/>
        </w:numPr>
        <w:spacing w:after="0" w:line="360" w:lineRule="auto"/>
        <w:jc w:val="both"/>
        <w:rPr>
          <w:rFonts w:asciiTheme="majorHAnsi" w:eastAsia="Times New Roman" w:hAnsiTheme="majorHAnsi" w:cstheme="majorHAnsi"/>
          <w:sz w:val="24"/>
          <w:szCs w:val="24"/>
        </w:rPr>
      </w:pPr>
      <w:r w:rsidRPr="00010A38">
        <w:rPr>
          <w:rFonts w:asciiTheme="majorHAnsi" w:hAnsiTheme="majorHAnsi" w:cstheme="majorHAnsi"/>
          <w:sz w:val="24"/>
          <w:szCs w:val="24"/>
          <w:shd w:val="clear" w:color="auto" w:fill="FFFFFF"/>
        </w:rPr>
        <w:t>Clark KC. Healing with Apple Cider Vinegar: 115 Recipes for Health, Beauty, and Home. Sourcebooks, Inc.; 2019 Dec 3.</w:t>
      </w:r>
    </w:p>
    <w:p w:rsidR="00633F51" w:rsidRPr="00010A38" w:rsidRDefault="00633F51" w:rsidP="003951C2">
      <w:pPr>
        <w:pStyle w:val="ListParagraph"/>
        <w:numPr>
          <w:ilvl w:val="0"/>
          <w:numId w:val="15"/>
        </w:numPr>
        <w:spacing w:line="360" w:lineRule="auto"/>
        <w:jc w:val="both"/>
        <w:rPr>
          <w:rFonts w:asciiTheme="majorHAnsi" w:hAnsiTheme="majorHAnsi" w:cstheme="majorHAnsi"/>
          <w:b/>
          <w:sz w:val="24"/>
          <w:szCs w:val="24"/>
        </w:rPr>
      </w:pPr>
      <w:r w:rsidRPr="00010A38">
        <w:rPr>
          <w:rFonts w:asciiTheme="majorHAnsi" w:hAnsiTheme="majorHAnsi" w:cstheme="majorHAnsi"/>
          <w:sz w:val="24"/>
          <w:szCs w:val="24"/>
          <w:shd w:val="clear" w:color="auto" w:fill="FFFFFF"/>
        </w:rPr>
        <w:t>Cottle W. The treatment of ringworm. The Lancet. 1880 Mar 27;115(2952):482-3.</w:t>
      </w:r>
    </w:p>
    <w:p w:rsidR="00633F51" w:rsidRPr="00010A38" w:rsidRDefault="00633F51" w:rsidP="003951C2">
      <w:pPr>
        <w:pStyle w:val="ListParagraph"/>
        <w:numPr>
          <w:ilvl w:val="0"/>
          <w:numId w:val="15"/>
        </w:numPr>
        <w:spacing w:after="0" w:line="360" w:lineRule="auto"/>
        <w:jc w:val="both"/>
        <w:rPr>
          <w:rFonts w:asciiTheme="majorHAnsi" w:eastAsia="Times New Roman" w:hAnsiTheme="majorHAnsi" w:cstheme="majorHAnsi"/>
          <w:sz w:val="24"/>
          <w:szCs w:val="24"/>
        </w:rPr>
      </w:pPr>
      <w:r w:rsidRPr="00010A38">
        <w:rPr>
          <w:rFonts w:asciiTheme="majorHAnsi" w:hAnsiTheme="majorHAnsi" w:cstheme="majorHAnsi"/>
          <w:sz w:val="24"/>
          <w:szCs w:val="24"/>
          <w:shd w:val="clear" w:color="auto" w:fill="FFFFFF"/>
        </w:rPr>
        <w:t>Degreef H. Clinical forms of dermatophytosis (ringworm infection). Mycopathologia. 2008 Nov;166:257-65.</w:t>
      </w:r>
    </w:p>
    <w:p w:rsidR="00633F51" w:rsidRPr="00010A38" w:rsidRDefault="00633F51" w:rsidP="003951C2">
      <w:pPr>
        <w:pStyle w:val="ListParagraph"/>
        <w:numPr>
          <w:ilvl w:val="0"/>
          <w:numId w:val="15"/>
        </w:numPr>
        <w:spacing w:line="360" w:lineRule="auto"/>
        <w:jc w:val="both"/>
        <w:rPr>
          <w:rFonts w:asciiTheme="majorHAnsi" w:hAnsiTheme="majorHAnsi" w:cstheme="majorHAnsi"/>
          <w:sz w:val="24"/>
          <w:szCs w:val="24"/>
          <w:shd w:val="clear" w:color="auto" w:fill="FFFFFF"/>
        </w:rPr>
      </w:pPr>
      <w:r w:rsidRPr="00010A38">
        <w:rPr>
          <w:rFonts w:asciiTheme="majorHAnsi" w:hAnsiTheme="majorHAnsi" w:cstheme="majorHAnsi"/>
          <w:sz w:val="24"/>
          <w:szCs w:val="24"/>
          <w:shd w:val="clear" w:color="auto" w:fill="FFFFFF"/>
        </w:rPr>
        <w:t>Ely JW, Rosenfeld S, Stone MS. Diagnosis and management of tinea infections. American family physician. 2014 Nov 15;90(10):702-11.</w:t>
      </w:r>
    </w:p>
    <w:p w:rsidR="00633F51" w:rsidRPr="00010A38" w:rsidRDefault="00633F51" w:rsidP="003951C2">
      <w:pPr>
        <w:pStyle w:val="ListParagraph"/>
        <w:numPr>
          <w:ilvl w:val="0"/>
          <w:numId w:val="15"/>
        </w:numPr>
        <w:spacing w:after="0" w:line="360" w:lineRule="auto"/>
        <w:jc w:val="both"/>
        <w:rPr>
          <w:rFonts w:asciiTheme="majorHAnsi" w:eastAsia="Times New Roman" w:hAnsiTheme="majorHAnsi" w:cstheme="majorHAnsi"/>
          <w:sz w:val="24"/>
          <w:szCs w:val="24"/>
        </w:rPr>
      </w:pPr>
      <w:r w:rsidRPr="00010A38">
        <w:rPr>
          <w:rFonts w:asciiTheme="majorHAnsi" w:hAnsiTheme="majorHAnsi" w:cstheme="majorHAnsi"/>
          <w:sz w:val="24"/>
          <w:szCs w:val="24"/>
          <w:shd w:val="clear" w:color="auto" w:fill="FFFFFF"/>
        </w:rPr>
        <w:t>Evans EG. A comparison of terbinafine (Lamisil®) 1% cream given for one week with clotrimazole (Canesten®) 1% cream given for four weeks, in the treatment of tinea pedis. British journal of Dermatology. 1994 Apr 1;130(s43):12-4.</w:t>
      </w:r>
    </w:p>
    <w:p w:rsidR="00633F51" w:rsidRPr="00010A38" w:rsidRDefault="00633F51" w:rsidP="003951C2">
      <w:pPr>
        <w:pStyle w:val="ListParagraph"/>
        <w:numPr>
          <w:ilvl w:val="0"/>
          <w:numId w:val="15"/>
        </w:numPr>
        <w:spacing w:after="0" w:line="360" w:lineRule="auto"/>
        <w:jc w:val="both"/>
        <w:rPr>
          <w:rFonts w:asciiTheme="majorHAnsi" w:hAnsiTheme="majorHAnsi" w:cstheme="majorHAnsi"/>
          <w:sz w:val="24"/>
          <w:szCs w:val="24"/>
          <w:shd w:val="clear" w:color="auto" w:fill="FFFFFF"/>
        </w:rPr>
      </w:pPr>
      <w:r w:rsidRPr="00010A38">
        <w:rPr>
          <w:rFonts w:asciiTheme="majorHAnsi" w:eastAsia="Times New Roman" w:hAnsiTheme="majorHAnsi" w:cstheme="majorHAnsi"/>
          <w:sz w:val="24"/>
          <w:szCs w:val="24"/>
        </w:rPr>
        <w:t xml:space="preserve">Fatima N, Moid H, Kumar A &amp; Nisha N. </w:t>
      </w:r>
      <w:r w:rsidRPr="00010A38">
        <w:rPr>
          <w:rFonts w:asciiTheme="majorHAnsi" w:eastAsia="Times New Roman" w:hAnsiTheme="majorHAnsi" w:cstheme="majorHAnsi"/>
          <w:iCs/>
          <w:sz w:val="24"/>
          <w:szCs w:val="24"/>
        </w:rPr>
        <w:t>An investigation of the properties of indian herbal remedies,</w:t>
      </w:r>
      <w:r w:rsidRPr="00010A38">
        <w:rPr>
          <w:rFonts w:asciiTheme="majorHAnsi" w:eastAsia="Times New Roman" w:hAnsiTheme="majorHAnsi" w:cstheme="majorHAnsi"/>
          <w:sz w:val="24"/>
          <w:szCs w:val="24"/>
        </w:rPr>
        <w:t xml:space="preserve"> Pharmaceutical and medical research. </w:t>
      </w:r>
      <w:r w:rsidRPr="00010A38">
        <w:rPr>
          <w:rFonts w:asciiTheme="majorHAnsi" w:hAnsiTheme="majorHAnsi" w:cstheme="majorHAnsi"/>
          <w:sz w:val="24"/>
          <w:szCs w:val="24"/>
        </w:rPr>
        <w:t>2022, 9(12), 397-412.</w:t>
      </w:r>
      <w:r w:rsidRPr="00010A38">
        <w:rPr>
          <w:rFonts w:asciiTheme="majorHAnsi" w:hAnsiTheme="majorHAnsi" w:cstheme="majorHAnsi"/>
          <w:sz w:val="24"/>
          <w:szCs w:val="24"/>
          <w:shd w:val="clear" w:color="auto" w:fill="FFFFFF"/>
        </w:rPr>
        <w:t xml:space="preserve"> </w:t>
      </w:r>
    </w:p>
    <w:p w:rsidR="00633F51" w:rsidRPr="00010A38" w:rsidRDefault="00633F51" w:rsidP="003951C2">
      <w:pPr>
        <w:pStyle w:val="ListParagraph"/>
        <w:numPr>
          <w:ilvl w:val="0"/>
          <w:numId w:val="15"/>
        </w:numPr>
        <w:spacing w:line="360" w:lineRule="auto"/>
        <w:jc w:val="both"/>
        <w:rPr>
          <w:rFonts w:asciiTheme="majorHAnsi" w:hAnsiTheme="majorHAnsi" w:cstheme="majorHAnsi"/>
          <w:sz w:val="24"/>
          <w:szCs w:val="24"/>
        </w:rPr>
      </w:pPr>
      <w:r w:rsidRPr="00010A38">
        <w:rPr>
          <w:rFonts w:asciiTheme="majorHAnsi" w:hAnsiTheme="majorHAnsi" w:cstheme="majorHAnsi"/>
          <w:sz w:val="24"/>
          <w:szCs w:val="24"/>
          <w:shd w:val="clear" w:color="auto" w:fill="FFFFFF"/>
        </w:rPr>
        <w:lastRenderedPageBreak/>
        <w:t>Firooz A, Namdar R, Nafisi S, I. Maibach H. Nano-sized technologies for miconazole skin delivery. Current Pharmaceutical Biotechnology. 2016 May 1;17(6):524-31.</w:t>
      </w:r>
    </w:p>
    <w:p w:rsidR="00633F51" w:rsidRPr="00010A38" w:rsidRDefault="00633F51" w:rsidP="003951C2">
      <w:pPr>
        <w:pStyle w:val="ListParagraph"/>
        <w:numPr>
          <w:ilvl w:val="0"/>
          <w:numId w:val="15"/>
        </w:numPr>
        <w:spacing w:after="0"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Gire S, Datar PA, Shete RV, Harnaskar V. Analysis of Tolnaftate-Review. Journal of Current Pharma Research. 2018;8(2):2346-56.</w:t>
      </w:r>
    </w:p>
    <w:p w:rsidR="00633F51" w:rsidRPr="00010A38" w:rsidRDefault="00633F51" w:rsidP="003951C2">
      <w:pPr>
        <w:pStyle w:val="ListParagraph"/>
        <w:numPr>
          <w:ilvl w:val="0"/>
          <w:numId w:val="15"/>
        </w:numPr>
        <w:spacing w:after="0" w:line="360" w:lineRule="auto"/>
        <w:jc w:val="both"/>
        <w:rPr>
          <w:rFonts w:asciiTheme="majorHAnsi" w:eastAsia="Times New Roman" w:hAnsiTheme="majorHAnsi" w:cstheme="majorHAnsi"/>
          <w:sz w:val="24"/>
          <w:szCs w:val="24"/>
        </w:rPr>
      </w:pPr>
      <w:r w:rsidRPr="00010A38">
        <w:rPr>
          <w:rFonts w:asciiTheme="majorHAnsi" w:hAnsiTheme="majorHAnsi" w:cstheme="majorHAnsi"/>
          <w:sz w:val="24"/>
          <w:szCs w:val="24"/>
          <w:shd w:val="clear" w:color="auto" w:fill="FFFFFF"/>
        </w:rPr>
        <w:t>Gräser Y, Kuijpers AF, Presber W, Hoog GD. Molecular taxonomy of Trichophyton mentagrophytes and T. tonsurans. Medical mycology. 1999 Jan 1;37(5):315-30.</w:t>
      </w:r>
    </w:p>
    <w:p w:rsidR="00633F51" w:rsidRPr="00010A38" w:rsidRDefault="00633F51" w:rsidP="003951C2">
      <w:pPr>
        <w:pStyle w:val="ListParagraph"/>
        <w:numPr>
          <w:ilvl w:val="0"/>
          <w:numId w:val="15"/>
        </w:numPr>
        <w:spacing w:after="0" w:line="360" w:lineRule="auto"/>
        <w:jc w:val="both"/>
        <w:rPr>
          <w:rFonts w:asciiTheme="majorHAnsi" w:eastAsia="Times New Roman" w:hAnsiTheme="majorHAnsi" w:cstheme="majorHAnsi"/>
          <w:sz w:val="24"/>
          <w:szCs w:val="24"/>
        </w:rPr>
      </w:pPr>
      <w:r w:rsidRPr="00010A38">
        <w:rPr>
          <w:rFonts w:asciiTheme="majorHAnsi" w:hAnsiTheme="majorHAnsi" w:cstheme="majorHAnsi"/>
          <w:sz w:val="24"/>
          <w:szCs w:val="24"/>
          <w:shd w:val="clear" w:color="auto" w:fill="FFFFFF"/>
        </w:rPr>
        <w:t>Gupta AK, Albreski D, Del Rosso JQ, Konnikov N. The use of the new oral antifungal agents, itraconazole, terbinafine, and fluconazole to treat onychomycosis and other dermatomycoses. Current Problems in Dermatology. 2001 Aug 1;13(4):213-46.</w:t>
      </w:r>
    </w:p>
    <w:p w:rsidR="00633F51" w:rsidRPr="00010A38" w:rsidRDefault="00633F51" w:rsidP="003951C2">
      <w:pPr>
        <w:pStyle w:val="ListParagraph"/>
        <w:numPr>
          <w:ilvl w:val="0"/>
          <w:numId w:val="15"/>
        </w:numPr>
        <w:spacing w:after="0" w:line="360" w:lineRule="auto"/>
        <w:jc w:val="both"/>
        <w:rPr>
          <w:rFonts w:asciiTheme="majorHAnsi" w:eastAsia="Times New Roman" w:hAnsiTheme="majorHAnsi" w:cstheme="majorHAnsi"/>
          <w:sz w:val="24"/>
          <w:szCs w:val="24"/>
        </w:rPr>
      </w:pPr>
      <w:r w:rsidRPr="00010A38">
        <w:rPr>
          <w:rFonts w:asciiTheme="majorHAnsi" w:hAnsiTheme="majorHAnsi" w:cstheme="majorHAnsi"/>
          <w:sz w:val="24"/>
          <w:szCs w:val="24"/>
          <w:shd w:val="clear" w:color="auto" w:fill="FFFFFF"/>
        </w:rPr>
        <w:t>Hassan HY, El-Sayed M, Salah MA, Zaghawa A. Efficacy of aloe vera gel leaves for treatment of skin affection amonge animals. Ii) treatment trial of calves dermatophytosis. 1rst Ann. Confr., FVM., Moshtohor. 2004.</w:t>
      </w:r>
    </w:p>
    <w:p w:rsidR="00633F51" w:rsidRPr="00010A38" w:rsidRDefault="00633F51" w:rsidP="003951C2">
      <w:pPr>
        <w:pStyle w:val="ListParagraph"/>
        <w:numPr>
          <w:ilvl w:val="0"/>
          <w:numId w:val="15"/>
        </w:numPr>
        <w:spacing w:after="0" w:line="360" w:lineRule="auto"/>
        <w:jc w:val="both"/>
        <w:rPr>
          <w:rFonts w:asciiTheme="majorHAnsi" w:eastAsia="Times New Roman" w:hAnsiTheme="majorHAnsi" w:cstheme="majorHAnsi"/>
          <w:sz w:val="24"/>
          <w:szCs w:val="24"/>
        </w:rPr>
      </w:pPr>
      <w:r w:rsidRPr="00010A38">
        <w:rPr>
          <w:rFonts w:asciiTheme="majorHAnsi" w:hAnsiTheme="majorHAnsi" w:cstheme="majorHAnsi"/>
          <w:sz w:val="24"/>
          <w:szCs w:val="24"/>
          <w:shd w:val="clear" w:color="auto" w:fill="FFFFFF"/>
        </w:rPr>
        <w:t>HILL NG. The prevention of ringworm. The Journal of State Medicine (1912-1937). 1928 May 1;36(5):276-80.</w:t>
      </w:r>
    </w:p>
    <w:p w:rsidR="00633F51" w:rsidRPr="00010A38" w:rsidRDefault="00633F51" w:rsidP="003951C2">
      <w:pPr>
        <w:pStyle w:val="ListParagraph"/>
        <w:numPr>
          <w:ilvl w:val="0"/>
          <w:numId w:val="15"/>
        </w:numPr>
        <w:spacing w:line="360" w:lineRule="auto"/>
        <w:jc w:val="both"/>
        <w:rPr>
          <w:rFonts w:asciiTheme="majorHAnsi" w:hAnsiTheme="majorHAnsi" w:cstheme="majorHAnsi"/>
          <w:sz w:val="24"/>
          <w:szCs w:val="24"/>
        </w:rPr>
      </w:pPr>
      <w:r w:rsidRPr="00010A38">
        <w:rPr>
          <w:rFonts w:asciiTheme="majorHAnsi" w:hAnsiTheme="majorHAnsi" w:cstheme="majorHAnsi"/>
          <w:sz w:val="24"/>
          <w:szCs w:val="24"/>
          <w:shd w:val="clear" w:color="auto" w:fill="FFFFFF"/>
        </w:rPr>
        <w:t>Lewis GM, Silvers SH, Cipollaro AC, Muskatblit E, Mitchell HH. Measures to Prevent and Control an Epidemic of Ringworm of Scalp. 1994.</w:t>
      </w:r>
    </w:p>
    <w:p w:rsidR="00633F51" w:rsidRPr="00010A38" w:rsidRDefault="00633F51" w:rsidP="003951C2">
      <w:pPr>
        <w:pStyle w:val="ListParagraph"/>
        <w:numPr>
          <w:ilvl w:val="0"/>
          <w:numId w:val="15"/>
        </w:numPr>
        <w:spacing w:line="360" w:lineRule="auto"/>
        <w:jc w:val="both"/>
        <w:rPr>
          <w:rFonts w:asciiTheme="majorHAnsi" w:hAnsiTheme="majorHAnsi" w:cstheme="majorHAnsi"/>
          <w:sz w:val="24"/>
          <w:szCs w:val="24"/>
        </w:rPr>
      </w:pPr>
      <w:r w:rsidRPr="00010A38">
        <w:rPr>
          <w:rFonts w:asciiTheme="majorHAnsi" w:hAnsiTheme="majorHAnsi" w:cstheme="majorHAnsi"/>
          <w:sz w:val="24"/>
          <w:szCs w:val="24"/>
        </w:rPr>
        <w:t xml:space="preserve">Liu J, Ge L, Mei H, Zheng H, Peng J, Liang G, Liu W. Comparative genomics and molecular analysis of Epidermophyton floccosum. Mycopathologia. 2021 Aug;186(4):487-97. </w:t>
      </w:r>
    </w:p>
    <w:p w:rsidR="00633F51" w:rsidRPr="00010A38" w:rsidRDefault="00633F51" w:rsidP="003951C2">
      <w:pPr>
        <w:pStyle w:val="ListParagraph"/>
        <w:numPr>
          <w:ilvl w:val="0"/>
          <w:numId w:val="15"/>
        </w:numPr>
        <w:spacing w:after="0"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McClellan KJ, Wiseman LR, Markham A. Terbinafine: an update of its use in superficial mycoses. Drugs. 1999 Jul;58:179-202.</w:t>
      </w:r>
    </w:p>
    <w:p w:rsidR="00633F51" w:rsidRPr="00010A38" w:rsidRDefault="00633F51" w:rsidP="003951C2">
      <w:pPr>
        <w:pStyle w:val="ListParagraph"/>
        <w:numPr>
          <w:ilvl w:val="0"/>
          <w:numId w:val="15"/>
        </w:numPr>
        <w:spacing w:after="0" w:line="360" w:lineRule="auto"/>
        <w:jc w:val="both"/>
        <w:rPr>
          <w:rFonts w:asciiTheme="majorHAnsi" w:eastAsia="Times New Roman" w:hAnsiTheme="majorHAnsi" w:cstheme="majorHAnsi"/>
          <w:sz w:val="24"/>
          <w:szCs w:val="24"/>
        </w:rPr>
      </w:pPr>
      <w:r w:rsidRPr="00010A38">
        <w:rPr>
          <w:rFonts w:asciiTheme="majorHAnsi" w:hAnsiTheme="majorHAnsi" w:cstheme="majorHAnsi"/>
          <w:sz w:val="24"/>
          <w:szCs w:val="24"/>
          <w:shd w:val="clear" w:color="auto" w:fill="FFFFFF"/>
        </w:rPr>
        <w:t>Nagansurkar SB, Bais SK, Zapake A. A review:-antifungal activity of some common herbal plants and its active constituents against ringworm. 2023.</w:t>
      </w:r>
    </w:p>
    <w:p w:rsidR="00633F51" w:rsidRPr="00010A38" w:rsidRDefault="00633F51" w:rsidP="003951C2">
      <w:pPr>
        <w:pStyle w:val="ListParagraph"/>
        <w:numPr>
          <w:ilvl w:val="0"/>
          <w:numId w:val="15"/>
        </w:numPr>
        <w:spacing w:line="360" w:lineRule="auto"/>
        <w:jc w:val="both"/>
        <w:rPr>
          <w:rFonts w:asciiTheme="majorHAnsi" w:hAnsiTheme="majorHAnsi" w:cstheme="majorHAnsi"/>
          <w:sz w:val="24"/>
          <w:szCs w:val="24"/>
          <w:shd w:val="clear" w:color="auto" w:fill="FFFFFF"/>
        </w:rPr>
      </w:pPr>
      <w:r w:rsidRPr="00010A38">
        <w:rPr>
          <w:rFonts w:asciiTheme="majorHAnsi" w:hAnsiTheme="majorHAnsi" w:cstheme="majorHAnsi"/>
          <w:sz w:val="24"/>
          <w:szCs w:val="24"/>
          <w:shd w:val="clear" w:color="auto" w:fill="FFFFFF"/>
        </w:rPr>
        <w:t>Nenoff P, Haustein UF, Brandt W. Antifungal activity of the essential oil of Melaleuca alternifolia (tea tree oil) against pathogenic fungi in vitro. Skin Pharmacology and Physiology. 1996 Mar 31;9(6):388-94.</w:t>
      </w:r>
    </w:p>
    <w:p w:rsidR="00633F51" w:rsidRPr="00010A38" w:rsidRDefault="00633F51" w:rsidP="003951C2">
      <w:pPr>
        <w:pStyle w:val="ListParagraph"/>
        <w:numPr>
          <w:ilvl w:val="0"/>
          <w:numId w:val="15"/>
        </w:numPr>
        <w:spacing w:line="360" w:lineRule="auto"/>
        <w:jc w:val="both"/>
        <w:rPr>
          <w:rFonts w:asciiTheme="majorHAnsi" w:hAnsiTheme="majorHAnsi" w:cstheme="majorHAnsi"/>
          <w:sz w:val="24"/>
          <w:szCs w:val="24"/>
          <w:shd w:val="clear" w:color="auto" w:fill="FFFFFF"/>
        </w:rPr>
      </w:pPr>
      <w:r w:rsidRPr="00010A38">
        <w:rPr>
          <w:rFonts w:asciiTheme="majorHAnsi" w:hAnsiTheme="majorHAnsi" w:cstheme="majorHAnsi"/>
          <w:sz w:val="24"/>
          <w:szCs w:val="24"/>
          <w:shd w:val="clear" w:color="auto" w:fill="FFFFFF"/>
        </w:rPr>
        <w:t xml:space="preserve">Pendones-Ulerio J, Martins-Lopes M, García-Garrote F, Hernández-Calvo P, Yuste-Chaves M, Gutiérrez-Zufiaurre MN. Ringworm by Nannizzia nana: </w:t>
      </w:r>
      <w:r w:rsidRPr="00010A38">
        <w:rPr>
          <w:rFonts w:asciiTheme="majorHAnsi" w:hAnsiTheme="majorHAnsi" w:cstheme="majorHAnsi"/>
          <w:sz w:val="24"/>
          <w:szCs w:val="24"/>
          <w:shd w:val="clear" w:color="auto" w:fill="FFFFFF"/>
        </w:rPr>
        <w:lastRenderedPageBreak/>
        <w:t>Clinical case and literature review. Enfermedades infecciosas y microbiologia clinica (English ed.). 2023 Oct 1;41(8):501-4.</w:t>
      </w:r>
    </w:p>
    <w:p w:rsidR="00633F51" w:rsidRPr="00010A38" w:rsidRDefault="00633F51" w:rsidP="003951C2">
      <w:pPr>
        <w:pStyle w:val="ListParagraph"/>
        <w:numPr>
          <w:ilvl w:val="0"/>
          <w:numId w:val="15"/>
        </w:numPr>
        <w:spacing w:line="360" w:lineRule="auto"/>
        <w:jc w:val="both"/>
        <w:rPr>
          <w:rFonts w:asciiTheme="majorHAnsi" w:hAnsiTheme="majorHAnsi" w:cstheme="majorHAnsi"/>
          <w:sz w:val="24"/>
          <w:szCs w:val="24"/>
          <w:shd w:val="clear" w:color="auto" w:fill="FFFFFF"/>
        </w:rPr>
      </w:pPr>
      <w:r w:rsidRPr="00010A38">
        <w:rPr>
          <w:rFonts w:asciiTheme="majorHAnsi" w:hAnsiTheme="majorHAnsi" w:cstheme="majorHAnsi"/>
          <w:sz w:val="24"/>
          <w:szCs w:val="24"/>
          <w:shd w:val="clear" w:color="auto" w:fill="FFFFFF"/>
        </w:rPr>
        <w:t>Reddy KR. Fungal Infections (Mycoses): Dermatophytoses (Tinea, Ringworm). Journal of Gandaki Medical College-Nepal. 2017 Aug 1;10(1).</w:t>
      </w:r>
    </w:p>
    <w:p w:rsidR="00633F51" w:rsidRPr="00010A38" w:rsidRDefault="00633F51" w:rsidP="003951C2">
      <w:pPr>
        <w:pStyle w:val="ListParagraph"/>
        <w:numPr>
          <w:ilvl w:val="0"/>
          <w:numId w:val="15"/>
        </w:numPr>
        <w:spacing w:after="0"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SHAPIRO AL, ROTHMAN S. Undecylenic acid in the treatment of dermatomycosis. Archives of Dermatology. 1983 Apr 1;119(4):345-50.</w:t>
      </w:r>
    </w:p>
    <w:p w:rsidR="00633F51" w:rsidRPr="00010A38" w:rsidRDefault="00633F51" w:rsidP="003951C2">
      <w:pPr>
        <w:pStyle w:val="ListParagraph"/>
        <w:numPr>
          <w:ilvl w:val="0"/>
          <w:numId w:val="15"/>
        </w:numPr>
        <w:spacing w:after="0"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Sousa YV, Santiago MG, de Souza BM, Keller KM, Oliveira CS, Mendoza L, Vilela RV, Goulart GA. Itraconazole in human medicine and veterinary practice. Journal of Medical Mycology. 2024 Mar 11:101473.</w:t>
      </w:r>
    </w:p>
    <w:p w:rsidR="00633F51" w:rsidRPr="00010A38" w:rsidRDefault="00633F51" w:rsidP="003951C2">
      <w:pPr>
        <w:pStyle w:val="ListParagraph"/>
        <w:numPr>
          <w:ilvl w:val="0"/>
          <w:numId w:val="15"/>
        </w:numPr>
        <w:spacing w:after="0" w:line="360" w:lineRule="auto"/>
        <w:jc w:val="both"/>
        <w:rPr>
          <w:rFonts w:asciiTheme="majorHAnsi" w:eastAsia="Times New Roman" w:hAnsiTheme="majorHAnsi" w:cstheme="majorHAnsi"/>
          <w:sz w:val="24"/>
          <w:szCs w:val="24"/>
        </w:rPr>
      </w:pPr>
      <w:r w:rsidRPr="00010A38">
        <w:rPr>
          <w:rFonts w:asciiTheme="majorHAnsi" w:hAnsiTheme="majorHAnsi" w:cstheme="majorHAnsi"/>
          <w:sz w:val="24"/>
          <w:szCs w:val="24"/>
          <w:shd w:val="clear" w:color="auto" w:fill="FFFFFF"/>
        </w:rPr>
        <w:t>Tatara AM, Rozich AJ, Kontoyiannis PD, Watson E, Albert ND, Bennett GN, Mikos AG. Econazole-releasing porous space maintainers for fungal periprosthetic joint infection. Journal of Materials Science: Materials in Medicine. 2018 May;29:1-0.</w:t>
      </w:r>
    </w:p>
    <w:p w:rsidR="00633F51" w:rsidRPr="00010A38" w:rsidRDefault="00633F51" w:rsidP="003951C2">
      <w:pPr>
        <w:pStyle w:val="ListParagraph"/>
        <w:numPr>
          <w:ilvl w:val="0"/>
          <w:numId w:val="15"/>
        </w:numPr>
        <w:spacing w:line="360" w:lineRule="auto"/>
        <w:jc w:val="both"/>
        <w:rPr>
          <w:rFonts w:asciiTheme="majorHAnsi" w:hAnsiTheme="majorHAnsi" w:cstheme="majorHAnsi"/>
          <w:sz w:val="24"/>
          <w:szCs w:val="24"/>
        </w:rPr>
      </w:pPr>
      <w:r w:rsidRPr="00010A38">
        <w:rPr>
          <w:rFonts w:asciiTheme="majorHAnsi" w:hAnsiTheme="majorHAnsi" w:cstheme="majorHAnsi"/>
          <w:sz w:val="24"/>
          <w:szCs w:val="24"/>
          <w:shd w:val="clear" w:color="auto" w:fill="FFFFFF"/>
        </w:rPr>
        <w:t>Van Cutsem J. The antifungal activity of ketoconazole. The American journal of medicine. 1983 Jan 24;74(1):9-15.</w:t>
      </w:r>
    </w:p>
    <w:p w:rsidR="00633F51" w:rsidRPr="00010A38" w:rsidRDefault="00633F51" w:rsidP="003951C2">
      <w:pPr>
        <w:pStyle w:val="ListParagraph"/>
        <w:numPr>
          <w:ilvl w:val="0"/>
          <w:numId w:val="15"/>
        </w:numPr>
        <w:spacing w:after="0" w:line="360" w:lineRule="auto"/>
        <w:jc w:val="both"/>
        <w:rPr>
          <w:rFonts w:asciiTheme="majorHAnsi" w:eastAsia="Times New Roman" w:hAnsiTheme="majorHAnsi" w:cstheme="majorHAnsi"/>
          <w:sz w:val="24"/>
          <w:szCs w:val="24"/>
        </w:rPr>
      </w:pPr>
      <w:r w:rsidRPr="00010A38">
        <w:rPr>
          <w:rFonts w:asciiTheme="majorHAnsi" w:hAnsiTheme="majorHAnsi" w:cstheme="majorHAnsi"/>
          <w:sz w:val="24"/>
          <w:szCs w:val="24"/>
          <w:shd w:val="clear" w:color="auto" w:fill="FFFFFF"/>
        </w:rPr>
        <w:t>Yee G, Al Aboud AM. Tinea Corporis.[Updated 2022 Aug 8]. StatPearls [Internet]. Treasure Island (FL): StatPearls Publishing. 2023.</w:t>
      </w:r>
    </w:p>
    <w:p w:rsidR="00633F51" w:rsidRPr="00010A38" w:rsidRDefault="00633F51" w:rsidP="003951C2">
      <w:pPr>
        <w:pStyle w:val="ListParagraph"/>
        <w:numPr>
          <w:ilvl w:val="0"/>
          <w:numId w:val="15"/>
        </w:numPr>
        <w:spacing w:after="0" w:line="360" w:lineRule="auto"/>
        <w:jc w:val="both"/>
        <w:rPr>
          <w:rFonts w:asciiTheme="majorHAnsi" w:eastAsia="Times New Roman" w:hAnsiTheme="majorHAnsi" w:cstheme="majorHAnsi"/>
          <w:sz w:val="24"/>
          <w:szCs w:val="24"/>
        </w:rPr>
      </w:pPr>
      <w:r w:rsidRPr="00010A38">
        <w:rPr>
          <w:rFonts w:asciiTheme="majorHAnsi" w:eastAsia="Times New Roman" w:hAnsiTheme="majorHAnsi" w:cstheme="majorHAnsi"/>
          <w:sz w:val="24"/>
          <w:szCs w:val="24"/>
        </w:rPr>
        <w:t>Yesudian R, Yesudian PD, Yesudian P. Oral treatment of ringworm with griseofulvin. Clinical &amp; Experimental Dermatology. 2021 Jul 1;46(5).</w:t>
      </w:r>
      <w:r w:rsidRPr="00010A38">
        <w:rPr>
          <w:rFonts w:asciiTheme="majorHAnsi" w:hAnsiTheme="majorHAnsi" w:cstheme="majorHAnsi"/>
          <w:sz w:val="24"/>
          <w:szCs w:val="24"/>
        </w:rPr>
        <w:br/>
      </w:r>
    </w:p>
    <w:sectPr w:rsidR="00633F51" w:rsidRPr="00010A38" w:rsidSect="00D23120">
      <w:pgSz w:w="12240" w:h="15840"/>
      <w:pgMar w:top="1440" w:right="1797" w:bottom="1440" w:left="179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AC1" w:rsidRDefault="00311AC1">
      <w:pPr>
        <w:spacing w:after="0" w:line="240" w:lineRule="auto"/>
      </w:pPr>
      <w:r>
        <w:separator/>
      </w:r>
    </w:p>
  </w:endnote>
  <w:endnote w:type="continuationSeparator" w:id="0">
    <w:p w:rsidR="00311AC1" w:rsidRDefault="00311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7E08" w:rsidRDefault="004C7E08">
    <w:r>
      <w:fldChar w:fldCharType="begin"/>
    </w:r>
    <w:r>
      <w:instrText>PAGE</w:instrText>
    </w:r>
    <w:r>
      <w:fldChar w:fldCharType="separate"/>
    </w:r>
    <w:r w:rsidR="00BF7EE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AC1" w:rsidRDefault="00311AC1">
      <w:pPr>
        <w:spacing w:after="0" w:line="240" w:lineRule="auto"/>
      </w:pPr>
      <w:r>
        <w:separator/>
      </w:r>
    </w:p>
  </w:footnote>
  <w:footnote w:type="continuationSeparator" w:id="0">
    <w:p w:rsidR="00311AC1" w:rsidRDefault="00311A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B75DD"/>
    <w:multiLevelType w:val="hybridMultilevel"/>
    <w:tmpl w:val="F2B0F102"/>
    <w:lvl w:ilvl="0" w:tplc="40090001">
      <w:start w:val="1"/>
      <w:numFmt w:val="bullet"/>
      <w:lvlText w:val=""/>
      <w:lvlJc w:val="left"/>
      <w:pPr>
        <w:ind w:left="1080" w:hanging="36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E866E7"/>
    <w:multiLevelType w:val="hybridMultilevel"/>
    <w:tmpl w:val="011266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1F43C2"/>
    <w:multiLevelType w:val="multilevel"/>
    <w:tmpl w:val="E05CAD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4B30C4"/>
    <w:multiLevelType w:val="hybridMultilevel"/>
    <w:tmpl w:val="009A5E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90500A"/>
    <w:multiLevelType w:val="multilevel"/>
    <w:tmpl w:val="E05CAD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D13F0F"/>
    <w:multiLevelType w:val="hybridMultilevel"/>
    <w:tmpl w:val="BAB66740"/>
    <w:lvl w:ilvl="0" w:tplc="4009000F">
      <w:start w:val="1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7C664A5"/>
    <w:multiLevelType w:val="multilevel"/>
    <w:tmpl w:val="9ED4AF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numFmt w:val="decimal"/>
      <w:lvlText w:val=""/>
      <w:lvlJc w:val="left"/>
    </w:lvl>
  </w:abstractNum>
  <w:abstractNum w:abstractNumId="7" w15:restartNumberingAfterBreak="0">
    <w:nsid w:val="3CDD30B2"/>
    <w:multiLevelType w:val="hybridMultilevel"/>
    <w:tmpl w:val="5BB001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CF93C10"/>
    <w:multiLevelType w:val="multilevel"/>
    <w:tmpl w:val="E2B620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9" w15:restartNumberingAfterBreak="0">
    <w:nsid w:val="522A4C0B"/>
    <w:multiLevelType w:val="multilevel"/>
    <w:tmpl w:val="E05CAD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5818A9"/>
    <w:multiLevelType w:val="hybridMultilevel"/>
    <w:tmpl w:val="7F5EB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2A23CD"/>
    <w:multiLevelType w:val="hybridMultilevel"/>
    <w:tmpl w:val="5D9CB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9A1315"/>
    <w:multiLevelType w:val="hybridMultilevel"/>
    <w:tmpl w:val="A47004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0C239A"/>
    <w:multiLevelType w:val="hybridMultilevel"/>
    <w:tmpl w:val="1B283132"/>
    <w:lvl w:ilvl="0" w:tplc="AE2EAE9C">
      <w:start w:val="1"/>
      <w:numFmt w:val="decimal"/>
      <w:lvlText w:val="%1."/>
      <w:lvlJc w:val="left"/>
      <w:pPr>
        <w:ind w:left="108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E84D40"/>
    <w:multiLevelType w:val="hybridMultilevel"/>
    <w:tmpl w:val="851E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4"/>
  </w:num>
  <w:num w:numId="4">
    <w:abstractNumId w:val="1"/>
  </w:num>
  <w:num w:numId="5">
    <w:abstractNumId w:val="11"/>
  </w:num>
  <w:num w:numId="6">
    <w:abstractNumId w:val="3"/>
  </w:num>
  <w:num w:numId="7">
    <w:abstractNumId w:val="10"/>
  </w:num>
  <w:num w:numId="8">
    <w:abstractNumId w:val="2"/>
  </w:num>
  <w:num w:numId="9">
    <w:abstractNumId w:val="9"/>
  </w:num>
  <w:num w:numId="10">
    <w:abstractNumId w:val="4"/>
  </w:num>
  <w:num w:numId="11">
    <w:abstractNumId w:val="13"/>
  </w:num>
  <w:num w:numId="12">
    <w:abstractNumId w:val="7"/>
  </w:num>
  <w:num w:numId="13">
    <w:abstractNumId w:val="5"/>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B4824"/>
    <w:rsid w:val="00010A38"/>
    <w:rsid w:val="0002149E"/>
    <w:rsid w:val="0002358A"/>
    <w:rsid w:val="000421ED"/>
    <w:rsid w:val="000603D7"/>
    <w:rsid w:val="00091845"/>
    <w:rsid w:val="000967F7"/>
    <w:rsid w:val="000C125D"/>
    <w:rsid w:val="000D0CEB"/>
    <w:rsid w:val="000D3598"/>
    <w:rsid w:val="000E038A"/>
    <w:rsid w:val="000E2260"/>
    <w:rsid w:val="00130BF9"/>
    <w:rsid w:val="001322EA"/>
    <w:rsid w:val="00154E66"/>
    <w:rsid w:val="00197FC6"/>
    <w:rsid w:val="001B3566"/>
    <w:rsid w:val="001B4824"/>
    <w:rsid w:val="001D12EA"/>
    <w:rsid w:val="001E61FE"/>
    <w:rsid w:val="001E74F9"/>
    <w:rsid w:val="00207B79"/>
    <w:rsid w:val="002245D6"/>
    <w:rsid w:val="00234A59"/>
    <w:rsid w:val="00237937"/>
    <w:rsid w:val="002568B0"/>
    <w:rsid w:val="00281084"/>
    <w:rsid w:val="002A7537"/>
    <w:rsid w:val="002D7BB6"/>
    <w:rsid w:val="002E5698"/>
    <w:rsid w:val="0031119F"/>
    <w:rsid w:val="00311AC1"/>
    <w:rsid w:val="003178B4"/>
    <w:rsid w:val="003220B3"/>
    <w:rsid w:val="00327080"/>
    <w:rsid w:val="003321E0"/>
    <w:rsid w:val="00360D61"/>
    <w:rsid w:val="00375DB9"/>
    <w:rsid w:val="00376641"/>
    <w:rsid w:val="003935D6"/>
    <w:rsid w:val="003951C2"/>
    <w:rsid w:val="003A4185"/>
    <w:rsid w:val="003A7AC8"/>
    <w:rsid w:val="003C2FFB"/>
    <w:rsid w:val="003C6D9F"/>
    <w:rsid w:val="003D57B2"/>
    <w:rsid w:val="003D74CF"/>
    <w:rsid w:val="003E25D4"/>
    <w:rsid w:val="003F0DB7"/>
    <w:rsid w:val="004378DA"/>
    <w:rsid w:val="0047691A"/>
    <w:rsid w:val="004C2EA2"/>
    <w:rsid w:val="004C7E08"/>
    <w:rsid w:val="004D4647"/>
    <w:rsid w:val="004F042C"/>
    <w:rsid w:val="00514114"/>
    <w:rsid w:val="00540CD2"/>
    <w:rsid w:val="005674E7"/>
    <w:rsid w:val="00576FBA"/>
    <w:rsid w:val="005C0CA5"/>
    <w:rsid w:val="005D2A3F"/>
    <w:rsid w:val="005F56DE"/>
    <w:rsid w:val="006304C6"/>
    <w:rsid w:val="00633F51"/>
    <w:rsid w:val="0064545F"/>
    <w:rsid w:val="0065338C"/>
    <w:rsid w:val="0066767B"/>
    <w:rsid w:val="0068486E"/>
    <w:rsid w:val="006A3A91"/>
    <w:rsid w:val="006A76BC"/>
    <w:rsid w:val="006B4FF9"/>
    <w:rsid w:val="006B70C6"/>
    <w:rsid w:val="006C2C55"/>
    <w:rsid w:val="006C7248"/>
    <w:rsid w:val="006C7912"/>
    <w:rsid w:val="006D09B6"/>
    <w:rsid w:val="006D1721"/>
    <w:rsid w:val="006E4A64"/>
    <w:rsid w:val="006F40ED"/>
    <w:rsid w:val="006F6B96"/>
    <w:rsid w:val="00721993"/>
    <w:rsid w:val="00730EF1"/>
    <w:rsid w:val="00782EC4"/>
    <w:rsid w:val="0078439F"/>
    <w:rsid w:val="007A444F"/>
    <w:rsid w:val="007A4D6E"/>
    <w:rsid w:val="007A5CFA"/>
    <w:rsid w:val="007B009C"/>
    <w:rsid w:val="007F468A"/>
    <w:rsid w:val="00810B47"/>
    <w:rsid w:val="008270D1"/>
    <w:rsid w:val="00846650"/>
    <w:rsid w:val="00866132"/>
    <w:rsid w:val="00890882"/>
    <w:rsid w:val="0089189E"/>
    <w:rsid w:val="008B46EE"/>
    <w:rsid w:val="008B5D97"/>
    <w:rsid w:val="008D45C0"/>
    <w:rsid w:val="008E0864"/>
    <w:rsid w:val="008F3F07"/>
    <w:rsid w:val="00910E4B"/>
    <w:rsid w:val="00923927"/>
    <w:rsid w:val="00933965"/>
    <w:rsid w:val="00993474"/>
    <w:rsid w:val="009A7608"/>
    <w:rsid w:val="009B2CE2"/>
    <w:rsid w:val="009C017B"/>
    <w:rsid w:val="009E1028"/>
    <w:rsid w:val="009E5945"/>
    <w:rsid w:val="009E6557"/>
    <w:rsid w:val="009F080C"/>
    <w:rsid w:val="00A22D47"/>
    <w:rsid w:val="00A27C6E"/>
    <w:rsid w:val="00A30C96"/>
    <w:rsid w:val="00A352AC"/>
    <w:rsid w:val="00A41FA7"/>
    <w:rsid w:val="00A64A05"/>
    <w:rsid w:val="00A82BFB"/>
    <w:rsid w:val="00A8374C"/>
    <w:rsid w:val="00A952B8"/>
    <w:rsid w:val="00AA0903"/>
    <w:rsid w:val="00AC0866"/>
    <w:rsid w:val="00AC1339"/>
    <w:rsid w:val="00AC2327"/>
    <w:rsid w:val="00B93690"/>
    <w:rsid w:val="00BA1487"/>
    <w:rsid w:val="00BA4D9F"/>
    <w:rsid w:val="00BA57EE"/>
    <w:rsid w:val="00BB080F"/>
    <w:rsid w:val="00BB3DB3"/>
    <w:rsid w:val="00BB7673"/>
    <w:rsid w:val="00BD35F7"/>
    <w:rsid w:val="00BD39E6"/>
    <w:rsid w:val="00BD4B17"/>
    <w:rsid w:val="00BE7E37"/>
    <w:rsid w:val="00BF7EE5"/>
    <w:rsid w:val="00C06884"/>
    <w:rsid w:val="00C36FBB"/>
    <w:rsid w:val="00C60656"/>
    <w:rsid w:val="00C96B8B"/>
    <w:rsid w:val="00CC08DB"/>
    <w:rsid w:val="00CC4E49"/>
    <w:rsid w:val="00CE19DE"/>
    <w:rsid w:val="00D21271"/>
    <w:rsid w:val="00D23120"/>
    <w:rsid w:val="00D7698A"/>
    <w:rsid w:val="00D77E6B"/>
    <w:rsid w:val="00D8233A"/>
    <w:rsid w:val="00DB42A4"/>
    <w:rsid w:val="00DD1E1E"/>
    <w:rsid w:val="00DE0D07"/>
    <w:rsid w:val="00E05719"/>
    <w:rsid w:val="00E07350"/>
    <w:rsid w:val="00E11756"/>
    <w:rsid w:val="00E61D38"/>
    <w:rsid w:val="00E71DB5"/>
    <w:rsid w:val="00E820A6"/>
    <w:rsid w:val="00E92FA9"/>
    <w:rsid w:val="00E94B36"/>
    <w:rsid w:val="00EA5B02"/>
    <w:rsid w:val="00EB50B4"/>
    <w:rsid w:val="00EB73C3"/>
    <w:rsid w:val="00EC2E93"/>
    <w:rsid w:val="00F32FF8"/>
    <w:rsid w:val="00F333F1"/>
    <w:rsid w:val="00F46CC1"/>
    <w:rsid w:val="00F812B1"/>
    <w:rsid w:val="00FC4291"/>
    <w:rsid w:val="00FD7B6C"/>
    <w:rsid w:val="00FF0EF7"/>
    <w:rsid w:val="00FF64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2124A"/>
  <w15:docId w15:val="{3E87262A-30B3-42FC-9613-F61A393DA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719"/>
  </w:style>
  <w:style w:type="paragraph" w:styleId="Heading1">
    <w:name w:val="heading 1"/>
    <w:uiPriority w:val="9"/>
    <w:qFormat/>
    <w:pPr>
      <w:keepNext/>
      <w:keepLines/>
      <w:spacing w:before="480"/>
      <w:outlineLvl w:val="0"/>
    </w:pPr>
    <w:rPr>
      <w:b/>
      <w:sz w:val="48"/>
      <w:szCs w:val="48"/>
    </w:rPr>
  </w:style>
  <w:style w:type="paragraph" w:styleId="Heading2">
    <w:name w:val="heading 2"/>
    <w:uiPriority w:val="9"/>
    <w:unhideWhenUsed/>
    <w:qFormat/>
    <w:pPr>
      <w:keepNext/>
      <w:keepLines/>
      <w:spacing w:before="360" w:after="80"/>
      <w:outlineLvl w:val="1"/>
    </w:pPr>
    <w:rPr>
      <w:b/>
      <w:sz w:val="36"/>
      <w:szCs w:val="36"/>
    </w:rPr>
  </w:style>
  <w:style w:type="paragraph" w:styleId="Heading3">
    <w:name w:val="heading 3"/>
    <w:uiPriority w:val="9"/>
    <w:semiHidden/>
    <w:unhideWhenUsed/>
    <w:qFormat/>
    <w:pPr>
      <w:keepNext/>
      <w:keepLines/>
      <w:spacing w:before="280" w:after="80"/>
      <w:outlineLvl w:val="2"/>
    </w:pPr>
    <w:rPr>
      <w:b/>
      <w:sz w:val="28"/>
      <w:szCs w:val="28"/>
    </w:rPr>
  </w:style>
  <w:style w:type="paragraph" w:styleId="Heading4">
    <w:name w:val="heading 4"/>
    <w:uiPriority w:val="9"/>
    <w:semiHidden/>
    <w:unhideWhenUsed/>
    <w:qFormat/>
    <w:pPr>
      <w:keepNext/>
      <w:keepLines/>
      <w:spacing w:before="240" w:after="40"/>
      <w:outlineLvl w:val="3"/>
    </w:pPr>
    <w:rPr>
      <w:b/>
      <w:sz w:val="24"/>
      <w:szCs w:val="24"/>
    </w:rPr>
  </w:style>
  <w:style w:type="paragraph" w:styleId="Heading5">
    <w:name w:val="heading 5"/>
    <w:uiPriority w:val="9"/>
    <w:semiHidden/>
    <w:unhideWhenUsed/>
    <w:qFormat/>
    <w:pPr>
      <w:keepNext/>
      <w:keepLines/>
      <w:spacing w:before="220" w:after="40"/>
      <w:outlineLvl w:val="4"/>
    </w:pPr>
    <w:rPr>
      <w:b/>
    </w:rPr>
  </w:style>
  <w:style w:type="paragraph" w:styleId="Heading6">
    <w:name w:val="heading 6"/>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table" w:customStyle="1" w:styleId="ListTable1Light-Accent51">
    <w:name w:val="List Table 1 Light - Accent 51"/>
    <w:basedOn w:val="TableNormal"/>
    <w:uiPriority w:val="46"/>
    <w:rsid w:val="006D09B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11">
    <w:name w:val="Grid Table 5 Dark - Accent 11"/>
    <w:basedOn w:val="TableNormal"/>
    <w:uiPriority w:val="50"/>
    <w:rsid w:val="006D09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
    <w:name w:val="Table Grid"/>
    <w:basedOn w:val="TableNormal"/>
    <w:uiPriority w:val="59"/>
    <w:rsid w:val="002A7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05719"/>
    <w:rPr>
      <w:b/>
      <w:bCs/>
    </w:rPr>
  </w:style>
  <w:style w:type="paragraph" w:styleId="NormalWeb">
    <w:name w:val="Normal (Web)"/>
    <w:basedOn w:val="Normal"/>
    <w:uiPriority w:val="99"/>
    <w:unhideWhenUsed/>
    <w:rsid w:val="00E05719"/>
    <w:pPr>
      <w:spacing w:before="100" w:beforeAutospacing="1" w:after="100" w:afterAutospacing="1" w:line="240" w:lineRule="auto"/>
    </w:pPr>
    <w:rPr>
      <w:rFonts w:eastAsia="Times New Roman" w:hAnsi="Times New Roman" w:cs="Times New Roman"/>
      <w:sz w:val="24"/>
      <w:szCs w:val="24"/>
    </w:rPr>
  </w:style>
  <w:style w:type="paragraph" w:styleId="ListParagraph">
    <w:name w:val="List Paragraph"/>
    <w:basedOn w:val="Normal"/>
    <w:uiPriority w:val="34"/>
    <w:qFormat/>
    <w:rsid w:val="00207B79"/>
    <w:pPr>
      <w:spacing w:after="200" w:line="276" w:lineRule="auto"/>
      <w:ind w:left="720"/>
      <w:contextualSpacing/>
    </w:pPr>
    <w:rPr>
      <w:rFonts w:asciiTheme="minorHAnsi"/>
    </w:rPr>
  </w:style>
  <w:style w:type="paragraph" w:styleId="BalloonText">
    <w:name w:val="Balloon Text"/>
    <w:basedOn w:val="Normal"/>
    <w:link w:val="BalloonTextChar"/>
    <w:uiPriority w:val="99"/>
    <w:semiHidden/>
    <w:unhideWhenUsed/>
    <w:rsid w:val="00E94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B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251945">
      <w:bodyDiv w:val="1"/>
      <w:marLeft w:val="0"/>
      <w:marRight w:val="0"/>
      <w:marTop w:val="0"/>
      <w:marBottom w:val="0"/>
      <w:divBdr>
        <w:top w:val="none" w:sz="0" w:space="0" w:color="auto"/>
        <w:left w:val="none" w:sz="0" w:space="0" w:color="auto"/>
        <w:bottom w:val="none" w:sz="0" w:space="0" w:color="auto"/>
        <w:right w:val="none" w:sz="0" w:space="0" w:color="auto"/>
      </w:divBdr>
    </w:div>
    <w:div w:id="308872438">
      <w:bodyDiv w:val="1"/>
      <w:marLeft w:val="0"/>
      <w:marRight w:val="0"/>
      <w:marTop w:val="0"/>
      <w:marBottom w:val="0"/>
      <w:divBdr>
        <w:top w:val="none" w:sz="0" w:space="0" w:color="auto"/>
        <w:left w:val="none" w:sz="0" w:space="0" w:color="auto"/>
        <w:bottom w:val="none" w:sz="0" w:space="0" w:color="auto"/>
        <w:right w:val="none" w:sz="0" w:space="0" w:color="auto"/>
      </w:divBdr>
    </w:div>
    <w:div w:id="373508413">
      <w:bodyDiv w:val="1"/>
      <w:marLeft w:val="0"/>
      <w:marRight w:val="0"/>
      <w:marTop w:val="0"/>
      <w:marBottom w:val="0"/>
      <w:divBdr>
        <w:top w:val="none" w:sz="0" w:space="0" w:color="auto"/>
        <w:left w:val="none" w:sz="0" w:space="0" w:color="auto"/>
        <w:bottom w:val="none" w:sz="0" w:space="0" w:color="auto"/>
        <w:right w:val="none" w:sz="0" w:space="0" w:color="auto"/>
      </w:divBdr>
    </w:div>
    <w:div w:id="639194025">
      <w:bodyDiv w:val="1"/>
      <w:marLeft w:val="0"/>
      <w:marRight w:val="0"/>
      <w:marTop w:val="0"/>
      <w:marBottom w:val="0"/>
      <w:divBdr>
        <w:top w:val="none" w:sz="0" w:space="0" w:color="auto"/>
        <w:left w:val="none" w:sz="0" w:space="0" w:color="auto"/>
        <w:bottom w:val="none" w:sz="0" w:space="0" w:color="auto"/>
        <w:right w:val="none" w:sz="0" w:space="0" w:color="auto"/>
      </w:divBdr>
    </w:div>
    <w:div w:id="919026021">
      <w:bodyDiv w:val="1"/>
      <w:marLeft w:val="0"/>
      <w:marRight w:val="0"/>
      <w:marTop w:val="0"/>
      <w:marBottom w:val="0"/>
      <w:divBdr>
        <w:top w:val="none" w:sz="0" w:space="0" w:color="auto"/>
        <w:left w:val="none" w:sz="0" w:space="0" w:color="auto"/>
        <w:bottom w:val="none" w:sz="0" w:space="0" w:color="auto"/>
        <w:right w:val="none" w:sz="0" w:space="0" w:color="auto"/>
      </w:divBdr>
    </w:div>
    <w:div w:id="962464370">
      <w:bodyDiv w:val="1"/>
      <w:marLeft w:val="0"/>
      <w:marRight w:val="0"/>
      <w:marTop w:val="0"/>
      <w:marBottom w:val="0"/>
      <w:divBdr>
        <w:top w:val="none" w:sz="0" w:space="0" w:color="auto"/>
        <w:left w:val="none" w:sz="0" w:space="0" w:color="auto"/>
        <w:bottom w:val="none" w:sz="0" w:space="0" w:color="auto"/>
        <w:right w:val="none" w:sz="0" w:space="0" w:color="auto"/>
      </w:divBdr>
    </w:div>
    <w:div w:id="1002048070">
      <w:bodyDiv w:val="1"/>
      <w:marLeft w:val="0"/>
      <w:marRight w:val="0"/>
      <w:marTop w:val="0"/>
      <w:marBottom w:val="0"/>
      <w:divBdr>
        <w:top w:val="none" w:sz="0" w:space="0" w:color="auto"/>
        <w:left w:val="none" w:sz="0" w:space="0" w:color="auto"/>
        <w:bottom w:val="none" w:sz="0" w:space="0" w:color="auto"/>
        <w:right w:val="none" w:sz="0" w:space="0" w:color="auto"/>
      </w:divBdr>
    </w:div>
    <w:div w:id="1049496317">
      <w:bodyDiv w:val="1"/>
      <w:marLeft w:val="0"/>
      <w:marRight w:val="0"/>
      <w:marTop w:val="0"/>
      <w:marBottom w:val="0"/>
      <w:divBdr>
        <w:top w:val="none" w:sz="0" w:space="0" w:color="auto"/>
        <w:left w:val="none" w:sz="0" w:space="0" w:color="auto"/>
        <w:bottom w:val="none" w:sz="0" w:space="0" w:color="auto"/>
        <w:right w:val="none" w:sz="0" w:space="0" w:color="auto"/>
      </w:divBdr>
    </w:div>
    <w:div w:id="1250194624">
      <w:bodyDiv w:val="1"/>
      <w:marLeft w:val="0"/>
      <w:marRight w:val="0"/>
      <w:marTop w:val="0"/>
      <w:marBottom w:val="0"/>
      <w:divBdr>
        <w:top w:val="none" w:sz="0" w:space="0" w:color="auto"/>
        <w:left w:val="none" w:sz="0" w:space="0" w:color="auto"/>
        <w:bottom w:val="none" w:sz="0" w:space="0" w:color="auto"/>
        <w:right w:val="none" w:sz="0" w:space="0" w:color="auto"/>
      </w:divBdr>
    </w:div>
    <w:div w:id="1331446138">
      <w:bodyDiv w:val="1"/>
      <w:marLeft w:val="0"/>
      <w:marRight w:val="0"/>
      <w:marTop w:val="0"/>
      <w:marBottom w:val="0"/>
      <w:divBdr>
        <w:top w:val="none" w:sz="0" w:space="0" w:color="auto"/>
        <w:left w:val="none" w:sz="0" w:space="0" w:color="auto"/>
        <w:bottom w:val="none" w:sz="0" w:space="0" w:color="auto"/>
        <w:right w:val="none" w:sz="0" w:space="0" w:color="auto"/>
      </w:divBdr>
    </w:div>
    <w:div w:id="1365249740">
      <w:bodyDiv w:val="1"/>
      <w:marLeft w:val="0"/>
      <w:marRight w:val="0"/>
      <w:marTop w:val="0"/>
      <w:marBottom w:val="0"/>
      <w:divBdr>
        <w:top w:val="none" w:sz="0" w:space="0" w:color="auto"/>
        <w:left w:val="none" w:sz="0" w:space="0" w:color="auto"/>
        <w:bottom w:val="none" w:sz="0" w:space="0" w:color="auto"/>
        <w:right w:val="none" w:sz="0" w:space="0" w:color="auto"/>
      </w:divBdr>
    </w:div>
    <w:div w:id="1406609592">
      <w:bodyDiv w:val="1"/>
      <w:marLeft w:val="0"/>
      <w:marRight w:val="0"/>
      <w:marTop w:val="0"/>
      <w:marBottom w:val="0"/>
      <w:divBdr>
        <w:top w:val="none" w:sz="0" w:space="0" w:color="auto"/>
        <w:left w:val="none" w:sz="0" w:space="0" w:color="auto"/>
        <w:bottom w:val="none" w:sz="0" w:space="0" w:color="auto"/>
        <w:right w:val="none" w:sz="0" w:space="0" w:color="auto"/>
      </w:divBdr>
    </w:div>
    <w:div w:id="1534612760">
      <w:bodyDiv w:val="1"/>
      <w:marLeft w:val="0"/>
      <w:marRight w:val="0"/>
      <w:marTop w:val="0"/>
      <w:marBottom w:val="0"/>
      <w:divBdr>
        <w:top w:val="none" w:sz="0" w:space="0" w:color="auto"/>
        <w:left w:val="none" w:sz="0" w:space="0" w:color="auto"/>
        <w:bottom w:val="none" w:sz="0" w:space="0" w:color="auto"/>
        <w:right w:val="none" w:sz="0" w:space="0" w:color="auto"/>
      </w:divBdr>
    </w:div>
    <w:div w:id="1650280632">
      <w:bodyDiv w:val="1"/>
      <w:marLeft w:val="0"/>
      <w:marRight w:val="0"/>
      <w:marTop w:val="0"/>
      <w:marBottom w:val="0"/>
      <w:divBdr>
        <w:top w:val="none" w:sz="0" w:space="0" w:color="auto"/>
        <w:left w:val="none" w:sz="0" w:space="0" w:color="auto"/>
        <w:bottom w:val="none" w:sz="0" w:space="0" w:color="auto"/>
        <w:right w:val="none" w:sz="0" w:space="0" w:color="auto"/>
      </w:divBdr>
    </w:div>
    <w:div w:id="1711804405">
      <w:bodyDiv w:val="1"/>
      <w:marLeft w:val="0"/>
      <w:marRight w:val="0"/>
      <w:marTop w:val="0"/>
      <w:marBottom w:val="0"/>
      <w:divBdr>
        <w:top w:val="none" w:sz="0" w:space="0" w:color="auto"/>
        <w:left w:val="none" w:sz="0" w:space="0" w:color="auto"/>
        <w:bottom w:val="none" w:sz="0" w:space="0" w:color="auto"/>
        <w:right w:val="none" w:sz="0" w:space="0" w:color="auto"/>
      </w:divBdr>
    </w:div>
    <w:div w:id="1712806009">
      <w:bodyDiv w:val="1"/>
      <w:marLeft w:val="0"/>
      <w:marRight w:val="0"/>
      <w:marTop w:val="0"/>
      <w:marBottom w:val="0"/>
      <w:divBdr>
        <w:top w:val="none" w:sz="0" w:space="0" w:color="auto"/>
        <w:left w:val="none" w:sz="0" w:space="0" w:color="auto"/>
        <w:bottom w:val="none" w:sz="0" w:space="0" w:color="auto"/>
        <w:right w:val="none" w:sz="0" w:space="0" w:color="auto"/>
      </w:divBdr>
    </w:div>
    <w:div w:id="1725567643">
      <w:bodyDiv w:val="1"/>
      <w:marLeft w:val="0"/>
      <w:marRight w:val="0"/>
      <w:marTop w:val="0"/>
      <w:marBottom w:val="0"/>
      <w:divBdr>
        <w:top w:val="none" w:sz="0" w:space="0" w:color="auto"/>
        <w:left w:val="none" w:sz="0" w:space="0" w:color="auto"/>
        <w:bottom w:val="none" w:sz="0" w:space="0" w:color="auto"/>
        <w:right w:val="none" w:sz="0" w:space="0" w:color="auto"/>
      </w:divBdr>
    </w:div>
    <w:div w:id="1752969667">
      <w:bodyDiv w:val="1"/>
      <w:marLeft w:val="0"/>
      <w:marRight w:val="0"/>
      <w:marTop w:val="0"/>
      <w:marBottom w:val="0"/>
      <w:divBdr>
        <w:top w:val="none" w:sz="0" w:space="0" w:color="auto"/>
        <w:left w:val="none" w:sz="0" w:space="0" w:color="auto"/>
        <w:bottom w:val="none" w:sz="0" w:space="0" w:color="auto"/>
        <w:right w:val="none" w:sz="0" w:space="0" w:color="auto"/>
      </w:divBdr>
    </w:div>
    <w:div w:id="1822891570">
      <w:bodyDiv w:val="1"/>
      <w:marLeft w:val="0"/>
      <w:marRight w:val="0"/>
      <w:marTop w:val="0"/>
      <w:marBottom w:val="0"/>
      <w:divBdr>
        <w:top w:val="none" w:sz="0" w:space="0" w:color="auto"/>
        <w:left w:val="none" w:sz="0" w:space="0" w:color="auto"/>
        <w:bottom w:val="none" w:sz="0" w:space="0" w:color="auto"/>
        <w:right w:val="none" w:sz="0" w:space="0" w:color="auto"/>
      </w:divBdr>
    </w:div>
    <w:div w:id="1934045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hyperlink" Target="https://www.webmd.com/skin-problems-and-treatments/what-you-should-know-about-ringworm" TargetMode="External"/><Relationship Id="rId39" Type="http://schemas.openxmlformats.org/officeDocument/2006/relationships/image" Target="media/image12.png"/><Relationship Id="rId21" Type="http://schemas.microsoft.com/office/2007/relationships/diagramDrawing" Target="diagrams/drawing2.xml"/><Relationship Id="rId34" Type="http://schemas.openxmlformats.org/officeDocument/2006/relationships/footer" Target="footer1.xm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diagramQuickStyle" Target="diagrams/quickStyle4.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hyperlink" Target="https://www.healthline.com/health/ringworm" TargetMode="External"/><Relationship Id="rId33" Type="http://schemas.microsoft.com/office/2007/relationships/diagramDrawing" Target="diagrams/drawing3.xm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Data" Target="diagrams/data3.xml"/><Relationship Id="rId41" Type="http://schemas.openxmlformats.org/officeDocument/2006/relationships/image" Target="media/image14.png"/><Relationship Id="rId54"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kinandhairacademy.in/article/ringworm-common-myths-facts/" TargetMode="External"/><Relationship Id="rId24" Type="http://schemas.openxmlformats.org/officeDocument/2006/relationships/hyperlink" Target="https://www.mayoclinic.org/diseases-conditions/ringworm-body/symptoms-causes/syc-20353780" TargetMode="External"/><Relationship Id="rId32" Type="http://schemas.openxmlformats.org/officeDocument/2006/relationships/diagramColors" Target="diagrams/colors3.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diagramData" Target="diagrams/data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s://www.healthline.com/health/ringworm" TargetMode="External"/><Relationship Id="rId28" Type="http://schemas.openxmlformats.org/officeDocument/2006/relationships/hyperlink" Target="https://www.everydayhealth.com/ringworm/guide/" TargetMode="External"/><Relationship Id="rId36" Type="http://schemas.openxmlformats.org/officeDocument/2006/relationships/image" Target="media/image9.png"/><Relationship Id="rId49" Type="http://schemas.openxmlformats.org/officeDocument/2006/relationships/image" Target="media/image22.png"/><Relationship Id="rId57" Type="http://schemas.microsoft.com/office/2007/relationships/diagramDrawing" Target="diagrams/drawing4.xml"/><Relationship Id="rId10" Type="http://schemas.openxmlformats.org/officeDocument/2006/relationships/hyperlink" Target="https://consensus.app/home/blog/myths-facts-about-ringworm/" TargetMode="External"/><Relationship Id="rId19" Type="http://schemas.openxmlformats.org/officeDocument/2006/relationships/diagramQuickStyle" Target="diagrams/quickStyle2.xml"/><Relationship Id="rId31" Type="http://schemas.openxmlformats.org/officeDocument/2006/relationships/diagramQuickStyle" Target="diagrams/quickStyle3.xml"/><Relationship Id="rId44" Type="http://schemas.openxmlformats.org/officeDocument/2006/relationships/image" Target="media/image17.png"/><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s://www.webmd.com/skin-problems-and-treatments/ringworm-myths-facts" TargetMode="External"/><Relationship Id="rId14" Type="http://schemas.openxmlformats.org/officeDocument/2006/relationships/diagramQuickStyle" Target="diagrams/quickStyle1.xml"/><Relationship Id="rId22" Type="http://schemas.openxmlformats.org/officeDocument/2006/relationships/hyperlink" Target="https://www.aad.org/public/diseases/a-z/ringworm-symptoms" TargetMode="External"/><Relationship Id="rId27" Type="http://schemas.openxmlformats.org/officeDocument/2006/relationships/hyperlink" Target="https://www.webmd.com/skin-problems-and-treatments/what-you-should-know-about-ringworm" TargetMode="External"/><Relationship Id="rId30" Type="http://schemas.openxmlformats.org/officeDocument/2006/relationships/diagramLayout" Target="diagrams/layout3.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diagramColors" Target="diagrams/colors4.xml"/><Relationship Id="rId8" Type="http://schemas.openxmlformats.org/officeDocument/2006/relationships/hyperlink" Target="mailto:fatimaneda67@gmail.com" TargetMode="External"/><Relationship Id="rId51" Type="http://schemas.openxmlformats.org/officeDocument/2006/relationships/image" Target="media/image24.png"/><Relationship Id="rId3" Type="http://schemas.openxmlformats.org/officeDocument/2006/relationships/styles" Target="styles.xml"/></Relationships>
</file>

<file path=word/diagrams/_rels/data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61AB90-1999-41BF-84E6-FBE6F5254C23}" type="doc">
      <dgm:prSet loTypeId="urn:microsoft.com/office/officeart/2005/8/layout/list1" loCatId="list" qsTypeId="urn:microsoft.com/office/officeart/2005/8/quickstyle/simple5" qsCatId="simple" csTypeId="urn:microsoft.com/office/officeart/2005/8/colors/colorful5" csCatId="colorful" phldr="1"/>
      <dgm:spPr/>
      <dgm:t>
        <a:bodyPr/>
        <a:lstStyle/>
        <a:p>
          <a:endParaRPr lang="en-US"/>
        </a:p>
      </dgm:t>
    </dgm:pt>
    <dgm:pt modelId="{F588C3CD-9A05-4DD7-BDD5-8A66A38415CF}">
      <dgm:prSet phldrT="[Text]" custT="1"/>
      <dgm:spPr/>
      <dgm:t>
        <a:bodyPr/>
        <a:lstStyle/>
        <a:p>
          <a:r>
            <a:rPr lang="en-US" sz="1000" b="1" dirty="0" smtClean="0">
              <a:solidFill>
                <a:sysClr val="windowText" lastClr="000000"/>
              </a:solidFill>
            </a:rPr>
            <a:t>Fungal Infection by Dermatophytes</a:t>
          </a:r>
          <a:endParaRPr lang="en-US" sz="1000" b="1" dirty="0">
            <a:solidFill>
              <a:sysClr val="windowText" lastClr="000000"/>
            </a:solidFill>
          </a:endParaRPr>
        </a:p>
      </dgm:t>
    </dgm:pt>
    <dgm:pt modelId="{C141861B-3409-43B9-A596-11B1D3C6F1EB}" type="parTrans" cxnId="{AEFE901C-AB55-4E69-9F0B-C93EC67D9A5C}">
      <dgm:prSet/>
      <dgm:spPr/>
      <dgm:t>
        <a:bodyPr/>
        <a:lstStyle/>
        <a:p>
          <a:endParaRPr lang="en-US"/>
        </a:p>
      </dgm:t>
    </dgm:pt>
    <dgm:pt modelId="{53706A13-E365-446B-8F58-D3D5BD621720}" type="sibTrans" cxnId="{AEFE901C-AB55-4E69-9F0B-C93EC67D9A5C}">
      <dgm:prSet/>
      <dgm:spPr/>
      <dgm:t>
        <a:bodyPr/>
        <a:lstStyle/>
        <a:p>
          <a:endParaRPr lang="en-US"/>
        </a:p>
      </dgm:t>
    </dgm:pt>
    <dgm:pt modelId="{DE111107-A0C9-4A77-B014-BCAC08658DBF}">
      <dgm:prSet phldrT="[Text]" custT="1"/>
      <dgm:spPr/>
      <dgm:t>
        <a:bodyPr/>
        <a:lstStyle/>
        <a:p>
          <a:r>
            <a:rPr lang="en-US" sz="1000" b="1" dirty="0" smtClean="0">
              <a:solidFill>
                <a:sysClr val="windowText" lastClr="000000"/>
              </a:solidFill>
            </a:rPr>
            <a:t>Direct Skin-to-Skin Contact with an Infected Person</a:t>
          </a:r>
          <a:endParaRPr lang="en-US" sz="1000" b="1" dirty="0">
            <a:solidFill>
              <a:sysClr val="windowText" lastClr="000000"/>
            </a:solidFill>
          </a:endParaRPr>
        </a:p>
      </dgm:t>
    </dgm:pt>
    <dgm:pt modelId="{03B4993F-2C87-42CB-AD21-3195D0CB93D8}" type="parTrans" cxnId="{A5F3EB73-8DCC-4CDF-A156-BBABB814FC65}">
      <dgm:prSet/>
      <dgm:spPr/>
      <dgm:t>
        <a:bodyPr/>
        <a:lstStyle/>
        <a:p>
          <a:endParaRPr lang="en-US"/>
        </a:p>
      </dgm:t>
    </dgm:pt>
    <dgm:pt modelId="{62A754C5-71F1-422E-A416-C0851E71F4EC}" type="sibTrans" cxnId="{A5F3EB73-8DCC-4CDF-A156-BBABB814FC65}">
      <dgm:prSet/>
      <dgm:spPr/>
      <dgm:t>
        <a:bodyPr/>
        <a:lstStyle/>
        <a:p>
          <a:endParaRPr lang="en-US"/>
        </a:p>
      </dgm:t>
    </dgm:pt>
    <dgm:pt modelId="{6CEEC2E4-802F-45A1-AA63-32F8E1CAF55D}">
      <dgm:prSet phldrT="[Text]" custT="1"/>
      <dgm:spPr/>
      <dgm:t>
        <a:bodyPr/>
        <a:lstStyle/>
        <a:p>
          <a:r>
            <a:rPr lang="en-US" sz="1000" b="1" dirty="0" smtClean="0">
              <a:solidFill>
                <a:sysClr val="windowText" lastClr="000000"/>
              </a:solidFill>
            </a:rPr>
            <a:t>Contact with Infected Animals</a:t>
          </a:r>
          <a:endParaRPr lang="en-US" sz="1000" b="1" dirty="0">
            <a:solidFill>
              <a:sysClr val="windowText" lastClr="000000"/>
            </a:solidFill>
          </a:endParaRPr>
        </a:p>
      </dgm:t>
    </dgm:pt>
    <dgm:pt modelId="{D3D8571A-D47F-4C06-A518-3161844D78A4}" type="parTrans" cxnId="{35346B14-D896-4B80-90A6-4904A1DF32F8}">
      <dgm:prSet/>
      <dgm:spPr/>
      <dgm:t>
        <a:bodyPr/>
        <a:lstStyle/>
        <a:p>
          <a:endParaRPr lang="en-US"/>
        </a:p>
      </dgm:t>
    </dgm:pt>
    <dgm:pt modelId="{B1673752-E7E6-471B-BDE9-39753FC4C192}" type="sibTrans" cxnId="{35346B14-D896-4B80-90A6-4904A1DF32F8}">
      <dgm:prSet/>
      <dgm:spPr/>
      <dgm:t>
        <a:bodyPr/>
        <a:lstStyle/>
        <a:p>
          <a:endParaRPr lang="en-US"/>
        </a:p>
      </dgm:t>
    </dgm:pt>
    <dgm:pt modelId="{A9186A09-D90E-49BC-A0A6-FCC6E4669293}">
      <dgm:prSet custT="1"/>
      <dgm:spPr/>
      <dgm:t>
        <a:bodyPr/>
        <a:lstStyle/>
        <a:p>
          <a:r>
            <a:rPr lang="en-US" sz="1000" smtClean="0">
              <a:solidFill>
                <a:sysClr val="windowText" lastClr="000000"/>
              </a:solidFill>
            </a:rPr>
            <a:t>Ringworm can spread through physical contact, particularly in cuts, scratches, or moist areas, transferring the fungus to the skin.</a:t>
          </a:r>
          <a:endParaRPr lang="en-US" sz="1000">
            <a:solidFill>
              <a:sysClr val="windowText" lastClr="000000"/>
            </a:solidFill>
          </a:endParaRPr>
        </a:p>
      </dgm:t>
    </dgm:pt>
    <dgm:pt modelId="{14730D59-BFBD-4BB3-9598-92663117349D}" type="parTrans" cxnId="{C5BB33BA-175D-4061-ACD6-DD3E25FEEB33}">
      <dgm:prSet/>
      <dgm:spPr/>
      <dgm:t>
        <a:bodyPr/>
        <a:lstStyle/>
        <a:p>
          <a:endParaRPr lang="en-US"/>
        </a:p>
      </dgm:t>
    </dgm:pt>
    <dgm:pt modelId="{0905F791-0A05-42AC-A3FB-8C9AB6C911B8}" type="sibTrans" cxnId="{C5BB33BA-175D-4061-ACD6-DD3E25FEEB33}">
      <dgm:prSet/>
      <dgm:spPr/>
      <dgm:t>
        <a:bodyPr/>
        <a:lstStyle/>
        <a:p>
          <a:endParaRPr lang="en-US"/>
        </a:p>
      </dgm:t>
    </dgm:pt>
    <dgm:pt modelId="{7D3B924D-9E3F-444B-A1DF-BEA368E3C8B9}">
      <dgm:prSet custT="1"/>
      <dgm:spPr/>
      <dgm:t>
        <a:bodyPr/>
        <a:lstStyle/>
        <a:p>
          <a:r>
            <a:rPr lang="en-US" sz="1000" dirty="0" smtClean="0">
              <a:solidFill>
                <a:sysClr val="windowText" lastClr="000000"/>
              </a:solidFill>
            </a:rPr>
            <a:t>Ringworm fungi can be transmitted through petting or grooming infected animals, especially those with bald patches or irritated skin.</a:t>
          </a:r>
          <a:endParaRPr lang="en-US" sz="1000" dirty="0">
            <a:solidFill>
              <a:sysClr val="windowText" lastClr="000000"/>
            </a:solidFill>
          </a:endParaRPr>
        </a:p>
      </dgm:t>
    </dgm:pt>
    <dgm:pt modelId="{53EB86D6-5AE7-4812-85B8-0CE55774BE73}" type="parTrans" cxnId="{2BFBA137-EC04-4786-92B6-3B5130D1155B}">
      <dgm:prSet/>
      <dgm:spPr/>
      <dgm:t>
        <a:bodyPr/>
        <a:lstStyle/>
        <a:p>
          <a:endParaRPr lang="en-US"/>
        </a:p>
      </dgm:t>
    </dgm:pt>
    <dgm:pt modelId="{268A8751-E196-4259-BD47-6175088C9480}" type="sibTrans" cxnId="{2BFBA137-EC04-4786-92B6-3B5130D1155B}">
      <dgm:prSet/>
      <dgm:spPr/>
      <dgm:t>
        <a:bodyPr/>
        <a:lstStyle/>
        <a:p>
          <a:endParaRPr lang="en-US"/>
        </a:p>
      </dgm:t>
    </dgm:pt>
    <dgm:pt modelId="{97F68BD4-A7EE-4686-9E28-15B2D67AFC43}">
      <dgm:prSet custT="1"/>
      <dgm:spPr/>
      <dgm:t>
        <a:bodyPr/>
        <a:lstStyle/>
        <a:p>
          <a:r>
            <a:rPr lang="en-US" sz="1000" b="1" dirty="0" smtClean="0">
              <a:solidFill>
                <a:sysClr val="windowText" lastClr="000000"/>
              </a:solidFill>
            </a:rPr>
            <a:t>Sharing Contaminated Personal Items</a:t>
          </a:r>
          <a:endParaRPr lang="en-US" sz="1000" b="1" dirty="0">
            <a:solidFill>
              <a:sysClr val="windowText" lastClr="000000"/>
            </a:solidFill>
          </a:endParaRPr>
        </a:p>
      </dgm:t>
    </dgm:pt>
    <dgm:pt modelId="{4D517A4E-D2C7-40A8-8C6E-681D0C2F4F73}" type="parTrans" cxnId="{CBF84333-48D3-44D5-A463-496FAADCE895}">
      <dgm:prSet/>
      <dgm:spPr/>
      <dgm:t>
        <a:bodyPr/>
        <a:lstStyle/>
        <a:p>
          <a:endParaRPr lang="en-US"/>
        </a:p>
      </dgm:t>
    </dgm:pt>
    <dgm:pt modelId="{586802C8-0D54-4729-95F8-04024E670F5B}" type="sibTrans" cxnId="{CBF84333-48D3-44D5-A463-496FAADCE895}">
      <dgm:prSet/>
      <dgm:spPr/>
      <dgm:t>
        <a:bodyPr/>
        <a:lstStyle/>
        <a:p>
          <a:endParaRPr lang="en-US"/>
        </a:p>
      </dgm:t>
    </dgm:pt>
    <dgm:pt modelId="{D49D3BEC-8863-4187-B08D-79C931D1DCB2}">
      <dgm:prSet custT="1"/>
      <dgm:spPr/>
      <dgm:t>
        <a:bodyPr/>
        <a:lstStyle/>
        <a:p>
          <a:r>
            <a:rPr lang="en-US" sz="1000" dirty="0">
              <a:solidFill>
                <a:sysClr val="windowText" lastClr="000000"/>
              </a:solidFill>
            </a:rPr>
            <a:t>Ringworm fungi can be transmitted through petting or grooming infected animals, especially those with bald patches or irritated skin.</a:t>
          </a:r>
        </a:p>
      </dgm:t>
    </dgm:pt>
    <dgm:pt modelId="{8DD2737A-98F9-47EF-84FC-A3896AD0E431}" type="parTrans" cxnId="{01EA3722-8942-4EE2-9C1E-3F4EEA5C766E}">
      <dgm:prSet/>
      <dgm:spPr/>
      <dgm:t>
        <a:bodyPr/>
        <a:lstStyle/>
        <a:p>
          <a:endParaRPr lang="en-US"/>
        </a:p>
      </dgm:t>
    </dgm:pt>
    <dgm:pt modelId="{173B9D22-E4DD-4172-8E76-EFEFA7C80245}" type="sibTrans" cxnId="{01EA3722-8942-4EE2-9C1E-3F4EEA5C766E}">
      <dgm:prSet/>
      <dgm:spPr/>
      <dgm:t>
        <a:bodyPr/>
        <a:lstStyle/>
        <a:p>
          <a:endParaRPr lang="en-US"/>
        </a:p>
      </dgm:t>
    </dgm:pt>
    <dgm:pt modelId="{A443E44A-8DE2-404F-B791-9FBAB38BCD93}">
      <dgm:prSet custT="1"/>
      <dgm:spPr/>
      <dgm:t>
        <a:bodyPr/>
        <a:lstStyle/>
        <a:p>
          <a:r>
            <a:rPr lang="en-US" sz="1000" b="1" dirty="0">
              <a:solidFill>
                <a:sysClr val="windowText" lastClr="000000"/>
              </a:solidFill>
            </a:rPr>
            <a:t>Walking Barefoot in Damp, Public Places</a:t>
          </a:r>
        </a:p>
      </dgm:t>
    </dgm:pt>
    <dgm:pt modelId="{EC739725-3E4F-4623-BC0E-497D599A0AA5}" type="parTrans" cxnId="{E08E6AEB-0F3E-4A93-B57C-3773746AAD8A}">
      <dgm:prSet/>
      <dgm:spPr/>
      <dgm:t>
        <a:bodyPr/>
        <a:lstStyle/>
        <a:p>
          <a:endParaRPr lang="en-US"/>
        </a:p>
      </dgm:t>
    </dgm:pt>
    <dgm:pt modelId="{3D5D5FB4-5C2E-4C69-B289-5EEC0CFB912C}" type="sibTrans" cxnId="{E08E6AEB-0F3E-4A93-B57C-3773746AAD8A}">
      <dgm:prSet/>
      <dgm:spPr/>
      <dgm:t>
        <a:bodyPr/>
        <a:lstStyle/>
        <a:p>
          <a:endParaRPr lang="en-US"/>
        </a:p>
      </dgm:t>
    </dgm:pt>
    <dgm:pt modelId="{DF9CA85F-2C62-491D-AC83-486E86CCD306}">
      <dgm:prSet custT="1"/>
      <dgm:spPr/>
      <dgm:t>
        <a:bodyPr/>
        <a:lstStyle/>
        <a:p>
          <a:r>
            <a:rPr lang="en-US" sz="1000">
              <a:solidFill>
                <a:sysClr val="windowText" lastClr="000000"/>
              </a:solidFill>
            </a:rPr>
            <a:t>Places like locker rooms, swimming pools, and public showers are breeding grounds for fungi, increasing the risk of ringworm, particularly on athlete's foot, due to moisture and warmth.</a:t>
          </a:r>
        </a:p>
      </dgm:t>
    </dgm:pt>
    <dgm:pt modelId="{EEAF6E49-7395-4CE6-BB5C-02237DC2E8C1}" type="parTrans" cxnId="{32A6EF9A-92F5-4CEA-B6A5-10585077FD29}">
      <dgm:prSet/>
      <dgm:spPr/>
      <dgm:t>
        <a:bodyPr/>
        <a:lstStyle/>
        <a:p>
          <a:endParaRPr lang="en-US"/>
        </a:p>
      </dgm:t>
    </dgm:pt>
    <dgm:pt modelId="{FA8B55A3-31F6-49E4-8F41-A237E3731045}" type="sibTrans" cxnId="{32A6EF9A-92F5-4CEA-B6A5-10585077FD29}">
      <dgm:prSet/>
      <dgm:spPr/>
      <dgm:t>
        <a:bodyPr/>
        <a:lstStyle/>
        <a:p>
          <a:endParaRPr lang="en-US"/>
        </a:p>
      </dgm:t>
    </dgm:pt>
    <dgm:pt modelId="{664BB1CE-94D3-4F0F-9155-9AC08985A81D}">
      <dgm:prSet custT="1"/>
      <dgm:spPr/>
      <dgm:t>
        <a:bodyPr/>
        <a:lstStyle/>
        <a:p>
          <a:r>
            <a:rPr lang="en-US" sz="1000" b="1">
              <a:solidFill>
                <a:sysClr val="windowText" lastClr="000000"/>
              </a:solidFill>
            </a:rPr>
            <a:t>Contact with Contaminated Soil</a:t>
          </a:r>
        </a:p>
      </dgm:t>
    </dgm:pt>
    <dgm:pt modelId="{74809CBF-FC1D-4EC3-876F-25A3F4D2E3EE}" type="parTrans" cxnId="{63DC66B2-26A8-4DAE-8A47-78C1E6154D61}">
      <dgm:prSet/>
      <dgm:spPr/>
      <dgm:t>
        <a:bodyPr/>
        <a:lstStyle/>
        <a:p>
          <a:endParaRPr lang="en-US"/>
        </a:p>
      </dgm:t>
    </dgm:pt>
    <dgm:pt modelId="{88C249CE-6AE5-4EE8-AB19-03A5FAC662C0}" type="sibTrans" cxnId="{63DC66B2-26A8-4DAE-8A47-78C1E6154D61}">
      <dgm:prSet/>
      <dgm:spPr/>
      <dgm:t>
        <a:bodyPr/>
        <a:lstStyle/>
        <a:p>
          <a:endParaRPr lang="en-US"/>
        </a:p>
      </dgm:t>
    </dgm:pt>
    <dgm:pt modelId="{E6951948-45EE-4F7C-B8FA-68B5ED456F88}">
      <dgm:prSet custT="1"/>
      <dgm:spPr/>
      <dgm:t>
        <a:bodyPr/>
        <a:lstStyle/>
        <a:p>
          <a:r>
            <a:rPr lang="en-US" sz="1000">
              <a:solidFill>
                <a:sysClr val="windowText" lastClr="000000"/>
              </a:solidFill>
            </a:rPr>
            <a:t>Ringworm, a less common but less common fungal disease, can spread through direct contact with soil containing fungal spores, particularly in those in agriculture or gardening who have prolonged ground contact.</a:t>
          </a:r>
        </a:p>
      </dgm:t>
    </dgm:pt>
    <dgm:pt modelId="{4465D5E2-3CED-462F-AAEC-36BCEB062ED6}" type="parTrans" cxnId="{6FB1337D-A7E1-49DB-B4D1-627D69168127}">
      <dgm:prSet/>
      <dgm:spPr/>
      <dgm:t>
        <a:bodyPr/>
        <a:lstStyle/>
        <a:p>
          <a:endParaRPr lang="en-US"/>
        </a:p>
      </dgm:t>
    </dgm:pt>
    <dgm:pt modelId="{DB8636DA-566C-4FDA-B13C-2D76E23C52C4}" type="sibTrans" cxnId="{6FB1337D-A7E1-49DB-B4D1-627D69168127}">
      <dgm:prSet/>
      <dgm:spPr/>
      <dgm:t>
        <a:bodyPr/>
        <a:lstStyle/>
        <a:p>
          <a:endParaRPr lang="en-US"/>
        </a:p>
      </dgm:t>
    </dgm:pt>
    <dgm:pt modelId="{0E7A3B81-95F1-4753-8F5B-E99CB0D9AA87}">
      <dgm:prSet custT="1"/>
      <dgm:spPr/>
      <dgm:t>
        <a:bodyPr/>
        <a:lstStyle/>
        <a:p>
          <a:r>
            <a:rPr lang="en-US" sz="1000" b="1">
              <a:solidFill>
                <a:sysClr val="windowText" lastClr="000000"/>
              </a:solidFill>
            </a:rPr>
            <a:t>Wearing Tight or Damp Clothing for Long Periods</a:t>
          </a:r>
        </a:p>
      </dgm:t>
    </dgm:pt>
    <dgm:pt modelId="{DF408D89-0B94-4F35-A425-55BAC66A9C22}" type="parTrans" cxnId="{BE27FC6E-6EA2-480A-88A0-463DBAEF96A9}">
      <dgm:prSet/>
      <dgm:spPr/>
      <dgm:t>
        <a:bodyPr/>
        <a:lstStyle/>
        <a:p>
          <a:endParaRPr lang="en-US"/>
        </a:p>
      </dgm:t>
    </dgm:pt>
    <dgm:pt modelId="{51544392-CB8D-409C-850C-F00654C6D667}" type="sibTrans" cxnId="{BE27FC6E-6EA2-480A-88A0-463DBAEF96A9}">
      <dgm:prSet/>
      <dgm:spPr/>
      <dgm:t>
        <a:bodyPr/>
        <a:lstStyle/>
        <a:p>
          <a:endParaRPr lang="en-US"/>
        </a:p>
      </dgm:t>
    </dgm:pt>
    <dgm:pt modelId="{6A670166-2106-4F95-A51F-2EF4B5BE5E7B}">
      <dgm:prSet custT="1"/>
      <dgm:spPr/>
      <dgm:t>
        <a:bodyPr/>
        <a:lstStyle/>
        <a:p>
          <a:r>
            <a:rPr lang="en-US" sz="1000">
              <a:solidFill>
                <a:sysClr val="windowText" lastClr="000000"/>
              </a:solidFill>
            </a:rPr>
            <a:t>Tight clothes trap sweat and heat, allowing fungi to multiply and infect the skin, especially in areas like the groin, armpits, or feet.</a:t>
          </a:r>
        </a:p>
      </dgm:t>
    </dgm:pt>
    <dgm:pt modelId="{1B62CF80-D53C-41AE-8360-3EF88C002877}" type="parTrans" cxnId="{EB717308-D2BF-4A73-829E-E7178B734FC5}">
      <dgm:prSet/>
      <dgm:spPr/>
      <dgm:t>
        <a:bodyPr/>
        <a:lstStyle/>
        <a:p>
          <a:endParaRPr lang="en-US"/>
        </a:p>
      </dgm:t>
    </dgm:pt>
    <dgm:pt modelId="{E56B69F7-392B-4F42-B01D-85207CE4B458}" type="sibTrans" cxnId="{EB717308-D2BF-4A73-829E-E7178B734FC5}">
      <dgm:prSet/>
      <dgm:spPr/>
      <dgm:t>
        <a:bodyPr/>
        <a:lstStyle/>
        <a:p>
          <a:endParaRPr lang="en-US"/>
        </a:p>
      </dgm:t>
    </dgm:pt>
    <dgm:pt modelId="{72FB146D-CE08-42B8-998A-73CD1ADA9DCE}">
      <dgm:prSet custT="1"/>
      <dgm:spPr/>
      <dgm:t>
        <a:bodyPr/>
        <a:lstStyle/>
        <a:p>
          <a:r>
            <a:rPr lang="en-US" sz="1000" b="1">
              <a:solidFill>
                <a:sysClr val="windowText" lastClr="000000"/>
              </a:solidFill>
            </a:rPr>
            <a:t>Weakened Immune System</a:t>
          </a:r>
        </a:p>
      </dgm:t>
    </dgm:pt>
    <dgm:pt modelId="{43ACECC0-FFA6-439A-9C65-476970DAA926}" type="parTrans" cxnId="{13E956D3-9633-40F2-9710-E606A8042EA5}">
      <dgm:prSet/>
      <dgm:spPr/>
      <dgm:t>
        <a:bodyPr/>
        <a:lstStyle/>
        <a:p>
          <a:endParaRPr lang="en-US"/>
        </a:p>
      </dgm:t>
    </dgm:pt>
    <dgm:pt modelId="{7091D03C-DA5F-4DA9-BE14-0D87F31E04D6}" type="sibTrans" cxnId="{13E956D3-9633-40F2-9710-E606A8042EA5}">
      <dgm:prSet/>
      <dgm:spPr/>
      <dgm:t>
        <a:bodyPr/>
        <a:lstStyle/>
        <a:p>
          <a:endParaRPr lang="en-US"/>
        </a:p>
      </dgm:t>
    </dgm:pt>
    <dgm:pt modelId="{0676CD27-5435-4BF3-8E48-3E71FE99581A}">
      <dgm:prSet custT="1"/>
      <dgm:spPr/>
      <dgm:t>
        <a:bodyPr/>
        <a:lstStyle/>
        <a:p>
          <a:r>
            <a:rPr lang="en-US" sz="1000">
              <a:solidFill>
                <a:sysClr val="windowText" lastClr="000000"/>
              </a:solidFill>
            </a:rPr>
            <a:t>Individuals with weakened immunity, such as those with diabetes, HIV, or chemotherapy, are more susceptible to fungal infections like ringworm due to their lower natural defenses.</a:t>
          </a:r>
        </a:p>
      </dgm:t>
    </dgm:pt>
    <dgm:pt modelId="{E7AA4719-6AB3-45CB-B0A0-94DA3B79F77D}" type="parTrans" cxnId="{CD08479E-B87F-46D3-91EC-C7277E825806}">
      <dgm:prSet/>
      <dgm:spPr/>
      <dgm:t>
        <a:bodyPr/>
        <a:lstStyle/>
        <a:p>
          <a:endParaRPr lang="en-US"/>
        </a:p>
      </dgm:t>
    </dgm:pt>
    <dgm:pt modelId="{7D613E1D-C8DC-4DF7-9C4D-A9376F1FE70E}" type="sibTrans" cxnId="{CD08479E-B87F-46D3-91EC-C7277E825806}">
      <dgm:prSet/>
      <dgm:spPr/>
      <dgm:t>
        <a:bodyPr/>
        <a:lstStyle/>
        <a:p>
          <a:endParaRPr lang="en-US"/>
        </a:p>
      </dgm:t>
    </dgm:pt>
    <dgm:pt modelId="{69D6EFEA-1FCD-44F0-9255-1075A76E9BD1}">
      <dgm:prSet custT="1"/>
      <dgm:spPr/>
      <dgm:t>
        <a:bodyPr/>
        <a:lstStyle/>
        <a:p>
          <a:r>
            <a:rPr lang="en-US" sz="1000" b="1">
              <a:solidFill>
                <a:sysClr val="windowText" lastClr="000000"/>
              </a:solidFill>
            </a:rPr>
            <a:t>Poor Hygiene Practices</a:t>
          </a:r>
        </a:p>
      </dgm:t>
    </dgm:pt>
    <dgm:pt modelId="{C0776FD4-BD40-49F9-B9B8-ADDD37C902BB}" type="parTrans" cxnId="{7D3E1917-FEFA-485F-8666-4ED13B874BEE}">
      <dgm:prSet/>
      <dgm:spPr/>
      <dgm:t>
        <a:bodyPr/>
        <a:lstStyle/>
        <a:p>
          <a:endParaRPr lang="en-US"/>
        </a:p>
      </dgm:t>
    </dgm:pt>
    <dgm:pt modelId="{9ADB15E3-3920-42C7-8F39-2F8BF2424AF1}" type="sibTrans" cxnId="{7D3E1917-FEFA-485F-8666-4ED13B874BEE}">
      <dgm:prSet/>
      <dgm:spPr/>
      <dgm:t>
        <a:bodyPr/>
        <a:lstStyle/>
        <a:p>
          <a:endParaRPr lang="en-US"/>
        </a:p>
      </dgm:t>
    </dgm:pt>
    <dgm:pt modelId="{CE28E1EB-E078-4B7E-BB6A-DCDB17DEA8F5}">
      <dgm:prSet custT="1"/>
      <dgm:spPr/>
      <dgm:t>
        <a:bodyPr/>
        <a:lstStyle/>
        <a:p>
          <a:r>
            <a:rPr lang="en-US" sz="1000">
              <a:solidFill>
                <a:sysClr val="windowText" lastClr="000000"/>
              </a:solidFill>
            </a:rPr>
            <a:t>Regular washing, especially after sweating or exercising, can facilitate the growth and spread of fungi, as dirty skin or clothes create an environment conducive to their growth.</a:t>
          </a:r>
        </a:p>
      </dgm:t>
    </dgm:pt>
    <dgm:pt modelId="{7706F60C-3E94-4E3B-B61E-BAD9310E2382}" type="parTrans" cxnId="{BE3C17A2-C088-4D24-A8C1-1A2EEF651E23}">
      <dgm:prSet/>
      <dgm:spPr/>
      <dgm:t>
        <a:bodyPr/>
        <a:lstStyle/>
        <a:p>
          <a:endParaRPr lang="en-US"/>
        </a:p>
      </dgm:t>
    </dgm:pt>
    <dgm:pt modelId="{A026D696-A17B-40B5-A958-5A10FA6859C2}" type="sibTrans" cxnId="{BE3C17A2-C088-4D24-A8C1-1A2EEF651E23}">
      <dgm:prSet/>
      <dgm:spPr/>
      <dgm:t>
        <a:bodyPr/>
        <a:lstStyle/>
        <a:p>
          <a:endParaRPr lang="en-US"/>
        </a:p>
      </dgm:t>
    </dgm:pt>
    <dgm:pt modelId="{4F040301-48C0-4A3D-96A0-F6E1E52143D4}">
      <dgm:prSet custT="1"/>
      <dgm:spPr/>
      <dgm:t>
        <a:bodyPr/>
        <a:lstStyle/>
        <a:p>
          <a:r>
            <a:rPr lang="en-US" sz="1000" b="1">
              <a:solidFill>
                <a:sysClr val="windowText" lastClr="000000"/>
              </a:solidFill>
            </a:rPr>
            <a:t>Participation in Contact Sports</a:t>
          </a:r>
        </a:p>
      </dgm:t>
    </dgm:pt>
    <dgm:pt modelId="{C155EDBC-4F24-444A-8E7A-AF0B456A51A2}" type="parTrans" cxnId="{5E86D01C-DEB3-4A1B-91F7-8E148D2B6EC6}">
      <dgm:prSet/>
      <dgm:spPr/>
      <dgm:t>
        <a:bodyPr/>
        <a:lstStyle/>
        <a:p>
          <a:endParaRPr lang="en-US"/>
        </a:p>
      </dgm:t>
    </dgm:pt>
    <dgm:pt modelId="{BEA57150-052B-4162-BB8D-879C5A64D2E8}" type="sibTrans" cxnId="{5E86D01C-DEB3-4A1B-91F7-8E148D2B6EC6}">
      <dgm:prSet/>
      <dgm:spPr/>
      <dgm:t>
        <a:bodyPr/>
        <a:lstStyle/>
        <a:p>
          <a:endParaRPr lang="en-US"/>
        </a:p>
      </dgm:t>
    </dgm:pt>
    <dgm:pt modelId="{D18EDCEE-B2A7-483B-BF53-858446778E3F}">
      <dgm:prSet custT="1"/>
      <dgm:spPr/>
      <dgm:t>
        <a:bodyPr/>
        <a:lstStyle/>
        <a:p>
          <a:r>
            <a:rPr lang="en-US" sz="1000">
              <a:solidFill>
                <a:sysClr val="windowText" lastClr="000000"/>
              </a:solidFill>
            </a:rPr>
            <a:t>Sports like wrestling, rugby, and martial arts pose a higher risk of infection spread due to close skin contact and shared equipment or mats.</a:t>
          </a:r>
        </a:p>
      </dgm:t>
    </dgm:pt>
    <dgm:pt modelId="{948CCA1D-FCCD-4D33-90B6-16D744990A04}" type="parTrans" cxnId="{C2CCB1DD-AC7E-42F6-9409-A323DE01F6B7}">
      <dgm:prSet/>
      <dgm:spPr/>
      <dgm:t>
        <a:bodyPr/>
        <a:lstStyle/>
        <a:p>
          <a:endParaRPr lang="en-US"/>
        </a:p>
      </dgm:t>
    </dgm:pt>
    <dgm:pt modelId="{D16BA3E8-0367-4E66-BC37-54B8B066D66F}" type="sibTrans" cxnId="{C2CCB1DD-AC7E-42F6-9409-A323DE01F6B7}">
      <dgm:prSet/>
      <dgm:spPr/>
      <dgm:t>
        <a:bodyPr/>
        <a:lstStyle/>
        <a:p>
          <a:endParaRPr lang="en-US"/>
        </a:p>
      </dgm:t>
    </dgm:pt>
    <dgm:pt modelId="{B790000B-8FDF-4257-B218-3A569A530694}">
      <dgm:prSet custT="1"/>
      <dgm:spPr/>
      <dgm:t>
        <a:bodyPr/>
        <a:lstStyle/>
        <a:p>
          <a:r>
            <a:rPr lang="en-US" sz="1000" dirty="0" smtClean="0">
              <a:solidFill>
                <a:sysClr val="windowText" lastClr="000000"/>
              </a:solidFill>
            </a:rPr>
            <a:t>Ringworm is caused by dermatophytes, fungi that feed on keratin in skin, hair, and nails, causing infections in various body parts depending on their growth location.</a:t>
          </a:r>
          <a:endParaRPr lang="en-US" sz="1000" dirty="0">
            <a:solidFill>
              <a:sysClr val="windowText" lastClr="000000"/>
            </a:solidFill>
          </a:endParaRPr>
        </a:p>
      </dgm:t>
    </dgm:pt>
    <dgm:pt modelId="{00ABEF1A-0CB2-4CF1-9282-1DD88FA1079C}" type="sibTrans" cxnId="{3D318BFA-8B6D-4A83-B13B-0DE34C8191BD}">
      <dgm:prSet/>
      <dgm:spPr/>
      <dgm:t>
        <a:bodyPr/>
        <a:lstStyle/>
        <a:p>
          <a:endParaRPr lang="en-US"/>
        </a:p>
      </dgm:t>
    </dgm:pt>
    <dgm:pt modelId="{0DFEA898-4022-4CE2-9F6B-82337DF7CDAD}" type="parTrans" cxnId="{3D318BFA-8B6D-4A83-B13B-0DE34C8191BD}">
      <dgm:prSet/>
      <dgm:spPr/>
      <dgm:t>
        <a:bodyPr/>
        <a:lstStyle/>
        <a:p>
          <a:endParaRPr lang="en-US"/>
        </a:p>
      </dgm:t>
    </dgm:pt>
    <dgm:pt modelId="{D7496F6A-2EC0-4F1D-A559-CDC6A72D0BFF}" type="pres">
      <dgm:prSet presAssocID="{3B61AB90-1999-41BF-84E6-FBE6F5254C23}" presName="linear" presStyleCnt="0">
        <dgm:presLayoutVars>
          <dgm:dir/>
          <dgm:animLvl val="lvl"/>
          <dgm:resizeHandles val="exact"/>
        </dgm:presLayoutVars>
      </dgm:prSet>
      <dgm:spPr/>
      <dgm:t>
        <a:bodyPr/>
        <a:lstStyle/>
        <a:p>
          <a:endParaRPr lang="en-US"/>
        </a:p>
      </dgm:t>
    </dgm:pt>
    <dgm:pt modelId="{97DA9925-6D33-459D-A7ED-FE524EA03EB6}" type="pres">
      <dgm:prSet presAssocID="{F588C3CD-9A05-4DD7-BDD5-8A66A38415CF}" presName="parentLin" presStyleCnt="0"/>
      <dgm:spPr/>
      <dgm:t>
        <a:bodyPr/>
        <a:lstStyle/>
        <a:p>
          <a:endParaRPr lang="en-US"/>
        </a:p>
      </dgm:t>
    </dgm:pt>
    <dgm:pt modelId="{8B4D41DF-9DA0-4F01-8687-BAB405880341}" type="pres">
      <dgm:prSet presAssocID="{F588C3CD-9A05-4DD7-BDD5-8A66A38415CF}" presName="parentLeftMargin" presStyleLbl="node1" presStyleIdx="0" presStyleCnt="10"/>
      <dgm:spPr/>
      <dgm:t>
        <a:bodyPr/>
        <a:lstStyle/>
        <a:p>
          <a:endParaRPr lang="en-US"/>
        </a:p>
      </dgm:t>
    </dgm:pt>
    <dgm:pt modelId="{E94925DD-8CC2-41AC-8357-4FEF7D59D642}" type="pres">
      <dgm:prSet presAssocID="{F588C3CD-9A05-4DD7-BDD5-8A66A38415CF}" presName="parentText" presStyleLbl="node1" presStyleIdx="0" presStyleCnt="10">
        <dgm:presLayoutVars>
          <dgm:chMax val="0"/>
          <dgm:bulletEnabled val="1"/>
        </dgm:presLayoutVars>
      </dgm:prSet>
      <dgm:spPr/>
      <dgm:t>
        <a:bodyPr/>
        <a:lstStyle/>
        <a:p>
          <a:endParaRPr lang="en-US"/>
        </a:p>
      </dgm:t>
    </dgm:pt>
    <dgm:pt modelId="{F9488FD0-48DC-4A64-A68B-72EA98A078A5}" type="pres">
      <dgm:prSet presAssocID="{F588C3CD-9A05-4DD7-BDD5-8A66A38415CF}" presName="negativeSpace" presStyleCnt="0"/>
      <dgm:spPr/>
      <dgm:t>
        <a:bodyPr/>
        <a:lstStyle/>
        <a:p>
          <a:endParaRPr lang="en-US"/>
        </a:p>
      </dgm:t>
    </dgm:pt>
    <dgm:pt modelId="{4DA6DB84-5D20-44DE-8641-5D4522C07200}" type="pres">
      <dgm:prSet presAssocID="{F588C3CD-9A05-4DD7-BDD5-8A66A38415CF}" presName="childText" presStyleLbl="conFgAcc1" presStyleIdx="0" presStyleCnt="10">
        <dgm:presLayoutVars>
          <dgm:bulletEnabled val="1"/>
        </dgm:presLayoutVars>
      </dgm:prSet>
      <dgm:spPr/>
      <dgm:t>
        <a:bodyPr/>
        <a:lstStyle/>
        <a:p>
          <a:endParaRPr lang="en-US"/>
        </a:p>
      </dgm:t>
    </dgm:pt>
    <dgm:pt modelId="{8AF923C2-52F4-4688-A8D7-2185AE7B2C2A}" type="pres">
      <dgm:prSet presAssocID="{53706A13-E365-446B-8F58-D3D5BD621720}" presName="spaceBetweenRectangles" presStyleCnt="0"/>
      <dgm:spPr/>
      <dgm:t>
        <a:bodyPr/>
        <a:lstStyle/>
        <a:p>
          <a:endParaRPr lang="en-US"/>
        </a:p>
      </dgm:t>
    </dgm:pt>
    <dgm:pt modelId="{84FA8439-57E6-412A-B8CB-161B6E806F7C}" type="pres">
      <dgm:prSet presAssocID="{DE111107-A0C9-4A77-B014-BCAC08658DBF}" presName="parentLin" presStyleCnt="0"/>
      <dgm:spPr/>
      <dgm:t>
        <a:bodyPr/>
        <a:lstStyle/>
        <a:p>
          <a:endParaRPr lang="en-US"/>
        </a:p>
      </dgm:t>
    </dgm:pt>
    <dgm:pt modelId="{4A0F2E68-9A68-49CD-9330-4F4C2F2C2EFC}" type="pres">
      <dgm:prSet presAssocID="{DE111107-A0C9-4A77-B014-BCAC08658DBF}" presName="parentLeftMargin" presStyleLbl="node1" presStyleIdx="0" presStyleCnt="10"/>
      <dgm:spPr/>
      <dgm:t>
        <a:bodyPr/>
        <a:lstStyle/>
        <a:p>
          <a:endParaRPr lang="en-US"/>
        </a:p>
      </dgm:t>
    </dgm:pt>
    <dgm:pt modelId="{A46EC397-08DF-40CC-940B-3070F7484BD3}" type="pres">
      <dgm:prSet presAssocID="{DE111107-A0C9-4A77-B014-BCAC08658DBF}" presName="parentText" presStyleLbl="node1" presStyleIdx="1" presStyleCnt="10">
        <dgm:presLayoutVars>
          <dgm:chMax val="0"/>
          <dgm:bulletEnabled val="1"/>
        </dgm:presLayoutVars>
      </dgm:prSet>
      <dgm:spPr/>
      <dgm:t>
        <a:bodyPr/>
        <a:lstStyle/>
        <a:p>
          <a:endParaRPr lang="en-US"/>
        </a:p>
      </dgm:t>
    </dgm:pt>
    <dgm:pt modelId="{AF91EA2B-3EA4-4229-8E98-2FBA1F480FB1}" type="pres">
      <dgm:prSet presAssocID="{DE111107-A0C9-4A77-B014-BCAC08658DBF}" presName="negativeSpace" presStyleCnt="0"/>
      <dgm:spPr/>
      <dgm:t>
        <a:bodyPr/>
        <a:lstStyle/>
        <a:p>
          <a:endParaRPr lang="en-US"/>
        </a:p>
      </dgm:t>
    </dgm:pt>
    <dgm:pt modelId="{FFDF84DF-681A-49D1-A3FE-8A952C9CD5BD}" type="pres">
      <dgm:prSet presAssocID="{DE111107-A0C9-4A77-B014-BCAC08658DBF}" presName="childText" presStyleLbl="conFgAcc1" presStyleIdx="1" presStyleCnt="10">
        <dgm:presLayoutVars>
          <dgm:bulletEnabled val="1"/>
        </dgm:presLayoutVars>
      </dgm:prSet>
      <dgm:spPr/>
      <dgm:t>
        <a:bodyPr/>
        <a:lstStyle/>
        <a:p>
          <a:endParaRPr lang="en-US"/>
        </a:p>
      </dgm:t>
    </dgm:pt>
    <dgm:pt modelId="{A0A437F5-E70C-46F3-BA5D-F64207DF1369}" type="pres">
      <dgm:prSet presAssocID="{62A754C5-71F1-422E-A416-C0851E71F4EC}" presName="spaceBetweenRectangles" presStyleCnt="0"/>
      <dgm:spPr/>
      <dgm:t>
        <a:bodyPr/>
        <a:lstStyle/>
        <a:p>
          <a:endParaRPr lang="en-US"/>
        </a:p>
      </dgm:t>
    </dgm:pt>
    <dgm:pt modelId="{47AB9756-76AD-417A-9681-67FA1E53A5F1}" type="pres">
      <dgm:prSet presAssocID="{6CEEC2E4-802F-45A1-AA63-32F8E1CAF55D}" presName="parentLin" presStyleCnt="0"/>
      <dgm:spPr/>
      <dgm:t>
        <a:bodyPr/>
        <a:lstStyle/>
        <a:p>
          <a:endParaRPr lang="en-US"/>
        </a:p>
      </dgm:t>
    </dgm:pt>
    <dgm:pt modelId="{6DD8575E-32E6-4AF1-A3F2-B6D8FBA7BBF3}" type="pres">
      <dgm:prSet presAssocID="{6CEEC2E4-802F-45A1-AA63-32F8E1CAF55D}" presName="parentLeftMargin" presStyleLbl="node1" presStyleIdx="1" presStyleCnt="10"/>
      <dgm:spPr/>
      <dgm:t>
        <a:bodyPr/>
        <a:lstStyle/>
        <a:p>
          <a:endParaRPr lang="en-US"/>
        </a:p>
      </dgm:t>
    </dgm:pt>
    <dgm:pt modelId="{9120622B-2E5E-49EE-983E-2F2EEB852EC9}" type="pres">
      <dgm:prSet presAssocID="{6CEEC2E4-802F-45A1-AA63-32F8E1CAF55D}" presName="parentText" presStyleLbl="node1" presStyleIdx="2" presStyleCnt="10">
        <dgm:presLayoutVars>
          <dgm:chMax val="0"/>
          <dgm:bulletEnabled val="1"/>
        </dgm:presLayoutVars>
      </dgm:prSet>
      <dgm:spPr/>
      <dgm:t>
        <a:bodyPr/>
        <a:lstStyle/>
        <a:p>
          <a:endParaRPr lang="en-US"/>
        </a:p>
      </dgm:t>
    </dgm:pt>
    <dgm:pt modelId="{202F6251-F945-4674-8F18-CEF7FC6FCC30}" type="pres">
      <dgm:prSet presAssocID="{6CEEC2E4-802F-45A1-AA63-32F8E1CAF55D}" presName="negativeSpace" presStyleCnt="0"/>
      <dgm:spPr/>
      <dgm:t>
        <a:bodyPr/>
        <a:lstStyle/>
        <a:p>
          <a:endParaRPr lang="en-US"/>
        </a:p>
      </dgm:t>
    </dgm:pt>
    <dgm:pt modelId="{735B2B2D-3732-4477-8C9D-3777C9A5830A}" type="pres">
      <dgm:prSet presAssocID="{6CEEC2E4-802F-45A1-AA63-32F8E1CAF55D}" presName="childText" presStyleLbl="conFgAcc1" presStyleIdx="2" presStyleCnt="10">
        <dgm:presLayoutVars>
          <dgm:bulletEnabled val="1"/>
        </dgm:presLayoutVars>
      </dgm:prSet>
      <dgm:spPr/>
      <dgm:t>
        <a:bodyPr/>
        <a:lstStyle/>
        <a:p>
          <a:endParaRPr lang="en-US"/>
        </a:p>
      </dgm:t>
    </dgm:pt>
    <dgm:pt modelId="{1C50AA19-953C-47B1-B4EC-D74AB78EEAC4}" type="pres">
      <dgm:prSet presAssocID="{B1673752-E7E6-471B-BDE9-39753FC4C192}" presName="spaceBetweenRectangles" presStyleCnt="0"/>
      <dgm:spPr/>
      <dgm:t>
        <a:bodyPr/>
        <a:lstStyle/>
        <a:p>
          <a:endParaRPr lang="en-US"/>
        </a:p>
      </dgm:t>
    </dgm:pt>
    <dgm:pt modelId="{AD587D0B-77C7-4890-82FD-1F73D27B3972}" type="pres">
      <dgm:prSet presAssocID="{97F68BD4-A7EE-4686-9E28-15B2D67AFC43}" presName="parentLin" presStyleCnt="0"/>
      <dgm:spPr/>
      <dgm:t>
        <a:bodyPr/>
        <a:lstStyle/>
        <a:p>
          <a:endParaRPr lang="en-US"/>
        </a:p>
      </dgm:t>
    </dgm:pt>
    <dgm:pt modelId="{F59E9CB4-1A44-4D9C-AF72-F36E498DC3F8}" type="pres">
      <dgm:prSet presAssocID="{97F68BD4-A7EE-4686-9E28-15B2D67AFC43}" presName="parentLeftMargin" presStyleLbl="node1" presStyleIdx="2" presStyleCnt="10"/>
      <dgm:spPr/>
      <dgm:t>
        <a:bodyPr/>
        <a:lstStyle/>
        <a:p>
          <a:endParaRPr lang="en-US"/>
        </a:p>
      </dgm:t>
    </dgm:pt>
    <dgm:pt modelId="{01490E3D-F347-408C-ADCC-9DDC835124AD}" type="pres">
      <dgm:prSet presAssocID="{97F68BD4-A7EE-4686-9E28-15B2D67AFC43}" presName="parentText" presStyleLbl="node1" presStyleIdx="3" presStyleCnt="10">
        <dgm:presLayoutVars>
          <dgm:chMax val="0"/>
          <dgm:bulletEnabled val="1"/>
        </dgm:presLayoutVars>
      </dgm:prSet>
      <dgm:spPr/>
      <dgm:t>
        <a:bodyPr/>
        <a:lstStyle/>
        <a:p>
          <a:endParaRPr lang="en-US"/>
        </a:p>
      </dgm:t>
    </dgm:pt>
    <dgm:pt modelId="{993D984F-320D-4B7A-AF05-EFE69DEB76B9}" type="pres">
      <dgm:prSet presAssocID="{97F68BD4-A7EE-4686-9E28-15B2D67AFC43}" presName="negativeSpace" presStyleCnt="0"/>
      <dgm:spPr/>
      <dgm:t>
        <a:bodyPr/>
        <a:lstStyle/>
        <a:p>
          <a:endParaRPr lang="en-US"/>
        </a:p>
      </dgm:t>
    </dgm:pt>
    <dgm:pt modelId="{1959183C-377E-4BDF-B1E0-94317E75E295}" type="pres">
      <dgm:prSet presAssocID="{97F68BD4-A7EE-4686-9E28-15B2D67AFC43}" presName="childText" presStyleLbl="conFgAcc1" presStyleIdx="3" presStyleCnt="10">
        <dgm:presLayoutVars>
          <dgm:bulletEnabled val="1"/>
        </dgm:presLayoutVars>
      </dgm:prSet>
      <dgm:spPr/>
      <dgm:t>
        <a:bodyPr/>
        <a:lstStyle/>
        <a:p>
          <a:endParaRPr lang="en-US"/>
        </a:p>
      </dgm:t>
    </dgm:pt>
    <dgm:pt modelId="{9369533D-9683-4F51-BB5D-796BC2BEB7EF}" type="pres">
      <dgm:prSet presAssocID="{586802C8-0D54-4729-95F8-04024E670F5B}" presName="spaceBetweenRectangles" presStyleCnt="0"/>
      <dgm:spPr/>
      <dgm:t>
        <a:bodyPr/>
        <a:lstStyle/>
        <a:p>
          <a:endParaRPr lang="en-US"/>
        </a:p>
      </dgm:t>
    </dgm:pt>
    <dgm:pt modelId="{30E18AC9-A881-4483-86DD-D841EF3A5E0D}" type="pres">
      <dgm:prSet presAssocID="{A443E44A-8DE2-404F-B791-9FBAB38BCD93}" presName="parentLin" presStyleCnt="0"/>
      <dgm:spPr/>
      <dgm:t>
        <a:bodyPr/>
        <a:lstStyle/>
        <a:p>
          <a:endParaRPr lang="en-US"/>
        </a:p>
      </dgm:t>
    </dgm:pt>
    <dgm:pt modelId="{F0DBBEED-190A-4A7D-9C8A-6FF1757A1CB0}" type="pres">
      <dgm:prSet presAssocID="{A443E44A-8DE2-404F-B791-9FBAB38BCD93}" presName="parentLeftMargin" presStyleLbl="node1" presStyleIdx="3" presStyleCnt="10"/>
      <dgm:spPr/>
      <dgm:t>
        <a:bodyPr/>
        <a:lstStyle/>
        <a:p>
          <a:endParaRPr lang="en-US"/>
        </a:p>
      </dgm:t>
    </dgm:pt>
    <dgm:pt modelId="{71A2CA17-E56B-41F8-8935-CD5BCD43B632}" type="pres">
      <dgm:prSet presAssocID="{A443E44A-8DE2-404F-B791-9FBAB38BCD93}" presName="parentText" presStyleLbl="node1" presStyleIdx="4" presStyleCnt="10">
        <dgm:presLayoutVars>
          <dgm:chMax val="0"/>
          <dgm:bulletEnabled val="1"/>
        </dgm:presLayoutVars>
      </dgm:prSet>
      <dgm:spPr/>
      <dgm:t>
        <a:bodyPr/>
        <a:lstStyle/>
        <a:p>
          <a:endParaRPr lang="en-US"/>
        </a:p>
      </dgm:t>
    </dgm:pt>
    <dgm:pt modelId="{BC758053-0DD7-4338-B861-7C38EF70114B}" type="pres">
      <dgm:prSet presAssocID="{A443E44A-8DE2-404F-B791-9FBAB38BCD93}" presName="negativeSpace" presStyleCnt="0"/>
      <dgm:spPr/>
      <dgm:t>
        <a:bodyPr/>
        <a:lstStyle/>
        <a:p>
          <a:endParaRPr lang="en-US"/>
        </a:p>
      </dgm:t>
    </dgm:pt>
    <dgm:pt modelId="{512BB012-0305-4F8D-9CA9-89CAC0CA0580}" type="pres">
      <dgm:prSet presAssocID="{A443E44A-8DE2-404F-B791-9FBAB38BCD93}" presName="childText" presStyleLbl="conFgAcc1" presStyleIdx="4" presStyleCnt="10">
        <dgm:presLayoutVars>
          <dgm:bulletEnabled val="1"/>
        </dgm:presLayoutVars>
      </dgm:prSet>
      <dgm:spPr/>
      <dgm:t>
        <a:bodyPr/>
        <a:lstStyle/>
        <a:p>
          <a:endParaRPr lang="en-US"/>
        </a:p>
      </dgm:t>
    </dgm:pt>
    <dgm:pt modelId="{E5C00A15-6138-4996-B9D9-D6F35BD798A9}" type="pres">
      <dgm:prSet presAssocID="{3D5D5FB4-5C2E-4C69-B289-5EEC0CFB912C}" presName="spaceBetweenRectangles" presStyleCnt="0"/>
      <dgm:spPr/>
      <dgm:t>
        <a:bodyPr/>
        <a:lstStyle/>
        <a:p>
          <a:endParaRPr lang="en-US"/>
        </a:p>
      </dgm:t>
    </dgm:pt>
    <dgm:pt modelId="{70E40AEB-737E-4167-819D-FF6B6BED4146}" type="pres">
      <dgm:prSet presAssocID="{664BB1CE-94D3-4F0F-9155-9AC08985A81D}" presName="parentLin" presStyleCnt="0"/>
      <dgm:spPr/>
      <dgm:t>
        <a:bodyPr/>
        <a:lstStyle/>
        <a:p>
          <a:endParaRPr lang="en-US"/>
        </a:p>
      </dgm:t>
    </dgm:pt>
    <dgm:pt modelId="{7B46826E-CA60-4032-B9D5-D22B1E3738DA}" type="pres">
      <dgm:prSet presAssocID="{664BB1CE-94D3-4F0F-9155-9AC08985A81D}" presName="parentLeftMargin" presStyleLbl="node1" presStyleIdx="4" presStyleCnt="10"/>
      <dgm:spPr/>
      <dgm:t>
        <a:bodyPr/>
        <a:lstStyle/>
        <a:p>
          <a:endParaRPr lang="en-US"/>
        </a:p>
      </dgm:t>
    </dgm:pt>
    <dgm:pt modelId="{E9E78321-13DB-4439-9540-6A96C2D640C9}" type="pres">
      <dgm:prSet presAssocID="{664BB1CE-94D3-4F0F-9155-9AC08985A81D}" presName="parentText" presStyleLbl="node1" presStyleIdx="5" presStyleCnt="10">
        <dgm:presLayoutVars>
          <dgm:chMax val="0"/>
          <dgm:bulletEnabled val="1"/>
        </dgm:presLayoutVars>
      </dgm:prSet>
      <dgm:spPr/>
      <dgm:t>
        <a:bodyPr/>
        <a:lstStyle/>
        <a:p>
          <a:endParaRPr lang="en-US"/>
        </a:p>
      </dgm:t>
    </dgm:pt>
    <dgm:pt modelId="{66E445C5-70DE-446D-A16A-26042528DADD}" type="pres">
      <dgm:prSet presAssocID="{664BB1CE-94D3-4F0F-9155-9AC08985A81D}" presName="negativeSpace" presStyleCnt="0"/>
      <dgm:spPr/>
      <dgm:t>
        <a:bodyPr/>
        <a:lstStyle/>
        <a:p>
          <a:endParaRPr lang="en-US"/>
        </a:p>
      </dgm:t>
    </dgm:pt>
    <dgm:pt modelId="{F195F31D-7832-4148-B955-79A9587C1B33}" type="pres">
      <dgm:prSet presAssocID="{664BB1CE-94D3-4F0F-9155-9AC08985A81D}" presName="childText" presStyleLbl="conFgAcc1" presStyleIdx="5" presStyleCnt="10">
        <dgm:presLayoutVars>
          <dgm:bulletEnabled val="1"/>
        </dgm:presLayoutVars>
      </dgm:prSet>
      <dgm:spPr/>
      <dgm:t>
        <a:bodyPr/>
        <a:lstStyle/>
        <a:p>
          <a:endParaRPr lang="en-US"/>
        </a:p>
      </dgm:t>
    </dgm:pt>
    <dgm:pt modelId="{6171F751-3E1E-4B05-9ED9-1384B28C212A}" type="pres">
      <dgm:prSet presAssocID="{88C249CE-6AE5-4EE8-AB19-03A5FAC662C0}" presName="spaceBetweenRectangles" presStyleCnt="0"/>
      <dgm:spPr/>
      <dgm:t>
        <a:bodyPr/>
        <a:lstStyle/>
        <a:p>
          <a:endParaRPr lang="en-US"/>
        </a:p>
      </dgm:t>
    </dgm:pt>
    <dgm:pt modelId="{D9411121-0C78-49F0-AB56-9D8B3FF5104B}" type="pres">
      <dgm:prSet presAssocID="{0E7A3B81-95F1-4753-8F5B-E99CB0D9AA87}" presName="parentLin" presStyleCnt="0"/>
      <dgm:spPr/>
      <dgm:t>
        <a:bodyPr/>
        <a:lstStyle/>
        <a:p>
          <a:endParaRPr lang="en-US"/>
        </a:p>
      </dgm:t>
    </dgm:pt>
    <dgm:pt modelId="{346DDC11-3E62-41DC-B558-90DE2C2DF6BB}" type="pres">
      <dgm:prSet presAssocID="{0E7A3B81-95F1-4753-8F5B-E99CB0D9AA87}" presName="parentLeftMargin" presStyleLbl="node1" presStyleIdx="5" presStyleCnt="10"/>
      <dgm:spPr/>
      <dgm:t>
        <a:bodyPr/>
        <a:lstStyle/>
        <a:p>
          <a:endParaRPr lang="en-US"/>
        </a:p>
      </dgm:t>
    </dgm:pt>
    <dgm:pt modelId="{E170BD65-451E-4F12-9E94-6E6A78541A9E}" type="pres">
      <dgm:prSet presAssocID="{0E7A3B81-95F1-4753-8F5B-E99CB0D9AA87}" presName="parentText" presStyleLbl="node1" presStyleIdx="6" presStyleCnt="10">
        <dgm:presLayoutVars>
          <dgm:chMax val="0"/>
          <dgm:bulletEnabled val="1"/>
        </dgm:presLayoutVars>
      </dgm:prSet>
      <dgm:spPr/>
      <dgm:t>
        <a:bodyPr/>
        <a:lstStyle/>
        <a:p>
          <a:endParaRPr lang="en-US"/>
        </a:p>
      </dgm:t>
    </dgm:pt>
    <dgm:pt modelId="{A8C72ECB-A088-4E56-AF74-E466B07B48E9}" type="pres">
      <dgm:prSet presAssocID="{0E7A3B81-95F1-4753-8F5B-E99CB0D9AA87}" presName="negativeSpace" presStyleCnt="0"/>
      <dgm:spPr/>
      <dgm:t>
        <a:bodyPr/>
        <a:lstStyle/>
        <a:p>
          <a:endParaRPr lang="en-US"/>
        </a:p>
      </dgm:t>
    </dgm:pt>
    <dgm:pt modelId="{05942F97-1396-44F3-81D8-8732BD43BB3A}" type="pres">
      <dgm:prSet presAssocID="{0E7A3B81-95F1-4753-8F5B-E99CB0D9AA87}" presName="childText" presStyleLbl="conFgAcc1" presStyleIdx="6" presStyleCnt="10">
        <dgm:presLayoutVars>
          <dgm:bulletEnabled val="1"/>
        </dgm:presLayoutVars>
      </dgm:prSet>
      <dgm:spPr/>
      <dgm:t>
        <a:bodyPr/>
        <a:lstStyle/>
        <a:p>
          <a:endParaRPr lang="en-US"/>
        </a:p>
      </dgm:t>
    </dgm:pt>
    <dgm:pt modelId="{D95BCC66-BDBC-4258-9915-D4E2E365F4FD}" type="pres">
      <dgm:prSet presAssocID="{51544392-CB8D-409C-850C-F00654C6D667}" presName="spaceBetweenRectangles" presStyleCnt="0"/>
      <dgm:spPr/>
      <dgm:t>
        <a:bodyPr/>
        <a:lstStyle/>
        <a:p>
          <a:endParaRPr lang="en-US"/>
        </a:p>
      </dgm:t>
    </dgm:pt>
    <dgm:pt modelId="{F9641D31-4A50-49A2-8D75-8CFD72DA0885}" type="pres">
      <dgm:prSet presAssocID="{72FB146D-CE08-42B8-998A-73CD1ADA9DCE}" presName="parentLin" presStyleCnt="0"/>
      <dgm:spPr/>
      <dgm:t>
        <a:bodyPr/>
        <a:lstStyle/>
        <a:p>
          <a:endParaRPr lang="en-US"/>
        </a:p>
      </dgm:t>
    </dgm:pt>
    <dgm:pt modelId="{C318C462-B0D4-4A86-B73B-7D93B981E178}" type="pres">
      <dgm:prSet presAssocID="{72FB146D-CE08-42B8-998A-73CD1ADA9DCE}" presName="parentLeftMargin" presStyleLbl="node1" presStyleIdx="6" presStyleCnt="10"/>
      <dgm:spPr/>
      <dgm:t>
        <a:bodyPr/>
        <a:lstStyle/>
        <a:p>
          <a:endParaRPr lang="en-US"/>
        </a:p>
      </dgm:t>
    </dgm:pt>
    <dgm:pt modelId="{96590541-C7B2-420A-AE5D-A02CEAA51A65}" type="pres">
      <dgm:prSet presAssocID="{72FB146D-CE08-42B8-998A-73CD1ADA9DCE}" presName="parentText" presStyleLbl="node1" presStyleIdx="7" presStyleCnt="10">
        <dgm:presLayoutVars>
          <dgm:chMax val="0"/>
          <dgm:bulletEnabled val="1"/>
        </dgm:presLayoutVars>
      </dgm:prSet>
      <dgm:spPr/>
      <dgm:t>
        <a:bodyPr/>
        <a:lstStyle/>
        <a:p>
          <a:endParaRPr lang="en-US"/>
        </a:p>
      </dgm:t>
    </dgm:pt>
    <dgm:pt modelId="{3211D49A-1B3A-4A39-B48D-0A8343AC03E2}" type="pres">
      <dgm:prSet presAssocID="{72FB146D-CE08-42B8-998A-73CD1ADA9DCE}" presName="negativeSpace" presStyleCnt="0"/>
      <dgm:spPr/>
      <dgm:t>
        <a:bodyPr/>
        <a:lstStyle/>
        <a:p>
          <a:endParaRPr lang="en-US"/>
        </a:p>
      </dgm:t>
    </dgm:pt>
    <dgm:pt modelId="{02C4C8FD-DC89-4DE7-9415-D5C7266471CB}" type="pres">
      <dgm:prSet presAssocID="{72FB146D-CE08-42B8-998A-73CD1ADA9DCE}" presName="childText" presStyleLbl="conFgAcc1" presStyleIdx="7" presStyleCnt="10">
        <dgm:presLayoutVars>
          <dgm:bulletEnabled val="1"/>
        </dgm:presLayoutVars>
      </dgm:prSet>
      <dgm:spPr/>
      <dgm:t>
        <a:bodyPr/>
        <a:lstStyle/>
        <a:p>
          <a:endParaRPr lang="en-US"/>
        </a:p>
      </dgm:t>
    </dgm:pt>
    <dgm:pt modelId="{95D7EC37-40A3-4378-ABAA-2D4B999EFA98}" type="pres">
      <dgm:prSet presAssocID="{7091D03C-DA5F-4DA9-BE14-0D87F31E04D6}" presName="spaceBetweenRectangles" presStyleCnt="0"/>
      <dgm:spPr/>
      <dgm:t>
        <a:bodyPr/>
        <a:lstStyle/>
        <a:p>
          <a:endParaRPr lang="en-US"/>
        </a:p>
      </dgm:t>
    </dgm:pt>
    <dgm:pt modelId="{889313C1-7611-433A-8A04-14B095F941A9}" type="pres">
      <dgm:prSet presAssocID="{69D6EFEA-1FCD-44F0-9255-1075A76E9BD1}" presName="parentLin" presStyleCnt="0"/>
      <dgm:spPr/>
      <dgm:t>
        <a:bodyPr/>
        <a:lstStyle/>
        <a:p>
          <a:endParaRPr lang="en-US"/>
        </a:p>
      </dgm:t>
    </dgm:pt>
    <dgm:pt modelId="{00411777-0CAB-4D60-846A-B4FA92FA65F5}" type="pres">
      <dgm:prSet presAssocID="{69D6EFEA-1FCD-44F0-9255-1075A76E9BD1}" presName="parentLeftMargin" presStyleLbl="node1" presStyleIdx="7" presStyleCnt="10"/>
      <dgm:spPr/>
      <dgm:t>
        <a:bodyPr/>
        <a:lstStyle/>
        <a:p>
          <a:endParaRPr lang="en-US"/>
        </a:p>
      </dgm:t>
    </dgm:pt>
    <dgm:pt modelId="{8EC93CA5-AAFB-409B-8BED-AFF375B06756}" type="pres">
      <dgm:prSet presAssocID="{69D6EFEA-1FCD-44F0-9255-1075A76E9BD1}" presName="parentText" presStyleLbl="node1" presStyleIdx="8" presStyleCnt="10">
        <dgm:presLayoutVars>
          <dgm:chMax val="0"/>
          <dgm:bulletEnabled val="1"/>
        </dgm:presLayoutVars>
      </dgm:prSet>
      <dgm:spPr/>
      <dgm:t>
        <a:bodyPr/>
        <a:lstStyle/>
        <a:p>
          <a:endParaRPr lang="en-US"/>
        </a:p>
      </dgm:t>
    </dgm:pt>
    <dgm:pt modelId="{3EA7F033-D4FF-4E7A-9A80-B286B34ED75F}" type="pres">
      <dgm:prSet presAssocID="{69D6EFEA-1FCD-44F0-9255-1075A76E9BD1}" presName="negativeSpace" presStyleCnt="0"/>
      <dgm:spPr/>
      <dgm:t>
        <a:bodyPr/>
        <a:lstStyle/>
        <a:p>
          <a:endParaRPr lang="en-US"/>
        </a:p>
      </dgm:t>
    </dgm:pt>
    <dgm:pt modelId="{AEAEC768-6ACF-483C-B15D-A51510E13A6B}" type="pres">
      <dgm:prSet presAssocID="{69D6EFEA-1FCD-44F0-9255-1075A76E9BD1}" presName="childText" presStyleLbl="conFgAcc1" presStyleIdx="8" presStyleCnt="10">
        <dgm:presLayoutVars>
          <dgm:bulletEnabled val="1"/>
        </dgm:presLayoutVars>
      </dgm:prSet>
      <dgm:spPr/>
      <dgm:t>
        <a:bodyPr/>
        <a:lstStyle/>
        <a:p>
          <a:endParaRPr lang="en-US"/>
        </a:p>
      </dgm:t>
    </dgm:pt>
    <dgm:pt modelId="{E980EB65-1A50-442E-BFE7-114A9675DC6D}" type="pres">
      <dgm:prSet presAssocID="{9ADB15E3-3920-42C7-8F39-2F8BF2424AF1}" presName="spaceBetweenRectangles" presStyleCnt="0"/>
      <dgm:spPr/>
      <dgm:t>
        <a:bodyPr/>
        <a:lstStyle/>
        <a:p>
          <a:endParaRPr lang="en-US"/>
        </a:p>
      </dgm:t>
    </dgm:pt>
    <dgm:pt modelId="{19B69F72-1B12-4872-BE3A-8C2785CD59C8}" type="pres">
      <dgm:prSet presAssocID="{4F040301-48C0-4A3D-96A0-F6E1E52143D4}" presName="parentLin" presStyleCnt="0"/>
      <dgm:spPr/>
      <dgm:t>
        <a:bodyPr/>
        <a:lstStyle/>
        <a:p>
          <a:endParaRPr lang="en-US"/>
        </a:p>
      </dgm:t>
    </dgm:pt>
    <dgm:pt modelId="{A23C3A51-F9E2-4611-A529-8FCC48F1A4BB}" type="pres">
      <dgm:prSet presAssocID="{4F040301-48C0-4A3D-96A0-F6E1E52143D4}" presName="parentLeftMargin" presStyleLbl="node1" presStyleIdx="8" presStyleCnt="10"/>
      <dgm:spPr/>
      <dgm:t>
        <a:bodyPr/>
        <a:lstStyle/>
        <a:p>
          <a:endParaRPr lang="en-US"/>
        </a:p>
      </dgm:t>
    </dgm:pt>
    <dgm:pt modelId="{69CBAD6A-4098-4501-916A-64925FA5BD2D}" type="pres">
      <dgm:prSet presAssocID="{4F040301-48C0-4A3D-96A0-F6E1E52143D4}" presName="parentText" presStyleLbl="node1" presStyleIdx="9" presStyleCnt="10">
        <dgm:presLayoutVars>
          <dgm:chMax val="0"/>
          <dgm:bulletEnabled val="1"/>
        </dgm:presLayoutVars>
      </dgm:prSet>
      <dgm:spPr/>
      <dgm:t>
        <a:bodyPr/>
        <a:lstStyle/>
        <a:p>
          <a:endParaRPr lang="en-US"/>
        </a:p>
      </dgm:t>
    </dgm:pt>
    <dgm:pt modelId="{AB5868D7-EFA4-4454-977D-54506EF3E74E}" type="pres">
      <dgm:prSet presAssocID="{4F040301-48C0-4A3D-96A0-F6E1E52143D4}" presName="negativeSpace" presStyleCnt="0"/>
      <dgm:spPr/>
      <dgm:t>
        <a:bodyPr/>
        <a:lstStyle/>
        <a:p>
          <a:endParaRPr lang="en-US"/>
        </a:p>
      </dgm:t>
    </dgm:pt>
    <dgm:pt modelId="{89CE44E1-AE74-4928-846D-089A375B2A82}" type="pres">
      <dgm:prSet presAssocID="{4F040301-48C0-4A3D-96A0-F6E1E52143D4}" presName="childText" presStyleLbl="conFgAcc1" presStyleIdx="9" presStyleCnt="10" custLinFactY="84931" custLinFactNeighborX="580" custLinFactNeighborY="100000">
        <dgm:presLayoutVars>
          <dgm:bulletEnabled val="1"/>
        </dgm:presLayoutVars>
      </dgm:prSet>
      <dgm:spPr/>
      <dgm:t>
        <a:bodyPr/>
        <a:lstStyle/>
        <a:p>
          <a:endParaRPr lang="en-US"/>
        </a:p>
      </dgm:t>
    </dgm:pt>
  </dgm:ptLst>
  <dgm:cxnLst>
    <dgm:cxn modelId="{6FB1337D-A7E1-49DB-B4D1-627D69168127}" srcId="{664BB1CE-94D3-4F0F-9155-9AC08985A81D}" destId="{E6951948-45EE-4F7C-B8FA-68B5ED456F88}" srcOrd="0" destOrd="0" parTransId="{4465D5E2-3CED-462F-AAEC-36BCEB062ED6}" sibTransId="{DB8636DA-566C-4FDA-B13C-2D76E23C52C4}"/>
    <dgm:cxn modelId="{C2CCB1DD-AC7E-42F6-9409-A323DE01F6B7}" srcId="{4F040301-48C0-4A3D-96A0-F6E1E52143D4}" destId="{D18EDCEE-B2A7-483B-BF53-858446778E3F}" srcOrd="0" destOrd="0" parTransId="{948CCA1D-FCCD-4D33-90B6-16D744990A04}" sibTransId="{D16BA3E8-0367-4E66-BC37-54B8B066D66F}"/>
    <dgm:cxn modelId="{BE3C17A2-C088-4D24-A8C1-1A2EEF651E23}" srcId="{69D6EFEA-1FCD-44F0-9255-1075A76E9BD1}" destId="{CE28E1EB-E078-4B7E-BB6A-DCDB17DEA8F5}" srcOrd="0" destOrd="0" parTransId="{7706F60C-3E94-4E3B-B61E-BAD9310E2382}" sibTransId="{A026D696-A17B-40B5-A958-5A10FA6859C2}"/>
    <dgm:cxn modelId="{C5BB33BA-175D-4061-ACD6-DD3E25FEEB33}" srcId="{DE111107-A0C9-4A77-B014-BCAC08658DBF}" destId="{A9186A09-D90E-49BC-A0A6-FCC6E4669293}" srcOrd="0" destOrd="0" parTransId="{14730D59-BFBD-4BB3-9598-92663117349D}" sibTransId="{0905F791-0A05-42AC-A3FB-8C9AB6C911B8}"/>
    <dgm:cxn modelId="{7D3E1917-FEFA-485F-8666-4ED13B874BEE}" srcId="{3B61AB90-1999-41BF-84E6-FBE6F5254C23}" destId="{69D6EFEA-1FCD-44F0-9255-1075A76E9BD1}" srcOrd="8" destOrd="0" parTransId="{C0776FD4-BD40-49F9-B9B8-ADDD37C902BB}" sibTransId="{9ADB15E3-3920-42C7-8F39-2F8BF2424AF1}"/>
    <dgm:cxn modelId="{6AEEAADE-CB69-4A42-9ECE-2FEEFFF47B2A}" type="presOf" srcId="{CE28E1EB-E078-4B7E-BB6A-DCDB17DEA8F5}" destId="{AEAEC768-6ACF-483C-B15D-A51510E13A6B}" srcOrd="0" destOrd="0" presId="urn:microsoft.com/office/officeart/2005/8/layout/list1"/>
    <dgm:cxn modelId="{8AAA4189-F737-4C9B-B751-EA33439B4023}" type="presOf" srcId="{A443E44A-8DE2-404F-B791-9FBAB38BCD93}" destId="{71A2CA17-E56B-41F8-8935-CD5BCD43B632}" srcOrd="1" destOrd="0" presId="urn:microsoft.com/office/officeart/2005/8/layout/list1"/>
    <dgm:cxn modelId="{1F7CD250-0B34-43DD-BED1-C76BA8611B41}" type="presOf" srcId="{6CEEC2E4-802F-45A1-AA63-32F8E1CAF55D}" destId="{9120622B-2E5E-49EE-983E-2F2EEB852EC9}" srcOrd="1" destOrd="0" presId="urn:microsoft.com/office/officeart/2005/8/layout/list1"/>
    <dgm:cxn modelId="{5E86D01C-DEB3-4A1B-91F7-8E148D2B6EC6}" srcId="{3B61AB90-1999-41BF-84E6-FBE6F5254C23}" destId="{4F040301-48C0-4A3D-96A0-F6E1E52143D4}" srcOrd="9" destOrd="0" parTransId="{C155EDBC-4F24-444A-8E7A-AF0B456A51A2}" sibTransId="{BEA57150-052B-4162-BB8D-879C5A64D2E8}"/>
    <dgm:cxn modelId="{EB717308-D2BF-4A73-829E-E7178B734FC5}" srcId="{0E7A3B81-95F1-4753-8F5B-E99CB0D9AA87}" destId="{6A670166-2106-4F95-A51F-2EF4B5BE5E7B}" srcOrd="0" destOrd="0" parTransId="{1B62CF80-D53C-41AE-8360-3EF88C002877}" sibTransId="{E56B69F7-392B-4F42-B01D-85207CE4B458}"/>
    <dgm:cxn modelId="{7FAC2EDB-2F81-43B9-9C7F-C39BE0081BC4}" type="presOf" srcId="{664BB1CE-94D3-4F0F-9155-9AC08985A81D}" destId="{E9E78321-13DB-4439-9540-6A96C2D640C9}" srcOrd="1" destOrd="0" presId="urn:microsoft.com/office/officeart/2005/8/layout/list1"/>
    <dgm:cxn modelId="{765FE570-E620-420E-B394-04F38A2C6B82}" type="presOf" srcId="{6A670166-2106-4F95-A51F-2EF4B5BE5E7B}" destId="{05942F97-1396-44F3-81D8-8732BD43BB3A}" srcOrd="0" destOrd="0" presId="urn:microsoft.com/office/officeart/2005/8/layout/list1"/>
    <dgm:cxn modelId="{845CE499-303E-4AEF-A6B9-83C6E028E2F7}" type="presOf" srcId="{6CEEC2E4-802F-45A1-AA63-32F8E1CAF55D}" destId="{6DD8575E-32E6-4AF1-A3F2-B6D8FBA7BBF3}" srcOrd="0" destOrd="0" presId="urn:microsoft.com/office/officeart/2005/8/layout/list1"/>
    <dgm:cxn modelId="{C2F29444-9002-4750-B81D-81349F1925EA}" type="presOf" srcId="{0E7A3B81-95F1-4753-8F5B-E99CB0D9AA87}" destId="{E170BD65-451E-4F12-9E94-6E6A78541A9E}" srcOrd="1" destOrd="0" presId="urn:microsoft.com/office/officeart/2005/8/layout/list1"/>
    <dgm:cxn modelId="{E3A17651-6135-4C91-BEC8-DB9E0E27038F}" type="presOf" srcId="{97F68BD4-A7EE-4686-9E28-15B2D67AFC43}" destId="{01490E3D-F347-408C-ADCC-9DDC835124AD}" srcOrd="1" destOrd="0" presId="urn:microsoft.com/office/officeart/2005/8/layout/list1"/>
    <dgm:cxn modelId="{DD626848-DAFD-4B65-8E77-5014BDDCD125}" type="presOf" srcId="{3B61AB90-1999-41BF-84E6-FBE6F5254C23}" destId="{D7496F6A-2EC0-4F1D-A559-CDC6A72D0BFF}" srcOrd="0" destOrd="0" presId="urn:microsoft.com/office/officeart/2005/8/layout/list1"/>
    <dgm:cxn modelId="{2BFBA137-EC04-4786-92B6-3B5130D1155B}" srcId="{6CEEC2E4-802F-45A1-AA63-32F8E1CAF55D}" destId="{7D3B924D-9E3F-444B-A1DF-BEA368E3C8B9}" srcOrd="0" destOrd="0" parTransId="{53EB86D6-5AE7-4812-85B8-0CE55774BE73}" sibTransId="{268A8751-E196-4259-BD47-6175088C9480}"/>
    <dgm:cxn modelId="{A267F412-AF43-4DEB-A35D-001641640D0C}" type="presOf" srcId="{69D6EFEA-1FCD-44F0-9255-1075A76E9BD1}" destId="{00411777-0CAB-4D60-846A-B4FA92FA65F5}" srcOrd="0" destOrd="0" presId="urn:microsoft.com/office/officeart/2005/8/layout/list1"/>
    <dgm:cxn modelId="{C50C5DFC-291A-4C0D-8D25-05186D7CEAD1}" type="presOf" srcId="{F588C3CD-9A05-4DD7-BDD5-8A66A38415CF}" destId="{8B4D41DF-9DA0-4F01-8687-BAB405880341}" srcOrd="0" destOrd="0" presId="urn:microsoft.com/office/officeart/2005/8/layout/list1"/>
    <dgm:cxn modelId="{F16F2350-FC8F-4913-8046-B8C27D33A145}" type="presOf" srcId="{97F68BD4-A7EE-4686-9E28-15B2D67AFC43}" destId="{F59E9CB4-1A44-4D9C-AF72-F36E498DC3F8}" srcOrd="0" destOrd="0" presId="urn:microsoft.com/office/officeart/2005/8/layout/list1"/>
    <dgm:cxn modelId="{B8E81754-3363-4EA0-8862-6ED62B2AA4EB}" type="presOf" srcId="{4F040301-48C0-4A3D-96A0-F6E1E52143D4}" destId="{A23C3A51-F9E2-4611-A529-8FCC48F1A4BB}" srcOrd="0" destOrd="0" presId="urn:microsoft.com/office/officeart/2005/8/layout/list1"/>
    <dgm:cxn modelId="{CBF84333-48D3-44D5-A463-496FAADCE895}" srcId="{3B61AB90-1999-41BF-84E6-FBE6F5254C23}" destId="{97F68BD4-A7EE-4686-9E28-15B2D67AFC43}" srcOrd="3" destOrd="0" parTransId="{4D517A4E-D2C7-40A8-8C6E-681D0C2F4F73}" sibTransId="{586802C8-0D54-4729-95F8-04024E670F5B}"/>
    <dgm:cxn modelId="{D2CE0BA8-D408-4879-A075-B3668B80FAF1}" type="presOf" srcId="{0676CD27-5435-4BF3-8E48-3E71FE99581A}" destId="{02C4C8FD-DC89-4DE7-9415-D5C7266471CB}" srcOrd="0" destOrd="0" presId="urn:microsoft.com/office/officeart/2005/8/layout/list1"/>
    <dgm:cxn modelId="{D2D69507-F2D1-48AA-A0D1-BF8E7AECE474}" type="presOf" srcId="{664BB1CE-94D3-4F0F-9155-9AC08985A81D}" destId="{7B46826E-CA60-4032-B9D5-D22B1E3738DA}" srcOrd="0" destOrd="0" presId="urn:microsoft.com/office/officeart/2005/8/layout/list1"/>
    <dgm:cxn modelId="{9CD06A17-1B24-44AD-B956-6899ED4EEEE7}" type="presOf" srcId="{DE111107-A0C9-4A77-B014-BCAC08658DBF}" destId="{A46EC397-08DF-40CC-940B-3070F7484BD3}" srcOrd="1" destOrd="0" presId="urn:microsoft.com/office/officeart/2005/8/layout/list1"/>
    <dgm:cxn modelId="{CD08479E-B87F-46D3-91EC-C7277E825806}" srcId="{72FB146D-CE08-42B8-998A-73CD1ADA9DCE}" destId="{0676CD27-5435-4BF3-8E48-3E71FE99581A}" srcOrd="0" destOrd="0" parTransId="{E7AA4719-6AB3-45CB-B0A0-94DA3B79F77D}" sibTransId="{7D613E1D-C8DC-4DF7-9C4D-A9376F1FE70E}"/>
    <dgm:cxn modelId="{554B8C0D-762A-4F05-BB4E-EEA6762383E4}" type="presOf" srcId="{0E7A3B81-95F1-4753-8F5B-E99CB0D9AA87}" destId="{346DDC11-3E62-41DC-B558-90DE2C2DF6BB}" srcOrd="0" destOrd="0" presId="urn:microsoft.com/office/officeart/2005/8/layout/list1"/>
    <dgm:cxn modelId="{AEFE901C-AB55-4E69-9F0B-C93EC67D9A5C}" srcId="{3B61AB90-1999-41BF-84E6-FBE6F5254C23}" destId="{F588C3CD-9A05-4DD7-BDD5-8A66A38415CF}" srcOrd="0" destOrd="0" parTransId="{C141861B-3409-43B9-A596-11B1D3C6F1EB}" sibTransId="{53706A13-E365-446B-8F58-D3D5BD621720}"/>
    <dgm:cxn modelId="{E08E6AEB-0F3E-4A93-B57C-3773746AAD8A}" srcId="{3B61AB90-1999-41BF-84E6-FBE6F5254C23}" destId="{A443E44A-8DE2-404F-B791-9FBAB38BCD93}" srcOrd="4" destOrd="0" parTransId="{EC739725-3E4F-4623-BC0E-497D599A0AA5}" sibTransId="{3D5D5FB4-5C2E-4C69-B289-5EEC0CFB912C}"/>
    <dgm:cxn modelId="{5A3299DC-9E03-4C48-8A8C-D9AB19D9500B}" type="presOf" srcId="{4F040301-48C0-4A3D-96A0-F6E1E52143D4}" destId="{69CBAD6A-4098-4501-916A-64925FA5BD2D}" srcOrd="1" destOrd="0" presId="urn:microsoft.com/office/officeart/2005/8/layout/list1"/>
    <dgm:cxn modelId="{9E272EDA-2C56-4EC4-A44A-CCECDEDC5C10}" type="presOf" srcId="{D49D3BEC-8863-4187-B08D-79C931D1DCB2}" destId="{1959183C-377E-4BDF-B1E0-94317E75E295}" srcOrd="0" destOrd="0" presId="urn:microsoft.com/office/officeart/2005/8/layout/list1"/>
    <dgm:cxn modelId="{63DC66B2-26A8-4DAE-8A47-78C1E6154D61}" srcId="{3B61AB90-1999-41BF-84E6-FBE6F5254C23}" destId="{664BB1CE-94D3-4F0F-9155-9AC08985A81D}" srcOrd="5" destOrd="0" parTransId="{74809CBF-FC1D-4EC3-876F-25A3F4D2E3EE}" sibTransId="{88C249CE-6AE5-4EE8-AB19-03A5FAC662C0}"/>
    <dgm:cxn modelId="{13E956D3-9633-40F2-9710-E606A8042EA5}" srcId="{3B61AB90-1999-41BF-84E6-FBE6F5254C23}" destId="{72FB146D-CE08-42B8-998A-73CD1ADA9DCE}" srcOrd="7" destOrd="0" parTransId="{43ACECC0-FFA6-439A-9C65-476970DAA926}" sibTransId="{7091D03C-DA5F-4DA9-BE14-0D87F31E04D6}"/>
    <dgm:cxn modelId="{BE27FC6E-6EA2-480A-88A0-463DBAEF96A9}" srcId="{3B61AB90-1999-41BF-84E6-FBE6F5254C23}" destId="{0E7A3B81-95F1-4753-8F5B-E99CB0D9AA87}" srcOrd="6" destOrd="0" parTransId="{DF408D89-0B94-4F35-A425-55BAC66A9C22}" sibTransId="{51544392-CB8D-409C-850C-F00654C6D667}"/>
    <dgm:cxn modelId="{676CA94F-BC4F-4A6E-B6A3-11961716183C}" type="presOf" srcId="{72FB146D-CE08-42B8-998A-73CD1ADA9DCE}" destId="{C318C462-B0D4-4A86-B73B-7D93B981E178}" srcOrd="0" destOrd="0" presId="urn:microsoft.com/office/officeart/2005/8/layout/list1"/>
    <dgm:cxn modelId="{D3421C96-0CE7-4241-B4E7-2721F8D9D4D1}" type="presOf" srcId="{A9186A09-D90E-49BC-A0A6-FCC6E4669293}" destId="{FFDF84DF-681A-49D1-A3FE-8A952C9CD5BD}" srcOrd="0" destOrd="0" presId="urn:microsoft.com/office/officeart/2005/8/layout/list1"/>
    <dgm:cxn modelId="{3D318BFA-8B6D-4A83-B13B-0DE34C8191BD}" srcId="{F588C3CD-9A05-4DD7-BDD5-8A66A38415CF}" destId="{B790000B-8FDF-4257-B218-3A569A530694}" srcOrd="0" destOrd="0" parTransId="{0DFEA898-4022-4CE2-9F6B-82337DF7CDAD}" sibTransId="{00ABEF1A-0CB2-4CF1-9282-1DD88FA1079C}"/>
    <dgm:cxn modelId="{DF0ABDA9-4675-45A1-81DB-0A6BC613127E}" type="presOf" srcId="{69D6EFEA-1FCD-44F0-9255-1075A76E9BD1}" destId="{8EC93CA5-AAFB-409B-8BED-AFF375B06756}" srcOrd="1" destOrd="0" presId="urn:microsoft.com/office/officeart/2005/8/layout/list1"/>
    <dgm:cxn modelId="{81144776-07EE-4865-8A42-3DC1949D916C}" type="presOf" srcId="{F588C3CD-9A05-4DD7-BDD5-8A66A38415CF}" destId="{E94925DD-8CC2-41AC-8357-4FEF7D59D642}" srcOrd="1" destOrd="0" presId="urn:microsoft.com/office/officeart/2005/8/layout/list1"/>
    <dgm:cxn modelId="{ECBFEEEF-A5E3-477E-8947-9E8EFCD60860}" type="presOf" srcId="{DE111107-A0C9-4A77-B014-BCAC08658DBF}" destId="{4A0F2E68-9A68-49CD-9330-4F4C2F2C2EFC}" srcOrd="0" destOrd="0" presId="urn:microsoft.com/office/officeart/2005/8/layout/list1"/>
    <dgm:cxn modelId="{A5F3EB73-8DCC-4CDF-A156-BBABB814FC65}" srcId="{3B61AB90-1999-41BF-84E6-FBE6F5254C23}" destId="{DE111107-A0C9-4A77-B014-BCAC08658DBF}" srcOrd="1" destOrd="0" parTransId="{03B4993F-2C87-42CB-AD21-3195D0CB93D8}" sibTransId="{62A754C5-71F1-422E-A416-C0851E71F4EC}"/>
    <dgm:cxn modelId="{8D5C8FB2-14EA-4A3F-8400-C86DE79DF9E0}" type="presOf" srcId="{72FB146D-CE08-42B8-998A-73CD1ADA9DCE}" destId="{96590541-C7B2-420A-AE5D-A02CEAA51A65}" srcOrd="1" destOrd="0" presId="urn:microsoft.com/office/officeart/2005/8/layout/list1"/>
    <dgm:cxn modelId="{35346B14-D896-4B80-90A6-4904A1DF32F8}" srcId="{3B61AB90-1999-41BF-84E6-FBE6F5254C23}" destId="{6CEEC2E4-802F-45A1-AA63-32F8E1CAF55D}" srcOrd="2" destOrd="0" parTransId="{D3D8571A-D47F-4C06-A518-3161844D78A4}" sibTransId="{B1673752-E7E6-471B-BDE9-39753FC4C192}"/>
    <dgm:cxn modelId="{F9F18F02-608E-4E7D-836E-CB8F00742F87}" type="presOf" srcId="{7D3B924D-9E3F-444B-A1DF-BEA368E3C8B9}" destId="{735B2B2D-3732-4477-8C9D-3777C9A5830A}" srcOrd="0" destOrd="0" presId="urn:microsoft.com/office/officeart/2005/8/layout/list1"/>
    <dgm:cxn modelId="{5C102AED-1A96-4B82-BA3A-096CF7301C05}" type="presOf" srcId="{D18EDCEE-B2A7-483B-BF53-858446778E3F}" destId="{89CE44E1-AE74-4928-846D-089A375B2A82}" srcOrd="0" destOrd="0" presId="urn:microsoft.com/office/officeart/2005/8/layout/list1"/>
    <dgm:cxn modelId="{32A6EF9A-92F5-4CEA-B6A5-10585077FD29}" srcId="{A443E44A-8DE2-404F-B791-9FBAB38BCD93}" destId="{DF9CA85F-2C62-491D-AC83-486E86CCD306}" srcOrd="0" destOrd="0" parTransId="{EEAF6E49-7395-4CE6-BB5C-02237DC2E8C1}" sibTransId="{FA8B55A3-31F6-49E4-8F41-A237E3731045}"/>
    <dgm:cxn modelId="{01EA3722-8942-4EE2-9C1E-3F4EEA5C766E}" srcId="{97F68BD4-A7EE-4686-9E28-15B2D67AFC43}" destId="{D49D3BEC-8863-4187-B08D-79C931D1DCB2}" srcOrd="0" destOrd="0" parTransId="{8DD2737A-98F9-47EF-84FC-A3896AD0E431}" sibTransId="{173B9D22-E4DD-4172-8E76-EFEFA7C80245}"/>
    <dgm:cxn modelId="{E757DC57-6677-450F-AD88-6B41C4643414}" type="presOf" srcId="{B790000B-8FDF-4257-B218-3A569A530694}" destId="{4DA6DB84-5D20-44DE-8641-5D4522C07200}" srcOrd="0" destOrd="0" presId="urn:microsoft.com/office/officeart/2005/8/layout/list1"/>
    <dgm:cxn modelId="{5D13B38A-8BB4-41B5-ADC9-3B99C65EB675}" type="presOf" srcId="{A443E44A-8DE2-404F-B791-9FBAB38BCD93}" destId="{F0DBBEED-190A-4A7D-9C8A-6FF1757A1CB0}" srcOrd="0" destOrd="0" presId="urn:microsoft.com/office/officeart/2005/8/layout/list1"/>
    <dgm:cxn modelId="{20A84236-4D91-4EF0-A839-61BEE4A0146F}" type="presOf" srcId="{DF9CA85F-2C62-491D-AC83-486E86CCD306}" destId="{512BB012-0305-4F8D-9CA9-89CAC0CA0580}" srcOrd="0" destOrd="0" presId="urn:microsoft.com/office/officeart/2005/8/layout/list1"/>
    <dgm:cxn modelId="{F88B3798-0E8D-422F-8639-EE9D309FE5AB}" type="presOf" srcId="{E6951948-45EE-4F7C-B8FA-68B5ED456F88}" destId="{F195F31D-7832-4148-B955-79A9587C1B33}" srcOrd="0" destOrd="0" presId="urn:microsoft.com/office/officeart/2005/8/layout/list1"/>
    <dgm:cxn modelId="{6BC296D5-726C-4B7E-8158-1D470E121826}" type="presParOf" srcId="{D7496F6A-2EC0-4F1D-A559-CDC6A72D0BFF}" destId="{97DA9925-6D33-459D-A7ED-FE524EA03EB6}" srcOrd="0" destOrd="0" presId="urn:microsoft.com/office/officeart/2005/8/layout/list1"/>
    <dgm:cxn modelId="{A1FA23B6-AB04-4912-96A6-0336947B07A6}" type="presParOf" srcId="{97DA9925-6D33-459D-A7ED-FE524EA03EB6}" destId="{8B4D41DF-9DA0-4F01-8687-BAB405880341}" srcOrd="0" destOrd="0" presId="urn:microsoft.com/office/officeart/2005/8/layout/list1"/>
    <dgm:cxn modelId="{D86CC929-046A-4578-97A1-9B027D69806A}" type="presParOf" srcId="{97DA9925-6D33-459D-A7ED-FE524EA03EB6}" destId="{E94925DD-8CC2-41AC-8357-4FEF7D59D642}" srcOrd="1" destOrd="0" presId="urn:microsoft.com/office/officeart/2005/8/layout/list1"/>
    <dgm:cxn modelId="{1AF91A27-1765-41F9-933E-E78DE3E1AC5D}" type="presParOf" srcId="{D7496F6A-2EC0-4F1D-A559-CDC6A72D0BFF}" destId="{F9488FD0-48DC-4A64-A68B-72EA98A078A5}" srcOrd="1" destOrd="0" presId="urn:microsoft.com/office/officeart/2005/8/layout/list1"/>
    <dgm:cxn modelId="{7F151E8F-1F1A-43CB-AE92-48254D64A05A}" type="presParOf" srcId="{D7496F6A-2EC0-4F1D-A559-CDC6A72D0BFF}" destId="{4DA6DB84-5D20-44DE-8641-5D4522C07200}" srcOrd="2" destOrd="0" presId="urn:microsoft.com/office/officeart/2005/8/layout/list1"/>
    <dgm:cxn modelId="{277DD7BD-A11E-4074-8167-0E5FA79E8CD3}" type="presParOf" srcId="{D7496F6A-2EC0-4F1D-A559-CDC6A72D0BFF}" destId="{8AF923C2-52F4-4688-A8D7-2185AE7B2C2A}" srcOrd="3" destOrd="0" presId="urn:microsoft.com/office/officeart/2005/8/layout/list1"/>
    <dgm:cxn modelId="{A9D3E226-66FB-46C1-A10B-A336F04236B6}" type="presParOf" srcId="{D7496F6A-2EC0-4F1D-A559-CDC6A72D0BFF}" destId="{84FA8439-57E6-412A-B8CB-161B6E806F7C}" srcOrd="4" destOrd="0" presId="urn:microsoft.com/office/officeart/2005/8/layout/list1"/>
    <dgm:cxn modelId="{1614D89F-4B25-4DA8-A6ED-E1C4AD9FB043}" type="presParOf" srcId="{84FA8439-57E6-412A-B8CB-161B6E806F7C}" destId="{4A0F2E68-9A68-49CD-9330-4F4C2F2C2EFC}" srcOrd="0" destOrd="0" presId="urn:microsoft.com/office/officeart/2005/8/layout/list1"/>
    <dgm:cxn modelId="{4AE2CFDF-FBD2-4F8D-BC02-50F78DB1A743}" type="presParOf" srcId="{84FA8439-57E6-412A-B8CB-161B6E806F7C}" destId="{A46EC397-08DF-40CC-940B-3070F7484BD3}" srcOrd="1" destOrd="0" presId="urn:microsoft.com/office/officeart/2005/8/layout/list1"/>
    <dgm:cxn modelId="{04FEB540-C951-436A-8AD1-FBE5EACB9374}" type="presParOf" srcId="{D7496F6A-2EC0-4F1D-A559-CDC6A72D0BFF}" destId="{AF91EA2B-3EA4-4229-8E98-2FBA1F480FB1}" srcOrd="5" destOrd="0" presId="urn:microsoft.com/office/officeart/2005/8/layout/list1"/>
    <dgm:cxn modelId="{09FDF417-DC17-4280-BBE5-8F9C056FC7A9}" type="presParOf" srcId="{D7496F6A-2EC0-4F1D-A559-CDC6A72D0BFF}" destId="{FFDF84DF-681A-49D1-A3FE-8A952C9CD5BD}" srcOrd="6" destOrd="0" presId="urn:microsoft.com/office/officeart/2005/8/layout/list1"/>
    <dgm:cxn modelId="{2FB13B99-23FA-47E6-82F9-AAA32ADD4B0B}" type="presParOf" srcId="{D7496F6A-2EC0-4F1D-A559-CDC6A72D0BFF}" destId="{A0A437F5-E70C-46F3-BA5D-F64207DF1369}" srcOrd="7" destOrd="0" presId="urn:microsoft.com/office/officeart/2005/8/layout/list1"/>
    <dgm:cxn modelId="{5EFE65B8-53BE-4056-B727-C3B5FF3F72FE}" type="presParOf" srcId="{D7496F6A-2EC0-4F1D-A559-CDC6A72D0BFF}" destId="{47AB9756-76AD-417A-9681-67FA1E53A5F1}" srcOrd="8" destOrd="0" presId="urn:microsoft.com/office/officeart/2005/8/layout/list1"/>
    <dgm:cxn modelId="{B7C43248-72ED-47A0-91B5-507B2EFB5CB6}" type="presParOf" srcId="{47AB9756-76AD-417A-9681-67FA1E53A5F1}" destId="{6DD8575E-32E6-4AF1-A3F2-B6D8FBA7BBF3}" srcOrd="0" destOrd="0" presId="urn:microsoft.com/office/officeart/2005/8/layout/list1"/>
    <dgm:cxn modelId="{F1A82804-08F1-488E-9AB0-9276AD14EF34}" type="presParOf" srcId="{47AB9756-76AD-417A-9681-67FA1E53A5F1}" destId="{9120622B-2E5E-49EE-983E-2F2EEB852EC9}" srcOrd="1" destOrd="0" presId="urn:microsoft.com/office/officeart/2005/8/layout/list1"/>
    <dgm:cxn modelId="{6ADDE19E-A203-4242-9115-B9C7B8C7C7DD}" type="presParOf" srcId="{D7496F6A-2EC0-4F1D-A559-CDC6A72D0BFF}" destId="{202F6251-F945-4674-8F18-CEF7FC6FCC30}" srcOrd="9" destOrd="0" presId="urn:microsoft.com/office/officeart/2005/8/layout/list1"/>
    <dgm:cxn modelId="{BAC950A7-E3F6-48B9-9C3F-DB964A8AEF1C}" type="presParOf" srcId="{D7496F6A-2EC0-4F1D-A559-CDC6A72D0BFF}" destId="{735B2B2D-3732-4477-8C9D-3777C9A5830A}" srcOrd="10" destOrd="0" presId="urn:microsoft.com/office/officeart/2005/8/layout/list1"/>
    <dgm:cxn modelId="{D8B19FDE-BCE8-46BE-8D18-72304901CAFE}" type="presParOf" srcId="{D7496F6A-2EC0-4F1D-A559-CDC6A72D0BFF}" destId="{1C50AA19-953C-47B1-B4EC-D74AB78EEAC4}" srcOrd="11" destOrd="0" presId="urn:microsoft.com/office/officeart/2005/8/layout/list1"/>
    <dgm:cxn modelId="{D0A8F1FC-2A42-4F5F-AE06-F5B1D307EE69}" type="presParOf" srcId="{D7496F6A-2EC0-4F1D-A559-CDC6A72D0BFF}" destId="{AD587D0B-77C7-4890-82FD-1F73D27B3972}" srcOrd="12" destOrd="0" presId="urn:microsoft.com/office/officeart/2005/8/layout/list1"/>
    <dgm:cxn modelId="{9D9D69B1-D2E8-4E92-B8C6-02524ED35590}" type="presParOf" srcId="{AD587D0B-77C7-4890-82FD-1F73D27B3972}" destId="{F59E9CB4-1A44-4D9C-AF72-F36E498DC3F8}" srcOrd="0" destOrd="0" presId="urn:microsoft.com/office/officeart/2005/8/layout/list1"/>
    <dgm:cxn modelId="{C066283E-E882-4EB9-AA70-30670DEADDF4}" type="presParOf" srcId="{AD587D0B-77C7-4890-82FD-1F73D27B3972}" destId="{01490E3D-F347-408C-ADCC-9DDC835124AD}" srcOrd="1" destOrd="0" presId="urn:microsoft.com/office/officeart/2005/8/layout/list1"/>
    <dgm:cxn modelId="{A9B89C17-770F-42CE-A859-55A8F4AC26CB}" type="presParOf" srcId="{D7496F6A-2EC0-4F1D-A559-CDC6A72D0BFF}" destId="{993D984F-320D-4B7A-AF05-EFE69DEB76B9}" srcOrd="13" destOrd="0" presId="urn:microsoft.com/office/officeart/2005/8/layout/list1"/>
    <dgm:cxn modelId="{913CEFD3-6533-485E-810B-05FA1C0A88BF}" type="presParOf" srcId="{D7496F6A-2EC0-4F1D-A559-CDC6A72D0BFF}" destId="{1959183C-377E-4BDF-B1E0-94317E75E295}" srcOrd="14" destOrd="0" presId="urn:microsoft.com/office/officeart/2005/8/layout/list1"/>
    <dgm:cxn modelId="{C6627974-EFAB-4C21-85B2-F817CF9564CE}" type="presParOf" srcId="{D7496F6A-2EC0-4F1D-A559-CDC6A72D0BFF}" destId="{9369533D-9683-4F51-BB5D-796BC2BEB7EF}" srcOrd="15" destOrd="0" presId="urn:microsoft.com/office/officeart/2005/8/layout/list1"/>
    <dgm:cxn modelId="{3D0202B2-F457-4E6A-A7AF-BA476987F948}" type="presParOf" srcId="{D7496F6A-2EC0-4F1D-A559-CDC6A72D0BFF}" destId="{30E18AC9-A881-4483-86DD-D841EF3A5E0D}" srcOrd="16" destOrd="0" presId="urn:microsoft.com/office/officeart/2005/8/layout/list1"/>
    <dgm:cxn modelId="{11147FB5-7B21-4E4A-84B9-E3EEA61B03A3}" type="presParOf" srcId="{30E18AC9-A881-4483-86DD-D841EF3A5E0D}" destId="{F0DBBEED-190A-4A7D-9C8A-6FF1757A1CB0}" srcOrd="0" destOrd="0" presId="urn:microsoft.com/office/officeart/2005/8/layout/list1"/>
    <dgm:cxn modelId="{0B2F6D9F-267B-425D-9D0B-611997CDBFFC}" type="presParOf" srcId="{30E18AC9-A881-4483-86DD-D841EF3A5E0D}" destId="{71A2CA17-E56B-41F8-8935-CD5BCD43B632}" srcOrd="1" destOrd="0" presId="urn:microsoft.com/office/officeart/2005/8/layout/list1"/>
    <dgm:cxn modelId="{68A21C2A-F0F9-4283-8E5E-134ADB23705A}" type="presParOf" srcId="{D7496F6A-2EC0-4F1D-A559-CDC6A72D0BFF}" destId="{BC758053-0DD7-4338-B861-7C38EF70114B}" srcOrd="17" destOrd="0" presId="urn:microsoft.com/office/officeart/2005/8/layout/list1"/>
    <dgm:cxn modelId="{608918EB-0192-4B38-994A-79DEE123A591}" type="presParOf" srcId="{D7496F6A-2EC0-4F1D-A559-CDC6A72D0BFF}" destId="{512BB012-0305-4F8D-9CA9-89CAC0CA0580}" srcOrd="18" destOrd="0" presId="urn:microsoft.com/office/officeart/2005/8/layout/list1"/>
    <dgm:cxn modelId="{31FDA043-06C7-4B18-BEB6-4FA71314ECAA}" type="presParOf" srcId="{D7496F6A-2EC0-4F1D-A559-CDC6A72D0BFF}" destId="{E5C00A15-6138-4996-B9D9-D6F35BD798A9}" srcOrd="19" destOrd="0" presId="urn:microsoft.com/office/officeart/2005/8/layout/list1"/>
    <dgm:cxn modelId="{336E83D5-EE81-4335-9501-1E90BCB67E73}" type="presParOf" srcId="{D7496F6A-2EC0-4F1D-A559-CDC6A72D0BFF}" destId="{70E40AEB-737E-4167-819D-FF6B6BED4146}" srcOrd="20" destOrd="0" presId="urn:microsoft.com/office/officeart/2005/8/layout/list1"/>
    <dgm:cxn modelId="{90970B89-177E-494A-A2EC-12EF42EB40BB}" type="presParOf" srcId="{70E40AEB-737E-4167-819D-FF6B6BED4146}" destId="{7B46826E-CA60-4032-B9D5-D22B1E3738DA}" srcOrd="0" destOrd="0" presId="urn:microsoft.com/office/officeart/2005/8/layout/list1"/>
    <dgm:cxn modelId="{C1036CE3-61CC-419B-A49A-306DE07AFEBB}" type="presParOf" srcId="{70E40AEB-737E-4167-819D-FF6B6BED4146}" destId="{E9E78321-13DB-4439-9540-6A96C2D640C9}" srcOrd="1" destOrd="0" presId="urn:microsoft.com/office/officeart/2005/8/layout/list1"/>
    <dgm:cxn modelId="{2F27F57E-4790-4B77-83EF-287EAD03A8A2}" type="presParOf" srcId="{D7496F6A-2EC0-4F1D-A559-CDC6A72D0BFF}" destId="{66E445C5-70DE-446D-A16A-26042528DADD}" srcOrd="21" destOrd="0" presId="urn:microsoft.com/office/officeart/2005/8/layout/list1"/>
    <dgm:cxn modelId="{514CB4C3-7EAE-4D54-B4A2-C8EAA272AAD7}" type="presParOf" srcId="{D7496F6A-2EC0-4F1D-A559-CDC6A72D0BFF}" destId="{F195F31D-7832-4148-B955-79A9587C1B33}" srcOrd="22" destOrd="0" presId="urn:microsoft.com/office/officeart/2005/8/layout/list1"/>
    <dgm:cxn modelId="{86DF663D-B89F-4C19-BEB3-39B2CC38AAE7}" type="presParOf" srcId="{D7496F6A-2EC0-4F1D-A559-CDC6A72D0BFF}" destId="{6171F751-3E1E-4B05-9ED9-1384B28C212A}" srcOrd="23" destOrd="0" presId="urn:microsoft.com/office/officeart/2005/8/layout/list1"/>
    <dgm:cxn modelId="{63181069-CB71-4806-93A6-65F5B22C3297}" type="presParOf" srcId="{D7496F6A-2EC0-4F1D-A559-CDC6A72D0BFF}" destId="{D9411121-0C78-49F0-AB56-9D8B3FF5104B}" srcOrd="24" destOrd="0" presId="urn:microsoft.com/office/officeart/2005/8/layout/list1"/>
    <dgm:cxn modelId="{A984B08D-8C44-46A1-934E-05B69A8B063C}" type="presParOf" srcId="{D9411121-0C78-49F0-AB56-9D8B3FF5104B}" destId="{346DDC11-3E62-41DC-B558-90DE2C2DF6BB}" srcOrd="0" destOrd="0" presId="urn:microsoft.com/office/officeart/2005/8/layout/list1"/>
    <dgm:cxn modelId="{857DC29D-A283-45C6-A02E-A733120A8DA3}" type="presParOf" srcId="{D9411121-0C78-49F0-AB56-9D8B3FF5104B}" destId="{E170BD65-451E-4F12-9E94-6E6A78541A9E}" srcOrd="1" destOrd="0" presId="urn:microsoft.com/office/officeart/2005/8/layout/list1"/>
    <dgm:cxn modelId="{252A1F0E-A924-43F1-941B-4303533C3359}" type="presParOf" srcId="{D7496F6A-2EC0-4F1D-A559-CDC6A72D0BFF}" destId="{A8C72ECB-A088-4E56-AF74-E466B07B48E9}" srcOrd="25" destOrd="0" presId="urn:microsoft.com/office/officeart/2005/8/layout/list1"/>
    <dgm:cxn modelId="{6B99FBEC-7B33-4957-896C-4017F87C28EE}" type="presParOf" srcId="{D7496F6A-2EC0-4F1D-A559-CDC6A72D0BFF}" destId="{05942F97-1396-44F3-81D8-8732BD43BB3A}" srcOrd="26" destOrd="0" presId="urn:microsoft.com/office/officeart/2005/8/layout/list1"/>
    <dgm:cxn modelId="{B294B08C-0B4E-442E-ADE6-D767E0A24094}" type="presParOf" srcId="{D7496F6A-2EC0-4F1D-A559-CDC6A72D0BFF}" destId="{D95BCC66-BDBC-4258-9915-D4E2E365F4FD}" srcOrd="27" destOrd="0" presId="urn:microsoft.com/office/officeart/2005/8/layout/list1"/>
    <dgm:cxn modelId="{2E865637-F970-499D-ABB6-F851B6F0B8B9}" type="presParOf" srcId="{D7496F6A-2EC0-4F1D-A559-CDC6A72D0BFF}" destId="{F9641D31-4A50-49A2-8D75-8CFD72DA0885}" srcOrd="28" destOrd="0" presId="urn:microsoft.com/office/officeart/2005/8/layout/list1"/>
    <dgm:cxn modelId="{F3415419-3A47-49BC-BE6C-1CB605E7D290}" type="presParOf" srcId="{F9641D31-4A50-49A2-8D75-8CFD72DA0885}" destId="{C318C462-B0D4-4A86-B73B-7D93B981E178}" srcOrd="0" destOrd="0" presId="urn:microsoft.com/office/officeart/2005/8/layout/list1"/>
    <dgm:cxn modelId="{88B5F927-AF90-41B1-AAB4-02E12DFE1E94}" type="presParOf" srcId="{F9641D31-4A50-49A2-8D75-8CFD72DA0885}" destId="{96590541-C7B2-420A-AE5D-A02CEAA51A65}" srcOrd="1" destOrd="0" presId="urn:microsoft.com/office/officeart/2005/8/layout/list1"/>
    <dgm:cxn modelId="{EBBB0ADB-5CC9-409D-9225-42573D5C6055}" type="presParOf" srcId="{D7496F6A-2EC0-4F1D-A559-CDC6A72D0BFF}" destId="{3211D49A-1B3A-4A39-B48D-0A8343AC03E2}" srcOrd="29" destOrd="0" presId="urn:microsoft.com/office/officeart/2005/8/layout/list1"/>
    <dgm:cxn modelId="{ADD3C00E-87C1-4783-9C06-C0ECF8BC8B55}" type="presParOf" srcId="{D7496F6A-2EC0-4F1D-A559-CDC6A72D0BFF}" destId="{02C4C8FD-DC89-4DE7-9415-D5C7266471CB}" srcOrd="30" destOrd="0" presId="urn:microsoft.com/office/officeart/2005/8/layout/list1"/>
    <dgm:cxn modelId="{5572EF21-C240-4DD1-A7C5-83BDFC3EE5C2}" type="presParOf" srcId="{D7496F6A-2EC0-4F1D-A559-CDC6A72D0BFF}" destId="{95D7EC37-40A3-4378-ABAA-2D4B999EFA98}" srcOrd="31" destOrd="0" presId="urn:microsoft.com/office/officeart/2005/8/layout/list1"/>
    <dgm:cxn modelId="{6FB17C13-0F19-4B13-AC84-1C067566803C}" type="presParOf" srcId="{D7496F6A-2EC0-4F1D-A559-CDC6A72D0BFF}" destId="{889313C1-7611-433A-8A04-14B095F941A9}" srcOrd="32" destOrd="0" presId="urn:microsoft.com/office/officeart/2005/8/layout/list1"/>
    <dgm:cxn modelId="{EAB7C978-FBC0-4663-BDCC-9B9D040230CC}" type="presParOf" srcId="{889313C1-7611-433A-8A04-14B095F941A9}" destId="{00411777-0CAB-4D60-846A-B4FA92FA65F5}" srcOrd="0" destOrd="0" presId="urn:microsoft.com/office/officeart/2005/8/layout/list1"/>
    <dgm:cxn modelId="{EE216A92-6F64-4B80-9A5D-4F19CAB604EE}" type="presParOf" srcId="{889313C1-7611-433A-8A04-14B095F941A9}" destId="{8EC93CA5-AAFB-409B-8BED-AFF375B06756}" srcOrd="1" destOrd="0" presId="urn:microsoft.com/office/officeart/2005/8/layout/list1"/>
    <dgm:cxn modelId="{576EE811-E52B-4D14-A9C4-5782458C9CAA}" type="presParOf" srcId="{D7496F6A-2EC0-4F1D-A559-CDC6A72D0BFF}" destId="{3EA7F033-D4FF-4E7A-9A80-B286B34ED75F}" srcOrd="33" destOrd="0" presId="urn:microsoft.com/office/officeart/2005/8/layout/list1"/>
    <dgm:cxn modelId="{5D80E501-3052-46CB-83DB-D113AEB2A184}" type="presParOf" srcId="{D7496F6A-2EC0-4F1D-A559-CDC6A72D0BFF}" destId="{AEAEC768-6ACF-483C-B15D-A51510E13A6B}" srcOrd="34" destOrd="0" presId="urn:microsoft.com/office/officeart/2005/8/layout/list1"/>
    <dgm:cxn modelId="{E91E7083-D520-4C42-AF87-F95CBDD9E3E9}" type="presParOf" srcId="{D7496F6A-2EC0-4F1D-A559-CDC6A72D0BFF}" destId="{E980EB65-1A50-442E-BFE7-114A9675DC6D}" srcOrd="35" destOrd="0" presId="urn:microsoft.com/office/officeart/2005/8/layout/list1"/>
    <dgm:cxn modelId="{8CF09066-4592-41B4-B638-397F055BAC2F}" type="presParOf" srcId="{D7496F6A-2EC0-4F1D-A559-CDC6A72D0BFF}" destId="{19B69F72-1B12-4872-BE3A-8C2785CD59C8}" srcOrd="36" destOrd="0" presId="urn:microsoft.com/office/officeart/2005/8/layout/list1"/>
    <dgm:cxn modelId="{5B582CDF-8F9E-4EEE-8CD5-700106BC3287}" type="presParOf" srcId="{19B69F72-1B12-4872-BE3A-8C2785CD59C8}" destId="{A23C3A51-F9E2-4611-A529-8FCC48F1A4BB}" srcOrd="0" destOrd="0" presId="urn:microsoft.com/office/officeart/2005/8/layout/list1"/>
    <dgm:cxn modelId="{F98E36D7-6DC1-453F-A245-F20E7C35D71B}" type="presParOf" srcId="{19B69F72-1B12-4872-BE3A-8C2785CD59C8}" destId="{69CBAD6A-4098-4501-916A-64925FA5BD2D}" srcOrd="1" destOrd="0" presId="urn:microsoft.com/office/officeart/2005/8/layout/list1"/>
    <dgm:cxn modelId="{0A4CE3D4-ECCD-4F89-85DF-FBA996B8030F}" type="presParOf" srcId="{D7496F6A-2EC0-4F1D-A559-CDC6A72D0BFF}" destId="{AB5868D7-EFA4-4454-977D-54506EF3E74E}" srcOrd="37" destOrd="0" presId="urn:microsoft.com/office/officeart/2005/8/layout/list1"/>
    <dgm:cxn modelId="{AA3B8ADA-501E-427E-AD53-244FE69F29A7}" type="presParOf" srcId="{D7496F6A-2EC0-4F1D-A559-CDC6A72D0BFF}" destId="{89CE44E1-AE74-4928-846D-089A375B2A82}" srcOrd="38"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5D396251-1289-45D8-AFC2-416960E31056}" type="doc">
      <dgm:prSet loTypeId="urn:microsoft.com/office/officeart/2005/8/layout/matrix3" loCatId="matrix" qsTypeId="urn:microsoft.com/office/officeart/2005/8/quickstyle/3d2" qsCatId="3D" csTypeId="urn:microsoft.com/office/officeart/2005/8/colors/colorful5" csCatId="colorful" phldr="1"/>
      <dgm:spPr/>
      <dgm:t>
        <a:bodyPr/>
        <a:lstStyle/>
        <a:p>
          <a:endParaRPr lang="en-US"/>
        </a:p>
      </dgm:t>
    </dgm:pt>
    <dgm:pt modelId="{4A754108-DB6B-419B-B543-E86876744AC9}">
      <dgm:prSet phldrT="[Text]"/>
      <dgm:spPr/>
      <dgm:t>
        <a:bodyPr/>
        <a:lstStyle/>
        <a:p>
          <a:r>
            <a:rPr lang="en-US" b="1">
              <a:solidFill>
                <a:sysClr val="windowText" lastClr="000000"/>
              </a:solidFill>
            </a:rPr>
            <a:t>Trichophyton rubrum</a:t>
          </a:r>
        </a:p>
      </dgm:t>
    </dgm:pt>
    <dgm:pt modelId="{7BEC8B74-FEA7-47A2-9CAC-0FD9E5F6AF19}" type="parTrans" cxnId="{D07C2000-0B56-4DA3-B1FB-1D099FFB320D}">
      <dgm:prSet/>
      <dgm:spPr/>
      <dgm:t>
        <a:bodyPr/>
        <a:lstStyle/>
        <a:p>
          <a:endParaRPr lang="en-US"/>
        </a:p>
      </dgm:t>
    </dgm:pt>
    <dgm:pt modelId="{BC55D079-58DF-45E5-B99E-7D90B1F07DE8}" type="sibTrans" cxnId="{D07C2000-0B56-4DA3-B1FB-1D099FFB320D}">
      <dgm:prSet/>
      <dgm:spPr/>
      <dgm:t>
        <a:bodyPr/>
        <a:lstStyle/>
        <a:p>
          <a:endParaRPr lang="en-US"/>
        </a:p>
      </dgm:t>
    </dgm:pt>
    <dgm:pt modelId="{C4CAFC93-67CD-453F-A9C1-DFCAECB6D17A}">
      <dgm:prSet phldrT="[Text]"/>
      <dgm:spPr/>
      <dgm:t>
        <a:bodyPr/>
        <a:lstStyle/>
        <a:p>
          <a:r>
            <a:rPr lang="en-US" b="1">
              <a:solidFill>
                <a:sysClr val="windowText" lastClr="000000"/>
              </a:solidFill>
            </a:rPr>
            <a:t>Microsporum canis</a:t>
          </a:r>
        </a:p>
      </dgm:t>
    </dgm:pt>
    <dgm:pt modelId="{D96946D9-0742-4AB3-B7F8-C6CFFC643A19}" type="parTrans" cxnId="{C4A9F439-C0BE-408F-BE44-C4EF8400F694}">
      <dgm:prSet/>
      <dgm:spPr/>
      <dgm:t>
        <a:bodyPr/>
        <a:lstStyle/>
        <a:p>
          <a:endParaRPr lang="en-US"/>
        </a:p>
      </dgm:t>
    </dgm:pt>
    <dgm:pt modelId="{F4FD9DBF-3124-423F-9145-3911E72B9760}" type="sibTrans" cxnId="{C4A9F439-C0BE-408F-BE44-C4EF8400F694}">
      <dgm:prSet/>
      <dgm:spPr/>
      <dgm:t>
        <a:bodyPr/>
        <a:lstStyle/>
        <a:p>
          <a:endParaRPr lang="en-US"/>
        </a:p>
      </dgm:t>
    </dgm:pt>
    <dgm:pt modelId="{3CA441A6-7418-473F-ADEE-7C947AC4792B}">
      <dgm:prSet phldrT="[Text]"/>
      <dgm:spPr/>
      <dgm:t>
        <a:bodyPr/>
        <a:lstStyle/>
        <a:p>
          <a:r>
            <a:rPr lang="en-US" b="1">
              <a:solidFill>
                <a:sysClr val="windowText" lastClr="000000"/>
              </a:solidFill>
            </a:rPr>
            <a:t>Trichophyton mentagrophytes</a:t>
          </a:r>
        </a:p>
      </dgm:t>
    </dgm:pt>
    <dgm:pt modelId="{40E8710F-33F8-48EF-B535-9ABC9AC9D909}" type="parTrans" cxnId="{16F82D37-1499-423E-B016-1A9E8F276F86}">
      <dgm:prSet/>
      <dgm:spPr/>
      <dgm:t>
        <a:bodyPr/>
        <a:lstStyle/>
        <a:p>
          <a:endParaRPr lang="en-US"/>
        </a:p>
      </dgm:t>
    </dgm:pt>
    <dgm:pt modelId="{E3D734BD-CC1A-4E71-9A6A-D41F523F278C}" type="sibTrans" cxnId="{16F82D37-1499-423E-B016-1A9E8F276F86}">
      <dgm:prSet/>
      <dgm:spPr/>
      <dgm:t>
        <a:bodyPr/>
        <a:lstStyle/>
        <a:p>
          <a:endParaRPr lang="en-US"/>
        </a:p>
      </dgm:t>
    </dgm:pt>
    <dgm:pt modelId="{5FFE08B4-ABAC-4C44-9404-7E62884E2FD7}">
      <dgm:prSet phldrT="[Text]"/>
      <dgm:spPr/>
      <dgm:t>
        <a:bodyPr/>
        <a:lstStyle/>
        <a:p>
          <a:r>
            <a:rPr lang="en-US" b="1">
              <a:solidFill>
                <a:sysClr val="windowText" lastClr="000000"/>
              </a:solidFill>
            </a:rPr>
            <a:t>Epidermophyton floccosum</a:t>
          </a:r>
        </a:p>
      </dgm:t>
    </dgm:pt>
    <dgm:pt modelId="{050C0512-8C0D-470C-9627-BF30FA89FEFF}" type="parTrans" cxnId="{084480A6-95C3-47F7-AD6E-66A2DE7607AE}">
      <dgm:prSet/>
      <dgm:spPr/>
      <dgm:t>
        <a:bodyPr/>
        <a:lstStyle/>
        <a:p>
          <a:endParaRPr lang="en-US"/>
        </a:p>
      </dgm:t>
    </dgm:pt>
    <dgm:pt modelId="{28A6676F-5756-46B8-BB1E-FABCDBBCE23D}" type="sibTrans" cxnId="{084480A6-95C3-47F7-AD6E-66A2DE7607AE}">
      <dgm:prSet/>
      <dgm:spPr/>
      <dgm:t>
        <a:bodyPr/>
        <a:lstStyle/>
        <a:p>
          <a:endParaRPr lang="en-US"/>
        </a:p>
      </dgm:t>
    </dgm:pt>
    <dgm:pt modelId="{8C52B92B-776F-41BA-A856-C1B2C2D250F9}" type="pres">
      <dgm:prSet presAssocID="{5D396251-1289-45D8-AFC2-416960E31056}" presName="matrix" presStyleCnt="0">
        <dgm:presLayoutVars>
          <dgm:chMax val="1"/>
          <dgm:dir/>
          <dgm:resizeHandles val="exact"/>
        </dgm:presLayoutVars>
      </dgm:prSet>
      <dgm:spPr/>
      <dgm:t>
        <a:bodyPr/>
        <a:lstStyle/>
        <a:p>
          <a:endParaRPr lang="en-US"/>
        </a:p>
      </dgm:t>
    </dgm:pt>
    <dgm:pt modelId="{5B8D43D2-9942-4FBB-9576-695051BE671D}" type="pres">
      <dgm:prSet presAssocID="{5D396251-1289-45D8-AFC2-416960E31056}" presName="diamond" presStyleLbl="bgShp" presStyleIdx="0" presStyleCnt="1"/>
      <dgm:spPr/>
      <dgm:t>
        <a:bodyPr/>
        <a:lstStyle/>
        <a:p>
          <a:endParaRPr lang="en-US"/>
        </a:p>
      </dgm:t>
    </dgm:pt>
    <dgm:pt modelId="{F0505B2A-16E3-4ACB-A636-BE06E48A530F}" type="pres">
      <dgm:prSet presAssocID="{5D396251-1289-45D8-AFC2-416960E31056}" presName="quad1" presStyleLbl="node1" presStyleIdx="0" presStyleCnt="4">
        <dgm:presLayoutVars>
          <dgm:chMax val="0"/>
          <dgm:chPref val="0"/>
          <dgm:bulletEnabled val="1"/>
        </dgm:presLayoutVars>
      </dgm:prSet>
      <dgm:spPr/>
      <dgm:t>
        <a:bodyPr/>
        <a:lstStyle/>
        <a:p>
          <a:endParaRPr lang="en-US"/>
        </a:p>
      </dgm:t>
    </dgm:pt>
    <dgm:pt modelId="{6E1A78BB-942F-4C05-94FE-25DA50A1FFEB}" type="pres">
      <dgm:prSet presAssocID="{5D396251-1289-45D8-AFC2-416960E31056}" presName="quad2" presStyleLbl="node1" presStyleIdx="1" presStyleCnt="4">
        <dgm:presLayoutVars>
          <dgm:chMax val="0"/>
          <dgm:chPref val="0"/>
          <dgm:bulletEnabled val="1"/>
        </dgm:presLayoutVars>
      </dgm:prSet>
      <dgm:spPr/>
      <dgm:t>
        <a:bodyPr/>
        <a:lstStyle/>
        <a:p>
          <a:endParaRPr lang="en-US"/>
        </a:p>
      </dgm:t>
    </dgm:pt>
    <dgm:pt modelId="{28ECBB42-64A8-4345-8176-F33795EB6019}" type="pres">
      <dgm:prSet presAssocID="{5D396251-1289-45D8-AFC2-416960E31056}" presName="quad3" presStyleLbl="node1" presStyleIdx="2" presStyleCnt="4">
        <dgm:presLayoutVars>
          <dgm:chMax val="0"/>
          <dgm:chPref val="0"/>
          <dgm:bulletEnabled val="1"/>
        </dgm:presLayoutVars>
      </dgm:prSet>
      <dgm:spPr/>
      <dgm:t>
        <a:bodyPr/>
        <a:lstStyle/>
        <a:p>
          <a:endParaRPr lang="en-US"/>
        </a:p>
      </dgm:t>
    </dgm:pt>
    <dgm:pt modelId="{D3B77FA6-46E1-4041-BEFA-140347DA6282}" type="pres">
      <dgm:prSet presAssocID="{5D396251-1289-45D8-AFC2-416960E31056}" presName="quad4" presStyleLbl="node1" presStyleIdx="3" presStyleCnt="4">
        <dgm:presLayoutVars>
          <dgm:chMax val="0"/>
          <dgm:chPref val="0"/>
          <dgm:bulletEnabled val="1"/>
        </dgm:presLayoutVars>
      </dgm:prSet>
      <dgm:spPr/>
      <dgm:t>
        <a:bodyPr/>
        <a:lstStyle/>
        <a:p>
          <a:endParaRPr lang="en-US"/>
        </a:p>
      </dgm:t>
    </dgm:pt>
  </dgm:ptLst>
  <dgm:cxnLst>
    <dgm:cxn modelId="{EAE9E419-A54F-4F6E-83B7-90C465FF9D18}" type="presOf" srcId="{C4CAFC93-67CD-453F-A9C1-DFCAECB6D17A}" destId="{6E1A78BB-942F-4C05-94FE-25DA50A1FFEB}" srcOrd="0" destOrd="0" presId="urn:microsoft.com/office/officeart/2005/8/layout/matrix3"/>
    <dgm:cxn modelId="{16F82D37-1499-423E-B016-1A9E8F276F86}" srcId="{5D396251-1289-45D8-AFC2-416960E31056}" destId="{3CA441A6-7418-473F-ADEE-7C947AC4792B}" srcOrd="2" destOrd="0" parTransId="{40E8710F-33F8-48EF-B535-9ABC9AC9D909}" sibTransId="{E3D734BD-CC1A-4E71-9A6A-D41F523F278C}"/>
    <dgm:cxn modelId="{B4A7F8F4-5BF7-48CC-AA45-BA83A08F177D}" type="presOf" srcId="{5FFE08B4-ABAC-4C44-9404-7E62884E2FD7}" destId="{D3B77FA6-46E1-4041-BEFA-140347DA6282}" srcOrd="0" destOrd="0" presId="urn:microsoft.com/office/officeart/2005/8/layout/matrix3"/>
    <dgm:cxn modelId="{C4A9F439-C0BE-408F-BE44-C4EF8400F694}" srcId="{5D396251-1289-45D8-AFC2-416960E31056}" destId="{C4CAFC93-67CD-453F-A9C1-DFCAECB6D17A}" srcOrd="1" destOrd="0" parTransId="{D96946D9-0742-4AB3-B7F8-C6CFFC643A19}" sibTransId="{F4FD9DBF-3124-423F-9145-3911E72B9760}"/>
    <dgm:cxn modelId="{D07C2000-0B56-4DA3-B1FB-1D099FFB320D}" srcId="{5D396251-1289-45D8-AFC2-416960E31056}" destId="{4A754108-DB6B-419B-B543-E86876744AC9}" srcOrd="0" destOrd="0" parTransId="{7BEC8B74-FEA7-47A2-9CAC-0FD9E5F6AF19}" sibTransId="{BC55D079-58DF-45E5-B99E-7D90B1F07DE8}"/>
    <dgm:cxn modelId="{034D31B6-1B51-4BE0-AEEA-AD94E852AE1C}" type="presOf" srcId="{4A754108-DB6B-419B-B543-E86876744AC9}" destId="{F0505B2A-16E3-4ACB-A636-BE06E48A530F}" srcOrd="0" destOrd="0" presId="urn:microsoft.com/office/officeart/2005/8/layout/matrix3"/>
    <dgm:cxn modelId="{A0B3D9FF-E7F2-4D56-91A6-592DBBCAF197}" type="presOf" srcId="{3CA441A6-7418-473F-ADEE-7C947AC4792B}" destId="{28ECBB42-64A8-4345-8176-F33795EB6019}" srcOrd="0" destOrd="0" presId="urn:microsoft.com/office/officeart/2005/8/layout/matrix3"/>
    <dgm:cxn modelId="{084480A6-95C3-47F7-AD6E-66A2DE7607AE}" srcId="{5D396251-1289-45D8-AFC2-416960E31056}" destId="{5FFE08B4-ABAC-4C44-9404-7E62884E2FD7}" srcOrd="3" destOrd="0" parTransId="{050C0512-8C0D-470C-9627-BF30FA89FEFF}" sibTransId="{28A6676F-5756-46B8-BB1E-FABCDBBCE23D}"/>
    <dgm:cxn modelId="{9847D3BF-FC82-45CC-B25A-4780ABC2B350}" type="presOf" srcId="{5D396251-1289-45D8-AFC2-416960E31056}" destId="{8C52B92B-776F-41BA-A856-C1B2C2D250F9}" srcOrd="0" destOrd="0" presId="urn:microsoft.com/office/officeart/2005/8/layout/matrix3"/>
    <dgm:cxn modelId="{4F0467E1-026B-45B0-9C17-A26615F74193}" type="presParOf" srcId="{8C52B92B-776F-41BA-A856-C1B2C2D250F9}" destId="{5B8D43D2-9942-4FBB-9576-695051BE671D}" srcOrd="0" destOrd="0" presId="urn:microsoft.com/office/officeart/2005/8/layout/matrix3"/>
    <dgm:cxn modelId="{EE98985B-69E1-4743-B8F4-8278D7C7D711}" type="presParOf" srcId="{8C52B92B-776F-41BA-A856-C1B2C2D250F9}" destId="{F0505B2A-16E3-4ACB-A636-BE06E48A530F}" srcOrd="1" destOrd="0" presId="urn:microsoft.com/office/officeart/2005/8/layout/matrix3"/>
    <dgm:cxn modelId="{87CF9D50-E4A7-4C79-96CF-0863A00914C3}" type="presParOf" srcId="{8C52B92B-776F-41BA-A856-C1B2C2D250F9}" destId="{6E1A78BB-942F-4C05-94FE-25DA50A1FFEB}" srcOrd="2" destOrd="0" presId="urn:microsoft.com/office/officeart/2005/8/layout/matrix3"/>
    <dgm:cxn modelId="{F71F3865-6181-42B1-ADCE-2541C4C48AD2}" type="presParOf" srcId="{8C52B92B-776F-41BA-A856-C1B2C2D250F9}" destId="{28ECBB42-64A8-4345-8176-F33795EB6019}" srcOrd="3" destOrd="0" presId="urn:microsoft.com/office/officeart/2005/8/layout/matrix3"/>
    <dgm:cxn modelId="{5FAB3B66-367E-4EDF-9D0B-22EDCADE46E0}" type="presParOf" srcId="{8C52B92B-776F-41BA-A856-C1B2C2D250F9}" destId="{D3B77FA6-46E1-4041-BEFA-140347DA6282}" srcOrd="4" destOrd="0" presId="urn:microsoft.com/office/officeart/2005/8/layout/matrix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C48034E-8F0E-44A6-A5C2-5CC33BAD8F59}" type="doc">
      <dgm:prSet loTypeId="urn:microsoft.com/office/officeart/2005/8/layout/hList7" loCatId="list" qsTypeId="urn:microsoft.com/office/officeart/2005/8/quickstyle/3d3" qsCatId="3D" csTypeId="urn:microsoft.com/office/officeart/2005/8/colors/accent6_2" csCatId="accent6" phldr="1"/>
      <dgm:spPr/>
    </dgm:pt>
    <dgm:pt modelId="{BAF11633-DBBF-41E4-9872-EEA2692E1F66}">
      <dgm:prSet phldrT="[Text]" custT="1"/>
      <dgm:spPr/>
      <dgm:t>
        <a:bodyPr/>
        <a:lstStyle/>
        <a:p>
          <a:r>
            <a:rPr lang="en-US" sz="1200" b="1">
              <a:solidFill>
                <a:sysClr val="windowText" lastClr="000000"/>
              </a:solidFill>
            </a:rPr>
            <a:t>Skin with ringworm infection</a:t>
          </a:r>
        </a:p>
      </dgm:t>
    </dgm:pt>
    <dgm:pt modelId="{016DEE07-6FD6-4D0B-8CE8-06A84205A411}" type="parTrans" cxnId="{790368BB-93DC-4008-92D4-43517C04989F}">
      <dgm:prSet/>
      <dgm:spPr/>
      <dgm:t>
        <a:bodyPr/>
        <a:lstStyle/>
        <a:p>
          <a:endParaRPr lang="en-US"/>
        </a:p>
      </dgm:t>
    </dgm:pt>
    <dgm:pt modelId="{3B09DB1A-5173-439F-9DA2-EA7AADB06056}" type="sibTrans" cxnId="{790368BB-93DC-4008-92D4-43517C04989F}">
      <dgm:prSet/>
      <dgm:spPr/>
      <dgm:t>
        <a:bodyPr/>
        <a:lstStyle/>
        <a:p>
          <a:endParaRPr lang="en-US"/>
        </a:p>
      </dgm:t>
    </dgm:pt>
    <dgm:pt modelId="{6ED29190-1569-416B-BE95-BB74F680AF4C}">
      <dgm:prSet phldrT="[Text]" custT="1"/>
      <dgm:spPr/>
      <dgm:t>
        <a:bodyPr/>
        <a:lstStyle/>
        <a:p>
          <a:r>
            <a:rPr lang="en-US" sz="1200" b="1">
              <a:solidFill>
                <a:sysClr val="windowText" lastClr="000000"/>
              </a:solidFill>
            </a:rPr>
            <a:t>Feet  with ringworm infection</a:t>
          </a:r>
        </a:p>
      </dgm:t>
    </dgm:pt>
    <dgm:pt modelId="{BED1EA31-D71D-4EF5-8485-DF2C5F338FCF}" type="parTrans" cxnId="{F7B81E0A-15B0-44E4-A424-9A4563AA1FDB}">
      <dgm:prSet/>
      <dgm:spPr/>
      <dgm:t>
        <a:bodyPr/>
        <a:lstStyle/>
        <a:p>
          <a:endParaRPr lang="en-US"/>
        </a:p>
      </dgm:t>
    </dgm:pt>
    <dgm:pt modelId="{59346CB1-0B3A-4541-9BF2-1C94D356FE00}" type="sibTrans" cxnId="{F7B81E0A-15B0-44E4-A424-9A4563AA1FDB}">
      <dgm:prSet/>
      <dgm:spPr/>
      <dgm:t>
        <a:bodyPr/>
        <a:lstStyle/>
        <a:p>
          <a:endParaRPr lang="en-US"/>
        </a:p>
      </dgm:t>
    </dgm:pt>
    <dgm:pt modelId="{C7D23EF6-8D3F-4681-8A22-1C3C6C7C07C8}">
      <dgm:prSet phldrT="[Text]" custT="1"/>
      <dgm:spPr/>
      <dgm:t>
        <a:bodyPr/>
        <a:lstStyle/>
        <a:p>
          <a:r>
            <a:rPr lang="en-US" sz="1200" b="1">
              <a:solidFill>
                <a:sysClr val="windowText" lastClr="000000"/>
              </a:solidFill>
            </a:rPr>
            <a:t>Hand with ringworm infection</a:t>
          </a:r>
        </a:p>
      </dgm:t>
    </dgm:pt>
    <dgm:pt modelId="{57700D84-C82B-463F-8B2E-584C23EEE3EF}" type="parTrans" cxnId="{A851EB8F-64A8-4A44-895D-629057CF073B}">
      <dgm:prSet/>
      <dgm:spPr/>
      <dgm:t>
        <a:bodyPr/>
        <a:lstStyle/>
        <a:p>
          <a:endParaRPr lang="en-US"/>
        </a:p>
      </dgm:t>
    </dgm:pt>
    <dgm:pt modelId="{39140C7A-E3D2-4830-8564-FE8FFE39E72F}" type="sibTrans" cxnId="{A851EB8F-64A8-4A44-895D-629057CF073B}">
      <dgm:prSet/>
      <dgm:spPr/>
      <dgm:t>
        <a:bodyPr/>
        <a:lstStyle/>
        <a:p>
          <a:endParaRPr lang="en-US"/>
        </a:p>
      </dgm:t>
    </dgm:pt>
    <dgm:pt modelId="{1317ED9E-EDDE-4DD1-8B5B-58E9737DB1C6}">
      <dgm:prSet phldrT="[Text]" custT="1"/>
      <dgm:spPr/>
      <dgm:t>
        <a:bodyPr/>
        <a:lstStyle/>
        <a:p>
          <a:r>
            <a:rPr lang="en-US" sz="1200" b="1">
              <a:solidFill>
                <a:sysClr val="windowText" lastClr="000000"/>
              </a:solidFill>
            </a:rPr>
            <a:t>Nails with ringworm infection</a:t>
          </a:r>
        </a:p>
      </dgm:t>
    </dgm:pt>
    <dgm:pt modelId="{48BA8840-9149-4F1B-9467-8D146FF62E3C}" type="parTrans" cxnId="{EB9020BA-139E-4B2D-9D20-F5432EC5CB2C}">
      <dgm:prSet/>
      <dgm:spPr/>
      <dgm:t>
        <a:bodyPr/>
        <a:lstStyle/>
        <a:p>
          <a:endParaRPr lang="en-US"/>
        </a:p>
      </dgm:t>
    </dgm:pt>
    <dgm:pt modelId="{5AE5C7A8-564A-4A4F-9454-7BC75961BDEE}" type="sibTrans" cxnId="{EB9020BA-139E-4B2D-9D20-F5432EC5CB2C}">
      <dgm:prSet/>
      <dgm:spPr/>
      <dgm:t>
        <a:bodyPr/>
        <a:lstStyle/>
        <a:p>
          <a:endParaRPr lang="en-US"/>
        </a:p>
      </dgm:t>
    </dgm:pt>
    <dgm:pt modelId="{D5496FD9-5917-471C-B879-2203F2BEA13E}">
      <dgm:prSet phldrT="[Text]" custT="1"/>
      <dgm:spPr/>
      <dgm:t>
        <a:bodyPr/>
        <a:lstStyle/>
        <a:p>
          <a:r>
            <a:rPr lang="en-US" sz="1200" b="1">
              <a:solidFill>
                <a:sysClr val="windowText" lastClr="000000"/>
              </a:solidFill>
            </a:rPr>
            <a:t>Beard with ringworm infection</a:t>
          </a:r>
        </a:p>
      </dgm:t>
    </dgm:pt>
    <dgm:pt modelId="{F419A8D8-3233-4049-9F09-7CBEF06260C8}" type="parTrans" cxnId="{98A1A55C-8B7C-4A2D-A23E-93B005E8E76D}">
      <dgm:prSet/>
      <dgm:spPr/>
      <dgm:t>
        <a:bodyPr/>
        <a:lstStyle/>
        <a:p>
          <a:endParaRPr lang="en-US"/>
        </a:p>
      </dgm:t>
    </dgm:pt>
    <dgm:pt modelId="{96AB0C8D-DD01-4469-8885-8E5FEA069E29}" type="sibTrans" cxnId="{98A1A55C-8B7C-4A2D-A23E-93B005E8E76D}">
      <dgm:prSet/>
      <dgm:spPr/>
      <dgm:t>
        <a:bodyPr/>
        <a:lstStyle/>
        <a:p>
          <a:endParaRPr lang="en-US"/>
        </a:p>
      </dgm:t>
    </dgm:pt>
    <dgm:pt modelId="{F009EAE1-353F-4298-B235-75E0BAC27A59}">
      <dgm:prSet phldrT="[Text]" custT="1"/>
      <dgm:spPr/>
      <dgm:t>
        <a:bodyPr/>
        <a:lstStyle/>
        <a:p>
          <a:r>
            <a:rPr lang="en-US" sz="1200" b="1">
              <a:solidFill>
                <a:sysClr val="windowText" lastClr="000000"/>
              </a:solidFill>
            </a:rPr>
            <a:t>Scalp with ringworm infection</a:t>
          </a:r>
        </a:p>
      </dgm:t>
    </dgm:pt>
    <dgm:pt modelId="{366EF1AD-C66A-4F85-8A2B-B25960152262}" type="parTrans" cxnId="{6DCE02C0-4D50-4BB4-B1F0-7CE4613BDC61}">
      <dgm:prSet/>
      <dgm:spPr/>
      <dgm:t>
        <a:bodyPr/>
        <a:lstStyle/>
        <a:p>
          <a:endParaRPr lang="en-US"/>
        </a:p>
      </dgm:t>
    </dgm:pt>
    <dgm:pt modelId="{41DEFB43-9BA5-406C-9104-57E4A632DB66}" type="sibTrans" cxnId="{6DCE02C0-4D50-4BB4-B1F0-7CE4613BDC61}">
      <dgm:prSet/>
      <dgm:spPr/>
      <dgm:t>
        <a:bodyPr/>
        <a:lstStyle/>
        <a:p>
          <a:endParaRPr lang="en-US"/>
        </a:p>
      </dgm:t>
    </dgm:pt>
    <dgm:pt modelId="{AA44DFEA-0875-40D9-BF5F-5834856FFC32}">
      <dgm:prSet phldrT="[Text]" custT="1"/>
      <dgm:spPr/>
      <dgm:t>
        <a:bodyPr/>
        <a:lstStyle/>
        <a:p>
          <a:r>
            <a:rPr lang="en-US" sz="1200" b="1">
              <a:solidFill>
                <a:sysClr val="windowText" lastClr="000000"/>
              </a:solidFill>
            </a:rPr>
            <a:t>Groin with ringworm infection</a:t>
          </a:r>
        </a:p>
      </dgm:t>
    </dgm:pt>
    <dgm:pt modelId="{3A893B06-177D-4341-A368-4F4CDA9AC26C}" type="sibTrans" cxnId="{AC1A298C-915A-4327-8EE5-BEA86204B39F}">
      <dgm:prSet/>
      <dgm:spPr/>
      <dgm:t>
        <a:bodyPr/>
        <a:lstStyle/>
        <a:p>
          <a:endParaRPr lang="en-US"/>
        </a:p>
      </dgm:t>
    </dgm:pt>
    <dgm:pt modelId="{3945858C-0BCE-40B5-8BC4-AA494F7A7D5F}" type="parTrans" cxnId="{AC1A298C-915A-4327-8EE5-BEA86204B39F}">
      <dgm:prSet/>
      <dgm:spPr/>
      <dgm:t>
        <a:bodyPr/>
        <a:lstStyle/>
        <a:p>
          <a:endParaRPr lang="en-US"/>
        </a:p>
      </dgm:t>
    </dgm:pt>
    <dgm:pt modelId="{4EE5E414-93FF-429D-8322-32C94440652E}" type="pres">
      <dgm:prSet presAssocID="{7C48034E-8F0E-44A6-A5C2-5CC33BAD8F59}" presName="Name0" presStyleCnt="0">
        <dgm:presLayoutVars>
          <dgm:dir/>
          <dgm:resizeHandles val="exact"/>
        </dgm:presLayoutVars>
      </dgm:prSet>
      <dgm:spPr/>
    </dgm:pt>
    <dgm:pt modelId="{0AA9E8E2-349B-42F2-9166-F420349930B7}" type="pres">
      <dgm:prSet presAssocID="{7C48034E-8F0E-44A6-A5C2-5CC33BAD8F59}" presName="fgShape" presStyleLbl="fgShp" presStyleIdx="0" presStyleCnt="1"/>
      <dgm:spPr/>
    </dgm:pt>
    <dgm:pt modelId="{AC867770-BF67-44CF-AD06-7FC103036203}" type="pres">
      <dgm:prSet presAssocID="{7C48034E-8F0E-44A6-A5C2-5CC33BAD8F59}" presName="linComp" presStyleCnt="0"/>
      <dgm:spPr/>
    </dgm:pt>
    <dgm:pt modelId="{9BF60E83-15A6-4FEA-B2BB-A27D30066431}" type="pres">
      <dgm:prSet presAssocID="{BAF11633-DBBF-41E4-9872-EEA2692E1F66}" presName="compNode" presStyleCnt="0"/>
      <dgm:spPr/>
    </dgm:pt>
    <dgm:pt modelId="{F739FC1F-F074-41FF-A698-804681A45ABB}" type="pres">
      <dgm:prSet presAssocID="{BAF11633-DBBF-41E4-9872-EEA2692E1F66}" presName="bkgdShape" presStyleLbl="node1" presStyleIdx="0" presStyleCnt="7"/>
      <dgm:spPr/>
      <dgm:t>
        <a:bodyPr/>
        <a:lstStyle/>
        <a:p>
          <a:endParaRPr lang="en-US"/>
        </a:p>
      </dgm:t>
    </dgm:pt>
    <dgm:pt modelId="{200E41E0-3CE0-4D79-A0C4-993C3C1C765D}" type="pres">
      <dgm:prSet presAssocID="{BAF11633-DBBF-41E4-9872-EEA2692E1F66}" presName="nodeTx" presStyleLbl="node1" presStyleIdx="0" presStyleCnt="7">
        <dgm:presLayoutVars>
          <dgm:bulletEnabled val="1"/>
        </dgm:presLayoutVars>
      </dgm:prSet>
      <dgm:spPr/>
      <dgm:t>
        <a:bodyPr/>
        <a:lstStyle/>
        <a:p>
          <a:endParaRPr lang="en-US"/>
        </a:p>
      </dgm:t>
    </dgm:pt>
    <dgm:pt modelId="{E5E829F4-E8EC-4558-AF5A-FF4B8895D6D5}" type="pres">
      <dgm:prSet presAssocID="{BAF11633-DBBF-41E4-9872-EEA2692E1F66}" presName="invisiNode" presStyleLbl="node1" presStyleIdx="0" presStyleCnt="7"/>
      <dgm:spPr/>
    </dgm:pt>
    <dgm:pt modelId="{6F185787-8208-48F7-BCF9-B3BF230200EB}" type="pres">
      <dgm:prSet presAssocID="{BAF11633-DBBF-41E4-9872-EEA2692E1F66}" presName="imagNode" presStyleLbl="fgImgPlace1" presStyleIdx="0" presStyleCnt="7"/>
      <dgm:spPr>
        <a:blipFill rotWithShape="1">
          <a:blip xmlns:r="http://schemas.openxmlformats.org/officeDocument/2006/relationships" r:embed="rId1"/>
          <a:stretch>
            <a:fillRect/>
          </a:stretch>
        </a:blipFill>
      </dgm:spPr>
    </dgm:pt>
    <dgm:pt modelId="{074C1190-A35A-4741-AFF5-2AD05F577209}" type="pres">
      <dgm:prSet presAssocID="{3B09DB1A-5173-439F-9DA2-EA7AADB06056}" presName="sibTrans" presStyleLbl="sibTrans2D1" presStyleIdx="0" presStyleCnt="0"/>
      <dgm:spPr/>
      <dgm:t>
        <a:bodyPr/>
        <a:lstStyle/>
        <a:p>
          <a:endParaRPr lang="en-US"/>
        </a:p>
      </dgm:t>
    </dgm:pt>
    <dgm:pt modelId="{BE31B40A-5C3B-4D3E-AE0A-0347F1A6083F}" type="pres">
      <dgm:prSet presAssocID="{6ED29190-1569-416B-BE95-BB74F680AF4C}" presName="compNode" presStyleCnt="0"/>
      <dgm:spPr/>
    </dgm:pt>
    <dgm:pt modelId="{7B4FBBEB-AAD1-4B61-9A04-E17AE4117E29}" type="pres">
      <dgm:prSet presAssocID="{6ED29190-1569-416B-BE95-BB74F680AF4C}" presName="bkgdShape" presStyleLbl="node1" presStyleIdx="1" presStyleCnt="7"/>
      <dgm:spPr/>
      <dgm:t>
        <a:bodyPr/>
        <a:lstStyle/>
        <a:p>
          <a:endParaRPr lang="en-US"/>
        </a:p>
      </dgm:t>
    </dgm:pt>
    <dgm:pt modelId="{367EEFD2-8955-4924-B424-D9BF92B440E3}" type="pres">
      <dgm:prSet presAssocID="{6ED29190-1569-416B-BE95-BB74F680AF4C}" presName="nodeTx" presStyleLbl="node1" presStyleIdx="1" presStyleCnt="7">
        <dgm:presLayoutVars>
          <dgm:bulletEnabled val="1"/>
        </dgm:presLayoutVars>
      </dgm:prSet>
      <dgm:spPr/>
      <dgm:t>
        <a:bodyPr/>
        <a:lstStyle/>
        <a:p>
          <a:endParaRPr lang="en-US"/>
        </a:p>
      </dgm:t>
    </dgm:pt>
    <dgm:pt modelId="{849F3BB4-FD66-4229-8117-FDF8904C3823}" type="pres">
      <dgm:prSet presAssocID="{6ED29190-1569-416B-BE95-BB74F680AF4C}" presName="invisiNode" presStyleLbl="node1" presStyleIdx="1" presStyleCnt="7"/>
      <dgm:spPr/>
    </dgm:pt>
    <dgm:pt modelId="{97096C27-AA69-4713-B7D6-6008C8E80A89}" type="pres">
      <dgm:prSet presAssocID="{6ED29190-1569-416B-BE95-BB74F680AF4C}" presName="imagNode" presStyleLbl="fgImgPlace1" presStyleIdx="1" presStyleCnt="7"/>
      <dgm:spPr>
        <a:blipFill rotWithShape="1">
          <a:blip xmlns:r="http://schemas.openxmlformats.org/officeDocument/2006/relationships" r:embed="rId2"/>
          <a:stretch>
            <a:fillRect/>
          </a:stretch>
        </a:blipFill>
      </dgm:spPr>
    </dgm:pt>
    <dgm:pt modelId="{57CF050A-4C2C-4412-A1C5-776AC667BF92}" type="pres">
      <dgm:prSet presAssocID="{59346CB1-0B3A-4541-9BF2-1C94D356FE00}" presName="sibTrans" presStyleLbl="sibTrans2D1" presStyleIdx="0" presStyleCnt="0"/>
      <dgm:spPr/>
      <dgm:t>
        <a:bodyPr/>
        <a:lstStyle/>
        <a:p>
          <a:endParaRPr lang="en-US"/>
        </a:p>
      </dgm:t>
    </dgm:pt>
    <dgm:pt modelId="{D920B88A-1664-4354-A5EB-C793387B0722}" type="pres">
      <dgm:prSet presAssocID="{C7D23EF6-8D3F-4681-8A22-1C3C6C7C07C8}" presName="compNode" presStyleCnt="0"/>
      <dgm:spPr/>
    </dgm:pt>
    <dgm:pt modelId="{F641F2F5-8FF4-46B9-8B11-02103BD92718}" type="pres">
      <dgm:prSet presAssocID="{C7D23EF6-8D3F-4681-8A22-1C3C6C7C07C8}" presName="bkgdShape" presStyleLbl="node1" presStyleIdx="2" presStyleCnt="7"/>
      <dgm:spPr/>
      <dgm:t>
        <a:bodyPr/>
        <a:lstStyle/>
        <a:p>
          <a:endParaRPr lang="en-US"/>
        </a:p>
      </dgm:t>
    </dgm:pt>
    <dgm:pt modelId="{6AE6223F-F42D-44BC-98D8-085167D0043C}" type="pres">
      <dgm:prSet presAssocID="{C7D23EF6-8D3F-4681-8A22-1C3C6C7C07C8}" presName="nodeTx" presStyleLbl="node1" presStyleIdx="2" presStyleCnt="7">
        <dgm:presLayoutVars>
          <dgm:bulletEnabled val="1"/>
        </dgm:presLayoutVars>
      </dgm:prSet>
      <dgm:spPr/>
      <dgm:t>
        <a:bodyPr/>
        <a:lstStyle/>
        <a:p>
          <a:endParaRPr lang="en-US"/>
        </a:p>
      </dgm:t>
    </dgm:pt>
    <dgm:pt modelId="{FDF3ACD4-0725-43BD-BAC3-F9F011461A22}" type="pres">
      <dgm:prSet presAssocID="{C7D23EF6-8D3F-4681-8A22-1C3C6C7C07C8}" presName="invisiNode" presStyleLbl="node1" presStyleIdx="2" presStyleCnt="7"/>
      <dgm:spPr/>
    </dgm:pt>
    <dgm:pt modelId="{64C04511-E24B-4975-B47A-0ED544B0E95B}" type="pres">
      <dgm:prSet presAssocID="{C7D23EF6-8D3F-4681-8A22-1C3C6C7C07C8}" presName="imagNode" presStyleLbl="fgImgPlace1" presStyleIdx="2" presStyleCnt="7"/>
      <dgm:spPr>
        <a:blipFill rotWithShape="1">
          <a:blip xmlns:r="http://schemas.openxmlformats.org/officeDocument/2006/relationships" r:embed="rId3"/>
          <a:stretch>
            <a:fillRect/>
          </a:stretch>
        </a:blipFill>
      </dgm:spPr>
    </dgm:pt>
    <dgm:pt modelId="{511AF0C8-336F-4F6B-8768-D53F45783940}" type="pres">
      <dgm:prSet presAssocID="{39140C7A-E3D2-4830-8564-FE8FFE39E72F}" presName="sibTrans" presStyleLbl="sibTrans2D1" presStyleIdx="0" presStyleCnt="0"/>
      <dgm:spPr/>
      <dgm:t>
        <a:bodyPr/>
        <a:lstStyle/>
        <a:p>
          <a:endParaRPr lang="en-US"/>
        </a:p>
      </dgm:t>
    </dgm:pt>
    <dgm:pt modelId="{A406550F-748A-4032-A76E-A9212C7A2193}" type="pres">
      <dgm:prSet presAssocID="{1317ED9E-EDDE-4DD1-8B5B-58E9737DB1C6}" presName="compNode" presStyleCnt="0"/>
      <dgm:spPr/>
    </dgm:pt>
    <dgm:pt modelId="{2B9D20C8-96B9-41B6-8076-48589CA268E0}" type="pres">
      <dgm:prSet presAssocID="{1317ED9E-EDDE-4DD1-8B5B-58E9737DB1C6}" presName="bkgdShape" presStyleLbl="node1" presStyleIdx="3" presStyleCnt="7"/>
      <dgm:spPr/>
      <dgm:t>
        <a:bodyPr/>
        <a:lstStyle/>
        <a:p>
          <a:endParaRPr lang="en-US"/>
        </a:p>
      </dgm:t>
    </dgm:pt>
    <dgm:pt modelId="{34863370-01C5-4E0D-98B5-8B205AEFB81A}" type="pres">
      <dgm:prSet presAssocID="{1317ED9E-EDDE-4DD1-8B5B-58E9737DB1C6}" presName="nodeTx" presStyleLbl="node1" presStyleIdx="3" presStyleCnt="7">
        <dgm:presLayoutVars>
          <dgm:bulletEnabled val="1"/>
        </dgm:presLayoutVars>
      </dgm:prSet>
      <dgm:spPr/>
      <dgm:t>
        <a:bodyPr/>
        <a:lstStyle/>
        <a:p>
          <a:endParaRPr lang="en-US"/>
        </a:p>
      </dgm:t>
    </dgm:pt>
    <dgm:pt modelId="{EAC1B80A-8AA9-411C-A431-47546ED2012B}" type="pres">
      <dgm:prSet presAssocID="{1317ED9E-EDDE-4DD1-8B5B-58E9737DB1C6}" presName="invisiNode" presStyleLbl="node1" presStyleIdx="3" presStyleCnt="7"/>
      <dgm:spPr/>
    </dgm:pt>
    <dgm:pt modelId="{6CDBDC06-8CA8-4ED2-B1DF-36C000DB8D4B}" type="pres">
      <dgm:prSet presAssocID="{1317ED9E-EDDE-4DD1-8B5B-58E9737DB1C6}" presName="imagNode" presStyleLbl="fgImgPlace1" presStyleIdx="3" presStyleCnt="7"/>
      <dgm:spPr>
        <a:blipFill rotWithShape="1">
          <a:blip xmlns:r="http://schemas.openxmlformats.org/officeDocument/2006/relationships" r:embed="rId4"/>
          <a:stretch>
            <a:fillRect/>
          </a:stretch>
        </a:blipFill>
      </dgm:spPr>
    </dgm:pt>
    <dgm:pt modelId="{5954570F-9DA3-4F6F-BF4A-95D2341BA982}" type="pres">
      <dgm:prSet presAssocID="{5AE5C7A8-564A-4A4F-9454-7BC75961BDEE}" presName="sibTrans" presStyleLbl="sibTrans2D1" presStyleIdx="0" presStyleCnt="0"/>
      <dgm:spPr/>
      <dgm:t>
        <a:bodyPr/>
        <a:lstStyle/>
        <a:p>
          <a:endParaRPr lang="en-US"/>
        </a:p>
      </dgm:t>
    </dgm:pt>
    <dgm:pt modelId="{4517140D-B214-4716-971A-CECDF7E34E9A}" type="pres">
      <dgm:prSet presAssocID="{AA44DFEA-0875-40D9-BF5F-5834856FFC32}" presName="compNode" presStyleCnt="0"/>
      <dgm:spPr/>
    </dgm:pt>
    <dgm:pt modelId="{FC3B9E41-3E84-4E7C-90A7-D157A17C24A1}" type="pres">
      <dgm:prSet presAssocID="{AA44DFEA-0875-40D9-BF5F-5834856FFC32}" presName="bkgdShape" presStyleLbl="node1" presStyleIdx="4" presStyleCnt="7"/>
      <dgm:spPr/>
      <dgm:t>
        <a:bodyPr/>
        <a:lstStyle/>
        <a:p>
          <a:endParaRPr lang="en-US"/>
        </a:p>
      </dgm:t>
    </dgm:pt>
    <dgm:pt modelId="{2F14E3A7-5D59-4346-9220-0B7601CFC531}" type="pres">
      <dgm:prSet presAssocID="{AA44DFEA-0875-40D9-BF5F-5834856FFC32}" presName="nodeTx" presStyleLbl="node1" presStyleIdx="4" presStyleCnt="7">
        <dgm:presLayoutVars>
          <dgm:bulletEnabled val="1"/>
        </dgm:presLayoutVars>
      </dgm:prSet>
      <dgm:spPr/>
      <dgm:t>
        <a:bodyPr/>
        <a:lstStyle/>
        <a:p>
          <a:endParaRPr lang="en-US"/>
        </a:p>
      </dgm:t>
    </dgm:pt>
    <dgm:pt modelId="{DF863F4C-AB8E-4AB5-A721-A132A4A6F38F}" type="pres">
      <dgm:prSet presAssocID="{AA44DFEA-0875-40D9-BF5F-5834856FFC32}" presName="invisiNode" presStyleLbl="node1" presStyleIdx="4" presStyleCnt="7"/>
      <dgm:spPr/>
    </dgm:pt>
    <dgm:pt modelId="{EBA47A8B-D192-49CE-8126-586570775AF0}" type="pres">
      <dgm:prSet presAssocID="{AA44DFEA-0875-40D9-BF5F-5834856FFC32}" presName="imagNode" presStyleLbl="fgImgPlace1" presStyleIdx="4" presStyleCnt="7"/>
      <dgm:spPr>
        <a:blipFill rotWithShape="1">
          <a:blip xmlns:r="http://schemas.openxmlformats.org/officeDocument/2006/relationships" r:embed="rId5"/>
          <a:stretch>
            <a:fillRect/>
          </a:stretch>
        </a:blipFill>
      </dgm:spPr>
    </dgm:pt>
    <dgm:pt modelId="{5FE9F55D-3CBC-4C53-AD27-3713BA76DD46}" type="pres">
      <dgm:prSet presAssocID="{3A893B06-177D-4341-A368-4F4CDA9AC26C}" presName="sibTrans" presStyleLbl="sibTrans2D1" presStyleIdx="0" presStyleCnt="0"/>
      <dgm:spPr/>
      <dgm:t>
        <a:bodyPr/>
        <a:lstStyle/>
        <a:p>
          <a:endParaRPr lang="en-US"/>
        </a:p>
      </dgm:t>
    </dgm:pt>
    <dgm:pt modelId="{5A3A9B7F-C1E9-4F15-9339-66896AF84C47}" type="pres">
      <dgm:prSet presAssocID="{D5496FD9-5917-471C-B879-2203F2BEA13E}" presName="compNode" presStyleCnt="0"/>
      <dgm:spPr/>
    </dgm:pt>
    <dgm:pt modelId="{6288A049-15AE-4729-99DF-CB0330AB3341}" type="pres">
      <dgm:prSet presAssocID="{D5496FD9-5917-471C-B879-2203F2BEA13E}" presName="bkgdShape" presStyleLbl="node1" presStyleIdx="5" presStyleCnt="7"/>
      <dgm:spPr/>
      <dgm:t>
        <a:bodyPr/>
        <a:lstStyle/>
        <a:p>
          <a:endParaRPr lang="en-US"/>
        </a:p>
      </dgm:t>
    </dgm:pt>
    <dgm:pt modelId="{3C9E3F63-BB7C-41AD-8888-5B3B64E6BDBA}" type="pres">
      <dgm:prSet presAssocID="{D5496FD9-5917-471C-B879-2203F2BEA13E}" presName="nodeTx" presStyleLbl="node1" presStyleIdx="5" presStyleCnt="7">
        <dgm:presLayoutVars>
          <dgm:bulletEnabled val="1"/>
        </dgm:presLayoutVars>
      </dgm:prSet>
      <dgm:spPr/>
      <dgm:t>
        <a:bodyPr/>
        <a:lstStyle/>
        <a:p>
          <a:endParaRPr lang="en-US"/>
        </a:p>
      </dgm:t>
    </dgm:pt>
    <dgm:pt modelId="{0BC7FC42-7ED7-485F-9131-082C6E0DC68C}" type="pres">
      <dgm:prSet presAssocID="{D5496FD9-5917-471C-B879-2203F2BEA13E}" presName="invisiNode" presStyleLbl="node1" presStyleIdx="5" presStyleCnt="7"/>
      <dgm:spPr/>
    </dgm:pt>
    <dgm:pt modelId="{206F22CF-7B71-4D0B-9206-5680867CC15E}" type="pres">
      <dgm:prSet presAssocID="{D5496FD9-5917-471C-B879-2203F2BEA13E}" presName="imagNode" presStyleLbl="fgImgPlace1" presStyleIdx="5" presStyleCnt="7"/>
      <dgm:spPr>
        <a:blipFill rotWithShape="1">
          <a:blip xmlns:r="http://schemas.openxmlformats.org/officeDocument/2006/relationships" r:embed="rId6"/>
          <a:stretch>
            <a:fillRect/>
          </a:stretch>
        </a:blipFill>
      </dgm:spPr>
    </dgm:pt>
    <dgm:pt modelId="{311B32D6-F2B1-4636-AEF4-F87E115405A9}" type="pres">
      <dgm:prSet presAssocID="{96AB0C8D-DD01-4469-8885-8E5FEA069E29}" presName="sibTrans" presStyleLbl="sibTrans2D1" presStyleIdx="0" presStyleCnt="0"/>
      <dgm:spPr/>
      <dgm:t>
        <a:bodyPr/>
        <a:lstStyle/>
        <a:p>
          <a:endParaRPr lang="en-US"/>
        </a:p>
      </dgm:t>
    </dgm:pt>
    <dgm:pt modelId="{961B8A7F-8A9D-446B-BA0D-D068BBFD4123}" type="pres">
      <dgm:prSet presAssocID="{F009EAE1-353F-4298-B235-75E0BAC27A59}" presName="compNode" presStyleCnt="0"/>
      <dgm:spPr/>
    </dgm:pt>
    <dgm:pt modelId="{8F84DBF5-E9E4-4F73-B989-936C87108342}" type="pres">
      <dgm:prSet presAssocID="{F009EAE1-353F-4298-B235-75E0BAC27A59}" presName="bkgdShape" presStyleLbl="node1" presStyleIdx="6" presStyleCnt="7"/>
      <dgm:spPr/>
      <dgm:t>
        <a:bodyPr/>
        <a:lstStyle/>
        <a:p>
          <a:endParaRPr lang="en-US"/>
        </a:p>
      </dgm:t>
    </dgm:pt>
    <dgm:pt modelId="{F2199E6B-2CB4-4EAD-96E9-4765322CFEDC}" type="pres">
      <dgm:prSet presAssocID="{F009EAE1-353F-4298-B235-75E0BAC27A59}" presName="nodeTx" presStyleLbl="node1" presStyleIdx="6" presStyleCnt="7">
        <dgm:presLayoutVars>
          <dgm:bulletEnabled val="1"/>
        </dgm:presLayoutVars>
      </dgm:prSet>
      <dgm:spPr/>
      <dgm:t>
        <a:bodyPr/>
        <a:lstStyle/>
        <a:p>
          <a:endParaRPr lang="en-US"/>
        </a:p>
      </dgm:t>
    </dgm:pt>
    <dgm:pt modelId="{B960FCEB-2D20-4ABB-A1FB-17D7A454C38C}" type="pres">
      <dgm:prSet presAssocID="{F009EAE1-353F-4298-B235-75E0BAC27A59}" presName="invisiNode" presStyleLbl="node1" presStyleIdx="6" presStyleCnt="7"/>
      <dgm:spPr/>
    </dgm:pt>
    <dgm:pt modelId="{2FF7FC7F-FB64-4B1D-81FD-A85D711D8279}" type="pres">
      <dgm:prSet presAssocID="{F009EAE1-353F-4298-B235-75E0BAC27A59}" presName="imagNode" presStyleLbl="fgImgPlace1" presStyleIdx="6" presStyleCnt="7"/>
      <dgm:spPr>
        <a:blipFill rotWithShape="1">
          <a:blip xmlns:r="http://schemas.openxmlformats.org/officeDocument/2006/relationships" r:embed="rId7"/>
          <a:stretch>
            <a:fillRect/>
          </a:stretch>
        </a:blipFill>
      </dgm:spPr>
    </dgm:pt>
  </dgm:ptLst>
  <dgm:cxnLst>
    <dgm:cxn modelId="{2336E3F4-01AD-4329-BED6-D62924C21463}" type="presOf" srcId="{F009EAE1-353F-4298-B235-75E0BAC27A59}" destId="{F2199E6B-2CB4-4EAD-96E9-4765322CFEDC}" srcOrd="1" destOrd="0" presId="urn:microsoft.com/office/officeart/2005/8/layout/hList7"/>
    <dgm:cxn modelId="{A851EB8F-64A8-4A44-895D-629057CF073B}" srcId="{7C48034E-8F0E-44A6-A5C2-5CC33BAD8F59}" destId="{C7D23EF6-8D3F-4681-8A22-1C3C6C7C07C8}" srcOrd="2" destOrd="0" parTransId="{57700D84-C82B-463F-8B2E-584C23EEE3EF}" sibTransId="{39140C7A-E3D2-4830-8564-FE8FFE39E72F}"/>
    <dgm:cxn modelId="{954C447A-0EF1-4E44-87EB-DF467D2D7FF9}" type="presOf" srcId="{C7D23EF6-8D3F-4681-8A22-1C3C6C7C07C8}" destId="{6AE6223F-F42D-44BC-98D8-085167D0043C}" srcOrd="1" destOrd="0" presId="urn:microsoft.com/office/officeart/2005/8/layout/hList7"/>
    <dgm:cxn modelId="{A43665BB-EFBB-4285-BACA-898DEE3FE92D}" type="presOf" srcId="{BAF11633-DBBF-41E4-9872-EEA2692E1F66}" destId="{F739FC1F-F074-41FF-A698-804681A45ABB}" srcOrd="0" destOrd="0" presId="urn:microsoft.com/office/officeart/2005/8/layout/hList7"/>
    <dgm:cxn modelId="{B69AC78B-7AD5-400C-B2DC-11771BB8E34A}" type="presOf" srcId="{7C48034E-8F0E-44A6-A5C2-5CC33BAD8F59}" destId="{4EE5E414-93FF-429D-8322-32C94440652E}" srcOrd="0" destOrd="0" presId="urn:microsoft.com/office/officeart/2005/8/layout/hList7"/>
    <dgm:cxn modelId="{19F56BBD-D40A-45FD-BC48-8F2611486C90}" type="presOf" srcId="{3B09DB1A-5173-439F-9DA2-EA7AADB06056}" destId="{074C1190-A35A-4741-AFF5-2AD05F577209}" srcOrd="0" destOrd="0" presId="urn:microsoft.com/office/officeart/2005/8/layout/hList7"/>
    <dgm:cxn modelId="{93FF7774-F266-4848-BB5B-26E5D7FECB89}" type="presOf" srcId="{3A893B06-177D-4341-A368-4F4CDA9AC26C}" destId="{5FE9F55D-3CBC-4C53-AD27-3713BA76DD46}" srcOrd="0" destOrd="0" presId="urn:microsoft.com/office/officeart/2005/8/layout/hList7"/>
    <dgm:cxn modelId="{98A1A55C-8B7C-4A2D-A23E-93B005E8E76D}" srcId="{7C48034E-8F0E-44A6-A5C2-5CC33BAD8F59}" destId="{D5496FD9-5917-471C-B879-2203F2BEA13E}" srcOrd="5" destOrd="0" parTransId="{F419A8D8-3233-4049-9F09-7CBEF06260C8}" sibTransId="{96AB0C8D-DD01-4469-8885-8E5FEA069E29}"/>
    <dgm:cxn modelId="{CFB4A004-0D45-48D5-A0AB-CF5059A04FE8}" type="presOf" srcId="{D5496FD9-5917-471C-B879-2203F2BEA13E}" destId="{6288A049-15AE-4729-99DF-CB0330AB3341}" srcOrd="0" destOrd="0" presId="urn:microsoft.com/office/officeart/2005/8/layout/hList7"/>
    <dgm:cxn modelId="{8A5AF203-E5C1-4565-8E46-5C482266B48A}" type="presOf" srcId="{59346CB1-0B3A-4541-9BF2-1C94D356FE00}" destId="{57CF050A-4C2C-4412-A1C5-776AC667BF92}" srcOrd="0" destOrd="0" presId="urn:microsoft.com/office/officeart/2005/8/layout/hList7"/>
    <dgm:cxn modelId="{6DCE02C0-4D50-4BB4-B1F0-7CE4613BDC61}" srcId="{7C48034E-8F0E-44A6-A5C2-5CC33BAD8F59}" destId="{F009EAE1-353F-4298-B235-75E0BAC27A59}" srcOrd="6" destOrd="0" parTransId="{366EF1AD-C66A-4F85-8A2B-B25960152262}" sibTransId="{41DEFB43-9BA5-406C-9104-57E4A632DB66}"/>
    <dgm:cxn modelId="{7FA1BEA2-9F4A-44DB-9337-14A69AECB0E4}" type="presOf" srcId="{39140C7A-E3D2-4830-8564-FE8FFE39E72F}" destId="{511AF0C8-336F-4F6B-8768-D53F45783940}" srcOrd="0" destOrd="0" presId="urn:microsoft.com/office/officeart/2005/8/layout/hList7"/>
    <dgm:cxn modelId="{E167DF9F-1D88-4093-9980-A0D98A6BBECD}" type="presOf" srcId="{C7D23EF6-8D3F-4681-8A22-1C3C6C7C07C8}" destId="{F641F2F5-8FF4-46B9-8B11-02103BD92718}" srcOrd="0" destOrd="0" presId="urn:microsoft.com/office/officeart/2005/8/layout/hList7"/>
    <dgm:cxn modelId="{843667B4-BFF2-4165-BA9F-69393F8F00AD}" type="presOf" srcId="{BAF11633-DBBF-41E4-9872-EEA2692E1F66}" destId="{200E41E0-3CE0-4D79-A0C4-993C3C1C765D}" srcOrd="1" destOrd="0" presId="urn:microsoft.com/office/officeart/2005/8/layout/hList7"/>
    <dgm:cxn modelId="{58148B84-038D-41F0-9746-7D28D5431273}" type="presOf" srcId="{6ED29190-1569-416B-BE95-BB74F680AF4C}" destId="{7B4FBBEB-AAD1-4B61-9A04-E17AE4117E29}" srcOrd="0" destOrd="0" presId="urn:microsoft.com/office/officeart/2005/8/layout/hList7"/>
    <dgm:cxn modelId="{512A12CE-DCC1-4DFA-A240-470A43258AE3}" type="presOf" srcId="{1317ED9E-EDDE-4DD1-8B5B-58E9737DB1C6}" destId="{2B9D20C8-96B9-41B6-8076-48589CA268E0}" srcOrd="0" destOrd="0" presId="urn:microsoft.com/office/officeart/2005/8/layout/hList7"/>
    <dgm:cxn modelId="{266F1F6C-D1DD-4D4D-B20D-7DF8BBF4696B}" type="presOf" srcId="{AA44DFEA-0875-40D9-BF5F-5834856FFC32}" destId="{2F14E3A7-5D59-4346-9220-0B7601CFC531}" srcOrd="1" destOrd="0" presId="urn:microsoft.com/office/officeart/2005/8/layout/hList7"/>
    <dgm:cxn modelId="{AC1A298C-915A-4327-8EE5-BEA86204B39F}" srcId="{7C48034E-8F0E-44A6-A5C2-5CC33BAD8F59}" destId="{AA44DFEA-0875-40D9-BF5F-5834856FFC32}" srcOrd="4" destOrd="0" parTransId="{3945858C-0BCE-40B5-8BC4-AA494F7A7D5F}" sibTransId="{3A893B06-177D-4341-A368-4F4CDA9AC26C}"/>
    <dgm:cxn modelId="{8FA3AC85-7FD6-4D82-B1DD-8D9CFBA70EB3}" type="presOf" srcId="{96AB0C8D-DD01-4469-8885-8E5FEA069E29}" destId="{311B32D6-F2B1-4636-AEF4-F87E115405A9}" srcOrd="0" destOrd="0" presId="urn:microsoft.com/office/officeart/2005/8/layout/hList7"/>
    <dgm:cxn modelId="{790368BB-93DC-4008-92D4-43517C04989F}" srcId="{7C48034E-8F0E-44A6-A5C2-5CC33BAD8F59}" destId="{BAF11633-DBBF-41E4-9872-EEA2692E1F66}" srcOrd="0" destOrd="0" parTransId="{016DEE07-6FD6-4D0B-8CE8-06A84205A411}" sibTransId="{3B09DB1A-5173-439F-9DA2-EA7AADB06056}"/>
    <dgm:cxn modelId="{D96B3F5F-AC81-4ED8-9737-6CB86DC2C52E}" type="presOf" srcId="{AA44DFEA-0875-40D9-BF5F-5834856FFC32}" destId="{FC3B9E41-3E84-4E7C-90A7-D157A17C24A1}" srcOrd="0" destOrd="0" presId="urn:microsoft.com/office/officeart/2005/8/layout/hList7"/>
    <dgm:cxn modelId="{F7B81E0A-15B0-44E4-A424-9A4563AA1FDB}" srcId="{7C48034E-8F0E-44A6-A5C2-5CC33BAD8F59}" destId="{6ED29190-1569-416B-BE95-BB74F680AF4C}" srcOrd="1" destOrd="0" parTransId="{BED1EA31-D71D-4EF5-8485-DF2C5F338FCF}" sibTransId="{59346CB1-0B3A-4541-9BF2-1C94D356FE00}"/>
    <dgm:cxn modelId="{6A3B17A9-BA25-46C4-81D6-77AA1D2591CF}" type="presOf" srcId="{6ED29190-1569-416B-BE95-BB74F680AF4C}" destId="{367EEFD2-8955-4924-B424-D9BF92B440E3}" srcOrd="1" destOrd="0" presId="urn:microsoft.com/office/officeart/2005/8/layout/hList7"/>
    <dgm:cxn modelId="{C1190BDC-74F1-4AF8-8234-0899C02BB04E}" type="presOf" srcId="{5AE5C7A8-564A-4A4F-9454-7BC75961BDEE}" destId="{5954570F-9DA3-4F6F-BF4A-95D2341BA982}" srcOrd="0" destOrd="0" presId="urn:microsoft.com/office/officeart/2005/8/layout/hList7"/>
    <dgm:cxn modelId="{EB9020BA-139E-4B2D-9D20-F5432EC5CB2C}" srcId="{7C48034E-8F0E-44A6-A5C2-5CC33BAD8F59}" destId="{1317ED9E-EDDE-4DD1-8B5B-58E9737DB1C6}" srcOrd="3" destOrd="0" parTransId="{48BA8840-9149-4F1B-9467-8D146FF62E3C}" sibTransId="{5AE5C7A8-564A-4A4F-9454-7BC75961BDEE}"/>
    <dgm:cxn modelId="{47A83FFB-E11E-491B-8D50-A7895ED8786F}" type="presOf" srcId="{D5496FD9-5917-471C-B879-2203F2BEA13E}" destId="{3C9E3F63-BB7C-41AD-8888-5B3B64E6BDBA}" srcOrd="1" destOrd="0" presId="urn:microsoft.com/office/officeart/2005/8/layout/hList7"/>
    <dgm:cxn modelId="{52BAD440-3354-4130-817D-F3AC2720E6F6}" type="presOf" srcId="{1317ED9E-EDDE-4DD1-8B5B-58E9737DB1C6}" destId="{34863370-01C5-4E0D-98B5-8B205AEFB81A}" srcOrd="1" destOrd="0" presId="urn:microsoft.com/office/officeart/2005/8/layout/hList7"/>
    <dgm:cxn modelId="{E23F2A61-2D37-4BFA-9549-5264E50527D2}" type="presOf" srcId="{F009EAE1-353F-4298-B235-75E0BAC27A59}" destId="{8F84DBF5-E9E4-4F73-B989-936C87108342}" srcOrd="0" destOrd="0" presId="urn:microsoft.com/office/officeart/2005/8/layout/hList7"/>
    <dgm:cxn modelId="{C352F0FE-E35E-4B56-9BF3-3EA1646C5A62}" type="presParOf" srcId="{4EE5E414-93FF-429D-8322-32C94440652E}" destId="{0AA9E8E2-349B-42F2-9166-F420349930B7}" srcOrd="0" destOrd="0" presId="urn:microsoft.com/office/officeart/2005/8/layout/hList7"/>
    <dgm:cxn modelId="{D047635D-63B3-4DBB-A099-CF8B9CC05641}" type="presParOf" srcId="{4EE5E414-93FF-429D-8322-32C94440652E}" destId="{AC867770-BF67-44CF-AD06-7FC103036203}" srcOrd="1" destOrd="0" presId="urn:microsoft.com/office/officeart/2005/8/layout/hList7"/>
    <dgm:cxn modelId="{C5E9CEF6-311C-4145-86A2-D09319567890}" type="presParOf" srcId="{AC867770-BF67-44CF-AD06-7FC103036203}" destId="{9BF60E83-15A6-4FEA-B2BB-A27D30066431}" srcOrd="0" destOrd="0" presId="urn:microsoft.com/office/officeart/2005/8/layout/hList7"/>
    <dgm:cxn modelId="{7D469EF5-3948-4DC5-98E5-BFB2281BF78E}" type="presParOf" srcId="{9BF60E83-15A6-4FEA-B2BB-A27D30066431}" destId="{F739FC1F-F074-41FF-A698-804681A45ABB}" srcOrd="0" destOrd="0" presId="urn:microsoft.com/office/officeart/2005/8/layout/hList7"/>
    <dgm:cxn modelId="{93E0A8A3-1E88-420A-BABF-010F73DC44D1}" type="presParOf" srcId="{9BF60E83-15A6-4FEA-B2BB-A27D30066431}" destId="{200E41E0-3CE0-4D79-A0C4-993C3C1C765D}" srcOrd="1" destOrd="0" presId="urn:microsoft.com/office/officeart/2005/8/layout/hList7"/>
    <dgm:cxn modelId="{A8575463-B860-4FAB-8BB8-2AAAAF87F093}" type="presParOf" srcId="{9BF60E83-15A6-4FEA-B2BB-A27D30066431}" destId="{E5E829F4-E8EC-4558-AF5A-FF4B8895D6D5}" srcOrd="2" destOrd="0" presId="urn:microsoft.com/office/officeart/2005/8/layout/hList7"/>
    <dgm:cxn modelId="{7BF0AD0C-2915-4154-A69C-B345AA8201E7}" type="presParOf" srcId="{9BF60E83-15A6-4FEA-B2BB-A27D30066431}" destId="{6F185787-8208-48F7-BCF9-B3BF230200EB}" srcOrd="3" destOrd="0" presId="urn:microsoft.com/office/officeart/2005/8/layout/hList7"/>
    <dgm:cxn modelId="{B690B3A1-A1A9-46EE-98F2-8E5C1E62698C}" type="presParOf" srcId="{AC867770-BF67-44CF-AD06-7FC103036203}" destId="{074C1190-A35A-4741-AFF5-2AD05F577209}" srcOrd="1" destOrd="0" presId="urn:microsoft.com/office/officeart/2005/8/layout/hList7"/>
    <dgm:cxn modelId="{BD5B2677-5A21-4DC9-8417-7AE2CBD03883}" type="presParOf" srcId="{AC867770-BF67-44CF-AD06-7FC103036203}" destId="{BE31B40A-5C3B-4D3E-AE0A-0347F1A6083F}" srcOrd="2" destOrd="0" presId="urn:microsoft.com/office/officeart/2005/8/layout/hList7"/>
    <dgm:cxn modelId="{4B5F38AD-6061-4894-8596-0CCFFD8E9FEC}" type="presParOf" srcId="{BE31B40A-5C3B-4D3E-AE0A-0347F1A6083F}" destId="{7B4FBBEB-AAD1-4B61-9A04-E17AE4117E29}" srcOrd="0" destOrd="0" presId="urn:microsoft.com/office/officeart/2005/8/layout/hList7"/>
    <dgm:cxn modelId="{F8EB1053-DFE0-4216-BA30-78B5FA1784DD}" type="presParOf" srcId="{BE31B40A-5C3B-4D3E-AE0A-0347F1A6083F}" destId="{367EEFD2-8955-4924-B424-D9BF92B440E3}" srcOrd="1" destOrd="0" presId="urn:microsoft.com/office/officeart/2005/8/layout/hList7"/>
    <dgm:cxn modelId="{02EDF274-29D7-41B8-98F1-83A3AB0FBD75}" type="presParOf" srcId="{BE31B40A-5C3B-4D3E-AE0A-0347F1A6083F}" destId="{849F3BB4-FD66-4229-8117-FDF8904C3823}" srcOrd="2" destOrd="0" presId="urn:microsoft.com/office/officeart/2005/8/layout/hList7"/>
    <dgm:cxn modelId="{390CC1F0-E658-4A3B-9EAE-14317BBA3682}" type="presParOf" srcId="{BE31B40A-5C3B-4D3E-AE0A-0347F1A6083F}" destId="{97096C27-AA69-4713-B7D6-6008C8E80A89}" srcOrd="3" destOrd="0" presId="urn:microsoft.com/office/officeart/2005/8/layout/hList7"/>
    <dgm:cxn modelId="{AA61D52B-3B8F-4505-A3A4-7102E439DC9E}" type="presParOf" srcId="{AC867770-BF67-44CF-AD06-7FC103036203}" destId="{57CF050A-4C2C-4412-A1C5-776AC667BF92}" srcOrd="3" destOrd="0" presId="urn:microsoft.com/office/officeart/2005/8/layout/hList7"/>
    <dgm:cxn modelId="{2E64CEC0-FC4A-4557-BB29-E16F5F84B173}" type="presParOf" srcId="{AC867770-BF67-44CF-AD06-7FC103036203}" destId="{D920B88A-1664-4354-A5EB-C793387B0722}" srcOrd="4" destOrd="0" presId="urn:microsoft.com/office/officeart/2005/8/layout/hList7"/>
    <dgm:cxn modelId="{4F0376A8-1A2C-497C-A843-9E3560F2BFA8}" type="presParOf" srcId="{D920B88A-1664-4354-A5EB-C793387B0722}" destId="{F641F2F5-8FF4-46B9-8B11-02103BD92718}" srcOrd="0" destOrd="0" presId="urn:microsoft.com/office/officeart/2005/8/layout/hList7"/>
    <dgm:cxn modelId="{D57492AB-E388-4AF5-A9CB-38608400C089}" type="presParOf" srcId="{D920B88A-1664-4354-A5EB-C793387B0722}" destId="{6AE6223F-F42D-44BC-98D8-085167D0043C}" srcOrd="1" destOrd="0" presId="urn:microsoft.com/office/officeart/2005/8/layout/hList7"/>
    <dgm:cxn modelId="{A7274265-9C04-412C-B24F-3E946C1F191F}" type="presParOf" srcId="{D920B88A-1664-4354-A5EB-C793387B0722}" destId="{FDF3ACD4-0725-43BD-BAC3-F9F011461A22}" srcOrd="2" destOrd="0" presId="urn:microsoft.com/office/officeart/2005/8/layout/hList7"/>
    <dgm:cxn modelId="{D61B752D-6423-485D-9404-67E00AB60CA2}" type="presParOf" srcId="{D920B88A-1664-4354-A5EB-C793387B0722}" destId="{64C04511-E24B-4975-B47A-0ED544B0E95B}" srcOrd="3" destOrd="0" presId="urn:microsoft.com/office/officeart/2005/8/layout/hList7"/>
    <dgm:cxn modelId="{D5818632-EF84-433A-933C-D6CD01A8476D}" type="presParOf" srcId="{AC867770-BF67-44CF-AD06-7FC103036203}" destId="{511AF0C8-336F-4F6B-8768-D53F45783940}" srcOrd="5" destOrd="0" presId="urn:microsoft.com/office/officeart/2005/8/layout/hList7"/>
    <dgm:cxn modelId="{1E63CED1-E693-4D3C-82E5-23E4AABB3F38}" type="presParOf" srcId="{AC867770-BF67-44CF-AD06-7FC103036203}" destId="{A406550F-748A-4032-A76E-A9212C7A2193}" srcOrd="6" destOrd="0" presId="urn:microsoft.com/office/officeart/2005/8/layout/hList7"/>
    <dgm:cxn modelId="{371A3FFF-9B23-44D0-A36C-3120BCF07AB2}" type="presParOf" srcId="{A406550F-748A-4032-A76E-A9212C7A2193}" destId="{2B9D20C8-96B9-41B6-8076-48589CA268E0}" srcOrd="0" destOrd="0" presId="urn:microsoft.com/office/officeart/2005/8/layout/hList7"/>
    <dgm:cxn modelId="{6F99416F-0608-46C3-BD8E-979881D43D3B}" type="presParOf" srcId="{A406550F-748A-4032-A76E-A9212C7A2193}" destId="{34863370-01C5-4E0D-98B5-8B205AEFB81A}" srcOrd="1" destOrd="0" presId="urn:microsoft.com/office/officeart/2005/8/layout/hList7"/>
    <dgm:cxn modelId="{01F2AC0C-A37A-42F8-A617-75E938FFF65E}" type="presParOf" srcId="{A406550F-748A-4032-A76E-A9212C7A2193}" destId="{EAC1B80A-8AA9-411C-A431-47546ED2012B}" srcOrd="2" destOrd="0" presId="urn:microsoft.com/office/officeart/2005/8/layout/hList7"/>
    <dgm:cxn modelId="{DE90CFC0-DE2D-4495-8CE7-4849D01DC8F6}" type="presParOf" srcId="{A406550F-748A-4032-A76E-A9212C7A2193}" destId="{6CDBDC06-8CA8-4ED2-B1DF-36C000DB8D4B}" srcOrd="3" destOrd="0" presId="urn:microsoft.com/office/officeart/2005/8/layout/hList7"/>
    <dgm:cxn modelId="{C3F5B307-D656-47F9-9B13-90E7626C8BE6}" type="presParOf" srcId="{AC867770-BF67-44CF-AD06-7FC103036203}" destId="{5954570F-9DA3-4F6F-BF4A-95D2341BA982}" srcOrd="7" destOrd="0" presId="urn:microsoft.com/office/officeart/2005/8/layout/hList7"/>
    <dgm:cxn modelId="{2FC60043-B682-4DB9-8DFF-5E5558A8D671}" type="presParOf" srcId="{AC867770-BF67-44CF-AD06-7FC103036203}" destId="{4517140D-B214-4716-971A-CECDF7E34E9A}" srcOrd="8" destOrd="0" presId="urn:microsoft.com/office/officeart/2005/8/layout/hList7"/>
    <dgm:cxn modelId="{FC562B24-8B53-4129-9A03-2A8727B811D4}" type="presParOf" srcId="{4517140D-B214-4716-971A-CECDF7E34E9A}" destId="{FC3B9E41-3E84-4E7C-90A7-D157A17C24A1}" srcOrd="0" destOrd="0" presId="urn:microsoft.com/office/officeart/2005/8/layout/hList7"/>
    <dgm:cxn modelId="{A62B04C2-6B49-484F-AC47-260E93B1F821}" type="presParOf" srcId="{4517140D-B214-4716-971A-CECDF7E34E9A}" destId="{2F14E3A7-5D59-4346-9220-0B7601CFC531}" srcOrd="1" destOrd="0" presId="urn:microsoft.com/office/officeart/2005/8/layout/hList7"/>
    <dgm:cxn modelId="{3E6F241F-827E-4AD2-A837-2A4D07835461}" type="presParOf" srcId="{4517140D-B214-4716-971A-CECDF7E34E9A}" destId="{DF863F4C-AB8E-4AB5-A721-A132A4A6F38F}" srcOrd="2" destOrd="0" presId="urn:microsoft.com/office/officeart/2005/8/layout/hList7"/>
    <dgm:cxn modelId="{32A77ABF-709E-4C5E-B5F1-0C64FF85904F}" type="presParOf" srcId="{4517140D-B214-4716-971A-CECDF7E34E9A}" destId="{EBA47A8B-D192-49CE-8126-586570775AF0}" srcOrd="3" destOrd="0" presId="urn:microsoft.com/office/officeart/2005/8/layout/hList7"/>
    <dgm:cxn modelId="{1992DFDE-5732-42DF-9B43-DB34668DAF6A}" type="presParOf" srcId="{AC867770-BF67-44CF-AD06-7FC103036203}" destId="{5FE9F55D-3CBC-4C53-AD27-3713BA76DD46}" srcOrd="9" destOrd="0" presId="urn:microsoft.com/office/officeart/2005/8/layout/hList7"/>
    <dgm:cxn modelId="{0BFD6C1E-2AE6-4AE6-96AE-86D7114246FC}" type="presParOf" srcId="{AC867770-BF67-44CF-AD06-7FC103036203}" destId="{5A3A9B7F-C1E9-4F15-9339-66896AF84C47}" srcOrd="10" destOrd="0" presId="urn:microsoft.com/office/officeart/2005/8/layout/hList7"/>
    <dgm:cxn modelId="{FCFCA8A1-31F9-471C-933A-83353252F829}" type="presParOf" srcId="{5A3A9B7F-C1E9-4F15-9339-66896AF84C47}" destId="{6288A049-15AE-4729-99DF-CB0330AB3341}" srcOrd="0" destOrd="0" presId="urn:microsoft.com/office/officeart/2005/8/layout/hList7"/>
    <dgm:cxn modelId="{7F778643-4920-4D24-92BD-7AA5D130C8B7}" type="presParOf" srcId="{5A3A9B7F-C1E9-4F15-9339-66896AF84C47}" destId="{3C9E3F63-BB7C-41AD-8888-5B3B64E6BDBA}" srcOrd="1" destOrd="0" presId="urn:microsoft.com/office/officeart/2005/8/layout/hList7"/>
    <dgm:cxn modelId="{A14307B3-0379-4F46-80B3-653C608E4B80}" type="presParOf" srcId="{5A3A9B7F-C1E9-4F15-9339-66896AF84C47}" destId="{0BC7FC42-7ED7-485F-9131-082C6E0DC68C}" srcOrd="2" destOrd="0" presId="urn:microsoft.com/office/officeart/2005/8/layout/hList7"/>
    <dgm:cxn modelId="{743016D4-4A71-4DF9-A243-2FA516F048D5}" type="presParOf" srcId="{5A3A9B7F-C1E9-4F15-9339-66896AF84C47}" destId="{206F22CF-7B71-4D0B-9206-5680867CC15E}" srcOrd="3" destOrd="0" presId="urn:microsoft.com/office/officeart/2005/8/layout/hList7"/>
    <dgm:cxn modelId="{89ACAE02-1CEE-4B1A-AEF5-156704C1FA31}" type="presParOf" srcId="{AC867770-BF67-44CF-AD06-7FC103036203}" destId="{311B32D6-F2B1-4636-AEF4-F87E115405A9}" srcOrd="11" destOrd="0" presId="urn:microsoft.com/office/officeart/2005/8/layout/hList7"/>
    <dgm:cxn modelId="{4A51CA84-847A-42EA-AD5A-F4F6A3F35173}" type="presParOf" srcId="{AC867770-BF67-44CF-AD06-7FC103036203}" destId="{961B8A7F-8A9D-446B-BA0D-D068BBFD4123}" srcOrd="12" destOrd="0" presId="urn:microsoft.com/office/officeart/2005/8/layout/hList7"/>
    <dgm:cxn modelId="{C8B44F58-DC2E-4394-98DE-CD3389078E23}" type="presParOf" srcId="{961B8A7F-8A9D-446B-BA0D-D068BBFD4123}" destId="{8F84DBF5-E9E4-4F73-B989-936C87108342}" srcOrd="0" destOrd="0" presId="urn:microsoft.com/office/officeart/2005/8/layout/hList7"/>
    <dgm:cxn modelId="{17B78FEC-BCE1-4B34-9150-5B21FE97BE4F}" type="presParOf" srcId="{961B8A7F-8A9D-446B-BA0D-D068BBFD4123}" destId="{F2199E6B-2CB4-4EAD-96E9-4765322CFEDC}" srcOrd="1" destOrd="0" presId="urn:microsoft.com/office/officeart/2005/8/layout/hList7"/>
    <dgm:cxn modelId="{D88D19F5-EE6D-4DD8-A33C-A7652AD4E1EE}" type="presParOf" srcId="{961B8A7F-8A9D-446B-BA0D-D068BBFD4123}" destId="{B960FCEB-2D20-4ABB-A1FB-17D7A454C38C}" srcOrd="2" destOrd="0" presId="urn:microsoft.com/office/officeart/2005/8/layout/hList7"/>
    <dgm:cxn modelId="{B3EE817F-3815-4E2D-9AA9-BA9027C8021B}" type="presParOf" srcId="{961B8A7F-8A9D-446B-BA0D-D068BBFD4123}" destId="{2FF7FC7F-FB64-4B1D-81FD-A85D711D8279}" srcOrd="3" destOrd="0" presId="urn:microsoft.com/office/officeart/2005/8/layout/hList7"/>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981DF80-0CBA-4256-A333-DD25BC65D407}" type="doc">
      <dgm:prSet loTypeId="urn:microsoft.com/office/officeart/2005/8/layout/lProcess3" loCatId="process" qsTypeId="urn:microsoft.com/office/officeart/2005/8/quickstyle/simple1" qsCatId="simple" csTypeId="urn:microsoft.com/office/officeart/2005/8/colors/colorful1" csCatId="colorful" phldr="1"/>
      <dgm:spPr/>
      <dgm:t>
        <a:bodyPr/>
        <a:lstStyle/>
        <a:p>
          <a:endParaRPr lang="en-US"/>
        </a:p>
      </dgm:t>
    </dgm:pt>
    <dgm:pt modelId="{E4FAC43A-B2E1-44E8-A936-954F9D82BC9E}">
      <dgm:prSet phldrT="[Text]" custT="1"/>
      <dgm:spPr/>
      <dgm:t>
        <a:bodyPr/>
        <a:lstStyle/>
        <a:p>
          <a:pPr algn="ctr"/>
          <a:r>
            <a:rPr lang="en-US" sz="1400" b="1">
              <a:solidFill>
                <a:sysClr val="windowText" lastClr="000000"/>
              </a:solidFill>
            </a:rPr>
            <a:t>No Improvement After 2 Weeks</a:t>
          </a:r>
        </a:p>
      </dgm:t>
    </dgm:pt>
    <dgm:pt modelId="{84E9A764-FE3E-405A-AB52-31BC446B6F9A}" type="parTrans" cxnId="{96110AF0-287B-41D3-BA32-B40030CA7239}">
      <dgm:prSet/>
      <dgm:spPr/>
      <dgm:t>
        <a:bodyPr/>
        <a:lstStyle/>
        <a:p>
          <a:pPr algn="ctr"/>
          <a:endParaRPr lang="en-US" sz="1400" b="1">
            <a:solidFill>
              <a:sysClr val="windowText" lastClr="000000"/>
            </a:solidFill>
          </a:endParaRPr>
        </a:p>
      </dgm:t>
    </dgm:pt>
    <dgm:pt modelId="{A4728DC9-FB3A-41D4-BD87-564E2591B15A}" type="sibTrans" cxnId="{96110AF0-287B-41D3-BA32-B40030CA7239}">
      <dgm:prSet/>
      <dgm:spPr/>
      <dgm:t>
        <a:bodyPr/>
        <a:lstStyle/>
        <a:p>
          <a:pPr algn="ctr"/>
          <a:endParaRPr lang="en-US" sz="1400" b="1">
            <a:solidFill>
              <a:sysClr val="windowText" lastClr="000000"/>
            </a:solidFill>
          </a:endParaRPr>
        </a:p>
      </dgm:t>
    </dgm:pt>
    <dgm:pt modelId="{AB578F7E-B022-4FBF-B3B0-C80CA7FDDAA5}">
      <dgm:prSet phldrT="[Text]" custT="1"/>
      <dgm:spPr/>
      <dgm:t>
        <a:bodyPr/>
        <a:lstStyle/>
        <a:p>
          <a:pPr algn="ctr"/>
          <a:r>
            <a:rPr lang="en-US" sz="1400" b="1">
              <a:solidFill>
                <a:sysClr val="windowText" lastClr="000000"/>
              </a:solidFill>
            </a:rPr>
            <a:t>Spreading or Worsening Rash</a:t>
          </a:r>
        </a:p>
      </dgm:t>
    </dgm:pt>
    <dgm:pt modelId="{A8F137F3-9ED0-4471-AFC5-2FD1A70E76B2}" type="parTrans" cxnId="{DDA0106C-DF24-47DF-92F8-BFBB8A7148ED}">
      <dgm:prSet/>
      <dgm:spPr/>
      <dgm:t>
        <a:bodyPr/>
        <a:lstStyle/>
        <a:p>
          <a:pPr algn="ctr"/>
          <a:endParaRPr lang="en-US" sz="1400" b="1">
            <a:solidFill>
              <a:sysClr val="windowText" lastClr="000000"/>
            </a:solidFill>
          </a:endParaRPr>
        </a:p>
      </dgm:t>
    </dgm:pt>
    <dgm:pt modelId="{43F23AD9-5981-4864-8D20-D85BBCBB9316}" type="sibTrans" cxnId="{DDA0106C-DF24-47DF-92F8-BFBB8A7148ED}">
      <dgm:prSet/>
      <dgm:spPr/>
      <dgm:t>
        <a:bodyPr/>
        <a:lstStyle/>
        <a:p>
          <a:pPr algn="ctr"/>
          <a:endParaRPr lang="en-US" sz="1400" b="1">
            <a:solidFill>
              <a:sysClr val="windowText" lastClr="000000"/>
            </a:solidFill>
          </a:endParaRPr>
        </a:p>
      </dgm:t>
    </dgm:pt>
    <dgm:pt modelId="{7036FDC6-AFD8-4AB9-9A85-BE99C706C775}">
      <dgm:prSet phldrT="[Text]" custT="1"/>
      <dgm:spPr/>
      <dgm:t>
        <a:bodyPr/>
        <a:lstStyle/>
        <a:p>
          <a:pPr algn="ctr"/>
          <a:r>
            <a:rPr lang="en-US" sz="1400" b="1">
              <a:solidFill>
                <a:sysClr val="windowText" lastClr="000000"/>
              </a:solidFill>
            </a:rPr>
            <a:t> Ringworm on the Scalp or Beard (Tinea Capitis/Barbae)</a:t>
          </a:r>
        </a:p>
      </dgm:t>
    </dgm:pt>
    <dgm:pt modelId="{F6ECA735-D8A8-4905-9160-BB00E892D804}" type="parTrans" cxnId="{BFFA83FE-F7B6-4725-80A0-E98DF131F0E5}">
      <dgm:prSet/>
      <dgm:spPr/>
      <dgm:t>
        <a:bodyPr/>
        <a:lstStyle/>
        <a:p>
          <a:pPr algn="ctr"/>
          <a:endParaRPr lang="en-US" sz="1400" b="1">
            <a:solidFill>
              <a:sysClr val="windowText" lastClr="000000"/>
            </a:solidFill>
          </a:endParaRPr>
        </a:p>
      </dgm:t>
    </dgm:pt>
    <dgm:pt modelId="{441D44DB-9284-450D-ADE0-5D6F794143A9}" type="sibTrans" cxnId="{BFFA83FE-F7B6-4725-80A0-E98DF131F0E5}">
      <dgm:prSet/>
      <dgm:spPr/>
      <dgm:t>
        <a:bodyPr/>
        <a:lstStyle/>
        <a:p>
          <a:pPr algn="ctr"/>
          <a:endParaRPr lang="en-US" sz="1400" b="1">
            <a:solidFill>
              <a:sysClr val="windowText" lastClr="000000"/>
            </a:solidFill>
          </a:endParaRPr>
        </a:p>
      </dgm:t>
    </dgm:pt>
    <dgm:pt modelId="{2B4A4C19-7633-4291-BE97-3DF30DF46E5E}">
      <dgm:prSet phldrT="[Text]" custT="1"/>
      <dgm:spPr/>
      <dgm:t>
        <a:bodyPr/>
        <a:lstStyle/>
        <a:p>
          <a:pPr algn="ctr"/>
          <a:r>
            <a:rPr lang="en-US" sz="1400" b="1">
              <a:solidFill>
                <a:sysClr val="windowText" lastClr="000000"/>
              </a:solidFill>
            </a:rPr>
            <a:t>Recurring Infections</a:t>
          </a:r>
        </a:p>
      </dgm:t>
    </dgm:pt>
    <dgm:pt modelId="{77A1B01B-6604-4676-B9B6-0AB3046BC2F1}" type="parTrans" cxnId="{BEC9FE2E-998A-455D-A485-5B7CC41D78ED}">
      <dgm:prSet/>
      <dgm:spPr/>
      <dgm:t>
        <a:bodyPr/>
        <a:lstStyle/>
        <a:p>
          <a:pPr algn="ctr"/>
          <a:endParaRPr lang="en-US" sz="1400" b="1">
            <a:solidFill>
              <a:sysClr val="windowText" lastClr="000000"/>
            </a:solidFill>
          </a:endParaRPr>
        </a:p>
      </dgm:t>
    </dgm:pt>
    <dgm:pt modelId="{ED9F5854-3330-4490-991F-3B9F54350DA2}" type="sibTrans" cxnId="{BEC9FE2E-998A-455D-A485-5B7CC41D78ED}">
      <dgm:prSet/>
      <dgm:spPr/>
      <dgm:t>
        <a:bodyPr/>
        <a:lstStyle/>
        <a:p>
          <a:pPr algn="ctr"/>
          <a:endParaRPr lang="en-US" sz="1400" b="1">
            <a:solidFill>
              <a:sysClr val="windowText" lastClr="000000"/>
            </a:solidFill>
          </a:endParaRPr>
        </a:p>
      </dgm:t>
    </dgm:pt>
    <dgm:pt modelId="{E9C369E9-3E9C-4A31-86AD-F9CDE7CA7750}">
      <dgm:prSet phldrT="[Text]" custT="1"/>
      <dgm:spPr/>
      <dgm:t>
        <a:bodyPr/>
        <a:lstStyle/>
        <a:p>
          <a:pPr algn="ctr"/>
          <a:r>
            <a:rPr lang="en-US" sz="1400" b="1">
              <a:solidFill>
                <a:sysClr val="windowText" lastClr="000000"/>
              </a:solidFill>
            </a:rPr>
            <a:t>Severe or Widespread Infection</a:t>
          </a:r>
        </a:p>
      </dgm:t>
    </dgm:pt>
    <dgm:pt modelId="{FB3633DF-7A55-4124-9B67-4506E8A020B3}" type="parTrans" cxnId="{31FD1820-FFA3-4AD6-A8E5-8B92CDDD511B}">
      <dgm:prSet/>
      <dgm:spPr/>
      <dgm:t>
        <a:bodyPr/>
        <a:lstStyle/>
        <a:p>
          <a:pPr algn="ctr"/>
          <a:endParaRPr lang="en-US" sz="1400" b="1">
            <a:solidFill>
              <a:sysClr val="windowText" lastClr="000000"/>
            </a:solidFill>
          </a:endParaRPr>
        </a:p>
      </dgm:t>
    </dgm:pt>
    <dgm:pt modelId="{4965F69C-D0A1-46D2-A656-7233B3F7B13F}" type="sibTrans" cxnId="{31FD1820-FFA3-4AD6-A8E5-8B92CDDD511B}">
      <dgm:prSet/>
      <dgm:spPr/>
      <dgm:t>
        <a:bodyPr/>
        <a:lstStyle/>
        <a:p>
          <a:pPr algn="ctr"/>
          <a:endParaRPr lang="en-US" sz="1400" b="1">
            <a:solidFill>
              <a:sysClr val="windowText" lastClr="000000"/>
            </a:solidFill>
          </a:endParaRPr>
        </a:p>
      </dgm:t>
    </dgm:pt>
    <dgm:pt modelId="{DC5E3923-80ED-471B-9B78-A65CC1C635B5}">
      <dgm:prSet phldrT="[Text]" custT="1"/>
      <dgm:spPr/>
      <dgm:t>
        <a:bodyPr/>
        <a:lstStyle/>
        <a:p>
          <a:pPr algn="ctr"/>
          <a:r>
            <a:rPr lang="en-US" sz="1400" b="1">
              <a:solidFill>
                <a:sysClr val="windowText" lastClr="000000"/>
              </a:solidFill>
            </a:rPr>
            <a:t>Infection in Infants, Elderly, or Immunocompromised Individuals</a:t>
          </a:r>
        </a:p>
      </dgm:t>
    </dgm:pt>
    <dgm:pt modelId="{84512B9D-85A6-405F-9734-F77841B70880}" type="parTrans" cxnId="{014F2DAF-EA1F-458E-943D-19759606081A}">
      <dgm:prSet/>
      <dgm:spPr/>
      <dgm:t>
        <a:bodyPr/>
        <a:lstStyle/>
        <a:p>
          <a:pPr algn="ctr"/>
          <a:endParaRPr lang="en-US" sz="1400" b="1">
            <a:solidFill>
              <a:sysClr val="windowText" lastClr="000000"/>
            </a:solidFill>
          </a:endParaRPr>
        </a:p>
      </dgm:t>
    </dgm:pt>
    <dgm:pt modelId="{45CB6733-FB4C-4F8B-A715-BA6DF7B4D71C}" type="sibTrans" cxnId="{014F2DAF-EA1F-458E-943D-19759606081A}">
      <dgm:prSet/>
      <dgm:spPr/>
      <dgm:t>
        <a:bodyPr/>
        <a:lstStyle/>
        <a:p>
          <a:pPr algn="ctr"/>
          <a:endParaRPr lang="en-US" sz="1400" b="1">
            <a:solidFill>
              <a:sysClr val="windowText" lastClr="000000"/>
            </a:solidFill>
          </a:endParaRPr>
        </a:p>
      </dgm:t>
    </dgm:pt>
    <dgm:pt modelId="{90B54F07-A493-4F7B-BA99-2038F8DFE3B3}">
      <dgm:prSet phldrT="[Text]" custT="1"/>
      <dgm:spPr/>
      <dgm:t>
        <a:bodyPr/>
        <a:lstStyle/>
        <a:p>
          <a:pPr algn="ctr"/>
          <a:r>
            <a:rPr lang="en-US" sz="1400" b="1">
              <a:solidFill>
                <a:sysClr val="windowText" lastClr="000000"/>
              </a:solidFill>
            </a:rPr>
            <a:t> Involvement of Nails (Tinea Unguium or Onychomycosis)</a:t>
          </a:r>
        </a:p>
      </dgm:t>
    </dgm:pt>
    <dgm:pt modelId="{95C3A6FC-9AB9-4179-99EB-CFB37D0F4AA9}" type="parTrans" cxnId="{4D42D6D8-BE6C-4D48-8EBD-B1FD2875DBCD}">
      <dgm:prSet/>
      <dgm:spPr/>
      <dgm:t>
        <a:bodyPr/>
        <a:lstStyle/>
        <a:p>
          <a:pPr algn="ctr"/>
          <a:endParaRPr lang="en-US" sz="1400" b="1">
            <a:solidFill>
              <a:sysClr val="windowText" lastClr="000000"/>
            </a:solidFill>
          </a:endParaRPr>
        </a:p>
      </dgm:t>
    </dgm:pt>
    <dgm:pt modelId="{E9A5B565-F379-4832-AC90-3CA434015E01}" type="sibTrans" cxnId="{4D42D6D8-BE6C-4D48-8EBD-B1FD2875DBCD}">
      <dgm:prSet/>
      <dgm:spPr/>
      <dgm:t>
        <a:bodyPr/>
        <a:lstStyle/>
        <a:p>
          <a:pPr algn="ctr"/>
          <a:endParaRPr lang="en-US" sz="1400" b="1">
            <a:solidFill>
              <a:sysClr val="windowText" lastClr="000000"/>
            </a:solidFill>
          </a:endParaRPr>
        </a:p>
      </dgm:t>
    </dgm:pt>
    <dgm:pt modelId="{00EAFD93-0A1D-47BF-AB3A-D2B29D24FA75}" type="pres">
      <dgm:prSet presAssocID="{1981DF80-0CBA-4256-A333-DD25BC65D407}" presName="Name0" presStyleCnt="0">
        <dgm:presLayoutVars>
          <dgm:chPref val="3"/>
          <dgm:dir/>
          <dgm:animLvl val="lvl"/>
          <dgm:resizeHandles/>
        </dgm:presLayoutVars>
      </dgm:prSet>
      <dgm:spPr/>
      <dgm:t>
        <a:bodyPr/>
        <a:lstStyle/>
        <a:p>
          <a:endParaRPr lang="en-US"/>
        </a:p>
      </dgm:t>
    </dgm:pt>
    <dgm:pt modelId="{E044CC8B-0019-475E-9873-BDEB41D85403}" type="pres">
      <dgm:prSet presAssocID="{E4FAC43A-B2E1-44E8-A936-954F9D82BC9E}" presName="horFlow" presStyleCnt="0"/>
      <dgm:spPr/>
    </dgm:pt>
    <dgm:pt modelId="{435614B9-1FF1-44EA-871E-6B1223C2B73B}" type="pres">
      <dgm:prSet presAssocID="{E4FAC43A-B2E1-44E8-A936-954F9D82BC9E}" presName="bigChev" presStyleLbl="node1" presStyleIdx="0" presStyleCnt="7"/>
      <dgm:spPr/>
      <dgm:t>
        <a:bodyPr/>
        <a:lstStyle/>
        <a:p>
          <a:endParaRPr lang="en-US"/>
        </a:p>
      </dgm:t>
    </dgm:pt>
    <dgm:pt modelId="{8FA21E91-6F18-4B7D-A6DD-B781EA774F86}" type="pres">
      <dgm:prSet presAssocID="{E4FAC43A-B2E1-44E8-A936-954F9D82BC9E}" presName="vSp" presStyleCnt="0"/>
      <dgm:spPr/>
    </dgm:pt>
    <dgm:pt modelId="{15989876-4237-4F31-91CD-146A7CC2B989}" type="pres">
      <dgm:prSet presAssocID="{AB578F7E-B022-4FBF-B3B0-C80CA7FDDAA5}" presName="horFlow" presStyleCnt="0"/>
      <dgm:spPr/>
    </dgm:pt>
    <dgm:pt modelId="{795BEE77-1740-4191-827A-81A53633883E}" type="pres">
      <dgm:prSet presAssocID="{AB578F7E-B022-4FBF-B3B0-C80CA7FDDAA5}" presName="bigChev" presStyleLbl="node1" presStyleIdx="1" presStyleCnt="7"/>
      <dgm:spPr/>
      <dgm:t>
        <a:bodyPr/>
        <a:lstStyle/>
        <a:p>
          <a:endParaRPr lang="en-US"/>
        </a:p>
      </dgm:t>
    </dgm:pt>
    <dgm:pt modelId="{CA0B3012-81CD-49D8-A0AB-C6FE63EA15DE}" type="pres">
      <dgm:prSet presAssocID="{AB578F7E-B022-4FBF-B3B0-C80CA7FDDAA5}" presName="vSp" presStyleCnt="0"/>
      <dgm:spPr/>
    </dgm:pt>
    <dgm:pt modelId="{B72B35E0-8C39-4A7F-980D-65EEBDE4EC19}" type="pres">
      <dgm:prSet presAssocID="{7036FDC6-AFD8-4AB9-9A85-BE99C706C775}" presName="horFlow" presStyleCnt="0"/>
      <dgm:spPr/>
    </dgm:pt>
    <dgm:pt modelId="{1F6D633C-66D3-4AEE-852F-A75C3773B1B5}" type="pres">
      <dgm:prSet presAssocID="{7036FDC6-AFD8-4AB9-9A85-BE99C706C775}" presName="bigChev" presStyleLbl="node1" presStyleIdx="2" presStyleCnt="7"/>
      <dgm:spPr/>
      <dgm:t>
        <a:bodyPr/>
        <a:lstStyle/>
        <a:p>
          <a:endParaRPr lang="en-US"/>
        </a:p>
      </dgm:t>
    </dgm:pt>
    <dgm:pt modelId="{0EDE9C4B-0010-4A6E-A058-BB17508D5733}" type="pres">
      <dgm:prSet presAssocID="{7036FDC6-AFD8-4AB9-9A85-BE99C706C775}" presName="vSp" presStyleCnt="0"/>
      <dgm:spPr/>
    </dgm:pt>
    <dgm:pt modelId="{678014F4-69E2-4233-AC6D-EC84F4CCB516}" type="pres">
      <dgm:prSet presAssocID="{2B4A4C19-7633-4291-BE97-3DF30DF46E5E}" presName="horFlow" presStyleCnt="0"/>
      <dgm:spPr/>
    </dgm:pt>
    <dgm:pt modelId="{8E79073F-2C81-49BA-9E7F-89A66B217FC8}" type="pres">
      <dgm:prSet presAssocID="{2B4A4C19-7633-4291-BE97-3DF30DF46E5E}" presName="bigChev" presStyleLbl="node1" presStyleIdx="3" presStyleCnt="7"/>
      <dgm:spPr/>
      <dgm:t>
        <a:bodyPr/>
        <a:lstStyle/>
        <a:p>
          <a:endParaRPr lang="en-US"/>
        </a:p>
      </dgm:t>
    </dgm:pt>
    <dgm:pt modelId="{3C382175-AEC3-409E-A6F1-9504BFDE8B28}" type="pres">
      <dgm:prSet presAssocID="{2B4A4C19-7633-4291-BE97-3DF30DF46E5E}" presName="vSp" presStyleCnt="0"/>
      <dgm:spPr/>
    </dgm:pt>
    <dgm:pt modelId="{53CFA01E-CFD0-4D79-8D99-C5C5E008D774}" type="pres">
      <dgm:prSet presAssocID="{E9C369E9-3E9C-4A31-86AD-F9CDE7CA7750}" presName="horFlow" presStyleCnt="0"/>
      <dgm:spPr/>
    </dgm:pt>
    <dgm:pt modelId="{0C5D9825-EEBC-40B3-BE29-1F3C76D1580F}" type="pres">
      <dgm:prSet presAssocID="{E9C369E9-3E9C-4A31-86AD-F9CDE7CA7750}" presName="bigChev" presStyleLbl="node1" presStyleIdx="4" presStyleCnt="7"/>
      <dgm:spPr/>
      <dgm:t>
        <a:bodyPr/>
        <a:lstStyle/>
        <a:p>
          <a:endParaRPr lang="en-US"/>
        </a:p>
      </dgm:t>
    </dgm:pt>
    <dgm:pt modelId="{C2BBC2C9-3812-4073-8A6A-C3F44890C3C2}" type="pres">
      <dgm:prSet presAssocID="{E9C369E9-3E9C-4A31-86AD-F9CDE7CA7750}" presName="vSp" presStyleCnt="0"/>
      <dgm:spPr/>
    </dgm:pt>
    <dgm:pt modelId="{5CA833E4-61B0-41A8-88AB-63407243EBD7}" type="pres">
      <dgm:prSet presAssocID="{DC5E3923-80ED-471B-9B78-A65CC1C635B5}" presName="horFlow" presStyleCnt="0"/>
      <dgm:spPr/>
    </dgm:pt>
    <dgm:pt modelId="{EF599C69-27DA-4093-981B-30D7A1DCF3A2}" type="pres">
      <dgm:prSet presAssocID="{DC5E3923-80ED-471B-9B78-A65CC1C635B5}" presName="bigChev" presStyleLbl="node1" presStyleIdx="5" presStyleCnt="7"/>
      <dgm:spPr/>
      <dgm:t>
        <a:bodyPr/>
        <a:lstStyle/>
        <a:p>
          <a:endParaRPr lang="en-US"/>
        </a:p>
      </dgm:t>
    </dgm:pt>
    <dgm:pt modelId="{C32A57CF-944C-4075-B214-769C07D2E97F}" type="pres">
      <dgm:prSet presAssocID="{DC5E3923-80ED-471B-9B78-A65CC1C635B5}" presName="vSp" presStyleCnt="0"/>
      <dgm:spPr/>
    </dgm:pt>
    <dgm:pt modelId="{08F40491-17DD-4384-B0FA-16557AB106A0}" type="pres">
      <dgm:prSet presAssocID="{90B54F07-A493-4F7B-BA99-2038F8DFE3B3}" presName="horFlow" presStyleCnt="0"/>
      <dgm:spPr/>
    </dgm:pt>
    <dgm:pt modelId="{23F2B638-36CC-425C-A755-4C22C445A12D}" type="pres">
      <dgm:prSet presAssocID="{90B54F07-A493-4F7B-BA99-2038F8DFE3B3}" presName="bigChev" presStyleLbl="node1" presStyleIdx="6" presStyleCnt="7"/>
      <dgm:spPr/>
      <dgm:t>
        <a:bodyPr/>
        <a:lstStyle/>
        <a:p>
          <a:endParaRPr lang="en-US"/>
        </a:p>
      </dgm:t>
    </dgm:pt>
  </dgm:ptLst>
  <dgm:cxnLst>
    <dgm:cxn modelId="{227EE500-8A87-45D1-8801-182484DB1027}" type="presOf" srcId="{2B4A4C19-7633-4291-BE97-3DF30DF46E5E}" destId="{8E79073F-2C81-49BA-9E7F-89A66B217FC8}" srcOrd="0" destOrd="0" presId="urn:microsoft.com/office/officeart/2005/8/layout/lProcess3"/>
    <dgm:cxn modelId="{DDA0106C-DF24-47DF-92F8-BFBB8A7148ED}" srcId="{1981DF80-0CBA-4256-A333-DD25BC65D407}" destId="{AB578F7E-B022-4FBF-B3B0-C80CA7FDDAA5}" srcOrd="1" destOrd="0" parTransId="{A8F137F3-9ED0-4471-AFC5-2FD1A70E76B2}" sibTransId="{43F23AD9-5981-4864-8D20-D85BBCBB9316}"/>
    <dgm:cxn modelId="{521FF78A-2A92-4F43-8322-27846B04466F}" type="presOf" srcId="{E4FAC43A-B2E1-44E8-A936-954F9D82BC9E}" destId="{435614B9-1FF1-44EA-871E-6B1223C2B73B}" srcOrd="0" destOrd="0" presId="urn:microsoft.com/office/officeart/2005/8/layout/lProcess3"/>
    <dgm:cxn modelId="{31FD1820-FFA3-4AD6-A8E5-8B92CDDD511B}" srcId="{1981DF80-0CBA-4256-A333-DD25BC65D407}" destId="{E9C369E9-3E9C-4A31-86AD-F9CDE7CA7750}" srcOrd="4" destOrd="0" parTransId="{FB3633DF-7A55-4124-9B67-4506E8A020B3}" sibTransId="{4965F69C-D0A1-46D2-A656-7233B3F7B13F}"/>
    <dgm:cxn modelId="{BE4D441F-89A6-4007-BDD1-CBA7D7EDBE3B}" type="presOf" srcId="{DC5E3923-80ED-471B-9B78-A65CC1C635B5}" destId="{EF599C69-27DA-4093-981B-30D7A1DCF3A2}" srcOrd="0" destOrd="0" presId="urn:microsoft.com/office/officeart/2005/8/layout/lProcess3"/>
    <dgm:cxn modelId="{C5897C2C-A537-44AF-84FD-532BEA555AF0}" type="presOf" srcId="{AB578F7E-B022-4FBF-B3B0-C80CA7FDDAA5}" destId="{795BEE77-1740-4191-827A-81A53633883E}" srcOrd="0" destOrd="0" presId="urn:microsoft.com/office/officeart/2005/8/layout/lProcess3"/>
    <dgm:cxn modelId="{BFFA83FE-F7B6-4725-80A0-E98DF131F0E5}" srcId="{1981DF80-0CBA-4256-A333-DD25BC65D407}" destId="{7036FDC6-AFD8-4AB9-9A85-BE99C706C775}" srcOrd="2" destOrd="0" parTransId="{F6ECA735-D8A8-4905-9160-BB00E892D804}" sibTransId="{441D44DB-9284-450D-ADE0-5D6F794143A9}"/>
    <dgm:cxn modelId="{4D42D6D8-BE6C-4D48-8EBD-B1FD2875DBCD}" srcId="{1981DF80-0CBA-4256-A333-DD25BC65D407}" destId="{90B54F07-A493-4F7B-BA99-2038F8DFE3B3}" srcOrd="6" destOrd="0" parTransId="{95C3A6FC-9AB9-4179-99EB-CFB37D0F4AA9}" sibTransId="{E9A5B565-F379-4832-AC90-3CA434015E01}"/>
    <dgm:cxn modelId="{BEC9FE2E-998A-455D-A485-5B7CC41D78ED}" srcId="{1981DF80-0CBA-4256-A333-DD25BC65D407}" destId="{2B4A4C19-7633-4291-BE97-3DF30DF46E5E}" srcOrd="3" destOrd="0" parTransId="{77A1B01B-6604-4676-B9B6-0AB3046BC2F1}" sibTransId="{ED9F5854-3330-4490-991F-3B9F54350DA2}"/>
    <dgm:cxn modelId="{D8944B3E-5436-4D22-B176-60B54D776920}" type="presOf" srcId="{E9C369E9-3E9C-4A31-86AD-F9CDE7CA7750}" destId="{0C5D9825-EEBC-40B3-BE29-1F3C76D1580F}" srcOrd="0" destOrd="0" presId="urn:microsoft.com/office/officeart/2005/8/layout/lProcess3"/>
    <dgm:cxn modelId="{96110AF0-287B-41D3-BA32-B40030CA7239}" srcId="{1981DF80-0CBA-4256-A333-DD25BC65D407}" destId="{E4FAC43A-B2E1-44E8-A936-954F9D82BC9E}" srcOrd="0" destOrd="0" parTransId="{84E9A764-FE3E-405A-AB52-31BC446B6F9A}" sibTransId="{A4728DC9-FB3A-41D4-BD87-564E2591B15A}"/>
    <dgm:cxn modelId="{014F2DAF-EA1F-458E-943D-19759606081A}" srcId="{1981DF80-0CBA-4256-A333-DD25BC65D407}" destId="{DC5E3923-80ED-471B-9B78-A65CC1C635B5}" srcOrd="5" destOrd="0" parTransId="{84512B9D-85A6-405F-9734-F77841B70880}" sibTransId="{45CB6733-FB4C-4F8B-A715-BA6DF7B4D71C}"/>
    <dgm:cxn modelId="{C5FEDE9A-DD9E-4B40-A3BD-A11D597A93CC}" type="presOf" srcId="{1981DF80-0CBA-4256-A333-DD25BC65D407}" destId="{00EAFD93-0A1D-47BF-AB3A-D2B29D24FA75}" srcOrd="0" destOrd="0" presId="urn:microsoft.com/office/officeart/2005/8/layout/lProcess3"/>
    <dgm:cxn modelId="{61B3CD0C-4924-40E9-8BFC-F361BC5AAF25}" type="presOf" srcId="{90B54F07-A493-4F7B-BA99-2038F8DFE3B3}" destId="{23F2B638-36CC-425C-A755-4C22C445A12D}" srcOrd="0" destOrd="0" presId="urn:microsoft.com/office/officeart/2005/8/layout/lProcess3"/>
    <dgm:cxn modelId="{F0A20E62-3A25-400C-93A6-583FB565C08E}" type="presOf" srcId="{7036FDC6-AFD8-4AB9-9A85-BE99C706C775}" destId="{1F6D633C-66D3-4AEE-852F-A75C3773B1B5}" srcOrd="0" destOrd="0" presId="urn:microsoft.com/office/officeart/2005/8/layout/lProcess3"/>
    <dgm:cxn modelId="{CE2010EB-34BD-421F-A67E-2CA9B896AB50}" type="presParOf" srcId="{00EAFD93-0A1D-47BF-AB3A-D2B29D24FA75}" destId="{E044CC8B-0019-475E-9873-BDEB41D85403}" srcOrd="0" destOrd="0" presId="urn:microsoft.com/office/officeart/2005/8/layout/lProcess3"/>
    <dgm:cxn modelId="{5B5E9DCC-AE4D-4776-8865-9C3C0C7BC7D6}" type="presParOf" srcId="{E044CC8B-0019-475E-9873-BDEB41D85403}" destId="{435614B9-1FF1-44EA-871E-6B1223C2B73B}" srcOrd="0" destOrd="0" presId="urn:microsoft.com/office/officeart/2005/8/layout/lProcess3"/>
    <dgm:cxn modelId="{922F275C-EB8F-44F1-B1C6-95CBE18B9DFA}" type="presParOf" srcId="{00EAFD93-0A1D-47BF-AB3A-D2B29D24FA75}" destId="{8FA21E91-6F18-4B7D-A6DD-B781EA774F86}" srcOrd="1" destOrd="0" presId="urn:microsoft.com/office/officeart/2005/8/layout/lProcess3"/>
    <dgm:cxn modelId="{1F736AD6-FCFF-4A4A-9804-3494B7D83DD1}" type="presParOf" srcId="{00EAFD93-0A1D-47BF-AB3A-D2B29D24FA75}" destId="{15989876-4237-4F31-91CD-146A7CC2B989}" srcOrd="2" destOrd="0" presId="urn:microsoft.com/office/officeart/2005/8/layout/lProcess3"/>
    <dgm:cxn modelId="{B364FA3E-86AE-4256-8F64-805797B52A4D}" type="presParOf" srcId="{15989876-4237-4F31-91CD-146A7CC2B989}" destId="{795BEE77-1740-4191-827A-81A53633883E}" srcOrd="0" destOrd="0" presId="urn:microsoft.com/office/officeart/2005/8/layout/lProcess3"/>
    <dgm:cxn modelId="{F9B9B1FE-CF7B-479F-BA6F-28204F25D004}" type="presParOf" srcId="{00EAFD93-0A1D-47BF-AB3A-D2B29D24FA75}" destId="{CA0B3012-81CD-49D8-A0AB-C6FE63EA15DE}" srcOrd="3" destOrd="0" presId="urn:microsoft.com/office/officeart/2005/8/layout/lProcess3"/>
    <dgm:cxn modelId="{1BB86550-7861-45C6-A78A-AE10878B4438}" type="presParOf" srcId="{00EAFD93-0A1D-47BF-AB3A-D2B29D24FA75}" destId="{B72B35E0-8C39-4A7F-980D-65EEBDE4EC19}" srcOrd="4" destOrd="0" presId="urn:microsoft.com/office/officeart/2005/8/layout/lProcess3"/>
    <dgm:cxn modelId="{D931B868-B37A-4F73-B849-E58F76A501F7}" type="presParOf" srcId="{B72B35E0-8C39-4A7F-980D-65EEBDE4EC19}" destId="{1F6D633C-66D3-4AEE-852F-A75C3773B1B5}" srcOrd="0" destOrd="0" presId="urn:microsoft.com/office/officeart/2005/8/layout/lProcess3"/>
    <dgm:cxn modelId="{07CF4267-C142-4508-8546-49527AA1771A}" type="presParOf" srcId="{00EAFD93-0A1D-47BF-AB3A-D2B29D24FA75}" destId="{0EDE9C4B-0010-4A6E-A058-BB17508D5733}" srcOrd="5" destOrd="0" presId="urn:microsoft.com/office/officeart/2005/8/layout/lProcess3"/>
    <dgm:cxn modelId="{DD1F1F3E-ADAE-40D5-BBF2-F80C71BC7D2B}" type="presParOf" srcId="{00EAFD93-0A1D-47BF-AB3A-D2B29D24FA75}" destId="{678014F4-69E2-4233-AC6D-EC84F4CCB516}" srcOrd="6" destOrd="0" presId="urn:microsoft.com/office/officeart/2005/8/layout/lProcess3"/>
    <dgm:cxn modelId="{7E839D5D-B500-4058-9437-EBE84B7CBC2B}" type="presParOf" srcId="{678014F4-69E2-4233-AC6D-EC84F4CCB516}" destId="{8E79073F-2C81-49BA-9E7F-89A66B217FC8}" srcOrd="0" destOrd="0" presId="urn:microsoft.com/office/officeart/2005/8/layout/lProcess3"/>
    <dgm:cxn modelId="{65944C95-517B-41A4-96DC-5A960E407277}" type="presParOf" srcId="{00EAFD93-0A1D-47BF-AB3A-D2B29D24FA75}" destId="{3C382175-AEC3-409E-A6F1-9504BFDE8B28}" srcOrd="7" destOrd="0" presId="urn:microsoft.com/office/officeart/2005/8/layout/lProcess3"/>
    <dgm:cxn modelId="{14CA1518-1046-4598-B4E1-DDA597F91C44}" type="presParOf" srcId="{00EAFD93-0A1D-47BF-AB3A-D2B29D24FA75}" destId="{53CFA01E-CFD0-4D79-8D99-C5C5E008D774}" srcOrd="8" destOrd="0" presId="urn:microsoft.com/office/officeart/2005/8/layout/lProcess3"/>
    <dgm:cxn modelId="{F2C2B1BB-36C1-4D38-9DB5-FD2C70FFC4B7}" type="presParOf" srcId="{53CFA01E-CFD0-4D79-8D99-C5C5E008D774}" destId="{0C5D9825-EEBC-40B3-BE29-1F3C76D1580F}" srcOrd="0" destOrd="0" presId="urn:microsoft.com/office/officeart/2005/8/layout/lProcess3"/>
    <dgm:cxn modelId="{1EFE205C-C56C-42CB-9995-8DD06B07850C}" type="presParOf" srcId="{00EAFD93-0A1D-47BF-AB3A-D2B29D24FA75}" destId="{C2BBC2C9-3812-4073-8A6A-C3F44890C3C2}" srcOrd="9" destOrd="0" presId="urn:microsoft.com/office/officeart/2005/8/layout/lProcess3"/>
    <dgm:cxn modelId="{ADB6839F-1616-4091-B390-48F22953CEFC}" type="presParOf" srcId="{00EAFD93-0A1D-47BF-AB3A-D2B29D24FA75}" destId="{5CA833E4-61B0-41A8-88AB-63407243EBD7}" srcOrd="10" destOrd="0" presId="urn:microsoft.com/office/officeart/2005/8/layout/lProcess3"/>
    <dgm:cxn modelId="{AE0478AA-B547-4494-8493-B4B4115AE2E9}" type="presParOf" srcId="{5CA833E4-61B0-41A8-88AB-63407243EBD7}" destId="{EF599C69-27DA-4093-981B-30D7A1DCF3A2}" srcOrd="0" destOrd="0" presId="urn:microsoft.com/office/officeart/2005/8/layout/lProcess3"/>
    <dgm:cxn modelId="{9EEF3F6B-CA46-485D-B02D-C95E9E6A427C}" type="presParOf" srcId="{00EAFD93-0A1D-47BF-AB3A-D2B29D24FA75}" destId="{C32A57CF-944C-4075-B214-769C07D2E97F}" srcOrd="11" destOrd="0" presId="urn:microsoft.com/office/officeart/2005/8/layout/lProcess3"/>
    <dgm:cxn modelId="{19A30574-22E4-41B7-8D4E-5C772C1EC6F9}" type="presParOf" srcId="{00EAFD93-0A1D-47BF-AB3A-D2B29D24FA75}" destId="{08F40491-17DD-4384-B0FA-16557AB106A0}" srcOrd="12" destOrd="0" presId="urn:microsoft.com/office/officeart/2005/8/layout/lProcess3"/>
    <dgm:cxn modelId="{02FBC5AF-8D49-4670-BACD-C4645162D44C}" type="presParOf" srcId="{08F40491-17DD-4384-B0FA-16557AB106A0}" destId="{23F2B638-36CC-425C-A755-4C22C445A12D}" srcOrd="0" destOrd="0" presId="urn:microsoft.com/office/officeart/2005/8/layout/lProcess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A6DB84-5D20-44DE-8641-5D4522C07200}">
      <dsp:nvSpPr>
        <dsp:cNvPr id="0" name=""/>
        <dsp:cNvSpPr/>
      </dsp:nvSpPr>
      <dsp:spPr>
        <a:xfrm>
          <a:off x="0" y="165918"/>
          <a:ext cx="6082748" cy="441000"/>
        </a:xfrm>
        <a:prstGeom prst="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72089" tIns="104140" rIns="472089" bIns="71120" numCol="1" spcCol="1270" anchor="t" anchorCtr="0">
          <a:noAutofit/>
        </a:bodyPr>
        <a:lstStyle/>
        <a:p>
          <a:pPr marL="57150" lvl="1" indent="-57150" algn="l" defTabSz="444500">
            <a:lnSpc>
              <a:spcPct val="90000"/>
            </a:lnSpc>
            <a:spcBef>
              <a:spcPct val="0"/>
            </a:spcBef>
            <a:spcAft>
              <a:spcPct val="15000"/>
            </a:spcAft>
            <a:buChar char="••"/>
          </a:pPr>
          <a:r>
            <a:rPr lang="en-US" sz="1000" kern="1200" dirty="0" smtClean="0">
              <a:solidFill>
                <a:sysClr val="windowText" lastClr="000000"/>
              </a:solidFill>
            </a:rPr>
            <a:t>Ringworm is caused by dermatophytes, fungi that feed on keratin in skin, hair, and nails, causing infections in various body parts depending on their growth location.</a:t>
          </a:r>
          <a:endParaRPr lang="en-US" sz="1000" kern="1200" dirty="0">
            <a:solidFill>
              <a:sysClr val="windowText" lastClr="000000"/>
            </a:solidFill>
          </a:endParaRPr>
        </a:p>
      </dsp:txBody>
      <dsp:txXfrm>
        <a:off x="0" y="165918"/>
        <a:ext cx="6082748" cy="441000"/>
      </dsp:txXfrm>
    </dsp:sp>
    <dsp:sp modelId="{E94925DD-8CC2-41AC-8357-4FEF7D59D642}">
      <dsp:nvSpPr>
        <dsp:cNvPr id="0" name=""/>
        <dsp:cNvSpPr/>
      </dsp:nvSpPr>
      <dsp:spPr>
        <a:xfrm>
          <a:off x="304137" y="92118"/>
          <a:ext cx="4257923" cy="14760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0939" tIns="0" rIns="160939" bIns="0" numCol="1" spcCol="1270" anchor="ctr" anchorCtr="0">
          <a:noAutofit/>
        </a:bodyPr>
        <a:lstStyle/>
        <a:p>
          <a:pPr lvl="0" algn="l" defTabSz="444500">
            <a:lnSpc>
              <a:spcPct val="90000"/>
            </a:lnSpc>
            <a:spcBef>
              <a:spcPct val="0"/>
            </a:spcBef>
            <a:spcAft>
              <a:spcPct val="35000"/>
            </a:spcAft>
          </a:pPr>
          <a:r>
            <a:rPr lang="en-US" sz="1000" b="1" kern="1200" dirty="0" smtClean="0">
              <a:solidFill>
                <a:sysClr val="windowText" lastClr="000000"/>
              </a:solidFill>
            </a:rPr>
            <a:t>Fungal Infection by Dermatophytes</a:t>
          </a:r>
          <a:endParaRPr lang="en-US" sz="1000" b="1" kern="1200" dirty="0">
            <a:solidFill>
              <a:sysClr val="windowText" lastClr="000000"/>
            </a:solidFill>
          </a:endParaRPr>
        </a:p>
      </dsp:txBody>
      <dsp:txXfrm>
        <a:off x="311342" y="99323"/>
        <a:ext cx="4243513" cy="133190"/>
      </dsp:txXfrm>
    </dsp:sp>
    <dsp:sp modelId="{FFDF84DF-681A-49D1-A3FE-8A952C9CD5BD}">
      <dsp:nvSpPr>
        <dsp:cNvPr id="0" name=""/>
        <dsp:cNvSpPr/>
      </dsp:nvSpPr>
      <dsp:spPr>
        <a:xfrm>
          <a:off x="0" y="707718"/>
          <a:ext cx="6082748" cy="441000"/>
        </a:xfrm>
        <a:prstGeom prst="rect">
          <a:avLst/>
        </a:prstGeom>
        <a:solidFill>
          <a:schemeClr val="lt1">
            <a:alpha val="90000"/>
            <a:hueOff val="0"/>
            <a:satOff val="0"/>
            <a:lumOff val="0"/>
            <a:alphaOff val="0"/>
          </a:schemeClr>
        </a:solidFill>
        <a:ln w="6350" cap="flat" cmpd="sng" algn="ctr">
          <a:solidFill>
            <a:schemeClr val="accent5">
              <a:hueOff val="-750949"/>
              <a:satOff val="-1935"/>
              <a:lumOff val="-1307"/>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72089" tIns="104140" rIns="472089" bIns="71120" numCol="1" spcCol="1270" anchor="t" anchorCtr="0">
          <a:noAutofit/>
        </a:bodyPr>
        <a:lstStyle/>
        <a:p>
          <a:pPr marL="57150" lvl="1" indent="-57150" algn="l" defTabSz="444500">
            <a:lnSpc>
              <a:spcPct val="90000"/>
            </a:lnSpc>
            <a:spcBef>
              <a:spcPct val="0"/>
            </a:spcBef>
            <a:spcAft>
              <a:spcPct val="15000"/>
            </a:spcAft>
            <a:buChar char="••"/>
          </a:pPr>
          <a:r>
            <a:rPr lang="en-US" sz="1000" kern="1200" smtClean="0">
              <a:solidFill>
                <a:sysClr val="windowText" lastClr="000000"/>
              </a:solidFill>
            </a:rPr>
            <a:t>Ringworm can spread through physical contact, particularly in cuts, scratches, or moist areas, transferring the fungus to the skin.</a:t>
          </a:r>
          <a:endParaRPr lang="en-US" sz="1000" kern="1200">
            <a:solidFill>
              <a:sysClr val="windowText" lastClr="000000"/>
            </a:solidFill>
          </a:endParaRPr>
        </a:p>
      </dsp:txBody>
      <dsp:txXfrm>
        <a:off x="0" y="707718"/>
        <a:ext cx="6082748" cy="441000"/>
      </dsp:txXfrm>
    </dsp:sp>
    <dsp:sp modelId="{A46EC397-08DF-40CC-940B-3070F7484BD3}">
      <dsp:nvSpPr>
        <dsp:cNvPr id="0" name=""/>
        <dsp:cNvSpPr/>
      </dsp:nvSpPr>
      <dsp:spPr>
        <a:xfrm>
          <a:off x="304137" y="633918"/>
          <a:ext cx="4257923" cy="147600"/>
        </a:xfrm>
        <a:prstGeom prst="roundRect">
          <a:avLst/>
        </a:prstGeom>
        <a:gradFill rotWithShape="0">
          <a:gsLst>
            <a:gs pos="0">
              <a:schemeClr val="accent5">
                <a:hueOff val="-750949"/>
                <a:satOff val="-1935"/>
                <a:lumOff val="-1307"/>
                <a:alphaOff val="0"/>
                <a:satMod val="103000"/>
                <a:lumMod val="102000"/>
                <a:tint val="94000"/>
              </a:schemeClr>
            </a:gs>
            <a:gs pos="50000">
              <a:schemeClr val="accent5">
                <a:hueOff val="-750949"/>
                <a:satOff val="-1935"/>
                <a:lumOff val="-1307"/>
                <a:alphaOff val="0"/>
                <a:satMod val="110000"/>
                <a:lumMod val="100000"/>
                <a:shade val="100000"/>
              </a:schemeClr>
            </a:gs>
            <a:gs pos="100000">
              <a:schemeClr val="accent5">
                <a:hueOff val="-750949"/>
                <a:satOff val="-1935"/>
                <a:lumOff val="-130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0939" tIns="0" rIns="160939" bIns="0" numCol="1" spcCol="1270" anchor="ctr" anchorCtr="0">
          <a:noAutofit/>
        </a:bodyPr>
        <a:lstStyle/>
        <a:p>
          <a:pPr lvl="0" algn="l" defTabSz="444500">
            <a:lnSpc>
              <a:spcPct val="90000"/>
            </a:lnSpc>
            <a:spcBef>
              <a:spcPct val="0"/>
            </a:spcBef>
            <a:spcAft>
              <a:spcPct val="35000"/>
            </a:spcAft>
          </a:pPr>
          <a:r>
            <a:rPr lang="en-US" sz="1000" b="1" kern="1200" dirty="0" smtClean="0">
              <a:solidFill>
                <a:sysClr val="windowText" lastClr="000000"/>
              </a:solidFill>
            </a:rPr>
            <a:t>Direct Skin-to-Skin Contact with an Infected Person</a:t>
          </a:r>
          <a:endParaRPr lang="en-US" sz="1000" b="1" kern="1200" dirty="0">
            <a:solidFill>
              <a:sysClr val="windowText" lastClr="000000"/>
            </a:solidFill>
          </a:endParaRPr>
        </a:p>
      </dsp:txBody>
      <dsp:txXfrm>
        <a:off x="311342" y="641123"/>
        <a:ext cx="4243513" cy="133190"/>
      </dsp:txXfrm>
    </dsp:sp>
    <dsp:sp modelId="{735B2B2D-3732-4477-8C9D-3777C9A5830A}">
      <dsp:nvSpPr>
        <dsp:cNvPr id="0" name=""/>
        <dsp:cNvSpPr/>
      </dsp:nvSpPr>
      <dsp:spPr>
        <a:xfrm>
          <a:off x="0" y="1249518"/>
          <a:ext cx="6082748" cy="441000"/>
        </a:xfrm>
        <a:prstGeom prst="rect">
          <a:avLst/>
        </a:prstGeom>
        <a:solidFill>
          <a:schemeClr val="lt1">
            <a:alpha val="90000"/>
            <a:hueOff val="0"/>
            <a:satOff val="0"/>
            <a:lumOff val="0"/>
            <a:alphaOff val="0"/>
          </a:schemeClr>
        </a:solidFill>
        <a:ln w="6350" cap="flat" cmpd="sng" algn="ctr">
          <a:solidFill>
            <a:schemeClr val="accent5">
              <a:hueOff val="-1501898"/>
              <a:satOff val="-3871"/>
              <a:lumOff val="-261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72089" tIns="104140" rIns="472089" bIns="71120" numCol="1" spcCol="1270" anchor="t" anchorCtr="0">
          <a:noAutofit/>
        </a:bodyPr>
        <a:lstStyle/>
        <a:p>
          <a:pPr marL="57150" lvl="1" indent="-57150" algn="l" defTabSz="444500">
            <a:lnSpc>
              <a:spcPct val="90000"/>
            </a:lnSpc>
            <a:spcBef>
              <a:spcPct val="0"/>
            </a:spcBef>
            <a:spcAft>
              <a:spcPct val="15000"/>
            </a:spcAft>
            <a:buChar char="••"/>
          </a:pPr>
          <a:r>
            <a:rPr lang="en-US" sz="1000" kern="1200" dirty="0" smtClean="0">
              <a:solidFill>
                <a:sysClr val="windowText" lastClr="000000"/>
              </a:solidFill>
            </a:rPr>
            <a:t>Ringworm fungi can be transmitted through petting or grooming infected animals, especially those with bald patches or irritated skin.</a:t>
          </a:r>
          <a:endParaRPr lang="en-US" sz="1000" kern="1200" dirty="0">
            <a:solidFill>
              <a:sysClr val="windowText" lastClr="000000"/>
            </a:solidFill>
          </a:endParaRPr>
        </a:p>
      </dsp:txBody>
      <dsp:txXfrm>
        <a:off x="0" y="1249518"/>
        <a:ext cx="6082748" cy="441000"/>
      </dsp:txXfrm>
    </dsp:sp>
    <dsp:sp modelId="{9120622B-2E5E-49EE-983E-2F2EEB852EC9}">
      <dsp:nvSpPr>
        <dsp:cNvPr id="0" name=""/>
        <dsp:cNvSpPr/>
      </dsp:nvSpPr>
      <dsp:spPr>
        <a:xfrm>
          <a:off x="304137" y="1175718"/>
          <a:ext cx="4257923" cy="147600"/>
        </a:xfrm>
        <a:prstGeom prst="roundRect">
          <a:avLst/>
        </a:prstGeom>
        <a:gradFill rotWithShape="0">
          <a:gsLst>
            <a:gs pos="0">
              <a:schemeClr val="accent5">
                <a:hueOff val="-1501898"/>
                <a:satOff val="-3871"/>
                <a:lumOff val="-2614"/>
                <a:alphaOff val="0"/>
                <a:satMod val="103000"/>
                <a:lumMod val="102000"/>
                <a:tint val="94000"/>
              </a:schemeClr>
            </a:gs>
            <a:gs pos="50000">
              <a:schemeClr val="accent5">
                <a:hueOff val="-1501898"/>
                <a:satOff val="-3871"/>
                <a:lumOff val="-2614"/>
                <a:alphaOff val="0"/>
                <a:satMod val="110000"/>
                <a:lumMod val="100000"/>
                <a:shade val="100000"/>
              </a:schemeClr>
            </a:gs>
            <a:gs pos="100000">
              <a:schemeClr val="accent5">
                <a:hueOff val="-1501898"/>
                <a:satOff val="-3871"/>
                <a:lumOff val="-26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0939" tIns="0" rIns="160939" bIns="0" numCol="1" spcCol="1270" anchor="ctr" anchorCtr="0">
          <a:noAutofit/>
        </a:bodyPr>
        <a:lstStyle/>
        <a:p>
          <a:pPr lvl="0" algn="l" defTabSz="444500">
            <a:lnSpc>
              <a:spcPct val="90000"/>
            </a:lnSpc>
            <a:spcBef>
              <a:spcPct val="0"/>
            </a:spcBef>
            <a:spcAft>
              <a:spcPct val="35000"/>
            </a:spcAft>
          </a:pPr>
          <a:r>
            <a:rPr lang="en-US" sz="1000" b="1" kern="1200" dirty="0" smtClean="0">
              <a:solidFill>
                <a:sysClr val="windowText" lastClr="000000"/>
              </a:solidFill>
            </a:rPr>
            <a:t>Contact with Infected Animals</a:t>
          </a:r>
          <a:endParaRPr lang="en-US" sz="1000" b="1" kern="1200" dirty="0">
            <a:solidFill>
              <a:sysClr val="windowText" lastClr="000000"/>
            </a:solidFill>
          </a:endParaRPr>
        </a:p>
      </dsp:txBody>
      <dsp:txXfrm>
        <a:off x="311342" y="1182923"/>
        <a:ext cx="4243513" cy="133190"/>
      </dsp:txXfrm>
    </dsp:sp>
    <dsp:sp modelId="{1959183C-377E-4BDF-B1E0-94317E75E295}">
      <dsp:nvSpPr>
        <dsp:cNvPr id="0" name=""/>
        <dsp:cNvSpPr/>
      </dsp:nvSpPr>
      <dsp:spPr>
        <a:xfrm>
          <a:off x="0" y="1791318"/>
          <a:ext cx="6082748" cy="441000"/>
        </a:xfrm>
        <a:prstGeom prst="rect">
          <a:avLst/>
        </a:prstGeom>
        <a:solidFill>
          <a:schemeClr val="lt1">
            <a:alpha val="90000"/>
            <a:hueOff val="0"/>
            <a:satOff val="0"/>
            <a:lumOff val="0"/>
            <a:alphaOff val="0"/>
          </a:schemeClr>
        </a:solidFill>
        <a:ln w="6350" cap="flat" cmpd="sng" algn="ctr">
          <a:solidFill>
            <a:schemeClr val="accent5">
              <a:hueOff val="-2252848"/>
              <a:satOff val="-5806"/>
              <a:lumOff val="-3922"/>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72089" tIns="104140" rIns="472089" bIns="71120" numCol="1" spcCol="1270" anchor="t" anchorCtr="0">
          <a:noAutofit/>
        </a:bodyPr>
        <a:lstStyle/>
        <a:p>
          <a:pPr marL="57150" lvl="1" indent="-57150" algn="l" defTabSz="444500">
            <a:lnSpc>
              <a:spcPct val="90000"/>
            </a:lnSpc>
            <a:spcBef>
              <a:spcPct val="0"/>
            </a:spcBef>
            <a:spcAft>
              <a:spcPct val="15000"/>
            </a:spcAft>
            <a:buChar char="••"/>
          </a:pPr>
          <a:r>
            <a:rPr lang="en-US" sz="1000" kern="1200" dirty="0">
              <a:solidFill>
                <a:sysClr val="windowText" lastClr="000000"/>
              </a:solidFill>
            </a:rPr>
            <a:t>Ringworm fungi can be transmitted through petting or grooming infected animals, especially those with bald patches or irritated skin.</a:t>
          </a:r>
        </a:p>
      </dsp:txBody>
      <dsp:txXfrm>
        <a:off x="0" y="1791318"/>
        <a:ext cx="6082748" cy="441000"/>
      </dsp:txXfrm>
    </dsp:sp>
    <dsp:sp modelId="{01490E3D-F347-408C-ADCC-9DDC835124AD}">
      <dsp:nvSpPr>
        <dsp:cNvPr id="0" name=""/>
        <dsp:cNvSpPr/>
      </dsp:nvSpPr>
      <dsp:spPr>
        <a:xfrm>
          <a:off x="304137" y="1717518"/>
          <a:ext cx="4257923" cy="147600"/>
        </a:xfrm>
        <a:prstGeom prst="roundRect">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0939" tIns="0" rIns="160939" bIns="0" numCol="1" spcCol="1270" anchor="ctr" anchorCtr="0">
          <a:noAutofit/>
        </a:bodyPr>
        <a:lstStyle/>
        <a:p>
          <a:pPr lvl="0" algn="l" defTabSz="444500">
            <a:lnSpc>
              <a:spcPct val="90000"/>
            </a:lnSpc>
            <a:spcBef>
              <a:spcPct val="0"/>
            </a:spcBef>
            <a:spcAft>
              <a:spcPct val="35000"/>
            </a:spcAft>
          </a:pPr>
          <a:r>
            <a:rPr lang="en-US" sz="1000" b="1" kern="1200" dirty="0" smtClean="0">
              <a:solidFill>
                <a:sysClr val="windowText" lastClr="000000"/>
              </a:solidFill>
            </a:rPr>
            <a:t>Sharing Contaminated Personal Items</a:t>
          </a:r>
          <a:endParaRPr lang="en-US" sz="1000" b="1" kern="1200" dirty="0">
            <a:solidFill>
              <a:sysClr val="windowText" lastClr="000000"/>
            </a:solidFill>
          </a:endParaRPr>
        </a:p>
      </dsp:txBody>
      <dsp:txXfrm>
        <a:off x="311342" y="1724723"/>
        <a:ext cx="4243513" cy="133190"/>
      </dsp:txXfrm>
    </dsp:sp>
    <dsp:sp modelId="{512BB012-0305-4F8D-9CA9-89CAC0CA0580}">
      <dsp:nvSpPr>
        <dsp:cNvPr id="0" name=""/>
        <dsp:cNvSpPr/>
      </dsp:nvSpPr>
      <dsp:spPr>
        <a:xfrm>
          <a:off x="0" y="2333118"/>
          <a:ext cx="6082748" cy="441000"/>
        </a:xfrm>
        <a:prstGeom prst="rect">
          <a:avLst/>
        </a:prstGeom>
        <a:solidFill>
          <a:schemeClr val="lt1">
            <a:alpha val="90000"/>
            <a:hueOff val="0"/>
            <a:satOff val="0"/>
            <a:lumOff val="0"/>
            <a:alphaOff val="0"/>
          </a:schemeClr>
        </a:solidFill>
        <a:ln w="6350" cap="flat" cmpd="sng" algn="ctr">
          <a:solidFill>
            <a:schemeClr val="accent5">
              <a:hueOff val="-3003797"/>
              <a:satOff val="-7742"/>
              <a:lumOff val="-5229"/>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72089" tIns="104140" rIns="472089" bIns="7112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solidFill>
            </a:rPr>
            <a:t>Places like locker rooms, swimming pools, and public showers are breeding grounds for fungi, increasing the risk of ringworm, particularly on athlete's foot, due to moisture and warmth.</a:t>
          </a:r>
        </a:p>
      </dsp:txBody>
      <dsp:txXfrm>
        <a:off x="0" y="2333118"/>
        <a:ext cx="6082748" cy="441000"/>
      </dsp:txXfrm>
    </dsp:sp>
    <dsp:sp modelId="{71A2CA17-E56B-41F8-8935-CD5BCD43B632}">
      <dsp:nvSpPr>
        <dsp:cNvPr id="0" name=""/>
        <dsp:cNvSpPr/>
      </dsp:nvSpPr>
      <dsp:spPr>
        <a:xfrm>
          <a:off x="304137" y="2259318"/>
          <a:ext cx="4257923" cy="147600"/>
        </a:xfrm>
        <a:prstGeom prst="roundRect">
          <a:avLst/>
        </a:prstGeom>
        <a:gradFill rotWithShape="0">
          <a:gsLst>
            <a:gs pos="0">
              <a:schemeClr val="accent5">
                <a:hueOff val="-3003797"/>
                <a:satOff val="-7742"/>
                <a:lumOff val="-5229"/>
                <a:alphaOff val="0"/>
                <a:satMod val="103000"/>
                <a:lumMod val="102000"/>
                <a:tint val="94000"/>
              </a:schemeClr>
            </a:gs>
            <a:gs pos="50000">
              <a:schemeClr val="accent5">
                <a:hueOff val="-3003797"/>
                <a:satOff val="-7742"/>
                <a:lumOff val="-5229"/>
                <a:alphaOff val="0"/>
                <a:satMod val="110000"/>
                <a:lumMod val="100000"/>
                <a:shade val="100000"/>
              </a:schemeClr>
            </a:gs>
            <a:gs pos="100000">
              <a:schemeClr val="accent5">
                <a:hueOff val="-3003797"/>
                <a:satOff val="-7742"/>
                <a:lumOff val="-522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0939" tIns="0" rIns="160939" bIns="0" numCol="1" spcCol="1270" anchor="ctr" anchorCtr="0">
          <a:noAutofit/>
        </a:bodyPr>
        <a:lstStyle/>
        <a:p>
          <a:pPr lvl="0" algn="l" defTabSz="444500">
            <a:lnSpc>
              <a:spcPct val="90000"/>
            </a:lnSpc>
            <a:spcBef>
              <a:spcPct val="0"/>
            </a:spcBef>
            <a:spcAft>
              <a:spcPct val="35000"/>
            </a:spcAft>
          </a:pPr>
          <a:r>
            <a:rPr lang="en-US" sz="1000" b="1" kern="1200" dirty="0">
              <a:solidFill>
                <a:sysClr val="windowText" lastClr="000000"/>
              </a:solidFill>
            </a:rPr>
            <a:t>Walking Barefoot in Damp, Public Places</a:t>
          </a:r>
        </a:p>
      </dsp:txBody>
      <dsp:txXfrm>
        <a:off x="311342" y="2266523"/>
        <a:ext cx="4243513" cy="133190"/>
      </dsp:txXfrm>
    </dsp:sp>
    <dsp:sp modelId="{F195F31D-7832-4148-B955-79A9587C1B33}">
      <dsp:nvSpPr>
        <dsp:cNvPr id="0" name=""/>
        <dsp:cNvSpPr/>
      </dsp:nvSpPr>
      <dsp:spPr>
        <a:xfrm>
          <a:off x="0" y="2874918"/>
          <a:ext cx="6082748" cy="582750"/>
        </a:xfrm>
        <a:prstGeom prst="rect">
          <a:avLst/>
        </a:prstGeom>
        <a:solidFill>
          <a:schemeClr val="lt1">
            <a:alpha val="90000"/>
            <a:hueOff val="0"/>
            <a:satOff val="0"/>
            <a:lumOff val="0"/>
            <a:alphaOff val="0"/>
          </a:schemeClr>
        </a:solidFill>
        <a:ln w="6350" cap="flat" cmpd="sng" algn="ctr">
          <a:solidFill>
            <a:schemeClr val="accent5">
              <a:hueOff val="-3754746"/>
              <a:satOff val="-9677"/>
              <a:lumOff val="-6536"/>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72089" tIns="104140" rIns="472089" bIns="7112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solidFill>
            </a:rPr>
            <a:t>Ringworm, a less common but less common fungal disease, can spread through direct contact with soil containing fungal spores, particularly in those in agriculture or gardening who have prolonged ground contact.</a:t>
          </a:r>
        </a:p>
      </dsp:txBody>
      <dsp:txXfrm>
        <a:off x="0" y="2874918"/>
        <a:ext cx="6082748" cy="582750"/>
      </dsp:txXfrm>
    </dsp:sp>
    <dsp:sp modelId="{E9E78321-13DB-4439-9540-6A96C2D640C9}">
      <dsp:nvSpPr>
        <dsp:cNvPr id="0" name=""/>
        <dsp:cNvSpPr/>
      </dsp:nvSpPr>
      <dsp:spPr>
        <a:xfrm>
          <a:off x="304137" y="2801118"/>
          <a:ext cx="4257923" cy="147600"/>
        </a:xfrm>
        <a:prstGeom prst="roundRect">
          <a:avLst/>
        </a:prstGeom>
        <a:gradFill rotWithShape="0">
          <a:gsLst>
            <a:gs pos="0">
              <a:schemeClr val="accent5">
                <a:hueOff val="-3754746"/>
                <a:satOff val="-9677"/>
                <a:lumOff val="-6536"/>
                <a:alphaOff val="0"/>
                <a:satMod val="103000"/>
                <a:lumMod val="102000"/>
                <a:tint val="94000"/>
              </a:schemeClr>
            </a:gs>
            <a:gs pos="50000">
              <a:schemeClr val="accent5">
                <a:hueOff val="-3754746"/>
                <a:satOff val="-9677"/>
                <a:lumOff val="-6536"/>
                <a:alphaOff val="0"/>
                <a:satMod val="110000"/>
                <a:lumMod val="100000"/>
                <a:shade val="100000"/>
              </a:schemeClr>
            </a:gs>
            <a:gs pos="100000">
              <a:schemeClr val="accent5">
                <a:hueOff val="-3754746"/>
                <a:satOff val="-9677"/>
                <a:lumOff val="-653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0939" tIns="0" rIns="160939" bIns="0" numCol="1" spcCol="1270" anchor="ctr" anchorCtr="0">
          <a:noAutofit/>
        </a:bodyPr>
        <a:lstStyle/>
        <a:p>
          <a:pPr lvl="0" algn="l" defTabSz="444500">
            <a:lnSpc>
              <a:spcPct val="90000"/>
            </a:lnSpc>
            <a:spcBef>
              <a:spcPct val="0"/>
            </a:spcBef>
            <a:spcAft>
              <a:spcPct val="35000"/>
            </a:spcAft>
          </a:pPr>
          <a:r>
            <a:rPr lang="en-US" sz="1000" b="1" kern="1200">
              <a:solidFill>
                <a:sysClr val="windowText" lastClr="000000"/>
              </a:solidFill>
            </a:rPr>
            <a:t>Contact with Contaminated Soil</a:t>
          </a:r>
        </a:p>
      </dsp:txBody>
      <dsp:txXfrm>
        <a:off x="311342" y="2808323"/>
        <a:ext cx="4243513" cy="133190"/>
      </dsp:txXfrm>
    </dsp:sp>
    <dsp:sp modelId="{05942F97-1396-44F3-81D8-8732BD43BB3A}">
      <dsp:nvSpPr>
        <dsp:cNvPr id="0" name=""/>
        <dsp:cNvSpPr/>
      </dsp:nvSpPr>
      <dsp:spPr>
        <a:xfrm>
          <a:off x="0" y="3558468"/>
          <a:ext cx="6082748" cy="441000"/>
        </a:xfrm>
        <a:prstGeom prst="rect">
          <a:avLst/>
        </a:prstGeom>
        <a:solidFill>
          <a:schemeClr val="lt1">
            <a:alpha val="90000"/>
            <a:hueOff val="0"/>
            <a:satOff val="0"/>
            <a:lumOff val="0"/>
            <a:alphaOff val="0"/>
          </a:schemeClr>
        </a:solidFill>
        <a:ln w="6350" cap="flat" cmpd="sng" algn="ctr">
          <a:solidFill>
            <a:schemeClr val="accent5">
              <a:hueOff val="-4505695"/>
              <a:satOff val="-11613"/>
              <a:lumOff val="-7843"/>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72089" tIns="104140" rIns="472089" bIns="7112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solidFill>
            </a:rPr>
            <a:t>Tight clothes trap sweat and heat, allowing fungi to multiply and infect the skin, especially in areas like the groin, armpits, or feet.</a:t>
          </a:r>
        </a:p>
      </dsp:txBody>
      <dsp:txXfrm>
        <a:off x="0" y="3558468"/>
        <a:ext cx="6082748" cy="441000"/>
      </dsp:txXfrm>
    </dsp:sp>
    <dsp:sp modelId="{E170BD65-451E-4F12-9E94-6E6A78541A9E}">
      <dsp:nvSpPr>
        <dsp:cNvPr id="0" name=""/>
        <dsp:cNvSpPr/>
      </dsp:nvSpPr>
      <dsp:spPr>
        <a:xfrm>
          <a:off x="304137" y="3484668"/>
          <a:ext cx="4257923" cy="147600"/>
        </a:xfrm>
        <a:prstGeom prst="roundRect">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0939" tIns="0" rIns="160939" bIns="0" numCol="1" spcCol="1270" anchor="ctr" anchorCtr="0">
          <a:noAutofit/>
        </a:bodyPr>
        <a:lstStyle/>
        <a:p>
          <a:pPr lvl="0" algn="l" defTabSz="444500">
            <a:lnSpc>
              <a:spcPct val="90000"/>
            </a:lnSpc>
            <a:spcBef>
              <a:spcPct val="0"/>
            </a:spcBef>
            <a:spcAft>
              <a:spcPct val="35000"/>
            </a:spcAft>
          </a:pPr>
          <a:r>
            <a:rPr lang="en-US" sz="1000" b="1" kern="1200">
              <a:solidFill>
                <a:sysClr val="windowText" lastClr="000000"/>
              </a:solidFill>
            </a:rPr>
            <a:t>Wearing Tight or Damp Clothing for Long Periods</a:t>
          </a:r>
        </a:p>
      </dsp:txBody>
      <dsp:txXfrm>
        <a:off x="311342" y="3491873"/>
        <a:ext cx="4243513" cy="133190"/>
      </dsp:txXfrm>
    </dsp:sp>
    <dsp:sp modelId="{02C4C8FD-DC89-4DE7-9415-D5C7266471CB}">
      <dsp:nvSpPr>
        <dsp:cNvPr id="0" name=""/>
        <dsp:cNvSpPr/>
      </dsp:nvSpPr>
      <dsp:spPr>
        <a:xfrm>
          <a:off x="0" y="4100268"/>
          <a:ext cx="6082748" cy="441000"/>
        </a:xfrm>
        <a:prstGeom prst="rect">
          <a:avLst/>
        </a:prstGeom>
        <a:solidFill>
          <a:schemeClr val="lt1">
            <a:alpha val="90000"/>
            <a:hueOff val="0"/>
            <a:satOff val="0"/>
            <a:lumOff val="0"/>
            <a:alphaOff val="0"/>
          </a:schemeClr>
        </a:solidFill>
        <a:ln w="6350" cap="flat" cmpd="sng" algn="ctr">
          <a:solidFill>
            <a:schemeClr val="accent5">
              <a:hueOff val="-5256644"/>
              <a:satOff val="-13548"/>
              <a:lumOff val="-9151"/>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72089" tIns="104140" rIns="472089" bIns="7112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solidFill>
            </a:rPr>
            <a:t>Individuals with weakened immunity, such as those with diabetes, HIV, or chemotherapy, are more susceptible to fungal infections like ringworm due to their lower natural defenses.</a:t>
          </a:r>
        </a:p>
      </dsp:txBody>
      <dsp:txXfrm>
        <a:off x="0" y="4100268"/>
        <a:ext cx="6082748" cy="441000"/>
      </dsp:txXfrm>
    </dsp:sp>
    <dsp:sp modelId="{96590541-C7B2-420A-AE5D-A02CEAA51A65}">
      <dsp:nvSpPr>
        <dsp:cNvPr id="0" name=""/>
        <dsp:cNvSpPr/>
      </dsp:nvSpPr>
      <dsp:spPr>
        <a:xfrm>
          <a:off x="304137" y="4026468"/>
          <a:ext cx="4257923" cy="147600"/>
        </a:xfrm>
        <a:prstGeom prst="roundRect">
          <a:avLst/>
        </a:prstGeom>
        <a:gradFill rotWithShape="0">
          <a:gsLst>
            <a:gs pos="0">
              <a:schemeClr val="accent5">
                <a:hueOff val="-5256644"/>
                <a:satOff val="-13548"/>
                <a:lumOff val="-9151"/>
                <a:alphaOff val="0"/>
                <a:satMod val="103000"/>
                <a:lumMod val="102000"/>
                <a:tint val="94000"/>
              </a:schemeClr>
            </a:gs>
            <a:gs pos="50000">
              <a:schemeClr val="accent5">
                <a:hueOff val="-5256644"/>
                <a:satOff val="-13548"/>
                <a:lumOff val="-9151"/>
                <a:alphaOff val="0"/>
                <a:satMod val="110000"/>
                <a:lumMod val="100000"/>
                <a:shade val="100000"/>
              </a:schemeClr>
            </a:gs>
            <a:gs pos="100000">
              <a:schemeClr val="accent5">
                <a:hueOff val="-5256644"/>
                <a:satOff val="-13548"/>
                <a:lumOff val="-915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0939" tIns="0" rIns="160939" bIns="0" numCol="1" spcCol="1270" anchor="ctr" anchorCtr="0">
          <a:noAutofit/>
        </a:bodyPr>
        <a:lstStyle/>
        <a:p>
          <a:pPr lvl="0" algn="l" defTabSz="444500">
            <a:lnSpc>
              <a:spcPct val="90000"/>
            </a:lnSpc>
            <a:spcBef>
              <a:spcPct val="0"/>
            </a:spcBef>
            <a:spcAft>
              <a:spcPct val="35000"/>
            </a:spcAft>
          </a:pPr>
          <a:r>
            <a:rPr lang="en-US" sz="1000" b="1" kern="1200">
              <a:solidFill>
                <a:sysClr val="windowText" lastClr="000000"/>
              </a:solidFill>
            </a:rPr>
            <a:t>Weakened Immune System</a:t>
          </a:r>
        </a:p>
      </dsp:txBody>
      <dsp:txXfrm>
        <a:off x="311342" y="4033673"/>
        <a:ext cx="4243513" cy="133190"/>
      </dsp:txXfrm>
    </dsp:sp>
    <dsp:sp modelId="{AEAEC768-6ACF-483C-B15D-A51510E13A6B}">
      <dsp:nvSpPr>
        <dsp:cNvPr id="0" name=""/>
        <dsp:cNvSpPr/>
      </dsp:nvSpPr>
      <dsp:spPr>
        <a:xfrm>
          <a:off x="0" y="4642068"/>
          <a:ext cx="6082748" cy="441000"/>
        </a:xfrm>
        <a:prstGeom prst="rect">
          <a:avLst/>
        </a:prstGeom>
        <a:solidFill>
          <a:schemeClr val="lt1">
            <a:alpha val="90000"/>
            <a:hueOff val="0"/>
            <a:satOff val="0"/>
            <a:lumOff val="0"/>
            <a:alphaOff val="0"/>
          </a:schemeClr>
        </a:solidFill>
        <a:ln w="6350" cap="flat" cmpd="sng" algn="ctr">
          <a:solidFill>
            <a:schemeClr val="accent5">
              <a:hueOff val="-6007594"/>
              <a:satOff val="-15484"/>
              <a:lumOff val="-1045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72089" tIns="104140" rIns="472089" bIns="7112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solidFill>
            </a:rPr>
            <a:t>Regular washing, especially after sweating or exercising, can facilitate the growth and spread of fungi, as dirty skin or clothes create an environment conducive to their growth.</a:t>
          </a:r>
        </a:p>
      </dsp:txBody>
      <dsp:txXfrm>
        <a:off x="0" y="4642068"/>
        <a:ext cx="6082748" cy="441000"/>
      </dsp:txXfrm>
    </dsp:sp>
    <dsp:sp modelId="{8EC93CA5-AAFB-409B-8BED-AFF375B06756}">
      <dsp:nvSpPr>
        <dsp:cNvPr id="0" name=""/>
        <dsp:cNvSpPr/>
      </dsp:nvSpPr>
      <dsp:spPr>
        <a:xfrm>
          <a:off x="304137" y="4568268"/>
          <a:ext cx="4257923" cy="147600"/>
        </a:xfrm>
        <a:prstGeom prst="roundRect">
          <a:avLst/>
        </a:prstGeom>
        <a:gradFill rotWithShape="0">
          <a:gsLst>
            <a:gs pos="0">
              <a:schemeClr val="accent5">
                <a:hueOff val="-6007594"/>
                <a:satOff val="-15484"/>
                <a:lumOff val="-10458"/>
                <a:alphaOff val="0"/>
                <a:satMod val="103000"/>
                <a:lumMod val="102000"/>
                <a:tint val="94000"/>
              </a:schemeClr>
            </a:gs>
            <a:gs pos="50000">
              <a:schemeClr val="accent5">
                <a:hueOff val="-6007594"/>
                <a:satOff val="-15484"/>
                <a:lumOff val="-10458"/>
                <a:alphaOff val="0"/>
                <a:satMod val="110000"/>
                <a:lumMod val="100000"/>
                <a:shade val="100000"/>
              </a:schemeClr>
            </a:gs>
            <a:gs pos="100000">
              <a:schemeClr val="accent5">
                <a:hueOff val="-6007594"/>
                <a:satOff val="-15484"/>
                <a:lumOff val="-1045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0939" tIns="0" rIns="160939" bIns="0" numCol="1" spcCol="1270" anchor="ctr" anchorCtr="0">
          <a:noAutofit/>
        </a:bodyPr>
        <a:lstStyle/>
        <a:p>
          <a:pPr lvl="0" algn="l" defTabSz="444500">
            <a:lnSpc>
              <a:spcPct val="90000"/>
            </a:lnSpc>
            <a:spcBef>
              <a:spcPct val="0"/>
            </a:spcBef>
            <a:spcAft>
              <a:spcPct val="35000"/>
            </a:spcAft>
          </a:pPr>
          <a:r>
            <a:rPr lang="en-US" sz="1000" b="1" kern="1200">
              <a:solidFill>
                <a:sysClr val="windowText" lastClr="000000"/>
              </a:solidFill>
            </a:rPr>
            <a:t>Poor Hygiene Practices</a:t>
          </a:r>
        </a:p>
      </dsp:txBody>
      <dsp:txXfrm>
        <a:off x="311342" y="4575473"/>
        <a:ext cx="4243513" cy="133190"/>
      </dsp:txXfrm>
    </dsp:sp>
    <dsp:sp modelId="{89CE44E1-AE74-4928-846D-089A375B2A82}">
      <dsp:nvSpPr>
        <dsp:cNvPr id="0" name=""/>
        <dsp:cNvSpPr/>
      </dsp:nvSpPr>
      <dsp:spPr>
        <a:xfrm>
          <a:off x="0" y="5275987"/>
          <a:ext cx="6082748" cy="441000"/>
        </a:xfrm>
        <a:prstGeom prst="rect">
          <a:avLst/>
        </a:prstGeom>
        <a:solidFill>
          <a:schemeClr val="lt1">
            <a:alpha val="90000"/>
            <a:hueOff val="0"/>
            <a:satOff val="0"/>
            <a:lumOff val="0"/>
            <a:alphaOff val="0"/>
          </a:schemeClr>
        </a:solidFill>
        <a:ln w="6350" cap="flat" cmpd="sng" algn="ctr">
          <a:solidFill>
            <a:schemeClr val="accent5">
              <a:hueOff val="-6758543"/>
              <a:satOff val="-17419"/>
              <a:lumOff val="-1176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72089" tIns="104140" rIns="472089" bIns="7112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solidFill>
            </a:rPr>
            <a:t>Sports like wrestling, rugby, and martial arts pose a higher risk of infection spread due to close skin contact and shared equipment or mats.</a:t>
          </a:r>
        </a:p>
      </dsp:txBody>
      <dsp:txXfrm>
        <a:off x="0" y="5275987"/>
        <a:ext cx="6082748" cy="441000"/>
      </dsp:txXfrm>
    </dsp:sp>
    <dsp:sp modelId="{69CBAD6A-4098-4501-916A-64925FA5BD2D}">
      <dsp:nvSpPr>
        <dsp:cNvPr id="0" name=""/>
        <dsp:cNvSpPr/>
      </dsp:nvSpPr>
      <dsp:spPr>
        <a:xfrm>
          <a:off x="304137" y="5110068"/>
          <a:ext cx="4257923" cy="147600"/>
        </a:xfrm>
        <a:prstGeom prst="round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0939" tIns="0" rIns="160939" bIns="0" numCol="1" spcCol="1270" anchor="ctr" anchorCtr="0">
          <a:noAutofit/>
        </a:bodyPr>
        <a:lstStyle/>
        <a:p>
          <a:pPr lvl="0" algn="l" defTabSz="444500">
            <a:lnSpc>
              <a:spcPct val="90000"/>
            </a:lnSpc>
            <a:spcBef>
              <a:spcPct val="0"/>
            </a:spcBef>
            <a:spcAft>
              <a:spcPct val="35000"/>
            </a:spcAft>
          </a:pPr>
          <a:r>
            <a:rPr lang="en-US" sz="1000" b="1" kern="1200">
              <a:solidFill>
                <a:sysClr val="windowText" lastClr="000000"/>
              </a:solidFill>
            </a:rPr>
            <a:t>Participation in Contact Sports</a:t>
          </a:r>
        </a:p>
      </dsp:txBody>
      <dsp:txXfrm>
        <a:off x="311342" y="5117273"/>
        <a:ext cx="4243513" cy="1331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D43D2-9942-4FBB-9576-695051BE671D}">
      <dsp:nvSpPr>
        <dsp:cNvPr id="0" name=""/>
        <dsp:cNvSpPr/>
      </dsp:nvSpPr>
      <dsp:spPr>
        <a:xfrm>
          <a:off x="1143000" y="0"/>
          <a:ext cx="3200400" cy="3200400"/>
        </a:xfrm>
        <a:prstGeom prst="diamond">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F0505B2A-16E3-4ACB-A636-BE06E48A530F}">
      <dsp:nvSpPr>
        <dsp:cNvPr id="0" name=""/>
        <dsp:cNvSpPr/>
      </dsp:nvSpPr>
      <dsp:spPr>
        <a:xfrm>
          <a:off x="1447038" y="304038"/>
          <a:ext cx="1248156" cy="1248156"/>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Trichophyton rubrum</a:t>
          </a:r>
        </a:p>
      </dsp:txBody>
      <dsp:txXfrm>
        <a:off x="1507968" y="364968"/>
        <a:ext cx="1126296" cy="1126296"/>
      </dsp:txXfrm>
    </dsp:sp>
    <dsp:sp modelId="{6E1A78BB-942F-4C05-94FE-25DA50A1FFEB}">
      <dsp:nvSpPr>
        <dsp:cNvPr id="0" name=""/>
        <dsp:cNvSpPr/>
      </dsp:nvSpPr>
      <dsp:spPr>
        <a:xfrm>
          <a:off x="2791206" y="304038"/>
          <a:ext cx="1248156" cy="1248156"/>
        </a:xfrm>
        <a:prstGeom prst="roundRect">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Microsporum canis</a:t>
          </a:r>
        </a:p>
      </dsp:txBody>
      <dsp:txXfrm>
        <a:off x="2852136" y="364968"/>
        <a:ext cx="1126296" cy="1126296"/>
      </dsp:txXfrm>
    </dsp:sp>
    <dsp:sp modelId="{28ECBB42-64A8-4345-8176-F33795EB6019}">
      <dsp:nvSpPr>
        <dsp:cNvPr id="0" name=""/>
        <dsp:cNvSpPr/>
      </dsp:nvSpPr>
      <dsp:spPr>
        <a:xfrm>
          <a:off x="1447038" y="1648206"/>
          <a:ext cx="1248156" cy="1248156"/>
        </a:xfrm>
        <a:prstGeom prst="roundRect">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Trichophyton mentagrophytes</a:t>
          </a:r>
        </a:p>
      </dsp:txBody>
      <dsp:txXfrm>
        <a:off x="1507968" y="1709136"/>
        <a:ext cx="1126296" cy="1126296"/>
      </dsp:txXfrm>
    </dsp:sp>
    <dsp:sp modelId="{D3B77FA6-46E1-4041-BEFA-140347DA6282}">
      <dsp:nvSpPr>
        <dsp:cNvPr id="0" name=""/>
        <dsp:cNvSpPr/>
      </dsp:nvSpPr>
      <dsp:spPr>
        <a:xfrm>
          <a:off x="2791206" y="1648206"/>
          <a:ext cx="1248156" cy="1248156"/>
        </a:xfrm>
        <a:prstGeom prst="round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Epidermophyton floccosum</a:t>
          </a:r>
        </a:p>
      </dsp:txBody>
      <dsp:txXfrm>
        <a:off x="2852136" y="1709136"/>
        <a:ext cx="1126296" cy="11262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39FC1F-F074-41FF-A698-804681A45ABB}">
      <dsp:nvSpPr>
        <dsp:cNvPr id="0" name=""/>
        <dsp:cNvSpPr/>
      </dsp:nvSpPr>
      <dsp:spPr>
        <a:xfrm>
          <a:off x="2484" y="0"/>
          <a:ext cx="833198" cy="2592125"/>
        </a:xfrm>
        <a:prstGeom prst="roundRect">
          <a:avLst>
            <a:gd name="adj" fmla="val 1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rPr>
            <a:t>Skin with ringworm infection</a:t>
          </a:r>
        </a:p>
      </dsp:txBody>
      <dsp:txXfrm>
        <a:off x="2484" y="1036850"/>
        <a:ext cx="833198" cy="1036850"/>
      </dsp:txXfrm>
    </dsp:sp>
    <dsp:sp modelId="{6F185787-8208-48F7-BCF9-B3BF230200EB}">
      <dsp:nvSpPr>
        <dsp:cNvPr id="0" name=""/>
        <dsp:cNvSpPr/>
      </dsp:nvSpPr>
      <dsp:spPr>
        <a:xfrm>
          <a:off x="27480" y="155527"/>
          <a:ext cx="783206" cy="863177"/>
        </a:xfrm>
        <a:prstGeom prst="ellipse">
          <a:avLst/>
        </a:prstGeom>
        <a:blipFill rotWithShape="1">
          <a:blip xmlns:r="http://schemas.openxmlformats.org/officeDocument/2006/relationships" r:embed="rId1"/>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7B4FBBEB-AAD1-4B61-9A04-E17AE4117E29}">
      <dsp:nvSpPr>
        <dsp:cNvPr id="0" name=""/>
        <dsp:cNvSpPr/>
      </dsp:nvSpPr>
      <dsp:spPr>
        <a:xfrm>
          <a:off x="860678" y="0"/>
          <a:ext cx="833198" cy="2592125"/>
        </a:xfrm>
        <a:prstGeom prst="roundRect">
          <a:avLst>
            <a:gd name="adj" fmla="val 1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rPr>
            <a:t>Feet  with ringworm infection</a:t>
          </a:r>
        </a:p>
      </dsp:txBody>
      <dsp:txXfrm>
        <a:off x="860678" y="1036850"/>
        <a:ext cx="833198" cy="1036850"/>
      </dsp:txXfrm>
    </dsp:sp>
    <dsp:sp modelId="{97096C27-AA69-4713-B7D6-6008C8E80A89}">
      <dsp:nvSpPr>
        <dsp:cNvPr id="0" name=""/>
        <dsp:cNvSpPr/>
      </dsp:nvSpPr>
      <dsp:spPr>
        <a:xfrm>
          <a:off x="885674" y="155527"/>
          <a:ext cx="783206" cy="863177"/>
        </a:xfrm>
        <a:prstGeom prst="ellipse">
          <a:avLst/>
        </a:prstGeom>
        <a:blipFill rotWithShape="1">
          <a:blip xmlns:r="http://schemas.openxmlformats.org/officeDocument/2006/relationships" r:embed="rId2"/>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F641F2F5-8FF4-46B9-8B11-02103BD92718}">
      <dsp:nvSpPr>
        <dsp:cNvPr id="0" name=""/>
        <dsp:cNvSpPr/>
      </dsp:nvSpPr>
      <dsp:spPr>
        <a:xfrm>
          <a:off x="1718872" y="0"/>
          <a:ext cx="833198" cy="2592125"/>
        </a:xfrm>
        <a:prstGeom prst="roundRect">
          <a:avLst>
            <a:gd name="adj" fmla="val 1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rPr>
            <a:t>Hand with ringworm infection</a:t>
          </a:r>
        </a:p>
      </dsp:txBody>
      <dsp:txXfrm>
        <a:off x="1718872" y="1036850"/>
        <a:ext cx="833198" cy="1036850"/>
      </dsp:txXfrm>
    </dsp:sp>
    <dsp:sp modelId="{64C04511-E24B-4975-B47A-0ED544B0E95B}">
      <dsp:nvSpPr>
        <dsp:cNvPr id="0" name=""/>
        <dsp:cNvSpPr/>
      </dsp:nvSpPr>
      <dsp:spPr>
        <a:xfrm>
          <a:off x="1743868" y="155527"/>
          <a:ext cx="783206" cy="863177"/>
        </a:xfrm>
        <a:prstGeom prst="ellipse">
          <a:avLst/>
        </a:prstGeom>
        <a:blipFill rotWithShape="1">
          <a:blip xmlns:r="http://schemas.openxmlformats.org/officeDocument/2006/relationships" r:embed="rId3"/>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2B9D20C8-96B9-41B6-8076-48589CA268E0}">
      <dsp:nvSpPr>
        <dsp:cNvPr id="0" name=""/>
        <dsp:cNvSpPr/>
      </dsp:nvSpPr>
      <dsp:spPr>
        <a:xfrm>
          <a:off x="2577066" y="0"/>
          <a:ext cx="833198" cy="2592125"/>
        </a:xfrm>
        <a:prstGeom prst="roundRect">
          <a:avLst>
            <a:gd name="adj" fmla="val 1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rPr>
            <a:t>Nails with ringworm infection</a:t>
          </a:r>
        </a:p>
      </dsp:txBody>
      <dsp:txXfrm>
        <a:off x="2577066" y="1036850"/>
        <a:ext cx="833198" cy="1036850"/>
      </dsp:txXfrm>
    </dsp:sp>
    <dsp:sp modelId="{6CDBDC06-8CA8-4ED2-B1DF-36C000DB8D4B}">
      <dsp:nvSpPr>
        <dsp:cNvPr id="0" name=""/>
        <dsp:cNvSpPr/>
      </dsp:nvSpPr>
      <dsp:spPr>
        <a:xfrm>
          <a:off x="2602062" y="155527"/>
          <a:ext cx="783206" cy="863177"/>
        </a:xfrm>
        <a:prstGeom prst="ellipse">
          <a:avLst/>
        </a:prstGeom>
        <a:blipFill rotWithShape="1">
          <a:blip xmlns:r="http://schemas.openxmlformats.org/officeDocument/2006/relationships" r:embed="rId4"/>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FC3B9E41-3E84-4E7C-90A7-D157A17C24A1}">
      <dsp:nvSpPr>
        <dsp:cNvPr id="0" name=""/>
        <dsp:cNvSpPr/>
      </dsp:nvSpPr>
      <dsp:spPr>
        <a:xfrm>
          <a:off x="3435260" y="0"/>
          <a:ext cx="833198" cy="2592125"/>
        </a:xfrm>
        <a:prstGeom prst="roundRect">
          <a:avLst>
            <a:gd name="adj" fmla="val 1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rPr>
            <a:t>Groin with ringworm infection</a:t>
          </a:r>
        </a:p>
      </dsp:txBody>
      <dsp:txXfrm>
        <a:off x="3435260" y="1036850"/>
        <a:ext cx="833198" cy="1036850"/>
      </dsp:txXfrm>
    </dsp:sp>
    <dsp:sp modelId="{EBA47A8B-D192-49CE-8126-586570775AF0}">
      <dsp:nvSpPr>
        <dsp:cNvPr id="0" name=""/>
        <dsp:cNvSpPr/>
      </dsp:nvSpPr>
      <dsp:spPr>
        <a:xfrm>
          <a:off x="3460256" y="155527"/>
          <a:ext cx="783206" cy="863177"/>
        </a:xfrm>
        <a:prstGeom prst="ellipse">
          <a:avLst/>
        </a:prstGeom>
        <a:blipFill rotWithShape="1">
          <a:blip xmlns:r="http://schemas.openxmlformats.org/officeDocument/2006/relationships" r:embed="rId5"/>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6288A049-15AE-4729-99DF-CB0330AB3341}">
      <dsp:nvSpPr>
        <dsp:cNvPr id="0" name=""/>
        <dsp:cNvSpPr/>
      </dsp:nvSpPr>
      <dsp:spPr>
        <a:xfrm>
          <a:off x="4293454" y="0"/>
          <a:ext cx="833198" cy="2592125"/>
        </a:xfrm>
        <a:prstGeom prst="roundRect">
          <a:avLst>
            <a:gd name="adj" fmla="val 1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rPr>
            <a:t>Beard with ringworm infection</a:t>
          </a:r>
        </a:p>
      </dsp:txBody>
      <dsp:txXfrm>
        <a:off x="4293454" y="1036850"/>
        <a:ext cx="833198" cy="1036850"/>
      </dsp:txXfrm>
    </dsp:sp>
    <dsp:sp modelId="{206F22CF-7B71-4D0B-9206-5680867CC15E}">
      <dsp:nvSpPr>
        <dsp:cNvPr id="0" name=""/>
        <dsp:cNvSpPr/>
      </dsp:nvSpPr>
      <dsp:spPr>
        <a:xfrm>
          <a:off x="4318450" y="155527"/>
          <a:ext cx="783206" cy="863177"/>
        </a:xfrm>
        <a:prstGeom prst="ellipse">
          <a:avLst/>
        </a:prstGeom>
        <a:blipFill rotWithShape="1">
          <a:blip xmlns:r="http://schemas.openxmlformats.org/officeDocument/2006/relationships" r:embed="rId6"/>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8F84DBF5-E9E4-4F73-B989-936C87108342}">
      <dsp:nvSpPr>
        <dsp:cNvPr id="0" name=""/>
        <dsp:cNvSpPr/>
      </dsp:nvSpPr>
      <dsp:spPr>
        <a:xfrm>
          <a:off x="5151648" y="0"/>
          <a:ext cx="833198" cy="2592125"/>
        </a:xfrm>
        <a:prstGeom prst="roundRect">
          <a:avLst>
            <a:gd name="adj" fmla="val 1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rPr>
            <a:t>Scalp with ringworm infection</a:t>
          </a:r>
        </a:p>
      </dsp:txBody>
      <dsp:txXfrm>
        <a:off x="5151648" y="1036850"/>
        <a:ext cx="833198" cy="1036850"/>
      </dsp:txXfrm>
    </dsp:sp>
    <dsp:sp modelId="{2FF7FC7F-FB64-4B1D-81FD-A85D711D8279}">
      <dsp:nvSpPr>
        <dsp:cNvPr id="0" name=""/>
        <dsp:cNvSpPr/>
      </dsp:nvSpPr>
      <dsp:spPr>
        <a:xfrm>
          <a:off x="5176644" y="155527"/>
          <a:ext cx="783206" cy="863177"/>
        </a:xfrm>
        <a:prstGeom prst="ellipse">
          <a:avLst/>
        </a:prstGeom>
        <a:blipFill rotWithShape="1">
          <a:blip xmlns:r="http://schemas.openxmlformats.org/officeDocument/2006/relationships" r:embed="rId7"/>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0AA9E8E2-349B-42F2-9166-F420349930B7}">
      <dsp:nvSpPr>
        <dsp:cNvPr id="0" name=""/>
        <dsp:cNvSpPr/>
      </dsp:nvSpPr>
      <dsp:spPr>
        <a:xfrm>
          <a:off x="239493" y="2073700"/>
          <a:ext cx="5508345" cy="388818"/>
        </a:xfrm>
        <a:prstGeom prst="leftRightArrow">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5614B9-1FF1-44EA-871E-6B1223C2B73B}">
      <dsp:nvSpPr>
        <dsp:cNvPr id="0" name=""/>
        <dsp:cNvSpPr/>
      </dsp:nvSpPr>
      <dsp:spPr>
        <a:xfrm>
          <a:off x="380891" y="430"/>
          <a:ext cx="2767928" cy="1107171"/>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rPr>
            <a:t>No Improvement After 2 Weeks</a:t>
          </a:r>
        </a:p>
      </dsp:txBody>
      <dsp:txXfrm>
        <a:off x="934477" y="430"/>
        <a:ext cx="1660757" cy="1107171"/>
      </dsp:txXfrm>
    </dsp:sp>
    <dsp:sp modelId="{795BEE77-1740-4191-827A-81A53633883E}">
      <dsp:nvSpPr>
        <dsp:cNvPr id="0" name=""/>
        <dsp:cNvSpPr/>
      </dsp:nvSpPr>
      <dsp:spPr>
        <a:xfrm>
          <a:off x="380891" y="1262606"/>
          <a:ext cx="2767928" cy="1107171"/>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rPr>
            <a:t>Spreading or Worsening Rash</a:t>
          </a:r>
        </a:p>
      </dsp:txBody>
      <dsp:txXfrm>
        <a:off x="934477" y="1262606"/>
        <a:ext cx="1660757" cy="1107171"/>
      </dsp:txXfrm>
    </dsp:sp>
    <dsp:sp modelId="{1F6D633C-66D3-4AEE-852F-A75C3773B1B5}">
      <dsp:nvSpPr>
        <dsp:cNvPr id="0" name=""/>
        <dsp:cNvSpPr/>
      </dsp:nvSpPr>
      <dsp:spPr>
        <a:xfrm>
          <a:off x="380891" y="2524781"/>
          <a:ext cx="2767928" cy="1107171"/>
        </a:xfrm>
        <a:prstGeom prst="chevron">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rPr>
            <a:t> Ringworm on the Scalp or Beard (Tinea Capitis/Barbae)</a:t>
          </a:r>
        </a:p>
      </dsp:txBody>
      <dsp:txXfrm>
        <a:off x="934477" y="2524781"/>
        <a:ext cx="1660757" cy="1107171"/>
      </dsp:txXfrm>
    </dsp:sp>
    <dsp:sp modelId="{8E79073F-2C81-49BA-9E7F-89A66B217FC8}">
      <dsp:nvSpPr>
        <dsp:cNvPr id="0" name=""/>
        <dsp:cNvSpPr/>
      </dsp:nvSpPr>
      <dsp:spPr>
        <a:xfrm>
          <a:off x="380891" y="3786956"/>
          <a:ext cx="2767928" cy="1107171"/>
        </a:xfrm>
        <a:prstGeom prst="chevr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rPr>
            <a:t>Recurring Infections</a:t>
          </a:r>
        </a:p>
      </dsp:txBody>
      <dsp:txXfrm>
        <a:off x="934477" y="3786956"/>
        <a:ext cx="1660757" cy="1107171"/>
      </dsp:txXfrm>
    </dsp:sp>
    <dsp:sp modelId="{0C5D9825-EEBC-40B3-BE29-1F3C76D1580F}">
      <dsp:nvSpPr>
        <dsp:cNvPr id="0" name=""/>
        <dsp:cNvSpPr/>
      </dsp:nvSpPr>
      <dsp:spPr>
        <a:xfrm>
          <a:off x="380891" y="5049132"/>
          <a:ext cx="2767928" cy="110717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rPr>
            <a:t>Severe or Widespread Infection</a:t>
          </a:r>
        </a:p>
      </dsp:txBody>
      <dsp:txXfrm>
        <a:off x="934477" y="5049132"/>
        <a:ext cx="1660757" cy="1107171"/>
      </dsp:txXfrm>
    </dsp:sp>
    <dsp:sp modelId="{EF599C69-27DA-4093-981B-30D7A1DCF3A2}">
      <dsp:nvSpPr>
        <dsp:cNvPr id="0" name=""/>
        <dsp:cNvSpPr/>
      </dsp:nvSpPr>
      <dsp:spPr>
        <a:xfrm>
          <a:off x="380891" y="6311307"/>
          <a:ext cx="2767928" cy="1107171"/>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rPr>
            <a:t>Infection in Infants, Elderly, or Immunocompromised Individuals</a:t>
          </a:r>
        </a:p>
      </dsp:txBody>
      <dsp:txXfrm>
        <a:off x="934477" y="6311307"/>
        <a:ext cx="1660757" cy="1107171"/>
      </dsp:txXfrm>
    </dsp:sp>
    <dsp:sp modelId="{23F2B638-36CC-425C-A755-4C22C445A12D}">
      <dsp:nvSpPr>
        <dsp:cNvPr id="0" name=""/>
        <dsp:cNvSpPr/>
      </dsp:nvSpPr>
      <dsp:spPr>
        <a:xfrm>
          <a:off x="380891" y="7573482"/>
          <a:ext cx="2767928" cy="1107171"/>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rPr>
            <a:t> Involvement of Nails (Tinea Unguium or Onychomycosis)</a:t>
          </a:r>
        </a:p>
      </dsp:txBody>
      <dsp:txXfrm>
        <a:off x="934477" y="7573482"/>
        <a:ext cx="1660757" cy="110717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8DDEDB5-C2D6-436A-AB28-463092E34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1631</TotalTime>
  <Pages>23</Pages>
  <Words>5450</Words>
  <Characters>31066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pc</cp:lastModifiedBy>
  <cp:revision>177</cp:revision>
  <dcterms:created xsi:type="dcterms:W3CDTF">2025-04-09T08:19:00Z</dcterms:created>
  <dcterms:modified xsi:type="dcterms:W3CDTF">2025-04-24T10:04:00Z</dcterms:modified>
</cp:coreProperties>
</file>