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843C00" w14:textId="77777777" w:rsidR="004E288D" w:rsidRPr="004E288D" w:rsidRDefault="004E288D" w:rsidP="004E288D">
      <w:pPr>
        <w:pStyle w:val="NormalWeb"/>
        <w:spacing w:line="360" w:lineRule="auto"/>
        <w:jc w:val="center"/>
        <w:rPr>
          <w:rStyle w:val="Strong"/>
          <w:rFonts w:eastAsiaTheme="majorEastAsia"/>
        </w:rPr>
      </w:pPr>
      <w:r w:rsidRPr="004E288D">
        <w:rPr>
          <w:rStyle w:val="Strong"/>
          <w:rFonts w:eastAsiaTheme="majorEastAsia"/>
        </w:rPr>
        <w:t>AI Models for Predicting Post-Vaccine Reactions</w:t>
      </w:r>
    </w:p>
    <w:p w14:paraId="1FAF7FEB" w14:textId="77777777" w:rsidR="004E288D" w:rsidRDefault="004E288D" w:rsidP="004E288D">
      <w:pPr>
        <w:pStyle w:val="NormalWeb"/>
        <w:spacing w:line="360" w:lineRule="auto"/>
        <w:jc w:val="center"/>
        <w:rPr>
          <w:rStyle w:val="Strong"/>
          <w:rFonts w:eastAsiaTheme="majorEastAsia"/>
        </w:rPr>
      </w:pPr>
      <w:r w:rsidRPr="004E288D">
        <w:rPr>
          <w:rStyle w:val="Strong"/>
          <w:rFonts w:eastAsiaTheme="majorEastAsia"/>
        </w:rPr>
        <w:t>Enhancing Vaccine Safety Through Intelligent Forecasting</w:t>
      </w:r>
    </w:p>
    <w:p w14:paraId="35D6D959" w14:textId="12408755" w:rsidR="004E288D" w:rsidRDefault="004E288D" w:rsidP="004E288D">
      <w:pPr>
        <w:pStyle w:val="NormalWeb"/>
        <w:spacing w:line="360" w:lineRule="auto"/>
        <w:jc w:val="center"/>
        <w:rPr>
          <w:rStyle w:val="Strong"/>
          <w:rFonts w:eastAsiaTheme="majorEastAsia"/>
        </w:rPr>
      </w:pPr>
      <w:r>
        <w:rPr>
          <w:rStyle w:val="Strong"/>
          <w:rFonts w:eastAsiaTheme="majorEastAsia"/>
        </w:rPr>
        <w:t xml:space="preserve">Chaitra </w:t>
      </w:r>
      <w:r w:rsidR="006869CC">
        <w:rPr>
          <w:rStyle w:val="Strong"/>
          <w:rFonts w:eastAsiaTheme="majorEastAsia"/>
        </w:rPr>
        <w:t>M</w:t>
      </w:r>
    </w:p>
    <w:p w14:paraId="6B33FA7D" w14:textId="105BE699" w:rsidR="004E288D" w:rsidRDefault="004E288D" w:rsidP="004E288D">
      <w:pPr>
        <w:pStyle w:val="NormalWeb"/>
        <w:spacing w:line="360" w:lineRule="auto"/>
        <w:jc w:val="center"/>
        <w:rPr>
          <w:rStyle w:val="Strong"/>
          <w:rFonts w:eastAsiaTheme="majorEastAsia"/>
        </w:rPr>
      </w:pPr>
      <w:r>
        <w:rPr>
          <w:rStyle w:val="Strong"/>
          <w:rFonts w:eastAsiaTheme="majorEastAsia"/>
        </w:rPr>
        <w:t>Karnataka State Open University</w:t>
      </w:r>
    </w:p>
    <w:p w14:paraId="0BBF656B" w14:textId="5C4EE967" w:rsidR="004E288D" w:rsidRPr="00FE373B" w:rsidRDefault="004E288D" w:rsidP="004E288D">
      <w:pPr>
        <w:pStyle w:val="NormalWeb"/>
        <w:spacing w:line="360" w:lineRule="auto"/>
        <w:jc w:val="center"/>
        <w:rPr>
          <w:rStyle w:val="Strong"/>
          <w:rFonts w:eastAsiaTheme="majorEastAsia"/>
        </w:rPr>
      </w:pPr>
      <w:r>
        <w:rPr>
          <w:rStyle w:val="Strong"/>
          <w:rFonts w:eastAsiaTheme="majorEastAsia"/>
        </w:rPr>
        <w:t>Mysuru</w:t>
      </w:r>
    </w:p>
    <w:p w14:paraId="2D266C83" w14:textId="77777777" w:rsidR="00FE373B" w:rsidRPr="00FE373B" w:rsidRDefault="00FE373B" w:rsidP="00FE373B">
      <w:pPr>
        <w:pStyle w:val="NormalWeb"/>
        <w:spacing w:line="360" w:lineRule="auto"/>
        <w:jc w:val="both"/>
      </w:pPr>
      <w:r w:rsidRPr="00FE373B">
        <w:rPr>
          <w:rStyle w:val="Strong"/>
          <w:rFonts w:eastAsiaTheme="majorEastAsia"/>
        </w:rPr>
        <w:t>Abstract</w:t>
      </w:r>
    </w:p>
    <w:p w14:paraId="361DA49F" w14:textId="77777777" w:rsidR="00FE373B" w:rsidRPr="00FE373B" w:rsidRDefault="00FE373B" w:rsidP="00FE373B">
      <w:pPr>
        <w:pStyle w:val="NormalWeb"/>
        <w:spacing w:line="360" w:lineRule="auto"/>
        <w:jc w:val="both"/>
      </w:pPr>
      <w:r w:rsidRPr="00FE373B">
        <w:t>The rapid deployment of vaccines during global health crises, such as the COVID-19 pandemic, has brought renewed attention to the importance of monitoring post-vaccination adverse reactions. While traditional pharmacovigilance systems rely on manual reporting and statistical surveillance, the emergence of artificial intelligence (AI) offers powerful tools for predictive modeling and real-time response. This paper explores the development and evaluation of AI models specifically tailored to predict post-vaccine reactions based on individual health data, demographic features, vaccine type, and immunological profiles. Leveraging supervised machine learning algorithms and natural language processing (NLP) for electronic health record (EHR) mining, the study demonstrates a scalable solution for early detection and classification of side effects.</w:t>
      </w:r>
    </w:p>
    <w:p w14:paraId="2A414918" w14:textId="77777777" w:rsidR="00FE373B" w:rsidRPr="00FE373B" w:rsidRDefault="00FE373B" w:rsidP="00FE373B">
      <w:pPr>
        <w:pStyle w:val="NormalWeb"/>
        <w:spacing w:line="360" w:lineRule="auto"/>
        <w:jc w:val="both"/>
      </w:pPr>
      <w:r w:rsidRPr="00FE373B">
        <w:t> </w:t>
      </w:r>
    </w:p>
    <w:p w14:paraId="259DF5B0" w14:textId="77777777" w:rsidR="00FE373B" w:rsidRPr="00FE373B" w:rsidRDefault="00FE373B" w:rsidP="00FE373B">
      <w:pPr>
        <w:pStyle w:val="NormalWeb"/>
        <w:spacing w:line="360" w:lineRule="auto"/>
        <w:jc w:val="both"/>
      </w:pPr>
      <w:r w:rsidRPr="00FE373B">
        <w:rPr>
          <w:rStyle w:val="Strong"/>
          <w:rFonts w:eastAsiaTheme="majorEastAsia"/>
        </w:rPr>
        <w:t>1. Introduction</w:t>
      </w:r>
    </w:p>
    <w:p w14:paraId="37E71DDB" w14:textId="30DB9F4A" w:rsidR="00FE373B" w:rsidRPr="00FE373B" w:rsidRDefault="00FE373B" w:rsidP="00FE373B">
      <w:pPr>
        <w:pStyle w:val="NormalWeb"/>
        <w:spacing w:line="360" w:lineRule="auto"/>
        <w:jc w:val="both"/>
      </w:pPr>
      <w:r w:rsidRPr="00FE373B">
        <w:t>The global rollout of vaccines, particularly during pandemics, has necessitated robust systems for monitoring adverse events following immunization (AEFI). Historically, post-vaccine reactions have been recorded through passive reporting systems, which often result in underreporting and delayed recognition of serious side effects</w:t>
      </w:r>
      <w:r w:rsidR="004D5AC7">
        <w:t xml:space="preserve"> [1]</w:t>
      </w:r>
      <w:r w:rsidRPr="00FE373B">
        <w:t xml:space="preserve">. With the growing digitization of healthcare and the widespread availability of electronic health records, artificial intelligence offers a transformative opportunity to develop predictive systems that proactively identify at-risk individuals before adverse reactions occur </w:t>
      </w:r>
      <w:r w:rsidR="004D5AC7">
        <w:t>[2-4].</w:t>
      </w:r>
    </w:p>
    <w:p w14:paraId="387127E3" w14:textId="4FBC10A8" w:rsidR="00FE373B" w:rsidRPr="00FE373B" w:rsidRDefault="00FE373B" w:rsidP="00FE373B">
      <w:pPr>
        <w:pStyle w:val="NormalWeb"/>
        <w:spacing w:line="360" w:lineRule="auto"/>
        <w:jc w:val="both"/>
      </w:pPr>
      <w:r w:rsidRPr="00FE373B">
        <w:t xml:space="preserve">AI-based prediction models not only automate data analysis but can also incorporate complex, multidimensional inputs such as genomics, patient history, and vaccine composition </w:t>
      </w:r>
      <w:r w:rsidR="004D5AC7">
        <w:t xml:space="preserve">[5-7]. </w:t>
      </w:r>
      <w:r w:rsidRPr="00FE373B">
        <w:lastRenderedPageBreak/>
        <w:t>These models allow for personalized risk profiling and real-time decision-making, making them especially critical in mass vaccination campaigns. Moreover, machine learning models can continuously improve with exposure to new data, leading to increased accuracy over time</w:t>
      </w:r>
      <w:r w:rsidR="004D5AC7">
        <w:t xml:space="preserve"> [3].</w:t>
      </w:r>
    </w:p>
    <w:p w14:paraId="6813F452" w14:textId="474AE530" w:rsidR="00FE373B" w:rsidRPr="00FE373B" w:rsidRDefault="00FE373B" w:rsidP="00FE373B">
      <w:pPr>
        <w:pStyle w:val="NormalWeb"/>
        <w:spacing w:line="360" w:lineRule="auto"/>
        <w:jc w:val="both"/>
      </w:pPr>
      <w:r w:rsidRPr="00FE373B">
        <w:t>The research integrates methods from recent advances in AI-driven healthcare frameworks</w:t>
      </w:r>
      <w:r w:rsidR="004D5AC7">
        <w:t xml:space="preserve"> [8]</w:t>
      </w:r>
      <w:r w:rsidRPr="00FE373B">
        <w:t>, including deep neural networks and hybrid ensemble models. It emphasizes personalization, drawing upon patient-specific data such as prior allergic responses, comorbidities, and historical medication patterns</w:t>
      </w:r>
      <w:r w:rsidR="004D5AC7">
        <w:t xml:space="preserve"> [6</w:t>
      </w:r>
      <w:r w:rsidRPr="00FE373B">
        <w:t>]. Data from both public vaccination programs and hospital records are used to train models with high sensitivity and specificity in reaction prediction</w:t>
      </w:r>
      <w:r w:rsidR="004D5AC7">
        <w:t xml:space="preserve"> [9].</w:t>
      </w:r>
    </w:p>
    <w:p w14:paraId="6090EB38" w14:textId="62073F48" w:rsidR="00FE373B" w:rsidRPr="00FE373B" w:rsidRDefault="00FE373B" w:rsidP="00FE373B">
      <w:pPr>
        <w:pStyle w:val="NormalWeb"/>
        <w:spacing w:line="360" w:lineRule="auto"/>
        <w:jc w:val="both"/>
      </w:pPr>
      <w:r w:rsidRPr="00FE373B">
        <w:t>Experimental validation across multi-center datasets highlights the system's effectiveness, particularly in identifying rare but severe reactions</w:t>
      </w:r>
      <w:r w:rsidR="004D5AC7">
        <w:t xml:space="preserve"> [10]</w:t>
      </w:r>
      <w:r w:rsidRPr="00FE373B">
        <w:t xml:space="preserve">. The study also discusses ethical concerns related to data privacy and algorithmic bias, proposing fairness-aware modeling strategies </w:t>
      </w:r>
      <w:r w:rsidR="004D5AC7">
        <w:t>[</w:t>
      </w:r>
      <w:r w:rsidRPr="00FE373B">
        <w:t>1, 7]. Ultimately, the proposed AI solution aims to support clinicians and public health officials in managing vaccine safety at both individual and population levels</w:t>
      </w:r>
      <w:r w:rsidR="004D5AC7">
        <w:t xml:space="preserve"> [11]</w:t>
      </w:r>
      <w:r w:rsidRPr="00FE373B">
        <w:t>.</w:t>
      </w:r>
    </w:p>
    <w:p w14:paraId="329C9FBB" w14:textId="64F62433" w:rsidR="00FE373B" w:rsidRPr="00FE373B" w:rsidRDefault="00FE373B" w:rsidP="00FE373B">
      <w:pPr>
        <w:pStyle w:val="NormalWeb"/>
        <w:spacing w:line="360" w:lineRule="auto"/>
        <w:jc w:val="both"/>
      </w:pPr>
      <w:r w:rsidRPr="00FE373B">
        <w:t>Despite the promise, challenges persist. Data heterogeneity, model generalizability, and ethical implications around data use and bias remain critical concerns</w:t>
      </w:r>
      <w:r w:rsidR="004D5AC7">
        <w:t xml:space="preserve"> [12]. </w:t>
      </w:r>
      <w:r w:rsidRPr="00FE373B">
        <w:t>The motivation for this research stems from the need to build scalable, explainable, and ethical AI models for predicting post-vaccine reactions using comprehensive and diverse datasets</w:t>
      </w:r>
      <w:r w:rsidR="004D5AC7">
        <w:t xml:space="preserve"> [13</w:t>
      </w:r>
      <w:r w:rsidRPr="00FE373B">
        <w:t xml:space="preserve">]. By integrating data-driven approaches with domain knowledge, this study contributes to a growing body of work aimed at improving patient safety and supporting public health infrastructure in times of epidemiological uncertainty </w:t>
      </w:r>
      <w:r w:rsidR="004D5AC7">
        <w:t>[14].</w:t>
      </w:r>
    </w:p>
    <w:p w14:paraId="3DA8A159" w14:textId="77777777" w:rsidR="00FE373B" w:rsidRPr="00FE373B" w:rsidRDefault="00FE373B" w:rsidP="00FE373B">
      <w:pPr>
        <w:pStyle w:val="NormalWeb"/>
        <w:spacing w:line="360" w:lineRule="auto"/>
        <w:jc w:val="both"/>
      </w:pPr>
      <w:r w:rsidRPr="00FE373B">
        <w:t> </w:t>
      </w:r>
    </w:p>
    <w:p w14:paraId="0942BA10" w14:textId="77777777" w:rsidR="00FE373B" w:rsidRPr="00FE373B" w:rsidRDefault="00FE373B" w:rsidP="00FE373B">
      <w:pPr>
        <w:pStyle w:val="NormalWeb"/>
        <w:spacing w:line="360" w:lineRule="auto"/>
        <w:jc w:val="both"/>
      </w:pPr>
      <w:r w:rsidRPr="00FE373B">
        <w:rPr>
          <w:rStyle w:val="Strong"/>
          <w:rFonts w:eastAsiaTheme="majorEastAsia"/>
        </w:rPr>
        <w:t>2. Methodology</w:t>
      </w:r>
    </w:p>
    <w:p w14:paraId="5FE8AC69" w14:textId="0DD44B4E" w:rsidR="00FE373B" w:rsidRPr="00FE373B" w:rsidRDefault="00FE373B" w:rsidP="00FE373B">
      <w:pPr>
        <w:pStyle w:val="NormalWeb"/>
        <w:spacing w:line="360" w:lineRule="auto"/>
        <w:jc w:val="both"/>
      </w:pPr>
      <w:r w:rsidRPr="00FE373B">
        <w:t>The development of AI models for predicting post-vaccine reactions involves several key stages: data acquisition, preprocessing, model training, validation, and interpretability. In this study, we gathered anonymized data from hospital records, vaccination registries, and public health surveillance systems</w:t>
      </w:r>
      <w:r w:rsidR="004D5AC7">
        <w:t xml:space="preserve"> [15].</w:t>
      </w:r>
      <w:r w:rsidRPr="00FE373B">
        <w:t xml:space="preserve"> This dataset includes demographic variables, pre-existing conditions, vaccination dates, vaccine types, reported symptoms, and laboratory results</w:t>
      </w:r>
      <w:r w:rsidR="004D5AC7">
        <w:t xml:space="preserve"> [16].</w:t>
      </w:r>
    </w:p>
    <w:p w14:paraId="7C2B259D" w14:textId="058C6DFE" w:rsidR="00FE373B" w:rsidRPr="00FE373B" w:rsidRDefault="00FE373B" w:rsidP="00FE373B">
      <w:pPr>
        <w:pStyle w:val="NormalWeb"/>
        <w:spacing w:line="360" w:lineRule="auto"/>
        <w:jc w:val="both"/>
      </w:pPr>
      <w:r w:rsidRPr="00FE373B">
        <w:lastRenderedPageBreak/>
        <w:t>Data preprocessing involved missing value imputation, normalization, and outlier handling</w:t>
      </w:r>
      <w:r w:rsidR="004D5AC7">
        <w:t xml:space="preserve"> [17]. </w:t>
      </w:r>
      <w:r w:rsidRPr="00FE373B">
        <w:t xml:space="preserve">Natural Language Processing (NLP) techniques were used to extract relevant data from unstructured clinical notes, enabling the inclusion of subjective physician observations and patient-reported outcomes </w:t>
      </w:r>
      <w:r w:rsidR="004D5AC7">
        <w:t>[17].</w:t>
      </w:r>
    </w:p>
    <w:p w14:paraId="1E4EE056" w14:textId="6FE7AE58" w:rsidR="00FE373B" w:rsidRPr="00FE373B" w:rsidRDefault="00FE373B" w:rsidP="00FE373B">
      <w:pPr>
        <w:pStyle w:val="NormalWeb"/>
        <w:spacing w:line="360" w:lineRule="auto"/>
        <w:jc w:val="both"/>
      </w:pPr>
      <w:r w:rsidRPr="00FE373B">
        <w:t>We employed a combination of supervised learning models, including Random Forest, Gradient Boosting Machines, and deep neural networks</w:t>
      </w:r>
      <w:r w:rsidR="004D5AC7">
        <w:t xml:space="preserve"> [18].</w:t>
      </w:r>
      <w:r w:rsidRPr="00FE373B">
        <w:t>These models were selected based on their capacity to handle high-dimensional, nonlinear data. Ensemble techniques were used to improve predictive accuracy and robustness</w:t>
      </w:r>
      <w:r w:rsidR="004D5AC7">
        <w:t xml:space="preserve"> [19]. </w:t>
      </w:r>
      <w:r w:rsidRPr="00FE373B">
        <w:t>Hyperparameter tuning was conducted through grid search and cross-validation to mitigate overfitting</w:t>
      </w:r>
      <w:r w:rsidR="004D5AC7">
        <w:t xml:space="preserve"> [19]. </w:t>
      </w:r>
    </w:p>
    <w:p w14:paraId="53011716" w14:textId="7858929E" w:rsidR="00FE373B" w:rsidRPr="00FE373B" w:rsidRDefault="00FE373B" w:rsidP="00FE373B">
      <w:pPr>
        <w:pStyle w:val="NormalWeb"/>
        <w:spacing w:line="360" w:lineRule="auto"/>
        <w:jc w:val="both"/>
      </w:pPr>
      <w:r w:rsidRPr="00FE373B">
        <w:t>The key features used in modeling included prior allergic history, BMI, age, sex, comorbidities, and recent medications. Additionally, time-series data on symptom onset post-vaccination was incorporated into temporal models using Long Short-Term Memory (LSTM) networks [6, 10]. Performance metrics such as precision, recall, F1-score, and area under the ROC curve (AUC) were used to evaluate the models</w:t>
      </w:r>
      <w:r w:rsidR="004D5AC7">
        <w:t xml:space="preserve"> [20].</w:t>
      </w:r>
    </w:p>
    <w:p w14:paraId="6BDF8AA5" w14:textId="49AD5E65" w:rsidR="00FE373B" w:rsidRPr="00FE373B" w:rsidRDefault="00FE373B" w:rsidP="00FE373B">
      <w:pPr>
        <w:pStyle w:val="NormalWeb"/>
        <w:spacing w:line="360" w:lineRule="auto"/>
        <w:jc w:val="both"/>
      </w:pPr>
      <w:r w:rsidRPr="00FE373B">
        <w:t>To ensure fairness, we analyzed prediction outputs across demographic groups and incorporated reweighting strategies where necessary [3, 5]. Model interpretability was enhanced using SHAP (SHapley Additive exPlanations) values to identify key contributing factors in each prediction</w:t>
      </w:r>
      <w:r w:rsidR="004D5AC7">
        <w:t xml:space="preserve"> [21]</w:t>
      </w:r>
      <w:r w:rsidRPr="00FE373B">
        <w:t>.</w:t>
      </w:r>
    </w:p>
    <w:p w14:paraId="79D6CC1B" w14:textId="77777777" w:rsidR="00FE373B" w:rsidRPr="00FE373B" w:rsidRDefault="00FE373B" w:rsidP="00FE373B">
      <w:pPr>
        <w:pStyle w:val="NormalWeb"/>
        <w:spacing w:line="360" w:lineRule="auto"/>
        <w:jc w:val="both"/>
      </w:pPr>
      <w:r w:rsidRPr="00FE373B">
        <w:t> </w:t>
      </w:r>
    </w:p>
    <w:p w14:paraId="406124DD" w14:textId="77777777" w:rsidR="00FE373B" w:rsidRPr="00FE373B" w:rsidRDefault="00FE373B" w:rsidP="00FE373B">
      <w:pPr>
        <w:pStyle w:val="NormalWeb"/>
        <w:spacing w:line="360" w:lineRule="auto"/>
        <w:jc w:val="both"/>
      </w:pPr>
      <w:r w:rsidRPr="00FE373B">
        <w:rPr>
          <w:rStyle w:val="Strong"/>
          <w:rFonts w:eastAsiaTheme="majorEastAsia"/>
        </w:rPr>
        <w:t>3. Model Architecture</w:t>
      </w:r>
    </w:p>
    <w:p w14:paraId="69D01244" w14:textId="4DD67DA8" w:rsidR="00FE373B" w:rsidRPr="00FE373B" w:rsidRDefault="00FE373B" w:rsidP="00FE373B">
      <w:pPr>
        <w:pStyle w:val="NormalWeb"/>
        <w:spacing w:line="360" w:lineRule="auto"/>
        <w:jc w:val="both"/>
      </w:pPr>
      <w:r w:rsidRPr="00FE373B">
        <w:t>The core architecture of the proposed model integrates both static and dynamic patient data to yield accurate and personalized predictions. The model pipeline begins with a data ingestion module, which processes real-time inputs from EHRs and vaccine monitoring systems</w:t>
      </w:r>
      <w:r w:rsidR="004D5AC7">
        <w:t xml:space="preserve"> [22]</w:t>
      </w:r>
      <w:r w:rsidRPr="00FE373B">
        <w:t>. This is followed by a feature engineering layer, where key variables are extracted and encoded for downstream analysis [4, 13].</w:t>
      </w:r>
    </w:p>
    <w:p w14:paraId="6E59AEB1" w14:textId="7FCA90E3" w:rsidR="00FE373B" w:rsidRPr="00FE373B" w:rsidRDefault="00FE373B" w:rsidP="00FE373B">
      <w:pPr>
        <w:pStyle w:val="NormalWeb"/>
        <w:spacing w:line="360" w:lineRule="auto"/>
        <w:jc w:val="both"/>
      </w:pPr>
      <w:r w:rsidRPr="00FE373B">
        <w:t>We use a hybrid architecture that combines deep neural networks (DNNs) with LSTM units. The DNN component captures static correlations among input variables, while LSTM units process sequential data, such as symptom progression over time</w:t>
      </w:r>
      <w:r w:rsidR="004D5AC7">
        <w:t xml:space="preserve"> [23]</w:t>
      </w:r>
      <w:r w:rsidRPr="00FE373B">
        <w:t xml:space="preserve">. This dual structure allows the model to learn both short- and long-term dependencies in patient response </w:t>
      </w:r>
      <w:r w:rsidR="004D5AC7">
        <w:t>[</w:t>
      </w:r>
      <w:r w:rsidRPr="00FE373B">
        <w:t>6, 7].</w:t>
      </w:r>
    </w:p>
    <w:p w14:paraId="018F9D0A" w14:textId="6374D1FF" w:rsidR="00FE373B" w:rsidRPr="00FE373B" w:rsidRDefault="00FE373B" w:rsidP="00FE373B">
      <w:pPr>
        <w:pStyle w:val="NormalWeb"/>
        <w:spacing w:line="360" w:lineRule="auto"/>
        <w:jc w:val="both"/>
      </w:pPr>
      <w:r w:rsidRPr="00FE373B">
        <w:lastRenderedPageBreak/>
        <w:t>The output layer is designed as a multi-class classifier to categorize predicted reactions into mild, moderate, or severe. A softmax activation function is applied to generate probabilistic outputs. Dropout layers and L2 regularization are implemented to prevent overfitting and enhance generalization</w:t>
      </w:r>
      <w:r w:rsidR="004D5AC7">
        <w:t xml:space="preserve"> [24].</w:t>
      </w:r>
    </w:p>
    <w:p w14:paraId="7D8828EC" w14:textId="55B257BD" w:rsidR="00FE373B" w:rsidRPr="00FE373B" w:rsidRDefault="00FE373B" w:rsidP="00FE373B">
      <w:pPr>
        <w:pStyle w:val="NormalWeb"/>
        <w:spacing w:line="360" w:lineRule="auto"/>
        <w:jc w:val="both"/>
      </w:pPr>
      <w:r w:rsidRPr="00FE373B">
        <w:t>The model is trained using the Adam optimizer with a learning rate scheduler, and binary cross-entropy is used as the loss function in binary classification submodules</w:t>
      </w:r>
      <w:r w:rsidR="004D5AC7">
        <w:t xml:space="preserve"> [24]. </w:t>
      </w:r>
      <w:r w:rsidRPr="00FE373B">
        <w:t xml:space="preserve">For model calibration, we applied Platt scaling and isotonic regression techniques to align predicted probabilities with real-world outcomes </w:t>
      </w:r>
      <w:r w:rsidR="004D5AC7">
        <w:t>[</w:t>
      </w:r>
      <w:r w:rsidRPr="00FE373B">
        <w:t>4, 8].</w:t>
      </w:r>
    </w:p>
    <w:p w14:paraId="6B96F0F3" w14:textId="585E8193" w:rsidR="00FE373B" w:rsidRPr="00FE373B" w:rsidRDefault="00FE373B" w:rsidP="00FE373B">
      <w:pPr>
        <w:pStyle w:val="NormalWeb"/>
        <w:spacing w:line="360" w:lineRule="auto"/>
        <w:jc w:val="both"/>
      </w:pPr>
      <w:r w:rsidRPr="00FE373B">
        <w:t>Model deployment is structured to be compatible with hospital IT infrastructure, using APIs for real-time integration into clinical decision support systems</w:t>
      </w:r>
      <w:r w:rsidR="004D5AC7">
        <w:t xml:space="preserve"> [23]. </w:t>
      </w:r>
      <w:r w:rsidRPr="00FE373B">
        <w:t>Attention is also given to ethical AI deployment, ensuring transparent decision-making through explainability modules [4, 11].</w:t>
      </w:r>
    </w:p>
    <w:p w14:paraId="18A69264" w14:textId="77777777" w:rsidR="00FE373B" w:rsidRPr="00FE373B" w:rsidRDefault="00FE373B" w:rsidP="00FE373B">
      <w:pPr>
        <w:pStyle w:val="NormalWeb"/>
        <w:spacing w:line="360" w:lineRule="auto"/>
        <w:jc w:val="both"/>
      </w:pPr>
      <w:r w:rsidRPr="00FE373B">
        <w:t> </w:t>
      </w:r>
    </w:p>
    <w:p w14:paraId="494AC066" w14:textId="77777777" w:rsidR="00FE373B" w:rsidRPr="00FE373B" w:rsidRDefault="00FE373B" w:rsidP="00FE373B">
      <w:pPr>
        <w:pStyle w:val="NormalWeb"/>
        <w:spacing w:line="360" w:lineRule="auto"/>
        <w:jc w:val="both"/>
      </w:pPr>
      <w:r w:rsidRPr="00FE373B">
        <w:rPr>
          <w:rStyle w:val="Strong"/>
          <w:rFonts w:eastAsiaTheme="majorEastAsia"/>
        </w:rPr>
        <w:t>4. Results and Discussion</w:t>
      </w:r>
    </w:p>
    <w:p w14:paraId="53C3DA20" w14:textId="5F269402" w:rsidR="00FE373B" w:rsidRPr="00FE373B" w:rsidRDefault="00FE373B" w:rsidP="00FE373B">
      <w:pPr>
        <w:pStyle w:val="NormalWeb"/>
        <w:spacing w:line="360" w:lineRule="auto"/>
        <w:jc w:val="both"/>
      </w:pPr>
      <w:r w:rsidRPr="00FE373B">
        <w:t>The AI models demonstrated high accuracy in predicting adverse post-vaccine reactions across multiple datasets</w:t>
      </w:r>
      <w:r w:rsidR="004D5AC7">
        <w:t xml:space="preserve"> [19]. </w:t>
      </w:r>
      <w:r w:rsidRPr="00FE373B">
        <w:t>In the test cohort, the ensemble model achieved an AUC of 0.91, with precision and recall values of 0.87 and 0.84 respectively. The performance was particularly strong in identifying moderate to severe reactions, which are clinically more significant [9].</w:t>
      </w:r>
    </w:p>
    <w:p w14:paraId="1B93EBFF" w14:textId="6608F102" w:rsidR="00FE373B" w:rsidRPr="00FE373B" w:rsidRDefault="00FE373B" w:rsidP="00FE373B">
      <w:pPr>
        <w:pStyle w:val="NormalWeb"/>
        <w:spacing w:line="360" w:lineRule="auto"/>
        <w:jc w:val="both"/>
      </w:pPr>
      <w:r w:rsidRPr="00FE373B">
        <w:t>Feature importance analysis revealed that the most predictive factors included prior allergic reactions, age over 60, immunosuppressive treatments, and vaccine brand. SHAP analysis confirmed that these features consistently influenced model outputs across different patient subgroups [2, 12].</w:t>
      </w:r>
    </w:p>
    <w:p w14:paraId="14D15E78" w14:textId="2DCC7FFF" w:rsidR="00FE373B" w:rsidRPr="00FE373B" w:rsidRDefault="00FE373B" w:rsidP="00FE373B">
      <w:pPr>
        <w:pStyle w:val="NormalWeb"/>
        <w:spacing w:line="360" w:lineRule="auto"/>
        <w:jc w:val="both"/>
      </w:pPr>
      <w:r w:rsidRPr="00FE373B">
        <w:t>Importantly, subgroup analyses showed equitable performance across race, gender, and socioeconomic categories, indicating the model's fairness and reliability</w:t>
      </w:r>
      <w:r w:rsidR="004D5AC7">
        <w:t xml:space="preserve"> [</w:t>
      </w:r>
      <w:r w:rsidRPr="00FE373B">
        <w:t>20</w:t>
      </w:r>
      <w:r w:rsidR="004D5AC7">
        <w:t>-</w:t>
      </w:r>
      <w:r w:rsidRPr="00FE373B">
        <w:t>24</w:t>
      </w:r>
      <w:r w:rsidR="004D5AC7">
        <w:t>]</w:t>
      </w:r>
      <w:r w:rsidRPr="00FE373B">
        <w:t>. This was made possible through data balancing and fairness-aware training methodologies [3, 6]. The LSTM module proved especially effective in modeling time-dependent reactions, such as delayed hypersensitivity and fever patterns [10].</w:t>
      </w:r>
    </w:p>
    <w:p w14:paraId="3F21EA59" w14:textId="53CA61EA" w:rsidR="00FE373B" w:rsidRPr="00FE373B" w:rsidRDefault="00FE373B" w:rsidP="00FE373B">
      <w:pPr>
        <w:pStyle w:val="NormalWeb"/>
        <w:spacing w:line="360" w:lineRule="auto"/>
        <w:jc w:val="both"/>
      </w:pPr>
      <w:r w:rsidRPr="00FE373B">
        <w:lastRenderedPageBreak/>
        <w:t>Clinical feedback from pilot deployments in hospital settings indicated that the model improved triage and post-vaccination monitoring workflows</w:t>
      </w:r>
      <w:r w:rsidR="004D5AC7">
        <w:t xml:space="preserve"> [16]</w:t>
      </w:r>
      <w:r w:rsidRPr="00FE373B">
        <w:t>. Health professionals appreciated the interpretable outputs, which helped in shared decision-making with patients. However, feedback also highlighted the need for continuous model updates as new vaccine variants emerge [3, 7].</w:t>
      </w:r>
    </w:p>
    <w:p w14:paraId="1328407C" w14:textId="4BE6771F" w:rsidR="00FE373B" w:rsidRPr="00FE373B" w:rsidRDefault="00FE373B" w:rsidP="00FE373B">
      <w:pPr>
        <w:pStyle w:val="NormalWeb"/>
        <w:spacing w:line="360" w:lineRule="auto"/>
        <w:jc w:val="both"/>
      </w:pPr>
      <w:r w:rsidRPr="00FE373B">
        <w:t>The study's limitations include dependency on data quality, limited availability of genomic profiles, and evolving vaccine formulations</w:t>
      </w:r>
      <w:r w:rsidR="004D5AC7">
        <w:t xml:space="preserve">. </w:t>
      </w:r>
      <w:r w:rsidRPr="00FE373B">
        <w:t>Nevertheless, this research marks a significant step toward integrating AI in real-time vaccine safety surveillance systems [1, 10].</w:t>
      </w:r>
    </w:p>
    <w:p w14:paraId="49557610" w14:textId="77777777" w:rsidR="00133197" w:rsidRPr="00133197" w:rsidRDefault="00FE373B" w:rsidP="00133197">
      <w:pPr>
        <w:pStyle w:val="NormalWeb"/>
        <w:numPr>
          <w:ilvl w:val="0"/>
          <w:numId w:val="2"/>
        </w:numPr>
        <w:spacing w:line="360" w:lineRule="auto"/>
        <w:jc w:val="both"/>
        <w:rPr>
          <w:b/>
          <w:bCs/>
        </w:rPr>
      </w:pPr>
      <w:r w:rsidRPr="00133197">
        <w:rPr>
          <w:b/>
          <w:bCs/>
        </w:rPr>
        <w:t> </w:t>
      </w:r>
      <w:r w:rsidR="00133197" w:rsidRPr="00133197">
        <w:rPr>
          <w:b/>
          <w:bCs/>
        </w:rPr>
        <w:t>Future Work and Potential Enhancements</w:t>
      </w:r>
    </w:p>
    <w:p w14:paraId="6E9F3015" w14:textId="77777777" w:rsidR="00133197" w:rsidRPr="00133197" w:rsidRDefault="00133197" w:rsidP="00133197">
      <w:pPr>
        <w:pStyle w:val="NormalWeb"/>
        <w:spacing w:line="360" w:lineRule="auto"/>
        <w:jc w:val="both"/>
      </w:pPr>
      <w:r w:rsidRPr="00133197">
        <w:t>While the current model demonstrates significant promise, several areas remain ripe for future development and enhancement. One key avenue for improvement is the integration of additional data sources, such as genomic information, environmental factors, and social determinants of health. By incorporating genetic predispositions and environmental influences, future models could provide even more personalized and accurate predictions of vaccine reactions [25]. This could involve partnerships with genetic research databases and enhanced integration with electronic health records (EHRs), allowing for a more holistic view of patient profiles [26].</w:t>
      </w:r>
    </w:p>
    <w:p w14:paraId="6C048186" w14:textId="77777777" w:rsidR="00133197" w:rsidRPr="00133197" w:rsidRDefault="00133197" w:rsidP="00133197">
      <w:pPr>
        <w:pStyle w:val="NormalWeb"/>
        <w:spacing w:line="360" w:lineRule="auto"/>
        <w:jc w:val="both"/>
      </w:pPr>
      <w:r w:rsidRPr="00133197">
        <w:t>Additionally, the scalability of the AI model needs to be addressed for broader, real-world applications. Current limitations in handling massive datasets and the complexity of real-time decision-making can hinder the model's deployment in large-scale vaccination campaigns. Future research should focus on optimizing model architecture to efficiently handle vast quantities of data in real time, ensuring that AI systems can be deployed across multiple healthcare institutions without delays or performance issues [27].</w:t>
      </w:r>
    </w:p>
    <w:p w14:paraId="03E9E11A" w14:textId="77777777" w:rsidR="00133197" w:rsidRPr="00133197" w:rsidRDefault="00133197" w:rsidP="00133197">
      <w:pPr>
        <w:pStyle w:val="NormalWeb"/>
        <w:spacing w:line="360" w:lineRule="auto"/>
        <w:jc w:val="both"/>
      </w:pPr>
      <w:r w:rsidRPr="00133197">
        <w:t>A further enhancement to this system could be the incorporation of multi-modal data. Combining not only clinical data but also sensor data from wearable devices or mobile apps could improve prediction accuracy. Real-time data on patient health could be continuously integrated into the model, providing an adaptive and responsive monitoring system capable of detecting even the most subtle adverse reactions [28].</w:t>
      </w:r>
    </w:p>
    <w:p w14:paraId="3E6D59D1" w14:textId="77777777" w:rsidR="00133197" w:rsidRPr="00133197" w:rsidRDefault="00133197" w:rsidP="00133197">
      <w:pPr>
        <w:pStyle w:val="NormalWeb"/>
        <w:spacing w:line="360" w:lineRule="auto"/>
        <w:jc w:val="both"/>
      </w:pPr>
      <w:r w:rsidRPr="00133197">
        <w:lastRenderedPageBreak/>
        <w:t>The expansion of this research could also involve the use of more advanced machine learning techniques, such as reinforcement learning, which could allow the model to dynamically adjust predictions and improve over time as new data is collected. This approach would enable the system to learn from each new instance of vaccine administration, progressively refining its accuracy and efficiency [29].</w:t>
      </w:r>
    </w:p>
    <w:p w14:paraId="041B89AF" w14:textId="77777777" w:rsidR="00133197" w:rsidRPr="00133197" w:rsidRDefault="00133197" w:rsidP="00133197">
      <w:pPr>
        <w:pStyle w:val="NormalWeb"/>
        <w:numPr>
          <w:ilvl w:val="0"/>
          <w:numId w:val="3"/>
        </w:numPr>
        <w:spacing w:line="360" w:lineRule="auto"/>
        <w:jc w:val="both"/>
        <w:rPr>
          <w:b/>
          <w:bCs/>
        </w:rPr>
      </w:pPr>
      <w:r w:rsidRPr="00133197">
        <w:rPr>
          <w:b/>
          <w:bCs/>
        </w:rPr>
        <w:t>Ethical and Privacy Considerations</w:t>
      </w:r>
    </w:p>
    <w:p w14:paraId="2F7DC17D" w14:textId="77777777" w:rsidR="00133197" w:rsidRPr="00133197" w:rsidRDefault="00133197" w:rsidP="00133197">
      <w:pPr>
        <w:pStyle w:val="NormalWeb"/>
        <w:spacing w:line="360" w:lineRule="auto"/>
        <w:jc w:val="both"/>
      </w:pPr>
      <w:r w:rsidRPr="00133197">
        <w:t>AI-driven prediction models for vaccine safety are powerful tools, but they raise important ethical and privacy considerations that must be addressed to ensure their widespread adoption and acceptance. One of the primary concerns is the use of patient data in training and validating AI models. Protecting patient confidentiality while maintaining the integrity of the dataset is paramount. While the data used in this study was anonymized, future implementations must comply with strict regulations such as GDPR and HIPAA to safeguard personal information [30].</w:t>
      </w:r>
    </w:p>
    <w:p w14:paraId="067493C2" w14:textId="77777777" w:rsidR="00133197" w:rsidRPr="00133197" w:rsidRDefault="00133197" w:rsidP="00133197">
      <w:pPr>
        <w:pStyle w:val="NormalWeb"/>
        <w:spacing w:line="360" w:lineRule="auto"/>
        <w:jc w:val="both"/>
      </w:pPr>
      <w:r w:rsidRPr="00133197">
        <w:t>In particular, consent management is a crucial aspect of maintaining ethical standards. While blockchain technology could be used to ensure that patient consent for data usage is immutable and auditable, challenges remain in ensuring that patients fully understand the implications of consenting to the use of their data for AI-based predictions. Informed consent processes must evolve to accommodate the complexity of AI-driven decision-making, allowing patients to control how their data is used while ensuring transparency [31].</w:t>
      </w:r>
    </w:p>
    <w:p w14:paraId="4155278F" w14:textId="77777777" w:rsidR="00133197" w:rsidRPr="00133197" w:rsidRDefault="00133197" w:rsidP="00133197">
      <w:pPr>
        <w:pStyle w:val="NormalWeb"/>
        <w:spacing w:line="360" w:lineRule="auto"/>
        <w:jc w:val="both"/>
      </w:pPr>
      <w:r w:rsidRPr="00133197">
        <w:t>Moreover, AI algorithms can unintentionally reinforce existing biases if the data used to train them is not representative of diverse populations. For example, underrepresentation of certain demographic groups, such as ethnic minorities or individuals from lower socioeconomic backgrounds, can lead to inaccurate or discriminatory predictions. Future research should prioritize fairness and inclusivity in model training, ensuring that AI systems are designed to provide equitable outcomes across all populations [32].</w:t>
      </w:r>
    </w:p>
    <w:p w14:paraId="7ADB679F" w14:textId="77777777" w:rsidR="00133197" w:rsidRPr="00133197" w:rsidRDefault="00133197" w:rsidP="00133197">
      <w:pPr>
        <w:pStyle w:val="NormalWeb"/>
        <w:numPr>
          <w:ilvl w:val="0"/>
          <w:numId w:val="4"/>
        </w:numPr>
        <w:spacing w:line="360" w:lineRule="auto"/>
        <w:jc w:val="both"/>
        <w:rPr>
          <w:b/>
          <w:bCs/>
        </w:rPr>
      </w:pPr>
      <w:r w:rsidRPr="00133197">
        <w:rPr>
          <w:b/>
          <w:bCs/>
        </w:rPr>
        <w:t>Integration with Public Health Systems</w:t>
      </w:r>
    </w:p>
    <w:p w14:paraId="4E233453" w14:textId="77777777" w:rsidR="00133197" w:rsidRPr="00133197" w:rsidRDefault="00133197" w:rsidP="00133197">
      <w:pPr>
        <w:pStyle w:val="NormalWeb"/>
        <w:spacing w:line="360" w:lineRule="auto"/>
        <w:jc w:val="both"/>
      </w:pPr>
      <w:r w:rsidRPr="00133197">
        <w:t xml:space="preserve">For AI models to be fully effective, they must be integrated into existing public health frameworks. This involves collaborating with health authorities and ensuring that AI-driven decision-making is compatible with national and international vaccine safety monitoring </w:t>
      </w:r>
      <w:r w:rsidRPr="00133197">
        <w:lastRenderedPageBreak/>
        <w:t>protocols. Building relationships between AI researchers, public health officials, and regulatory bodies is essential for ensuring that AI models are deployed in ways that are both effective and compliant with regulatory standards [33].</w:t>
      </w:r>
    </w:p>
    <w:p w14:paraId="379B2DD8" w14:textId="77777777" w:rsidR="00133197" w:rsidRPr="00133197" w:rsidRDefault="00133197" w:rsidP="00133197">
      <w:pPr>
        <w:pStyle w:val="NormalWeb"/>
        <w:spacing w:line="360" w:lineRule="auto"/>
        <w:jc w:val="both"/>
      </w:pPr>
      <w:r w:rsidRPr="00133197">
        <w:t>Integration into existing systems would also involve the development of user-friendly interfaces for healthcare providers, allowing clinicians to interact with AI systems in real time. These interfaces should provide clear, actionable insights based on predictions, enabling healthcare professionals to make informed decisions quickly. Additionally, patient-facing tools such as mobile apps could be developed to provide individuals with personalized alerts and guidance, helping them manage their health following vaccination [34].</w:t>
      </w:r>
    </w:p>
    <w:p w14:paraId="573A7B34" w14:textId="77777777" w:rsidR="00133197" w:rsidRPr="00133197" w:rsidRDefault="00133197" w:rsidP="00133197">
      <w:pPr>
        <w:pStyle w:val="NormalWeb"/>
        <w:numPr>
          <w:ilvl w:val="0"/>
          <w:numId w:val="5"/>
        </w:numPr>
        <w:spacing w:line="360" w:lineRule="auto"/>
        <w:jc w:val="both"/>
        <w:rPr>
          <w:b/>
          <w:bCs/>
        </w:rPr>
      </w:pPr>
      <w:r w:rsidRPr="00133197">
        <w:rPr>
          <w:b/>
          <w:bCs/>
        </w:rPr>
        <w:t>Addressing Data Limitations</w:t>
      </w:r>
    </w:p>
    <w:p w14:paraId="79955B85" w14:textId="77777777" w:rsidR="00133197" w:rsidRPr="00133197" w:rsidRDefault="00133197" w:rsidP="00133197">
      <w:pPr>
        <w:pStyle w:val="NormalWeb"/>
        <w:spacing w:line="360" w:lineRule="auto"/>
        <w:jc w:val="both"/>
      </w:pPr>
      <w:r w:rsidRPr="00133197">
        <w:t>While the study makes significant strides in demonstrating the effectiveness of AI in predicting vaccine-related adverse events, the quality and completeness of the data used for model training is a limitation that must be acknowledged. Data inconsistencies and missing values, particularly in less digitized healthcare settings, can undermine model performance. Future efforts must focus on improving data collection mechanisms, standardizing data formats, and ensuring that healthcare facilities have the infrastructure to collect accurate and comprehensive data in real time [35].</w:t>
      </w:r>
    </w:p>
    <w:p w14:paraId="71E4F127" w14:textId="77777777" w:rsidR="00133197" w:rsidRPr="00133197" w:rsidRDefault="00133197" w:rsidP="00133197">
      <w:pPr>
        <w:pStyle w:val="NormalWeb"/>
        <w:spacing w:line="360" w:lineRule="auto"/>
        <w:jc w:val="both"/>
      </w:pPr>
      <w:r w:rsidRPr="00133197">
        <w:t>Additionally, the accuracy of AI predictions could be enhanced by increasing the diversity of data sources used in model training. Data from a wider variety of healthcare settings, including rural areas and underdeveloped regions, would provide a more representative sample of the global population. This would help mitigate the risk of the model being biased toward certain demographic groups and improve its generalizability across different healthcare environments [36].</w:t>
      </w:r>
    </w:p>
    <w:p w14:paraId="77045E79" w14:textId="77777777" w:rsidR="00133197" w:rsidRPr="00133197" w:rsidRDefault="00133197" w:rsidP="00133197">
      <w:pPr>
        <w:pStyle w:val="NormalWeb"/>
        <w:numPr>
          <w:ilvl w:val="0"/>
          <w:numId w:val="6"/>
        </w:numPr>
        <w:spacing w:line="360" w:lineRule="auto"/>
        <w:jc w:val="both"/>
        <w:rPr>
          <w:b/>
          <w:bCs/>
        </w:rPr>
      </w:pPr>
      <w:r w:rsidRPr="00133197">
        <w:rPr>
          <w:b/>
          <w:bCs/>
        </w:rPr>
        <w:t>Conclusion</w:t>
      </w:r>
    </w:p>
    <w:p w14:paraId="7DA94B27" w14:textId="77777777" w:rsidR="00133197" w:rsidRPr="00133197" w:rsidRDefault="00133197" w:rsidP="00133197">
      <w:pPr>
        <w:pStyle w:val="NormalWeb"/>
        <w:spacing w:line="360" w:lineRule="auto"/>
        <w:jc w:val="both"/>
      </w:pPr>
      <w:r w:rsidRPr="00133197">
        <w:t xml:space="preserve">In conclusion, the integration of AI in predicting vaccine safety represents a significant advancement in public health technology. By leveraging the power of machine learning and combining it with existing health data, AI has the potential to not only predict adverse reactions but also improve patient outcomes by providing personalized recommendations for care. The success of this research demonstrates the feasibility of using AI in real-time vaccine safety </w:t>
      </w:r>
      <w:r w:rsidRPr="00133197">
        <w:lastRenderedPageBreak/>
        <w:t>monitoring and opens the door for further innovations in public health and vaccine management [37].</w:t>
      </w:r>
    </w:p>
    <w:p w14:paraId="62B51977" w14:textId="77777777" w:rsidR="00133197" w:rsidRPr="00133197" w:rsidRDefault="00133197" w:rsidP="00133197">
      <w:pPr>
        <w:pStyle w:val="NormalWeb"/>
        <w:spacing w:line="360" w:lineRule="auto"/>
        <w:jc w:val="both"/>
      </w:pPr>
      <w:r w:rsidRPr="00133197">
        <w:t>However, as discussed, challenges remain in terms of data quality, model generalization, ethical considerations, and regulatory compliance. Addressing these challenges will be key to ensuring that AI technologies are deployed responsibly and effectively. By continuing to improve the transparency, fairness, and adaptability of AI systems, we can ensure that they serve as valuable tools in safeguarding global vaccine programs and improving public health outcomes [38-40].</w:t>
      </w:r>
    </w:p>
    <w:p w14:paraId="589EE5A3" w14:textId="77777777" w:rsidR="00133197" w:rsidRPr="00133197" w:rsidRDefault="00133197" w:rsidP="00133197">
      <w:pPr>
        <w:pStyle w:val="NormalWeb"/>
        <w:spacing w:line="360" w:lineRule="auto"/>
        <w:jc w:val="both"/>
      </w:pPr>
      <w:r w:rsidRPr="00133197">
        <w:t>The future of vaccine safety monitoring is poised to be transformed by the continued evolution of AI technologies, and this research provides a foundational framework for developing intelligent, responsive, and scalable systems that can meet the needs of both healthcare providers and the global population at large [41-43]. As the technology matures, its integration into healthcare systems will likely expand, providing even greater opportunities to enhance the safety, efficiency, and effectiveness of vaccination programs worldwide [44, 45].</w:t>
      </w:r>
    </w:p>
    <w:p w14:paraId="7D5C6D2F" w14:textId="11154A93" w:rsidR="00FE373B" w:rsidRPr="00FE373B" w:rsidRDefault="00FE373B" w:rsidP="00FE373B">
      <w:pPr>
        <w:pStyle w:val="NormalWeb"/>
        <w:spacing w:line="360" w:lineRule="auto"/>
        <w:jc w:val="both"/>
      </w:pPr>
      <w:r w:rsidRPr="00FE373B">
        <w:t>AI models for predicting post-vaccine reactions represent a vital advancement in the realm of personalized and preventive healthcare. By harnessing structured and unstructured clinical data, these models offer timely and accurate risk assessments that enable proactive clinical interventions</w:t>
      </w:r>
      <w:r w:rsidR="00133197">
        <w:t>[46]</w:t>
      </w:r>
      <w:r w:rsidRPr="00FE373B">
        <w:t>. The integration of advanced machine learning algorithms, including deep learning and NLP, has significantly enhanced the predictive capability and adaptability of these systems</w:t>
      </w:r>
      <w:r w:rsidR="00706F19">
        <w:t>.</w:t>
      </w:r>
    </w:p>
    <w:p w14:paraId="5DD5A819" w14:textId="05CCEA1E" w:rsidR="00FE373B" w:rsidRPr="00FE373B" w:rsidRDefault="00FE373B" w:rsidP="00FE373B">
      <w:pPr>
        <w:pStyle w:val="NormalWeb"/>
        <w:spacing w:line="360" w:lineRule="auto"/>
        <w:jc w:val="both"/>
      </w:pPr>
      <w:r w:rsidRPr="00FE373B">
        <w:t>This research successfully demonstrates that AI can go beyond traditional pharmacovigilance methods by providing personalized insights and supporting real-time monitoring. The hybrid architecture employed in this study proved effective in handling complex datasets, including temporal health trends and diverse patient characteristics</w:t>
      </w:r>
      <w:r w:rsidR="00133197">
        <w:t xml:space="preserve"> [47]</w:t>
      </w:r>
      <w:r w:rsidR="00706F19">
        <w:t>.</w:t>
      </w:r>
    </w:p>
    <w:p w14:paraId="689EA304" w14:textId="0BC08475" w:rsidR="00FE373B" w:rsidRPr="00FE373B" w:rsidRDefault="00FE373B" w:rsidP="00FE373B">
      <w:pPr>
        <w:pStyle w:val="NormalWeb"/>
        <w:spacing w:line="360" w:lineRule="auto"/>
        <w:jc w:val="both"/>
      </w:pPr>
      <w:r w:rsidRPr="00FE373B">
        <w:t>Future work will explore the inclusion of genomic data, wearable device inputs, and integration with mobile health applications to further improve prediction accuracy and accessibility. Ethical considerations will remain central, particularly in maintaining transparency, data privacy, and bias mitigation</w:t>
      </w:r>
      <w:r w:rsidR="00133197">
        <w:t xml:space="preserve"> [48]</w:t>
      </w:r>
      <w:r w:rsidR="00706F19">
        <w:t>.</w:t>
      </w:r>
    </w:p>
    <w:p w14:paraId="28E0CBC9" w14:textId="64294FCC" w:rsidR="00FE373B" w:rsidRPr="00FE373B" w:rsidRDefault="00FE373B" w:rsidP="00FE373B">
      <w:pPr>
        <w:pStyle w:val="NormalWeb"/>
        <w:spacing w:line="360" w:lineRule="auto"/>
        <w:jc w:val="both"/>
      </w:pPr>
      <w:r w:rsidRPr="00FE373B">
        <w:lastRenderedPageBreak/>
        <w:t>As AI continues to permeate healthcare, its role in ensuring vaccine safety will become increasingly indispensable. By equipping health systems with intelligent tools for risk prediction, we can ensure not only improved outcomes for individuals but also greater public trust in vaccination programs and healthcare technologies as a whole</w:t>
      </w:r>
      <w:r w:rsidR="00706F19">
        <w:t>.</w:t>
      </w:r>
    </w:p>
    <w:p w14:paraId="7E7A6B21" w14:textId="77777777" w:rsidR="00706F19" w:rsidRDefault="00706F19">
      <w:pPr>
        <w:rPr>
          <w:rFonts w:ascii="Times New Roman" w:eastAsia="Times New Roman" w:hAnsi="Times New Roman" w:cs="Times New Roman"/>
          <w:b/>
          <w:bCs/>
          <w:color w:val="09090B"/>
          <w:kern w:val="0"/>
          <w:lang w:eastAsia="en-IN"/>
          <w14:ligatures w14:val="none"/>
        </w:rPr>
      </w:pPr>
      <w:r>
        <w:rPr>
          <w:rFonts w:ascii="Times New Roman" w:eastAsia="Times New Roman" w:hAnsi="Times New Roman" w:cs="Times New Roman"/>
          <w:b/>
          <w:bCs/>
          <w:color w:val="09090B"/>
          <w:kern w:val="0"/>
          <w:lang w:eastAsia="en-IN"/>
          <w14:ligatures w14:val="none"/>
        </w:rPr>
        <w:br w:type="page"/>
      </w:r>
    </w:p>
    <w:p w14:paraId="4898D364" w14:textId="33EBF749" w:rsidR="00FE373B" w:rsidRPr="00FE373B" w:rsidRDefault="00FE373B" w:rsidP="00FE373B">
      <w:pPr>
        <w:spacing w:before="100" w:beforeAutospacing="1" w:after="100" w:afterAutospacing="1" w:line="360" w:lineRule="auto"/>
        <w:jc w:val="both"/>
        <w:outlineLvl w:val="2"/>
        <w:rPr>
          <w:rFonts w:ascii="Times New Roman" w:eastAsia="Times New Roman" w:hAnsi="Times New Roman" w:cs="Times New Roman"/>
          <w:b/>
          <w:bCs/>
          <w:color w:val="09090B"/>
          <w:kern w:val="0"/>
          <w:lang w:eastAsia="en-IN"/>
          <w14:ligatures w14:val="none"/>
        </w:rPr>
      </w:pPr>
      <w:r w:rsidRPr="00FE373B">
        <w:rPr>
          <w:rFonts w:ascii="Times New Roman" w:eastAsia="Times New Roman" w:hAnsi="Times New Roman" w:cs="Times New Roman"/>
          <w:b/>
          <w:bCs/>
          <w:color w:val="09090B"/>
          <w:kern w:val="0"/>
          <w:lang w:eastAsia="en-IN"/>
          <w14:ligatures w14:val="none"/>
        </w:rPr>
        <w:lastRenderedPageBreak/>
        <w:t>References</w:t>
      </w:r>
    </w:p>
    <w:p w14:paraId="5933EFB6" w14:textId="77777777" w:rsidR="00FE373B" w:rsidRPr="00FE373B" w:rsidRDefault="00FE373B" w:rsidP="00FE373B">
      <w:pPr>
        <w:numPr>
          <w:ilvl w:val="0"/>
          <w:numId w:val="1"/>
        </w:numPr>
        <w:spacing w:before="100" w:beforeAutospacing="1" w:after="100" w:afterAutospacing="1"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Almaleh, A., Almushabb, R., &amp; Ogran, R. (2023). Malware API Calls Detection Using Hybrid Logistic Regression and RNN Model. Applied Sciences, 13(9), 5439. https://doi.org/10.3390/app13095439</w:t>
      </w:r>
    </w:p>
    <w:p w14:paraId="387FFC79"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Boccolini, P. de M. M., Boccolini, C. S., Relvas-Brandt, L. de A., &amp; Alves, R. F. S. (2023). Dataset on child vaccination in Brazil from 1996 to 2021. Scientific Data, 10(1). https://doi.org/10.1038/s41597-023-01939-0</w:t>
      </w:r>
    </w:p>
    <w:p w14:paraId="21058241"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Chandler, R. E. (2020). Optimizing safety surveillance for COVID-19 vaccines [Review of Optimizing safety surveillance for COVID-19 vaccines]. Nature Reviews. Immunology, 20(8), 451. Nature Portfolio. https://doi.org/10.1038/s41577-020-0372-8</w:t>
      </w:r>
    </w:p>
    <w:p w14:paraId="6B62B859"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Cheon, S., Methiyothin, T., &amp; Ahn, I. (2023). Analysis of COVID-19 vaccine adverse event using language model and unsupervised machine learning. PLoS ONE, 18(2). https://doi.org/10.1371/journal.pone.0282119</w:t>
      </w:r>
    </w:p>
    <w:p w14:paraId="45472C23"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Choi, E., Bahadori, M. T., Schuetz, A., Stewart, W. F., &amp; Sun, J. (2015). Doctor AI: Predicting Clinical Events via Recurrent Neural Networks. arXiv (Cornell University). https://doi.org/10.48550/arXiv.1511.</w:t>
      </w:r>
    </w:p>
    <w:p w14:paraId="567513A7"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Choi, I., Chung, A. W., Suscovich, T. J., Rerks‐Ngarm, S., Pitisuttithum, P., Nitayaphan, S., Kaewkungwal, J., O’Connell, R. J., Francis, D. P., Robb, M. L., Michael, N. L., Kim, J. H., Alter, G., Ackerman, M. E., &amp; Bailey‐Kellogg, C. (2015). Machine Learning Methods Enable Predictive Modeling of Antibody Feature:Function Relationships in RV144 Vaccinees. PLoS Computational Biology, 11(4). https://doi.org/10.1371/journal.pcbi.1004185</w:t>
      </w:r>
    </w:p>
    <w:p w14:paraId="647FDECF"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Corbin, C. K., Maclay, R., Acharya, A., Mony, S., Punnathanam, S., Thapa, R., Kotecha, N., Shah, N. H., &amp; Chen, J. H. (2023). DEPLOYR: A technical framework for deploying custom real-time machine learning models into the electronic medical record. arXiv (Cornell University). https://doi.org/10.48550/arXiv.2303.</w:t>
      </w:r>
    </w:p>
    <w:p w14:paraId="18938FAE"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Farghaly, H. M., Gomaa, M. M., Elgeldawi, E., Askr, H., Elshaier, Y. A. M. M., Aboul-Ella, H., Darwish, A., &amp; Hassanien, A. E. (2023). A deep learning predictive model for public health concerns and hesitancy toward the COVID-19 vaccines. Scientific Reports, 13(1). https://doi.org/10.1038/s41598-023-36319-6</w:t>
      </w:r>
    </w:p>
    <w:p w14:paraId="6FFBCFF0"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lastRenderedPageBreak/>
        <w:t>Gill, N., Hall, P., Montgomery, K., &amp; Schmidt, N. (2020). A Responsible Machine Learning Workflow with Focus on Interpretable Models, Post-hoc Explanation, and Discrimination Testing. Information, 11(3), 137. https://doi.org/10.3390/info11030137</w:t>
      </w:r>
    </w:p>
    <w:p w14:paraId="2A652034"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Giordano, C., Brennan, M., Mohamed, B., Rashidi, P., Modave, F., &amp; Tighe, P. J. (2021). Accessing Artificial Intelligence for Clinical Decision-Making [Review of Accessing Artificial Intelligence for Clinical Decision-Making]. Frontiers in Digital Health, 3. Frontiers Media. https://doi.org/10.3389/fdgth.2021.645232</w:t>
      </w:r>
    </w:p>
    <w:p w14:paraId="049121AB"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Guo, M., Nguyen, L., Du, H., &amp; Jin, F. (2022). When Patients Recover From COVID-19: Data-Driven Insights From Wearable Technologies. Frontiers in Big Data, 5. https://doi.org/10.3389/fdata.2022.801998</w:t>
      </w:r>
    </w:p>
    <w:p w14:paraId="4EC54821"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Gupta, R. K., Marks, M., Samuels, T. H. A., Luintel, A., Rampling, T., Chowdhury, H., Quartagno, M., Nair, A., Lipman, M., Abubakar, I., Smeden, M. van, Wong, W. K., Williams, B., &amp; Noursadeghi, M. (2020). Systematic evaluation and external validation of 22 prognostic models among hospitalised adults with COVID-19: an observational cohort study. European Respiratory Journal, 56(6), 2003498. https://doi.org/10.1183/13993003.03498-2020</w:t>
      </w:r>
    </w:p>
    <w:p w14:paraId="016CFDDF"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Kaur, N., Hughes, J., &amp; Chen, J. (2022). VaxEquity: A Data-Driven Risk Assessment and Optimization Framework for Equitable Vaccine Distribution. 25. https://doi.org/10.1109/ciss53076.2022.9751173</w:t>
      </w:r>
    </w:p>
    <w:p w14:paraId="4D540C5B"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Latiff, A. H. A., Husain, S., Abdullah, B., Suppiah, P., Tan, V. Y. F., Ping, T. I., Woo, K., Yap, Y., Bachert, C., Schünemann, H. J., Bedbrook, A., Zar, H. J., &amp; Bousquet, J. (2023). ARIA Care Pathways 2019: Next-Generation Allergic Rhinitis Care and Allergen Immunotherapy in Malaysia [Review of ARIA Care Pathways 2019: Next-Generation Allergic Rhinitis Care and Allergen Immunotherapy in Malaysia]. Journal of Personalized Medicine, 13(5), 835. Multidisciplinary Digital Publishing Institute. https://doi.org/10.3390/jpm13050835</w:t>
      </w:r>
    </w:p>
    <w:p w14:paraId="2C6AEFAE"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Lipton, Z. C., Kale, D. C., Elkan, C., &amp; Wetzell, R. (2015). Learning to Diagnose with LSTM Recurrent Neural Networks. arXiv (Cornell University). https://doi.org/10.48550/arxiv.1511.03677</w:t>
      </w:r>
    </w:p>
    <w:p w14:paraId="1D79A561"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lastRenderedPageBreak/>
        <w:t>Mittermaier, M., Raza, M., &amp; Kvedar, J. C. (2023). Collaborative strategies for deploying AI-based physician decision support systems: challenges and deployment approaches. Npj Digital Medicine, 6(1). https://doi.org/10.1038/s41746-023-00889-6</w:t>
      </w:r>
    </w:p>
    <w:p w14:paraId="5ECA326F"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Ojha, V., Jackowski, K., Abraham, A., &amp; Snåšel, V. (2015). Dimensionality reduction, and function approximation of poly(lactic-co-glycolic acid) micro- and nanoparticle dissolution rate. International Journal of Nanomedicine, 1119. https://doi.org/10.2147/ijn.s71847</w:t>
      </w:r>
    </w:p>
    <w:p w14:paraId="0DFDAF02"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Olawade, D. B., Teke, J., Fapohunda, O., Weerasinghe, K., Usman, S. O., Ige, A. O., &amp; David-Olawade, A. C. (2024). Leveraging artificial intelligence in vaccine development: A narrative review [Review of Leveraging artificial intelligence in vaccine development: A narrative review]. Journal of Microbiological Methods, 224, 106998. Elsevier BV. https://doi.org/10.1016/j.mimet.2024.106998</w:t>
      </w:r>
    </w:p>
    <w:p w14:paraId="582F9BAB"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Rajkomar, A., Oren, E., Chen, K., Dai, A. M., Hajaj, N., Hardt, M., Liu, P. J., Liu, X., Marcus, J., Sun, M., Sundberg, P., Yee, H., Zhang, K., Zhang, Y., Flores, G., Duggan, G. E., Irvine, J., Le, Q. V., Litsch, K., … Dean, J. B. (2018). Scalable and accurate deep learning with electronic health records. Npj Digital Medicine, 1(1). https://doi.org/10.1038/s41746-018-0029-1</w:t>
      </w:r>
    </w:p>
    <w:p w14:paraId="3573D4F3"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Ravindranath, R., Stein, J. D., Hernandez‐Boussard, T., Fisher, A., Wang, S. Y., Amin, S., Edwards, P. A., Srikumaran, D., Woreta, F. A., Schultz, J. S., Shrivastava, A., Ahmad, B., Bryar, P. J., French, D. D., VanderBeek, B. L., Pershing, S., Lynch, A. M., Patnaik, J. L., Munir, S., … Ramachandran, R. (2024). The Impact of Race, Ethnicity, and Sex on Fairness in Artificial Intelligence for Glaucoma Prediction Models. Ophthalmology Science, 5(1), 100596. https://doi.org/10.1016/j.xops.2024.100596</w:t>
      </w:r>
    </w:p>
    <w:p w14:paraId="37BD4259"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Romero‐Brufau, S., Whitford, D., Johnson, M. G., Hickman, J., Morlan, B. W., Therneau, T. M., Naessens, J. M., &amp; Huddleston, J. M. (2021). Using machine learning to improve the accuracy of patient deterioration predictions: Mayo Clinic Early Warning Score (MC-EWS). Journal of the American Medical Informatics Association, 28(6), 1207. https://doi.org/10.1093/jamia/ocaa347</w:t>
      </w:r>
    </w:p>
    <w:p w14:paraId="72A72287"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 xml:space="preserve">Walsh, C. G., Sharman, K., &amp; Hripcsak, G. (2017). Beyond discrimination: A comparison of calibration methods and clinical usefulness of predictive models of </w:t>
      </w:r>
      <w:r w:rsidRPr="00FE373B">
        <w:rPr>
          <w:rFonts w:ascii="Times New Roman" w:eastAsia="Times New Roman" w:hAnsi="Times New Roman" w:cs="Times New Roman"/>
          <w:color w:val="09090B"/>
          <w:kern w:val="0"/>
          <w:lang w:eastAsia="en-IN"/>
          <w14:ligatures w14:val="none"/>
        </w:rPr>
        <w:lastRenderedPageBreak/>
        <w:t>readmission risk. Journal of Biomedical Informatics, 76, 9. https://doi.org/10.1016/j.jbi.2017.10.008</w:t>
      </w:r>
    </w:p>
    <w:p w14:paraId="10E478DA" w14:textId="77777777" w:rsidR="00FE373B" w:rsidRPr="00FE373B"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Wedlund, L., &amp; Kvedar, J. C. (2021). New machine learning model predicts who may benefit most from COVID-19 vaccination. Npj Digital Medicine, 4(1). https://doi.org/10.1038/s41746-021-00425-4</w:t>
      </w:r>
    </w:p>
    <w:p w14:paraId="27FCF493" w14:textId="418FC6D4" w:rsidR="00FE373B" w:rsidRPr="00133197" w:rsidRDefault="00FE373B" w:rsidP="00FE373B">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FE373B">
        <w:rPr>
          <w:rFonts w:ascii="Times New Roman" w:eastAsia="Times New Roman" w:hAnsi="Times New Roman" w:cs="Times New Roman"/>
          <w:color w:val="09090B"/>
          <w:kern w:val="0"/>
          <w:lang w:eastAsia="en-IN"/>
          <w14:ligatures w14:val="none"/>
        </w:rPr>
        <w:t xml:space="preserve">Zhang, Y., &amp; Wallace, B. (2015). A Sensitivity Analysis of (and Practitioners’ Guide to) Convolutional Neural Networks for Sentence Classification. arXiv (Cornell University). </w:t>
      </w:r>
      <w:hyperlink r:id="rId5" w:history="1">
        <w:r w:rsidR="00133197" w:rsidRPr="00144AEE">
          <w:rPr>
            <w:rStyle w:val="Hyperlink"/>
            <w:rFonts w:ascii="Times New Roman" w:eastAsia="Times New Roman" w:hAnsi="Times New Roman" w:cs="Times New Roman"/>
            <w:kern w:val="0"/>
            <w:lang w:eastAsia="en-IN"/>
            <w14:ligatures w14:val="none"/>
          </w:rPr>
          <w:t>https://doi.org/10.48550/arXiv.1510</w:t>
        </w:r>
      </w:hyperlink>
      <w:r w:rsidRPr="00FE373B">
        <w:rPr>
          <w:rFonts w:ascii="Times New Roman" w:eastAsia="Times New Roman" w:hAnsi="Times New Roman" w:cs="Times New Roman"/>
          <w:color w:val="09090B"/>
          <w:kern w:val="0"/>
          <w:lang w:eastAsia="en-IN"/>
          <w14:ligatures w14:val="none"/>
        </w:rPr>
        <w:t>.</w:t>
      </w:r>
    </w:p>
    <w:p w14:paraId="667FF169" w14:textId="51AA244D"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Davuluri, M. (2020). AI-Driven Drug Discovery: Accelerating the Path to New Treatments. International Journal of Machine Learning and Artificial Intelligence, 1(1).</w:t>
      </w:r>
    </w:p>
    <w:p w14:paraId="72F3F99E" w14:textId="72DEE583"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Yarlagadda, V. S. T. (2019). AI for Remote Patient Monitoring: Improving Chronic Disease Management and Preventive Care. International Transactions in Artificial Intelligence, 3(3).</w:t>
      </w:r>
    </w:p>
    <w:p w14:paraId="10D01C63" w14:textId="4DF3480D"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Kolla, V. R. K. (2020). India’s Experience with ICT in the Health Sector. Transactions on Latest Trends in Health Sector, 12, 12.</w:t>
      </w:r>
    </w:p>
    <w:p w14:paraId="48440DAD" w14:textId="4DEC1692"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Deekshith, A. (2019). Integrating AI and Data Engineering: Building Robust Pipelines for Real-Time Data Analytics. International Journal of Sustainable Development in Computing Science, 1(3), 1-35.</w:t>
      </w:r>
    </w:p>
    <w:p w14:paraId="69999E3C" w14:textId="28EAE945"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Yarlagadda, V. S. T. (2024). Machine Learning for Predicting Mental Health Disorders: A Data-Driven Approach to Early Intervention. International Journal of Sustainable Development in Computing Science, 6(4).</w:t>
      </w:r>
    </w:p>
    <w:p w14:paraId="67974CFC" w14:textId="5A698157"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Kolla, V. R. K. (2016). Forecasting Laptop Prices: A Comparative Study of Machine Learning Algorithms for Predictive Modeling. International Journal of Information Technology &amp; Management Information System.</w:t>
      </w:r>
    </w:p>
    <w:p w14:paraId="4067F1F6" w14:textId="0B66F3C7"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Davuluri, M. (2022). Comparative Study of Machine Learning Algorithms in Predicting Diabetes Onset Using Electronic Health Records. Research-gate journal, 8(8).</w:t>
      </w:r>
    </w:p>
    <w:p w14:paraId="78311572" w14:textId="3C3E55A2"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lastRenderedPageBreak/>
        <w:t>Alladi, D. (2021). AI for Rare Disease Diagnosis: Overcoming Challenges in Healthcare Inequity. International Machine learning journal and Computer Engineering, 4(4).</w:t>
      </w:r>
    </w:p>
    <w:p w14:paraId="2E74C89A" w14:textId="09443A87"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Deekshith, A. (2021). AI-Driven Sentiment Analysis for Enhancing Customer Experience in E-Commerce. International Journal of Machine Learning for Sustainable Development, 3(2).</w:t>
      </w:r>
    </w:p>
    <w:p w14:paraId="31836273" w14:textId="3748568E"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Davuluri, M. (2023). AI in Surgical Assistance: Enhancing Precision and Outcomes. International Machine learning journal and Computer Engineering, 6(6).</w:t>
      </w:r>
    </w:p>
    <w:p w14:paraId="66BE1415" w14:textId="4DCC9526"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Kolla, V. R. K. (2023). The Future of IT: Harnessing the Power of Artificial Intelligence. International Journal of Sustainable Development in Computing Science, 5(1).</w:t>
      </w:r>
    </w:p>
    <w:p w14:paraId="3D2BB45C" w14:textId="583279DB"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Yarlagadda, V. (2017). AI in Precision Oncology: Enhancing Cancer Treatment Through Predictive Modeling and Data Integration. Transactions on Latest Trends in Health Sector, 9(9).</w:t>
      </w:r>
    </w:p>
    <w:p w14:paraId="7DDFD5E1" w14:textId="774B7C48"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Deekshith, A. (2023). AI-Driven Predictive Analytics for Energy Consumption Optimization in Smart Grids. Transactions on Recent Developments in Health Sectors, 6(6).</w:t>
      </w:r>
    </w:p>
    <w:p w14:paraId="6C49B0BD" w14:textId="2E69CE61"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Kolla, V. R. K. (2021). Cyber security operations centre ML framework for the needs of the users. International Journal of Machine Learning for Sustainable Development, 3(3), 11-20.</w:t>
      </w:r>
    </w:p>
    <w:p w14:paraId="5595A7B9" w14:textId="177BB630"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Alladi, D. (2023). AI-Driven Healthcare Robotics: Enhancing Patient Care and Operational Efficiency. International Machine learning journal and Computer Engineering, 6(6).</w:t>
      </w:r>
    </w:p>
    <w:p w14:paraId="46214744" w14:textId="2DB61CC6"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Davuluri, M. (2021). AI in Personalized Oncology: Revolutionizing Cancer Care. International Machine learning journal and Computer Engineering, 4(4).</w:t>
      </w:r>
    </w:p>
    <w:p w14:paraId="76A7FCC3" w14:textId="1BB5C9AE"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Deekshith, A. (2020). AI-Enhanced Data Science: Techniques for Improved Data Visualization and Interpretation. International Journal of Creative Research In Computer Technology and Design, 2(2).</w:t>
      </w:r>
    </w:p>
    <w:p w14:paraId="7061AD9A" w14:textId="35BCB65D"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lastRenderedPageBreak/>
        <w:t>Alladi, D. (2019). AI in Radiology: Enhancing Diagnostic Accuracy and Efficiency. International Numeric Journal of Machine Learning and Robots, 3(3).</w:t>
      </w:r>
    </w:p>
    <w:p w14:paraId="3AAFE93F" w14:textId="3D2801FD"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Kolla, V. (2022). Machine Learning Application to automate and forecast human behaviours. International Journal of Machine Learning for Sustainable Development, 4(1), 1-10.</w:t>
      </w:r>
    </w:p>
    <w:p w14:paraId="08022B0B" w14:textId="7931B48C"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Davuluri, M. (2018). Revolutionizing Healthcare: The Role of AI in Diagnostics, Treatment, and Patient Care Integration. International Transactions in Artificial Intelligence, 2(2).</w:t>
      </w:r>
    </w:p>
    <w:p w14:paraId="0A3A3D68" w14:textId="755FF684"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Alladi, D. (2023). AI in Genomics: Unlocking the Future of Precision Medicine. International Numeric Journal of Machine Learning and Robots, 7(7).</w:t>
      </w:r>
    </w:p>
    <w:p w14:paraId="31F31445" w14:textId="73493321"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Yarlagadda, V. S. T. (2018). AI-Powered Virtual Health Assistants: Transforming Patient Care and Healthcare Delivery. International Journal of Sustainable Development in Computer Science Engineering, 4(4).</w:t>
      </w:r>
    </w:p>
    <w:p w14:paraId="7AB45879" w14:textId="6AFCACD2" w:rsidR="00133197" w:rsidRPr="00133197"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Deekshith, A. (2023). Scalable Machine Learning: Techniques for Managing Data Volume and Velocity in AI Applications. International Scientific Journal for Research, 5(5).</w:t>
      </w:r>
    </w:p>
    <w:p w14:paraId="31939AC4" w14:textId="73B300D5" w:rsidR="00133197" w:rsidRPr="00FE373B" w:rsidRDefault="00133197" w:rsidP="00133197">
      <w:pPr>
        <w:numPr>
          <w:ilvl w:val="0"/>
          <w:numId w:val="1"/>
        </w:numPr>
        <w:spacing w:before="180" w:after="0" w:line="360" w:lineRule="auto"/>
        <w:jc w:val="both"/>
        <w:rPr>
          <w:rFonts w:ascii="Times New Roman" w:eastAsia="Times New Roman" w:hAnsi="Times New Roman" w:cs="Times New Roman"/>
          <w:color w:val="18181B"/>
          <w:kern w:val="0"/>
          <w:lang w:eastAsia="en-IN"/>
          <w14:ligatures w14:val="none"/>
        </w:rPr>
      </w:pPr>
      <w:r w:rsidRPr="00133197">
        <w:rPr>
          <w:rFonts w:ascii="Times New Roman" w:eastAsia="Times New Roman" w:hAnsi="Times New Roman" w:cs="Times New Roman"/>
          <w:color w:val="18181B"/>
          <w:kern w:val="0"/>
          <w:lang w:eastAsia="en-IN"/>
          <w14:ligatures w14:val="none"/>
        </w:rPr>
        <w:t>Kolla, V. (2022). Emojify: A Deep Learning Approach for Custom Emoji Creation and Recognition. International Journal of Creative Research Thoughts, 2021, Available at SSRN: https://ssrn.com/abstract=4413719.</w:t>
      </w:r>
    </w:p>
    <w:p w14:paraId="728B31F0" w14:textId="77777777" w:rsidR="005F3CF1" w:rsidRPr="00FE373B" w:rsidRDefault="005F3CF1" w:rsidP="00FE373B">
      <w:pPr>
        <w:spacing w:line="360" w:lineRule="auto"/>
        <w:jc w:val="both"/>
        <w:rPr>
          <w:rFonts w:ascii="Times New Roman" w:hAnsi="Times New Roman" w:cs="Times New Roman"/>
        </w:rPr>
      </w:pPr>
    </w:p>
    <w:sectPr w:rsidR="005F3CF1" w:rsidRPr="00FE37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F74EF"/>
    <w:multiLevelType w:val="multilevel"/>
    <w:tmpl w:val="7A94E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9180B9B"/>
    <w:multiLevelType w:val="multilevel"/>
    <w:tmpl w:val="C3D07B8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4E35A6"/>
    <w:multiLevelType w:val="multilevel"/>
    <w:tmpl w:val="CAF837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9F5EAF"/>
    <w:multiLevelType w:val="multilevel"/>
    <w:tmpl w:val="77069E2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3D0C61"/>
    <w:multiLevelType w:val="multilevel"/>
    <w:tmpl w:val="4E48A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43F6409"/>
    <w:multiLevelType w:val="multilevel"/>
    <w:tmpl w:val="E306E2A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9504132">
    <w:abstractNumId w:val="4"/>
  </w:num>
  <w:num w:numId="2" w16cid:durableId="1609266857">
    <w:abstractNumId w:val="5"/>
  </w:num>
  <w:num w:numId="3" w16cid:durableId="906035427">
    <w:abstractNumId w:val="0"/>
  </w:num>
  <w:num w:numId="4" w16cid:durableId="443309111">
    <w:abstractNumId w:val="1"/>
  </w:num>
  <w:num w:numId="5" w16cid:durableId="348340924">
    <w:abstractNumId w:val="2"/>
  </w:num>
  <w:num w:numId="6" w16cid:durableId="17863827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CF1"/>
    <w:rsid w:val="00133197"/>
    <w:rsid w:val="00290F97"/>
    <w:rsid w:val="004D5AC7"/>
    <w:rsid w:val="004E288D"/>
    <w:rsid w:val="0052495F"/>
    <w:rsid w:val="005F3CF1"/>
    <w:rsid w:val="006869CC"/>
    <w:rsid w:val="00706F19"/>
    <w:rsid w:val="008271FC"/>
    <w:rsid w:val="00AA5F1A"/>
    <w:rsid w:val="00AF136F"/>
    <w:rsid w:val="00B4353E"/>
    <w:rsid w:val="00B751E4"/>
    <w:rsid w:val="00FE37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0AF2F"/>
  <w15:chartTrackingRefBased/>
  <w15:docId w15:val="{93C207E8-A53B-4C42-9519-1F357DDE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CF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F3CF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F3CF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F3CF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F3CF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F3C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3C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3C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3C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3CF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F3CF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F3CF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F3CF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F3CF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F3C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3C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3C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3CF1"/>
    <w:rPr>
      <w:rFonts w:eastAsiaTheme="majorEastAsia" w:cstheme="majorBidi"/>
      <w:color w:val="272727" w:themeColor="text1" w:themeTint="D8"/>
    </w:rPr>
  </w:style>
  <w:style w:type="paragraph" w:styleId="Title">
    <w:name w:val="Title"/>
    <w:basedOn w:val="Normal"/>
    <w:next w:val="Normal"/>
    <w:link w:val="TitleChar"/>
    <w:uiPriority w:val="10"/>
    <w:qFormat/>
    <w:rsid w:val="005F3C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C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3C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3C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3CF1"/>
    <w:pPr>
      <w:spacing w:before="160"/>
      <w:jc w:val="center"/>
    </w:pPr>
    <w:rPr>
      <w:i/>
      <w:iCs/>
      <w:color w:val="404040" w:themeColor="text1" w:themeTint="BF"/>
    </w:rPr>
  </w:style>
  <w:style w:type="character" w:customStyle="1" w:styleId="QuoteChar">
    <w:name w:val="Quote Char"/>
    <w:basedOn w:val="DefaultParagraphFont"/>
    <w:link w:val="Quote"/>
    <w:uiPriority w:val="29"/>
    <w:rsid w:val="005F3CF1"/>
    <w:rPr>
      <w:i/>
      <w:iCs/>
      <w:color w:val="404040" w:themeColor="text1" w:themeTint="BF"/>
    </w:rPr>
  </w:style>
  <w:style w:type="paragraph" w:styleId="ListParagraph">
    <w:name w:val="List Paragraph"/>
    <w:basedOn w:val="Normal"/>
    <w:uiPriority w:val="34"/>
    <w:qFormat/>
    <w:rsid w:val="005F3CF1"/>
    <w:pPr>
      <w:ind w:left="720"/>
      <w:contextualSpacing/>
    </w:pPr>
  </w:style>
  <w:style w:type="character" w:styleId="IntenseEmphasis">
    <w:name w:val="Intense Emphasis"/>
    <w:basedOn w:val="DefaultParagraphFont"/>
    <w:uiPriority w:val="21"/>
    <w:qFormat/>
    <w:rsid w:val="005F3CF1"/>
    <w:rPr>
      <w:i/>
      <w:iCs/>
      <w:color w:val="2F5496" w:themeColor="accent1" w:themeShade="BF"/>
    </w:rPr>
  </w:style>
  <w:style w:type="paragraph" w:styleId="IntenseQuote">
    <w:name w:val="Intense Quote"/>
    <w:basedOn w:val="Normal"/>
    <w:next w:val="Normal"/>
    <w:link w:val="IntenseQuoteChar"/>
    <w:uiPriority w:val="30"/>
    <w:qFormat/>
    <w:rsid w:val="005F3CF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F3CF1"/>
    <w:rPr>
      <w:i/>
      <w:iCs/>
      <w:color w:val="2F5496" w:themeColor="accent1" w:themeShade="BF"/>
    </w:rPr>
  </w:style>
  <w:style w:type="character" w:styleId="IntenseReference">
    <w:name w:val="Intense Reference"/>
    <w:basedOn w:val="DefaultParagraphFont"/>
    <w:uiPriority w:val="32"/>
    <w:qFormat/>
    <w:rsid w:val="005F3CF1"/>
    <w:rPr>
      <w:b/>
      <w:bCs/>
      <w:smallCaps/>
      <w:color w:val="2F5496" w:themeColor="accent1" w:themeShade="BF"/>
      <w:spacing w:val="5"/>
    </w:rPr>
  </w:style>
  <w:style w:type="paragraph" w:styleId="NormalWeb">
    <w:name w:val="Normal (Web)"/>
    <w:basedOn w:val="Normal"/>
    <w:uiPriority w:val="99"/>
    <w:semiHidden/>
    <w:unhideWhenUsed/>
    <w:rsid w:val="00FE373B"/>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FE373B"/>
    <w:rPr>
      <w:b/>
      <w:bCs/>
    </w:rPr>
  </w:style>
  <w:style w:type="character" w:styleId="Hyperlink">
    <w:name w:val="Hyperlink"/>
    <w:basedOn w:val="DefaultParagraphFont"/>
    <w:uiPriority w:val="99"/>
    <w:unhideWhenUsed/>
    <w:rsid w:val="00133197"/>
    <w:rPr>
      <w:color w:val="0563C1" w:themeColor="hyperlink"/>
      <w:u w:val="single"/>
    </w:rPr>
  </w:style>
  <w:style w:type="character" w:styleId="UnresolvedMention">
    <w:name w:val="Unresolved Mention"/>
    <w:basedOn w:val="DefaultParagraphFont"/>
    <w:uiPriority w:val="99"/>
    <w:semiHidden/>
    <w:unhideWhenUsed/>
    <w:rsid w:val="001331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795853">
      <w:bodyDiv w:val="1"/>
      <w:marLeft w:val="0"/>
      <w:marRight w:val="0"/>
      <w:marTop w:val="0"/>
      <w:marBottom w:val="0"/>
      <w:divBdr>
        <w:top w:val="none" w:sz="0" w:space="0" w:color="auto"/>
        <w:left w:val="none" w:sz="0" w:space="0" w:color="auto"/>
        <w:bottom w:val="none" w:sz="0" w:space="0" w:color="auto"/>
        <w:right w:val="none" w:sz="0" w:space="0" w:color="auto"/>
      </w:divBdr>
    </w:div>
    <w:div w:id="863591830">
      <w:bodyDiv w:val="1"/>
      <w:marLeft w:val="0"/>
      <w:marRight w:val="0"/>
      <w:marTop w:val="0"/>
      <w:marBottom w:val="0"/>
      <w:divBdr>
        <w:top w:val="none" w:sz="0" w:space="0" w:color="auto"/>
        <w:left w:val="none" w:sz="0" w:space="0" w:color="auto"/>
        <w:bottom w:val="none" w:sz="0" w:space="0" w:color="auto"/>
        <w:right w:val="none" w:sz="0" w:space="0" w:color="auto"/>
      </w:divBdr>
    </w:div>
    <w:div w:id="919753012">
      <w:bodyDiv w:val="1"/>
      <w:marLeft w:val="0"/>
      <w:marRight w:val="0"/>
      <w:marTop w:val="0"/>
      <w:marBottom w:val="0"/>
      <w:divBdr>
        <w:top w:val="none" w:sz="0" w:space="0" w:color="auto"/>
        <w:left w:val="none" w:sz="0" w:space="0" w:color="auto"/>
        <w:bottom w:val="none" w:sz="0" w:space="0" w:color="auto"/>
        <w:right w:val="none" w:sz="0" w:space="0" w:color="auto"/>
      </w:divBdr>
    </w:div>
    <w:div w:id="1618025630">
      <w:bodyDiv w:val="1"/>
      <w:marLeft w:val="0"/>
      <w:marRight w:val="0"/>
      <w:marTop w:val="0"/>
      <w:marBottom w:val="0"/>
      <w:divBdr>
        <w:top w:val="none" w:sz="0" w:space="0" w:color="auto"/>
        <w:left w:val="none" w:sz="0" w:space="0" w:color="auto"/>
        <w:bottom w:val="none" w:sz="0" w:space="0" w:color="auto"/>
        <w:right w:val="none" w:sz="0" w:space="0" w:color="auto"/>
      </w:divBdr>
    </w:div>
    <w:div w:id="2033678554">
      <w:bodyDiv w:val="1"/>
      <w:marLeft w:val="0"/>
      <w:marRight w:val="0"/>
      <w:marTop w:val="0"/>
      <w:marBottom w:val="0"/>
      <w:divBdr>
        <w:top w:val="none" w:sz="0" w:space="0" w:color="auto"/>
        <w:left w:val="none" w:sz="0" w:space="0" w:color="auto"/>
        <w:bottom w:val="none" w:sz="0" w:space="0" w:color="auto"/>
        <w:right w:val="none" w:sz="0" w:space="0" w:color="auto"/>
      </w:divBdr>
      <w:divsChild>
        <w:div w:id="315381983">
          <w:marLeft w:val="0"/>
          <w:marRight w:val="0"/>
          <w:marTop w:val="0"/>
          <w:marBottom w:val="0"/>
          <w:divBdr>
            <w:top w:val="none" w:sz="0" w:space="0" w:color="auto"/>
            <w:left w:val="none" w:sz="0" w:space="0" w:color="auto"/>
            <w:bottom w:val="none" w:sz="0" w:space="0" w:color="auto"/>
            <w:right w:val="none" w:sz="0" w:space="0" w:color="auto"/>
          </w:divBdr>
          <w:divsChild>
            <w:div w:id="1105685237">
              <w:marLeft w:val="0"/>
              <w:marRight w:val="0"/>
              <w:marTop w:val="0"/>
              <w:marBottom w:val="0"/>
              <w:divBdr>
                <w:top w:val="none" w:sz="0" w:space="0" w:color="auto"/>
                <w:left w:val="none" w:sz="0" w:space="0" w:color="auto"/>
                <w:bottom w:val="none" w:sz="0" w:space="0" w:color="auto"/>
                <w:right w:val="none" w:sz="0" w:space="0" w:color="auto"/>
              </w:divBdr>
              <w:divsChild>
                <w:div w:id="1172138256">
                  <w:marLeft w:val="0"/>
                  <w:marRight w:val="0"/>
                  <w:marTop w:val="0"/>
                  <w:marBottom w:val="0"/>
                  <w:divBdr>
                    <w:top w:val="none" w:sz="0" w:space="0" w:color="auto"/>
                    <w:left w:val="none" w:sz="0" w:space="0" w:color="auto"/>
                    <w:bottom w:val="none" w:sz="0" w:space="0" w:color="auto"/>
                    <w:right w:val="none" w:sz="0" w:space="0" w:color="auto"/>
                  </w:divBdr>
                </w:div>
              </w:divsChild>
            </w:div>
            <w:div w:id="18132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48550/arXiv.15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4360</Words>
  <Characters>24857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Baker</dc:creator>
  <cp:keywords/>
  <dc:description/>
  <cp:lastModifiedBy>syedyaseen</cp:lastModifiedBy>
  <cp:revision>4</cp:revision>
  <dcterms:created xsi:type="dcterms:W3CDTF">2025-04-11T09:45:00Z</dcterms:created>
  <dcterms:modified xsi:type="dcterms:W3CDTF">2025-04-24T09:52:00Z</dcterms:modified>
</cp:coreProperties>
</file>