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3D817">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 STUDY ON ENHANCING FINANCIAL PERFORMANCE THROUGH STRATEGIC COST MANAGEMENT AT SRI VMS ENGINEERING</w:t>
      </w:r>
    </w:p>
    <w:p w14:paraId="1DB37CEB">
      <w:pPr>
        <w:keepNext w:val="0"/>
        <w:keepLines w:val="0"/>
        <w:widowControl/>
        <w:suppressLineNumbers w:val="0"/>
        <w:spacing w:line="360" w:lineRule="auto"/>
        <w:jc w:val="center"/>
        <w:rPr>
          <w:b/>
          <w:bCs/>
          <w:sz w:val="24"/>
          <w:szCs w:val="24"/>
        </w:rPr>
      </w:pPr>
      <w:r>
        <w:rPr>
          <w:rFonts w:hint="default" w:ascii="Times New Roman" w:hAnsi="Times New Roman" w:eastAsia="SimSun" w:cs="Times New Roman"/>
          <w:b/>
          <w:bCs/>
          <w:color w:val="000000"/>
          <w:kern w:val="0"/>
          <w:sz w:val="24"/>
          <w:szCs w:val="24"/>
          <w:lang w:val="en-US" w:eastAsia="zh-CN" w:bidi="ar"/>
          <w14:ligatures w14:val="standardContextual"/>
        </w:rPr>
        <w:t xml:space="preserve">Mr. </w:t>
      </w:r>
      <w:r>
        <w:rPr>
          <w:rFonts w:hint="default" w:ascii="Times New Roman" w:hAnsi="Times New Roman" w:eastAsia="SimSun"/>
          <w:b/>
          <w:bCs/>
          <w:color w:val="000000"/>
          <w:kern w:val="0"/>
          <w:sz w:val="24"/>
          <w:szCs w:val="24"/>
          <w:lang w:val="en-US" w:eastAsia="zh-CN"/>
          <w14:ligatures w14:val="standardContextual"/>
        </w:rPr>
        <w:t>Chandrasekar N</w:t>
      </w:r>
      <w:r>
        <w:rPr>
          <w:rFonts w:hint="default" w:ascii="Times New Roman" w:hAnsi="Times New Roman" w:eastAsia="SimSun" w:cs="Times New Roman"/>
          <w:b/>
          <w:bCs/>
          <w:color w:val="000000"/>
          <w:kern w:val="0"/>
          <w:sz w:val="24"/>
          <w:szCs w:val="24"/>
          <w:lang w:val="en-US" w:eastAsia="zh-CN" w:bidi="ar"/>
          <w14:ligatures w14:val="standardContextual"/>
        </w:rPr>
        <w:t xml:space="preserve"> </w:t>
      </w:r>
    </w:p>
    <w:p w14:paraId="36E5634B">
      <w:pPr>
        <w:keepNext w:val="0"/>
        <w:keepLines w:val="0"/>
        <w:widowControl/>
        <w:suppressLineNumbers w:val="0"/>
        <w:spacing w:line="360" w:lineRule="auto"/>
        <w:jc w:val="center"/>
        <w:rPr>
          <w:b/>
          <w:bCs/>
          <w:sz w:val="24"/>
          <w:szCs w:val="24"/>
        </w:rPr>
      </w:pPr>
      <w:r>
        <w:rPr>
          <w:rFonts w:hint="default" w:ascii="Times New Roman" w:hAnsi="Times New Roman" w:eastAsia="SimSun" w:cs="Times New Roman"/>
          <w:b/>
          <w:bCs/>
          <w:color w:val="000000"/>
          <w:kern w:val="0"/>
          <w:sz w:val="24"/>
          <w:szCs w:val="24"/>
          <w:lang w:val="en-US" w:eastAsia="zh-CN" w:bidi="ar"/>
          <w14:ligatures w14:val="standardContextual"/>
        </w:rPr>
        <w:t>MBA (Finance and Operations) Student, Reg.No:43410289,</w:t>
      </w:r>
    </w:p>
    <w:p w14:paraId="70A15618">
      <w:pPr>
        <w:keepNext w:val="0"/>
        <w:keepLines w:val="0"/>
        <w:widowControl/>
        <w:suppressLineNumbers w:val="0"/>
        <w:spacing w:line="360" w:lineRule="auto"/>
        <w:jc w:val="center"/>
        <w:rPr>
          <w:sz w:val="24"/>
          <w:szCs w:val="24"/>
        </w:rPr>
      </w:pPr>
      <w:r>
        <w:rPr>
          <w:rFonts w:hint="default" w:ascii="Times New Roman" w:hAnsi="Times New Roman" w:eastAsia="SimSun" w:cs="Times New Roman"/>
          <w:color w:val="000000"/>
          <w:kern w:val="0"/>
          <w:sz w:val="24"/>
          <w:szCs w:val="24"/>
          <w:lang w:val="en-US" w:eastAsia="zh-CN" w:bidi="ar"/>
          <w14:ligatures w14:val="standardContextual"/>
        </w:rPr>
        <w:t>School of Management Studies,</w:t>
      </w:r>
    </w:p>
    <w:p w14:paraId="6D206A48">
      <w:pPr>
        <w:keepNext w:val="0"/>
        <w:keepLines w:val="0"/>
        <w:widowControl/>
        <w:suppressLineNumbers w:val="0"/>
        <w:spacing w:line="360" w:lineRule="auto"/>
        <w:jc w:val="center"/>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Sathyabama Institute of Science and Technology, Chennai, Tamil Nadu.</w:t>
      </w:r>
    </w:p>
    <w:p w14:paraId="711882E4">
      <w:pPr>
        <w:bidi w:val="0"/>
        <w:rPr>
          <w:rFonts w:hint="default"/>
          <w:sz w:val="12"/>
          <w:szCs w:val="12"/>
          <w:lang w:val="en-US" w:eastAsia="zh-CN"/>
        </w:rPr>
      </w:pPr>
    </w:p>
    <w:p w14:paraId="369608A8">
      <w:pPr>
        <w:keepNext w:val="0"/>
        <w:keepLines w:val="0"/>
        <w:widowControl/>
        <w:suppressLineNumbers w:val="0"/>
        <w:spacing w:line="360" w:lineRule="auto"/>
        <w:jc w:val="center"/>
        <w:rPr>
          <w:rFonts w:hint="default" w:ascii="Times New Roman" w:hAnsi="Times New Roman" w:eastAsia="SimSun"/>
          <w:b/>
          <w:bCs/>
          <w:color w:val="000000"/>
          <w:kern w:val="0"/>
          <w:sz w:val="24"/>
          <w:szCs w:val="24"/>
          <w:lang w:val="en-US" w:eastAsia="zh-CN"/>
          <w14:ligatures w14:val="standardContextual"/>
        </w:rPr>
      </w:pPr>
      <w:r>
        <w:rPr>
          <w:rFonts w:hint="default" w:ascii="Times New Roman" w:hAnsi="Times New Roman" w:eastAsia="SimSun" w:cs="Times New Roman"/>
          <w:b/>
          <w:bCs/>
          <w:color w:val="000000"/>
          <w:kern w:val="0"/>
          <w:sz w:val="24"/>
          <w:szCs w:val="24"/>
          <w:lang w:val="en-US" w:eastAsia="zh-CN" w:bidi="ar"/>
          <w14:ligatures w14:val="standardContextual"/>
        </w:rPr>
        <w:t xml:space="preserve">Dr. </w:t>
      </w:r>
      <w:r>
        <w:rPr>
          <w:rFonts w:hint="default" w:ascii="Times New Roman" w:hAnsi="Times New Roman" w:eastAsia="SimSun"/>
          <w:b/>
          <w:bCs/>
          <w:color w:val="000000"/>
          <w:kern w:val="0"/>
          <w:sz w:val="24"/>
          <w:szCs w:val="24"/>
          <w:lang w:val="en-US" w:eastAsia="zh-CN"/>
          <w14:ligatures w14:val="standardContextual"/>
        </w:rPr>
        <w:t>Uma Maheswari</w:t>
      </w:r>
    </w:p>
    <w:p w14:paraId="10B477F7">
      <w:pPr>
        <w:keepNext w:val="0"/>
        <w:keepLines w:val="0"/>
        <w:widowControl/>
        <w:suppressLineNumbers w:val="0"/>
        <w:spacing w:line="360" w:lineRule="auto"/>
        <w:jc w:val="center"/>
        <w:rPr>
          <w:b/>
          <w:bCs/>
          <w:sz w:val="24"/>
          <w:szCs w:val="24"/>
        </w:rPr>
      </w:pPr>
      <w:r>
        <w:rPr>
          <w:rFonts w:hint="default" w:ascii="Times New Roman" w:hAnsi="Times New Roman" w:eastAsia="SimSun" w:cs="Times New Roman"/>
          <w:b/>
          <w:bCs/>
          <w:color w:val="000000"/>
          <w:kern w:val="0"/>
          <w:sz w:val="24"/>
          <w:szCs w:val="24"/>
          <w:lang w:val="en-US" w:eastAsia="zh-CN" w:bidi="ar"/>
          <w14:ligatures w14:val="standardContextual"/>
        </w:rPr>
        <w:t>Associate professor</w:t>
      </w:r>
    </w:p>
    <w:p w14:paraId="1B3AA62A">
      <w:pPr>
        <w:keepNext w:val="0"/>
        <w:keepLines w:val="0"/>
        <w:widowControl/>
        <w:suppressLineNumbers w:val="0"/>
        <w:spacing w:line="360" w:lineRule="auto"/>
        <w:jc w:val="center"/>
        <w:rPr>
          <w:sz w:val="24"/>
          <w:szCs w:val="24"/>
        </w:rPr>
      </w:pPr>
      <w:r>
        <w:rPr>
          <w:rFonts w:hint="default" w:ascii="Times New Roman" w:hAnsi="Times New Roman" w:eastAsia="SimSun" w:cs="Times New Roman"/>
          <w:color w:val="000000"/>
          <w:kern w:val="0"/>
          <w:sz w:val="24"/>
          <w:szCs w:val="24"/>
          <w:lang w:val="en-US" w:eastAsia="zh-CN" w:bidi="ar"/>
          <w14:ligatures w14:val="standardContextual"/>
        </w:rPr>
        <w:t>School of Management Studies,</w:t>
      </w:r>
    </w:p>
    <w:p w14:paraId="7BFE4734">
      <w:pPr>
        <w:keepNext w:val="0"/>
        <w:keepLines w:val="0"/>
        <w:widowControl/>
        <w:suppressLineNumbers w:val="0"/>
        <w:spacing w:line="360" w:lineRule="auto"/>
        <w:jc w:val="center"/>
      </w:pPr>
      <w:r>
        <w:rPr>
          <w:rFonts w:hint="default" w:ascii="Times New Roman" w:hAnsi="Times New Roman" w:eastAsia="SimSun" w:cs="Times New Roman"/>
          <w:color w:val="000000"/>
          <w:kern w:val="0"/>
          <w:sz w:val="24"/>
          <w:szCs w:val="24"/>
          <w:lang w:val="en-US" w:eastAsia="zh-CN" w:bidi="ar"/>
          <w14:ligatures w14:val="standardContextual"/>
        </w:rPr>
        <w:t>Sathyabama Institute of Science and Technology, Chennai, Tamil Nadu.</w:t>
      </w:r>
    </w:p>
    <w:p w14:paraId="3ECD23BC">
      <w:pPr>
        <w:bidi w:val="0"/>
        <w:rPr>
          <w:sz w:val="21"/>
          <w:szCs w:val="21"/>
        </w:rPr>
      </w:pPr>
    </w:p>
    <w:p w14:paraId="3F2E0C89">
      <w:pPr>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bookmarkStart w:id="4" w:name="_GoBack"/>
      <w:bookmarkEnd w:id="4"/>
    </w:p>
    <w:p w14:paraId="1BCC827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study also incorporates responses from a detailed questionnaire to understand stakeholder perspectives on cost management strategies, cost-saving initiatives, and challenges faced. Findings reveal that stakeholders widely appreciate the organization’s efforts in process automation, expense tracking, and vendor renegotiation, which have proven effective in enhancing efficiency. Budgeting and forecasting emerge as key drivers of financial outcomes, while resistance to change and limited resources are identified as challenges in implementing cost management initiatives. The study underscores the critical role of accurate data, effective tools, and process optimization in driving financial success. Recommendations are provided to optimize cost-saving initiatives, enhance communication of strategies, and address key challenges, ensuring alignment with organizational goals. This research serves as a valuable resource for decision-makers at Sri VMS Engineering to refine financial strategies, improve resource allocation, and achieve competitive advantage in a dynamic market. Results indicate consistent improvement in profitability and operational efficiency, supported by effective financial planning and strong stakeholder engagement.</w:t>
      </w:r>
    </w:p>
    <w:p w14:paraId="202603B1">
      <w:pPr>
        <w:jc w:val="both"/>
        <w:rPr>
          <w:rFonts w:ascii="Times New Roman" w:hAnsi="Times New Roman" w:eastAsia="SimSun" w:cs="Times New Roman"/>
          <w:b/>
          <w:bCs/>
          <w:sz w:val="24"/>
          <w:szCs w:val="24"/>
          <w:lang w:val="en-IN" w:bidi="ar"/>
        </w:rPr>
      </w:pPr>
      <w:r>
        <w:rPr>
          <w:rFonts w:ascii="Times New Roman" w:hAnsi="Times New Roman" w:eastAsia="SimSun" w:cs="Times New Roman"/>
          <w:b/>
          <w:bCs/>
          <w:sz w:val="24"/>
          <w:szCs w:val="24"/>
          <w:lang w:val="en-IN" w:bidi="ar"/>
        </w:rPr>
        <w:t>INTRODUCTION</w:t>
      </w:r>
    </w:p>
    <w:p w14:paraId="28A4800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Sri VMS Engineering, headquartered in Chennai, Tamil Nadu, is a distinguished manufacturer and supplier of industrial valves and fittings. Since its inception, the company has carved a niche for itself in the engineering sector by delivering high-quality, reliable products tailored to meet the diverse needs of industries such as oil and gas, petrochemicals, and power generation.</w:t>
      </w:r>
    </w:p>
    <w:p w14:paraId="49CF44D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With a strong commitment to innovation and excellence, Sri VMS Engineering has established itself as a leader in the production of cryogenic valves, flanges, and drill hole cages. The company’s mission is to provide superior engineering solutions that adhere to the highest standards of quality and performance. This dedication to quality is reflected in their rigorous quality control processes and continuous investment in research and development.</w:t>
      </w:r>
    </w:p>
    <w:p w14:paraId="2F9182FD">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At the core of Sri VMS Engineering’s success is its customer-centric approach. The company prides itself on understanding and addressing the unique requirements of each client, ensuring that their solutions are not only effective but also highly customized. This focus on customer satisfaction, combined with a foundation of integrity and professionalism, has earned Sri VMS Engineering a reputation for excellence and reliability.</w:t>
      </w:r>
    </w:p>
    <w:p w14:paraId="7606926A">
      <w:pPr>
        <w:spacing w:after="240"/>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LITERATURE REVIEW</w:t>
      </w:r>
    </w:p>
    <w:p w14:paraId="75311326">
      <w:pPr>
        <w:pStyle w:val="5"/>
        <w:numPr>
          <w:ilvl w:val="0"/>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Strategic Cost Management in Modern Enterprises</w:t>
      </w:r>
      <w:r>
        <w:rPr>
          <w:rFonts w:hint="default" w:ascii="Times New Roman" w:hAnsi="Times New Roman" w:cs="Times New Roman"/>
        </w:rPr>
        <w:t xml:space="preserve"> - </w:t>
      </w:r>
      <w:r>
        <w:rPr>
          <w:rStyle w:val="4"/>
          <w:rFonts w:hint="default" w:ascii="Times New Roman" w:hAnsi="Times New Roman" w:cs="Times New Roman" w:eastAsiaTheme="majorEastAsia"/>
        </w:rPr>
        <w:t>Liu, Q. (2015)</w:t>
      </w:r>
      <w:r>
        <w:rPr>
          <w:rFonts w:hint="default" w:ascii="Times New Roman" w:hAnsi="Times New Roman" w:cs="Times New Roman"/>
        </w:rPr>
        <w:t>: This paper delves into strategic approaches to cost management, focusing on how businesses can streamline costs without sacrificing quality. It identifies effective frameworks and techniques that enhance operational performance, linking cost management practices directly to competitive advantages.</w:t>
      </w:r>
    </w:p>
    <w:p w14:paraId="76B88BBE">
      <w:pPr>
        <w:pStyle w:val="5"/>
        <w:numPr>
          <w:ilvl w:val="0"/>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Impact of Process Automation on Cost Reduction</w:t>
      </w:r>
      <w:r>
        <w:rPr>
          <w:rFonts w:hint="default" w:ascii="Times New Roman" w:hAnsi="Times New Roman" w:cs="Times New Roman"/>
        </w:rPr>
        <w:t xml:space="preserve"> - </w:t>
      </w:r>
      <w:r>
        <w:rPr>
          <w:rStyle w:val="4"/>
          <w:rFonts w:hint="default" w:ascii="Times New Roman" w:hAnsi="Times New Roman" w:cs="Times New Roman" w:eastAsiaTheme="majorEastAsia"/>
        </w:rPr>
        <w:t>Sowmith Daram (2021)</w:t>
      </w:r>
      <w:r>
        <w:rPr>
          <w:rFonts w:hint="default" w:ascii="Times New Roman" w:hAnsi="Times New Roman" w:cs="Times New Roman"/>
        </w:rPr>
        <w:t>: This research highlights the transformative role of automation in reducing operational costs. It examines how automating repetitive tasks not only cuts costs but also improves efficiency and accuracy, leading to better financial outcomes.</w:t>
      </w:r>
    </w:p>
    <w:p w14:paraId="20D6015F">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Vendor Negotiation Strategies for Financial Optimization</w:t>
      </w:r>
      <w:r>
        <w:rPr>
          <w:rFonts w:hint="default" w:ascii="Times New Roman" w:hAnsi="Times New Roman" w:cs="Times New Roman"/>
        </w:rPr>
        <w:t xml:space="preserve"> - </w:t>
      </w:r>
      <w:r>
        <w:rPr>
          <w:rStyle w:val="4"/>
          <w:rFonts w:hint="default" w:ascii="Times New Roman" w:hAnsi="Times New Roman" w:cs="Times New Roman" w:eastAsiaTheme="majorEastAsia"/>
        </w:rPr>
        <w:t>Guru Nicketan (2025)</w:t>
      </w:r>
      <w:r>
        <w:rPr>
          <w:rFonts w:hint="default" w:ascii="Times New Roman" w:hAnsi="Times New Roman" w:cs="Times New Roman"/>
        </w:rPr>
        <w:t>: This study discusses innovative strategies for renegotiating vendor contracts to achieve substantial cost savings. It provides examples of successful renegotiation techniques and the resulting financial benefits for organizations.</w:t>
      </w:r>
    </w:p>
    <w:p w14:paraId="4CFF4B0A">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Energy Efficiency Measures in Cost Management</w:t>
      </w:r>
      <w:r>
        <w:rPr>
          <w:rFonts w:hint="default" w:ascii="Times New Roman" w:hAnsi="Times New Roman" w:cs="Times New Roman"/>
        </w:rPr>
        <w:t xml:space="preserve"> - </w:t>
      </w:r>
      <w:r>
        <w:rPr>
          <w:rStyle w:val="4"/>
          <w:rFonts w:hint="default" w:ascii="Times New Roman" w:hAnsi="Times New Roman" w:cs="Times New Roman" w:eastAsiaTheme="majorEastAsia"/>
        </w:rPr>
        <w:t>Marco Matteini et al. (2018)</w:t>
      </w:r>
      <w:r>
        <w:rPr>
          <w:rFonts w:hint="default" w:ascii="Times New Roman" w:hAnsi="Times New Roman" w:cs="Times New Roman"/>
        </w:rPr>
        <w:t>: This paper investigates the integration of energy-efficient practices into cost management. It explores case studies where energy-saving initiatives have led to significant reductions in operational expenses and improved sustainability.</w:t>
      </w:r>
    </w:p>
    <w:p w14:paraId="78EE9AF1">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Employee Training and Development as a Cost-Saving Tool</w:t>
      </w:r>
      <w:r>
        <w:rPr>
          <w:rFonts w:hint="default" w:ascii="Times New Roman" w:hAnsi="Times New Roman" w:cs="Times New Roman"/>
        </w:rPr>
        <w:t xml:space="preserve"> - </w:t>
      </w:r>
      <w:r>
        <w:rPr>
          <w:rStyle w:val="4"/>
          <w:rFonts w:hint="default" w:ascii="Times New Roman" w:hAnsi="Times New Roman" w:cs="Times New Roman" w:eastAsiaTheme="majorEastAsia"/>
        </w:rPr>
        <w:t>Josephine Pepra-Mensah (2018)</w:t>
      </w:r>
      <w:r>
        <w:rPr>
          <w:rFonts w:hint="default" w:ascii="Times New Roman" w:hAnsi="Times New Roman" w:cs="Times New Roman"/>
        </w:rPr>
        <w:t>: The study reveals how employee skill enhancement can drive long-term cost savings. It explains how investing in training programs improves workforce productivity and minimizes errors, thereby cutting down operational costs.</w:t>
      </w:r>
    </w:p>
    <w:p w14:paraId="74BB075C">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Data Analytics in Strategic Cost Management</w:t>
      </w:r>
      <w:r>
        <w:rPr>
          <w:rFonts w:hint="default" w:ascii="Times New Roman" w:hAnsi="Times New Roman" w:cs="Times New Roman"/>
        </w:rPr>
        <w:t xml:space="preserve"> - </w:t>
      </w:r>
      <w:r>
        <w:rPr>
          <w:rStyle w:val="4"/>
          <w:rFonts w:hint="default" w:ascii="Times New Roman" w:hAnsi="Times New Roman" w:cs="Times New Roman" w:eastAsiaTheme="majorEastAsia"/>
        </w:rPr>
        <w:t>Reginald Tomas Lee (2019)</w:t>
      </w:r>
      <w:r>
        <w:rPr>
          <w:rFonts w:hint="default" w:ascii="Times New Roman" w:hAnsi="Times New Roman" w:cs="Times New Roman"/>
        </w:rPr>
        <w:t>: This literature emphasizes the role of data analytics in identifying and capitalizing on cost-saving opportunities. It shows how advanced analytics tools help in making informed decisions and optimizing cost structures.</w:t>
      </w:r>
    </w:p>
    <w:p w14:paraId="46163F58">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Benchmarking Practices for Competitive Cost Management</w:t>
      </w:r>
      <w:r>
        <w:rPr>
          <w:rFonts w:hint="default" w:ascii="Times New Roman" w:hAnsi="Times New Roman" w:cs="Times New Roman"/>
        </w:rPr>
        <w:t xml:space="preserve"> - </w:t>
      </w:r>
      <w:r>
        <w:rPr>
          <w:rStyle w:val="4"/>
          <w:rFonts w:hint="default" w:ascii="Times New Roman" w:hAnsi="Times New Roman" w:cs="Times New Roman" w:eastAsiaTheme="majorEastAsia"/>
        </w:rPr>
        <w:t>Robert C. Camp (2024)</w:t>
      </w:r>
      <w:r>
        <w:rPr>
          <w:rFonts w:hint="default" w:ascii="Times New Roman" w:hAnsi="Times New Roman" w:cs="Times New Roman"/>
        </w:rPr>
        <w:t xml:space="preserve">: This research discusses the importance of </w:t>
      </w:r>
      <w:r>
        <w:rPr>
          <w:rFonts w:hint="default" w:cs="Times New Roman"/>
          <w:lang w:val="en-US"/>
        </w:rPr>
        <w:t>bench marking</w:t>
      </w:r>
      <w:r>
        <w:rPr>
          <w:rFonts w:hint="default" w:ascii="Times New Roman" w:hAnsi="Times New Roman" w:cs="Times New Roman"/>
        </w:rPr>
        <w:t xml:space="preserve"> in identifying inefficiencies and reducing costs. It provides methods to compare organizational performance with industry standards for competitive advantage.</w:t>
      </w:r>
    </w:p>
    <w:p w14:paraId="5E88F499">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Role of Leadership in Cost Management Success</w:t>
      </w:r>
      <w:r>
        <w:rPr>
          <w:rFonts w:hint="default" w:ascii="Times New Roman" w:hAnsi="Times New Roman" w:cs="Times New Roman"/>
        </w:rPr>
        <w:t xml:space="preserve"> - </w:t>
      </w:r>
      <w:r>
        <w:rPr>
          <w:rStyle w:val="4"/>
          <w:rFonts w:hint="default" w:ascii="Times New Roman" w:hAnsi="Times New Roman" w:cs="Times New Roman" w:eastAsiaTheme="majorEastAsia"/>
        </w:rPr>
        <w:t>Kayode Ogunyomi (2023)</w:t>
      </w:r>
      <w:r>
        <w:rPr>
          <w:rFonts w:hint="default" w:ascii="Times New Roman" w:hAnsi="Times New Roman" w:cs="Times New Roman"/>
        </w:rPr>
        <w:t>: This paper examines the influence of leadership on cost management practices. It identifies how proactive leadership drives effective implementation of cost-saving strategies and aligns them with overall business goals.</w:t>
      </w:r>
    </w:p>
    <w:p w14:paraId="471C856C">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Challenges in Implementing Cost Management Tools</w:t>
      </w:r>
      <w:r>
        <w:rPr>
          <w:rFonts w:hint="default" w:ascii="Times New Roman" w:hAnsi="Times New Roman" w:cs="Times New Roman"/>
        </w:rPr>
        <w:t xml:space="preserve"> - </w:t>
      </w:r>
      <w:r>
        <w:rPr>
          <w:rStyle w:val="4"/>
          <w:rFonts w:hint="default" w:ascii="Times New Roman" w:hAnsi="Times New Roman" w:cs="Times New Roman" w:eastAsiaTheme="majorEastAsia"/>
        </w:rPr>
        <w:t>Christen Bergerud (2012)</w:t>
      </w:r>
      <w:r>
        <w:rPr>
          <w:rFonts w:hint="default" w:ascii="Times New Roman" w:hAnsi="Times New Roman" w:cs="Times New Roman"/>
        </w:rPr>
        <w:t>: The study explores the common hurdles organizations face when adopting cost management systems. It suggests solutions to overcome these obstacles to ensure smoother integration of cost-saving technologies.</w:t>
      </w:r>
    </w:p>
    <w:p w14:paraId="2C375308">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Financial Performance Metrics and Cost Management</w:t>
      </w:r>
      <w:r>
        <w:rPr>
          <w:rFonts w:hint="default" w:ascii="Times New Roman" w:hAnsi="Times New Roman" w:cs="Times New Roman"/>
        </w:rPr>
        <w:t xml:space="preserve"> - </w:t>
      </w:r>
      <w:r>
        <w:rPr>
          <w:rStyle w:val="4"/>
          <w:rFonts w:hint="default" w:ascii="Times New Roman" w:hAnsi="Times New Roman" w:cs="Times New Roman" w:eastAsiaTheme="majorEastAsia"/>
        </w:rPr>
        <w:t>Kofi Kuttu (2020)</w:t>
      </w:r>
      <w:r>
        <w:rPr>
          <w:rFonts w:hint="default" w:ascii="Times New Roman" w:hAnsi="Times New Roman" w:cs="Times New Roman"/>
        </w:rPr>
        <w:t>: This research links cost management techniques with financial performance indicators. It highlights how organizations can measure the financial impact of cost-saving initiatives on overall profitability.</w:t>
      </w:r>
    </w:p>
    <w:p w14:paraId="617928BB">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Impact of Economic Conditions on Cost Strategies</w:t>
      </w:r>
      <w:r>
        <w:rPr>
          <w:rFonts w:hint="default" w:ascii="Times New Roman" w:hAnsi="Times New Roman" w:cs="Times New Roman"/>
        </w:rPr>
        <w:t xml:space="preserve"> - </w:t>
      </w:r>
      <w:r>
        <w:rPr>
          <w:rStyle w:val="4"/>
          <w:rFonts w:hint="default" w:ascii="Times New Roman" w:hAnsi="Times New Roman" w:cs="Times New Roman" w:eastAsiaTheme="majorEastAsia"/>
        </w:rPr>
        <w:t>I. A. Naugolnova (2023)</w:t>
      </w:r>
      <w:r>
        <w:rPr>
          <w:rFonts w:hint="default" w:ascii="Times New Roman" w:hAnsi="Times New Roman" w:cs="Times New Roman"/>
        </w:rPr>
        <w:t>: The study addresses how external economic factors affect cost management decisions. It provides insights into adapting cost strategies to navigate economic fluctuations and uncertainty.</w:t>
      </w:r>
    </w:p>
    <w:p w14:paraId="001C6B13">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Integration of Technology in Cost Management</w:t>
      </w:r>
      <w:r>
        <w:rPr>
          <w:rFonts w:hint="default" w:ascii="Times New Roman" w:hAnsi="Times New Roman" w:cs="Times New Roman"/>
        </w:rPr>
        <w:t xml:space="preserve"> - </w:t>
      </w:r>
      <w:r>
        <w:rPr>
          <w:rStyle w:val="4"/>
          <w:rFonts w:hint="default" w:ascii="Times New Roman" w:hAnsi="Times New Roman" w:cs="Times New Roman" w:eastAsiaTheme="majorEastAsia"/>
        </w:rPr>
        <w:t>Tushar Ranjan Barik (2024)</w:t>
      </w:r>
      <w:r>
        <w:rPr>
          <w:rFonts w:hint="default" w:ascii="Times New Roman" w:hAnsi="Times New Roman" w:cs="Times New Roman"/>
        </w:rPr>
        <w:t>: This paper explores the adoption of emerging technologies in cost management, such as AI and blockchain. It discusses their potential in streamlining processes and reducing overheads.</w:t>
      </w:r>
    </w:p>
    <w:p w14:paraId="5D4462E9">
      <w:pPr>
        <w:pStyle w:val="5"/>
        <w:numPr>
          <w:ilvl w:val="3"/>
          <w:numId w:val="1"/>
        </w:numPr>
        <w:spacing w:line="360" w:lineRule="auto"/>
        <w:jc w:val="both"/>
        <w:rPr>
          <w:rFonts w:hint="default" w:ascii="Times New Roman" w:hAnsi="Times New Roman" w:cs="Times New Roman"/>
        </w:rPr>
      </w:pPr>
      <w:r>
        <w:rPr>
          <w:rStyle w:val="6"/>
          <w:rFonts w:hint="default" w:ascii="Times New Roman" w:hAnsi="Times New Roman" w:cs="Times New Roman" w:eastAsiaTheme="majorEastAsia"/>
        </w:rPr>
        <w:t>Case Studies on Successful Cost Management</w:t>
      </w:r>
      <w:r>
        <w:rPr>
          <w:rFonts w:hint="default" w:ascii="Times New Roman" w:hAnsi="Times New Roman" w:cs="Times New Roman"/>
        </w:rPr>
        <w:t xml:space="preserve"> - </w:t>
      </w:r>
      <w:r>
        <w:rPr>
          <w:rStyle w:val="4"/>
          <w:rFonts w:hint="default" w:ascii="Times New Roman" w:hAnsi="Times New Roman" w:cs="Times New Roman" w:eastAsiaTheme="majorEastAsia"/>
        </w:rPr>
        <w:t>Tingting Shen (2019)</w:t>
      </w:r>
      <w:r>
        <w:rPr>
          <w:rFonts w:hint="default" w:ascii="Times New Roman" w:hAnsi="Times New Roman" w:cs="Times New Roman"/>
        </w:rPr>
        <w:t>: This literature presents real-world examples of companies achieving financial growth through effective cost management. It analyzes the strategies employed and the outcomes achieved.</w:t>
      </w:r>
    </w:p>
    <w:p w14:paraId="7E7FA133">
      <w:pPr>
        <w:rPr>
          <w:rFonts w:ascii="Times New Roman" w:hAnsi="Times New Roman" w:eastAsia="SimSun" w:cs="Times New Roman"/>
          <w:b/>
          <w:bCs/>
          <w:sz w:val="24"/>
          <w:szCs w:val="24"/>
          <w:lang w:val="en-IN"/>
        </w:rPr>
      </w:pPr>
      <w:r>
        <w:rPr>
          <w:rFonts w:ascii="Times New Roman" w:hAnsi="Times New Roman" w:eastAsia="SimSun" w:cs="Times New Roman"/>
          <w:b/>
          <w:bCs/>
          <w:sz w:val="24"/>
          <w:szCs w:val="24"/>
        </w:rPr>
        <w:t>OBJECTIVES OF THE STUDY</w:t>
      </w:r>
      <w:r>
        <w:rPr>
          <w:rFonts w:ascii="Times New Roman" w:hAnsi="Times New Roman" w:eastAsia="SimSun" w:cs="Times New Roman"/>
          <w:b/>
          <w:bCs/>
          <w:sz w:val="24"/>
          <w:szCs w:val="24"/>
          <w:lang w:val="en-IN"/>
        </w:rPr>
        <w:t>:</w:t>
      </w:r>
    </w:p>
    <w:p w14:paraId="2CCEBE2B">
      <w:pPr>
        <w:numPr>
          <w:ilvl w:val="0"/>
          <w:numId w:val="2"/>
        </w:numPr>
        <w:tabs>
          <w:tab w:val="left" w:pos="720"/>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To explore innovative cost management practices and assess their potential for optimizing resource allocation and reducing unnecessary expenditures.</w:t>
      </w:r>
    </w:p>
    <w:p w14:paraId="126234FE">
      <w:pPr>
        <w:numPr>
          <w:ilvl w:val="0"/>
          <w:numId w:val="2"/>
        </w:numPr>
        <w:tabs>
          <w:tab w:val="left" w:pos="720"/>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To evaluate the relationship between strategic cost management and financial efficiency, focusing on both short-term and long-term performance metrics</w:t>
      </w:r>
    </w:p>
    <w:p w14:paraId="5C979EAE">
      <w:pPr>
        <w:numPr>
          <w:ilvl w:val="0"/>
          <w:numId w:val="2"/>
        </w:numPr>
        <w:tabs>
          <w:tab w:val="left" w:pos="720"/>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To assess the role of technology and data analytics in supporting strategic cost management initiatives and improving decision-making processes.</w:t>
      </w:r>
    </w:p>
    <w:p w14:paraId="3A75BEE2">
      <w:pPr>
        <w:numPr>
          <w:ilvl w:val="0"/>
          <w:numId w:val="2"/>
        </w:numPr>
        <w:tabs>
          <w:tab w:val="left" w:pos="720"/>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To quantify the direct and indirect financial benefits of strategic cost management, such as cost savings and revenue generation.</w:t>
      </w:r>
    </w:p>
    <w:p w14:paraId="0CB13E1C">
      <w:pPr>
        <w:numPr>
          <w:ilvl w:val="0"/>
          <w:numId w:val="2"/>
        </w:numPr>
        <w:tabs>
          <w:tab w:val="left" w:pos="720"/>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To evaluate various cost reduction strategies and their effectiveness in enhancing profitability and operational efficiency. </w:t>
      </w:r>
    </w:p>
    <w:p w14:paraId="45DF973D">
      <w:pPr>
        <w:pStyle w:val="7"/>
        <w:spacing w:line="360" w:lineRule="auto"/>
        <w:ind w:left="0"/>
        <w:jc w:val="both"/>
        <w:rPr>
          <w:rFonts w:hint="default" w:ascii="Times New Roman" w:hAnsi="Times New Roman" w:cs="Times New Roman"/>
          <w:b/>
          <w:bCs/>
          <w:sz w:val="24"/>
          <w:szCs w:val="24"/>
        </w:rPr>
      </w:pPr>
      <w:r>
        <w:rPr>
          <w:rFonts w:hint="default" w:ascii="Times New Roman" w:hAnsi="Times New Roman" w:cs="Times New Roman"/>
          <w:b/>
          <w:bCs/>
          <w:sz w:val="24"/>
          <w:szCs w:val="24"/>
        </w:rPr>
        <w:t>SCOPE OF THE STUDY</w:t>
      </w:r>
    </w:p>
    <w:p w14:paraId="2DB9CB83">
      <w:pPr>
        <w:pStyle w:val="7"/>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covers the analysis of financial metrics over a four-year period (2020–2023), enabling year-on-year trend evaluation.</w:t>
      </w:r>
    </w:p>
    <w:p w14:paraId="4BC13DF3">
      <w:pPr>
        <w:pStyle w:val="7"/>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Metrics such as Gross Profit Margin, Debt-Equity Ratio, and Quick Ratio are analyzed to understand their impact on performance.</w:t>
      </w:r>
    </w:p>
    <w:p w14:paraId="341A3058">
      <w:pPr>
        <w:pStyle w:val="7"/>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Provides practical recommendations for businesses across industries to enhance asset utilization, liquidity management, and financial planning.</w:t>
      </w:r>
    </w:p>
    <w:p w14:paraId="15953850">
      <w:pPr>
        <w:pStyle w:val="5"/>
        <w:jc w:val="both"/>
        <w:rPr>
          <w:rFonts w:hint="default" w:ascii="Times New Roman" w:hAnsi="Times New Roman" w:cs="Times New Roman"/>
          <w:b/>
          <w:bCs/>
        </w:rPr>
      </w:pPr>
      <w:r>
        <w:rPr>
          <w:rFonts w:hint="default" w:ascii="Times New Roman" w:hAnsi="Times New Roman" w:cs="Times New Roman"/>
          <w:b/>
          <w:bCs/>
        </w:rPr>
        <w:t>RESEARCH METHODOLOGY:</w:t>
      </w:r>
    </w:p>
    <w:p w14:paraId="189E0A1D">
      <w:pPr>
        <w:pStyle w:val="5"/>
        <w:spacing w:line="360" w:lineRule="auto"/>
        <w:jc w:val="both"/>
        <w:rPr>
          <w:rFonts w:hint="default" w:ascii="Times New Roman" w:hAnsi="Times New Roman" w:cs="Times New Roman"/>
        </w:rPr>
      </w:pPr>
      <w:r>
        <w:rPr>
          <w:rFonts w:hint="default" w:ascii="Times New Roman" w:hAnsi="Times New Roman" w:cs="Times New Roman"/>
        </w:rPr>
        <w:t xml:space="preserve">This research aims to analyze the financial performance of an organization over a defined period, focusing on metrics and are </w:t>
      </w:r>
      <w:r>
        <w:rPr>
          <w:rFonts w:hint="default" w:ascii="Times New Roman" w:hAnsi="Times New Roman" w:cs="Times New Roman"/>
          <w:lang w:val="en-US"/>
        </w:rPr>
        <w:t>analyzed using descriptive statistics, comparative analysis, and regression analysis</w:t>
      </w:r>
      <w:r>
        <w:rPr>
          <w:rFonts w:hint="default" w:ascii="Times New Roman" w:hAnsi="Times New Roman" w:cs="Times New Roman"/>
        </w:rPr>
        <w:t xml:space="preserve">. The study seeks to understand trends, relationships, and factors influencing profitability and operational efficiency. This </w:t>
      </w:r>
      <w:r>
        <w:rPr>
          <w:rFonts w:hint="default" w:ascii="Times New Roman" w:hAnsi="Times New Roman" w:cs="Times New Roman"/>
          <w:b/>
          <w:bCs/>
        </w:rPr>
        <w:t>descriptive approach</w:t>
      </w:r>
      <w:r>
        <w:rPr>
          <w:rFonts w:hint="default" w:ascii="Times New Roman" w:hAnsi="Times New Roman" w:cs="Times New Roman"/>
        </w:rPr>
        <w:t xml:space="preserve"> focuses on analyzing historical data to summarize and interpret financial ratios, while the analytical approach evaluates trends and relationships between financial variables using statistical tools.</w:t>
      </w:r>
    </w:p>
    <w:p w14:paraId="40B39B71">
      <w:pPr>
        <w:rPr>
          <w:rFonts w:hint="default" w:ascii="Times New Roman" w:hAnsi="Times New Roman" w:cs="Times New Roman"/>
        </w:rPr>
      </w:pPr>
      <w:r>
        <w:rPr>
          <w:rFonts w:ascii="Times New Roman" w:hAnsi="Times New Roman" w:eastAsia="SimSun" w:cs="Times New Roman"/>
          <w:b/>
          <w:bCs/>
          <w:sz w:val="24"/>
          <w:szCs w:val="24"/>
        </w:rPr>
        <w:t xml:space="preserve">DATA ANALYSIS AND INTERPRETATION </w:t>
      </w:r>
      <w:r>
        <w:rPr>
          <w:rFonts w:ascii="Times New Roman" w:hAnsi="Times New Roman" w:eastAsia="SimSun" w:cs="Times New Roman"/>
          <w:b/>
          <w:bCs/>
          <w:sz w:val="24"/>
          <w:szCs w:val="24"/>
          <w:lang w:val="en-IN"/>
        </w:rPr>
        <w:t xml:space="preserve">: </w:t>
      </w:r>
    </w:p>
    <w:p w14:paraId="07D4ECB7">
      <w:pPr>
        <w:numPr>
          <w:ilvl w:val="0"/>
          <w:numId w:val="4"/>
        </w:numPr>
        <w:ind w:left="360" w:leftChars="0" w:hanging="36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GROSS PROFIT MARGIN RATIO:</w:t>
      </w:r>
    </w:p>
    <w:tbl>
      <w:tblPr>
        <w:tblStyle w:val="3"/>
        <w:tblpPr w:leftFromText="180" w:rightFromText="180" w:vertAnchor="text" w:tblpXSpec="center" w:tblpY="1"/>
        <w:tblOverlap w:val="never"/>
        <w:tblW w:w="7898" w:type="dxa"/>
        <w:tblInd w:w="0" w:type="dxa"/>
        <w:tblLayout w:type="autofit"/>
        <w:tblCellMar>
          <w:top w:w="0" w:type="dxa"/>
          <w:left w:w="108" w:type="dxa"/>
          <w:bottom w:w="0" w:type="dxa"/>
          <w:right w:w="108" w:type="dxa"/>
        </w:tblCellMar>
      </w:tblPr>
      <w:tblGrid>
        <w:gridCol w:w="1531"/>
        <w:gridCol w:w="2339"/>
        <w:gridCol w:w="1914"/>
        <w:gridCol w:w="2114"/>
      </w:tblGrid>
      <w:tr w14:paraId="1168EF5E">
        <w:tblPrEx>
          <w:tblCellMar>
            <w:top w:w="0" w:type="dxa"/>
            <w:left w:w="108" w:type="dxa"/>
            <w:bottom w:w="0" w:type="dxa"/>
            <w:right w:w="108" w:type="dxa"/>
          </w:tblCellMar>
        </w:tblPrEx>
        <w:trPr>
          <w:trHeight w:val="631" w:hRule="atLeast"/>
        </w:trPr>
        <w:tc>
          <w:tcPr>
            <w:tcW w:w="1531" w:type="dxa"/>
            <w:tcBorders>
              <w:top w:val="single" w:color="auto" w:sz="4" w:space="0"/>
              <w:left w:val="single" w:color="auto" w:sz="4" w:space="0"/>
              <w:bottom w:val="single" w:color="auto" w:sz="4" w:space="0"/>
              <w:right w:val="single" w:color="auto" w:sz="4" w:space="0"/>
            </w:tcBorders>
            <w:shd w:val="clear" w:color="auto" w:fill="auto"/>
            <w:vAlign w:val="center"/>
          </w:tcPr>
          <w:p w14:paraId="0E89E690">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Year</w:t>
            </w:r>
          </w:p>
        </w:tc>
        <w:tc>
          <w:tcPr>
            <w:tcW w:w="2339" w:type="dxa"/>
            <w:tcBorders>
              <w:top w:val="single" w:color="auto" w:sz="4" w:space="0"/>
              <w:left w:val="nil"/>
              <w:bottom w:val="single" w:color="auto" w:sz="4" w:space="0"/>
              <w:right w:val="single" w:color="auto" w:sz="4" w:space="0"/>
            </w:tcBorders>
            <w:shd w:val="clear" w:color="auto" w:fill="auto"/>
            <w:vAlign w:val="center"/>
          </w:tcPr>
          <w:p w14:paraId="5B5ED560">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Revenue (₹ Lakh.)</w:t>
            </w:r>
          </w:p>
        </w:tc>
        <w:tc>
          <w:tcPr>
            <w:tcW w:w="1914" w:type="dxa"/>
            <w:tcBorders>
              <w:top w:val="single" w:color="auto" w:sz="4" w:space="0"/>
              <w:left w:val="nil"/>
              <w:bottom w:val="single" w:color="auto" w:sz="4" w:space="0"/>
              <w:right w:val="single" w:color="auto" w:sz="4" w:space="0"/>
            </w:tcBorders>
            <w:shd w:val="clear" w:color="auto" w:fill="auto"/>
            <w:vAlign w:val="center"/>
          </w:tcPr>
          <w:p w14:paraId="602CA8C4">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Gross Profit (₹ Lakh.)</w:t>
            </w:r>
          </w:p>
        </w:tc>
        <w:tc>
          <w:tcPr>
            <w:tcW w:w="2114" w:type="dxa"/>
            <w:tcBorders>
              <w:top w:val="single" w:color="auto" w:sz="4" w:space="0"/>
              <w:left w:val="nil"/>
              <w:bottom w:val="single" w:color="auto" w:sz="4" w:space="0"/>
              <w:right w:val="single" w:color="auto" w:sz="4" w:space="0"/>
            </w:tcBorders>
            <w:shd w:val="clear" w:color="auto" w:fill="auto"/>
            <w:vAlign w:val="center"/>
          </w:tcPr>
          <w:p w14:paraId="2C53441E">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Gross Profit Margin (%)</w:t>
            </w:r>
          </w:p>
        </w:tc>
      </w:tr>
      <w:tr w14:paraId="6D4990F2">
        <w:tblPrEx>
          <w:tblCellMar>
            <w:top w:w="0" w:type="dxa"/>
            <w:left w:w="108" w:type="dxa"/>
            <w:bottom w:w="0" w:type="dxa"/>
            <w:right w:w="108" w:type="dxa"/>
          </w:tblCellMar>
        </w:tblPrEx>
        <w:trPr>
          <w:trHeight w:val="507"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01B3B308">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2020</w:t>
            </w:r>
          </w:p>
        </w:tc>
        <w:tc>
          <w:tcPr>
            <w:tcW w:w="2339" w:type="dxa"/>
            <w:tcBorders>
              <w:top w:val="nil"/>
              <w:left w:val="nil"/>
              <w:bottom w:val="single" w:color="auto" w:sz="4" w:space="0"/>
              <w:right w:val="single" w:color="auto" w:sz="4" w:space="0"/>
            </w:tcBorders>
            <w:shd w:val="clear" w:color="auto" w:fill="auto"/>
            <w:vAlign w:val="center"/>
          </w:tcPr>
          <w:p w14:paraId="65E7F120">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120</w:t>
            </w:r>
          </w:p>
        </w:tc>
        <w:tc>
          <w:tcPr>
            <w:tcW w:w="1914" w:type="dxa"/>
            <w:tcBorders>
              <w:top w:val="nil"/>
              <w:left w:val="nil"/>
              <w:bottom w:val="single" w:color="auto" w:sz="4" w:space="0"/>
              <w:right w:val="single" w:color="auto" w:sz="4" w:space="0"/>
            </w:tcBorders>
            <w:shd w:val="clear" w:color="auto" w:fill="auto"/>
            <w:vAlign w:val="center"/>
          </w:tcPr>
          <w:p w14:paraId="0E1A53D0">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50</w:t>
            </w:r>
          </w:p>
        </w:tc>
        <w:tc>
          <w:tcPr>
            <w:tcW w:w="2114" w:type="dxa"/>
            <w:tcBorders>
              <w:top w:val="nil"/>
              <w:left w:val="nil"/>
              <w:bottom w:val="single" w:color="auto" w:sz="4" w:space="0"/>
              <w:right w:val="single" w:color="auto" w:sz="4" w:space="0"/>
            </w:tcBorders>
            <w:shd w:val="clear" w:color="auto" w:fill="auto"/>
            <w:vAlign w:val="center"/>
          </w:tcPr>
          <w:p w14:paraId="230E0E5B">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(50 / 120) × 100 = 41.67%</w:t>
            </w:r>
          </w:p>
        </w:tc>
      </w:tr>
      <w:tr w14:paraId="764B1070">
        <w:tblPrEx>
          <w:tblCellMar>
            <w:top w:w="0" w:type="dxa"/>
            <w:left w:w="108" w:type="dxa"/>
            <w:bottom w:w="0" w:type="dxa"/>
            <w:right w:w="108" w:type="dxa"/>
          </w:tblCellMar>
        </w:tblPrEx>
        <w:trPr>
          <w:trHeight w:val="507"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3A4A9697">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2021</w:t>
            </w:r>
          </w:p>
        </w:tc>
        <w:tc>
          <w:tcPr>
            <w:tcW w:w="2339" w:type="dxa"/>
            <w:tcBorders>
              <w:top w:val="nil"/>
              <w:left w:val="nil"/>
              <w:bottom w:val="single" w:color="auto" w:sz="4" w:space="0"/>
              <w:right w:val="single" w:color="auto" w:sz="4" w:space="0"/>
            </w:tcBorders>
            <w:shd w:val="clear" w:color="auto" w:fill="auto"/>
            <w:vAlign w:val="center"/>
          </w:tcPr>
          <w:p w14:paraId="5A7FF04D">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140</w:t>
            </w:r>
          </w:p>
        </w:tc>
        <w:tc>
          <w:tcPr>
            <w:tcW w:w="1914" w:type="dxa"/>
            <w:tcBorders>
              <w:top w:val="nil"/>
              <w:left w:val="nil"/>
              <w:bottom w:val="single" w:color="auto" w:sz="4" w:space="0"/>
              <w:right w:val="single" w:color="auto" w:sz="4" w:space="0"/>
            </w:tcBorders>
            <w:shd w:val="clear" w:color="auto" w:fill="auto"/>
            <w:vAlign w:val="center"/>
          </w:tcPr>
          <w:p w14:paraId="7932A4D1">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60</w:t>
            </w:r>
          </w:p>
        </w:tc>
        <w:tc>
          <w:tcPr>
            <w:tcW w:w="2114" w:type="dxa"/>
            <w:tcBorders>
              <w:top w:val="nil"/>
              <w:left w:val="nil"/>
              <w:bottom w:val="single" w:color="auto" w:sz="4" w:space="0"/>
              <w:right w:val="single" w:color="auto" w:sz="4" w:space="0"/>
            </w:tcBorders>
            <w:shd w:val="clear" w:color="auto" w:fill="auto"/>
            <w:vAlign w:val="center"/>
          </w:tcPr>
          <w:p w14:paraId="26E9E6E1">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(60 / 140) × 100 = 42.86%</w:t>
            </w:r>
          </w:p>
        </w:tc>
      </w:tr>
      <w:tr w14:paraId="760015EB">
        <w:tblPrEx>
          <w:tblCellMar>
            <w:top w:w="0" w:type="dxa"/>
            <w:left w:w="108" w:type="dxa"/>
            <w:bottom w:w="0" w:type="dxa"/>
            <w:right w:w="108" w:type="dxa"/>
          </w:tblCellMar>
        </w:tblPrEx>
        <w:trPr>
          <w:trHeight w:val="507"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38C29C90">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2022</w:t>
            </w:r>
          </w:p>
        </w:tc>
        <w:tc>
          <w:tcPr>
            <w:tcW w:w="2339" w:type="dxa"/>
            <w:tcBorders>
              <w:top w:val="nil"/>
              <w:left w:val="nil"/>
              <w:bottom w:val="single" w:color="auto" w:sz="4" w:space="0"/>
              <w:right w:val="single" w:color="auto" w:sz="4" w:space="0"/>
            </w:tcBorders>
            <w:shd w:val="clear" w:color="auto" w:fill="auto"/>
            <w:vAlign w:val="center"/>
          </w:tcPr>
          <w:p w14:paraId="1CFD0E2A">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160</w:t>
            </w:r>
          </w:p>
        </w:tc>
        <w:tc>
          <w:tcPr>
            <w:tcW w:w="1914" w:type="dxa"/>
            <w:tcBorders>
              <w:top w:val="nil"/>
              <w:left w:val="nil"/>
              <w:bottom w:val="single" w:color="auto" w:sz="4" w:space="0"/>
              <w:right w:val="single" w:color="auto" w:sz="4" w:space="0"/>
            </w:tcBorders>
            <w:shd w:val="clear" w:color="auto" w:fill="auto"/>
            <w:vAlign w:val="center"/>
          </w:tcPr>
          <w:p w14:paraId="33153088">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70</w:t>
            </w:r>
          </w:p>
        </w:tc>
        <w:tc>
          <w:tcPr>
            <w:tcW w:w="2114" w:type="dxa"/>
            <w:tcBorders>
              <w:top w:val="nil"/>
              <w:left w:val="nil"/>
              <w:bottom w:val="single" w:color="auto" w:sz="4" w:space="0"/>
              <w:right w:val="single" w:color="auto" w:sz="4" w:space="0"/>
            </w:tcBorders>
            <w:shd w:val="clear" w:color="auto" w:fill="auto"/>
            <w:vAlign w:val="center"/>
          </w:tcPr>
          <w:p w14:paraId="4EF3B1FD">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(70 / 160) × 100 = 43.75%</w:t>
            </w:r>
          </w:p>
        </w:tc>
      </w:tr>
      <w:tr w14:paraId="3F5B44DB">
        <w:tblPrEx>
          <w:tblCellMar>
            <w:top w:w="0" w:type="dxa"/>
            <w:left w:w="108" w:type="dxa"/>
            <w:bottom w:w="0" w:type="dxa"/>
            <w:right w:w="108" w:type="dxa"/>
          </w:tblCellMar>
        </w:tblPrEx>
        <w:trPr>
          <w:trHeight w:val="516" w:hRule="atLeast"/>
        </w:trPr>
        <w:tc>
          <w:tcPr>
            <w:tcW w:w="1531" w:type="dxa"/>
            <w:tcBorders>
              <w:top w:val="nil"/>
              <w:left w:val="single" w:color="auto" w:sz="4" w:space="0"/>
              <w:bottom w:val="single" w:color="auto" w:sz="4" w:space="0"/>
              <w:right w:val="single" w:color="auto" w:sz="4" w:space="0"/>
            </w:tcBorders>
            <w:shd w:val="clear" w:color="auto" w:fill="auto"/>
            <w:vAlign w:val="center"/>
          </w:tcPr>
          <w:p w14:paraId="7C55BE7F">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2023</w:t>
            </w:r>
          </w:p>
        </w:tc>
        <w:tc>
          <w:tcPr>
            <w:tcW w:w="2339" w:type="dxa"/>
            <w:tcBorders>
              <w:top w:val="nil"/>
              <w:left w:val="nil"/>
              <w:bottom w:val="single" w:color="auto" w:sz="4" w:space="0"/>
              <w:right w:val="single" w:color="auto" w:sz="4" w:space="0"/>
            </w:tcBorders>
            <w:shd w:val="clear" w:color="auto" w:fill="auto"/>
            <w:vAlign w:val="center"/>
          </w:tcPr>
          <w:p w14:paraId="0079FE29">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180</w:t>
            </w:r>
          </w:p>
        </w:tc>
        <w:tc>
          <w:tcPr>
            <w:tcW w:w="1914" w:type="dxa"/>
            <w:tcBorders>
              <w:top w:val="nil"/>
              <w:left w:val="nil"/>
              <w:bottom w:val="single" w:color="auto" w:sz="4" w:space="0"/>
              <w:right w:val="single" w:color="auto" w:sz="4" w:space="0"/>
            </w:tcBorders>
            <w:shd w:val="clear" w:color="auto" w:fill="auto"/>
            <w:vAlign w:val="center"/>
          </w:tcPr>
          <w:p w14:paraId="63180D49">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85</w:t>
            </w:r>
          </w:p>
        </w:tc>
        <w:tc>
          <w:tcPr>
            <w:tcW w:w="2114" w:type="dxa"/>
            <w:tcBorders>
              <w:top w:val="nil"/>
              <w:left w:val="nil"/>
              <w:bottom w:val="single" w:color="auto" w:sz="4" w:space="0"/>
              <w:right w:val="single" w:color="auto" w:sz="4" w:space="0"/>
            </w:tcBorders>
            <w:shd w:val="clear" w:color="auto" w:fill="auto"/>
            <w:vAlign w:val="center"/>
          </w:tcPr>
          <w:p w14:paraId="2CC291AC">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(85 / 180) × 100 = 47.22%</w:t>
            </w:r>
          </w:p>
        </w:tc>
      </w:tr>
    </w:tbl>
    <w:p w14:paraId="67843EDF">
      <w:pPr>
        <w:pStyle w:val="7"/>
        <w:numPr>
          <w:ilvl w:val="0"/>
          <w:numId w:val="0"/>
        </w:numPr>
        <w:spacing w:after="160" w:line="360" w:lineRule="auto"/>
        <w:contextualSpacing/>
        <w:jc w:val="both"/>
        <w:rPr>
          <w:rFonts w:hint="default" w:ascii="Times New Roman" w:hAnsi="Times New Roman" w:cs="Times New Roman"/>
          <w:sz w:val="24"/>
          <w:szCs w:val="24"/>
        </w:rPr>
      </w:pPr>
    </w:p>
    <w:p w14:paraId="6F638DF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CEFC22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87C1E98">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02B9666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55881BC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71117380">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ascii="Arial" w:hAnsi="Arial" w:cs="Arial"/>
          <w:sz w:val="24"/>
          <w:szCs w:val="24"/>
        </w:rPr>
      </w:pPr>
      <w:r>
        <w:rPr>
          <w:rFonts w:ascii="Arial" w:hAnsi="Arial" w:cs="Arial"/>
          <w:sz w:val="24"/>
          <w:szCs w:val="24"/>
        </w:rPr>
        <w:drawing>
          <wp:inline distT="0" distB="0" distL="0" distR="0">
            <wp:extent cx="4051300" cy="2282825"/>
            <wp:effectExtent l="4445" t="4445" r="13335" b="13970"/>
            <wp:docPr id="3346151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4DBC3C3">
      <w:pPr>
        <w:tabs>
          <w:tab w:val="left" w:pos="984"/>
        </w:tabs>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14:paraId="2B3AD2BA">
      <w:pPr>
        <w:tabs>
          <w:tab w:val="left" w:pos="984"/>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Gross Profit Margin increased from *41.67%* in 2020 to *47.22%* in 2023. This consistent rise reflects the company’s improving cost management and ability to generate more profit from each unit of revenue.  The upward trend suggests better control over production costs, procurement efficiency, or improved pricing strategies.  This indicates stronger operational efficiency and a focus on value creation, which positions the company for sustained growth. The consistent improvement may also enhance investor confidence, signaling a robust core business model.</w:t>
      </w:r>
    </w:p>
    <w:p w14:paraId="0C533F7E">
      <w:pPr>
        <w:numPr>
          <w:ilvl w:val="0"/>
          <w:numId w:val="4"/>
        </w:numPr>
        <w:ind w:left="360" w:leftChars="0" w:hanging="36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OPERATING PROFIT MARGIN RATIO:</w:t>
      </w:r>
    </w:p>
    <w:tbl>
      <w:tblPr>
        <w:tblStyle w:val="3"/>
        <w:tblpPr w:leftFromText="180" w:rightFromText="180" w:vertAnchor="text" w:tblpXSpec="center" w:tblpY="1"/>
        <w:tblOverlap w:val="never"/>
        <w:tblW w:w="8339" w:type="dxa"/>
        <w:tblInd w:w="0" w:type="dxa"/>
        <w:tblLayout w:type="autofit"/>
        <w:tblCellMar>
          <w:top w:w="0" w:type="dxa"/>
          <w:left w:w="108" w:type="dxa"/>
          <w:bottom w:w="0" w:type="dxa"/>
          <w:right w:w="108" w:type="dxa"/>
        </w:tblCellMar>
      </w:tblPr>
      <w:tblGrid>
        <w:gridCol w:w="1401"/>
        <w:gridCol w:w="2142"/>
        <w:gridCol w:w="2398"/>
        <w:gridCol w:w="2398"/>
      </w:tblGrid>
      <w:tr w14:paraId="1D226094">
        <w:tblPrEx>
          <w:tblCellMar>
            <w:top w:w="0" w:type="dxa"/>
            <w:left w:w="108" w:type="dxa"/>
            <w:bottom w:w="0" w:type="dxa"/>
            <w:right w:w="108" w:type="dxa"/>
          </w:tblCellMar>
        </w:tblPrEx>
        <w:trPr>
          <w:trHeight w:val="717" w:hRule="atLeast"/>
        </w:trPr>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0B78C7A">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Year</w:t>
            </w:r>
          </w:p>
        </w:tc>
        <w:tc>
          <w:tcPr>
            <w:tcW w:w="2142" w:type="dxa"/>
            <w:tcBorders>
              <w:top w:val="single" w:color="auto" w:sz="4" w:space="0"/>
              <w:left w:val="nil"/>
              <w:bottom w:val="single" w:color="auto" w:sz="4" w:space="0"/>
              <w:right w:val="single" w:color="auto" w:sz="4" w:space="0"/>
            </w:tcBorders>
            <w:shd w:val="clear" w:color="auto" w:fill="auto"/>
            <w:vAlign w:val="center"/>
          </w:tcPr>
          <w:p w14:paraId="4C951E01">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Revenue (₹ Lakh.)</w:t>
            </w:r>
          </w:p>
        </w:tc>
        <w:tc>
          <w:tcPr>
            <w:tcW w:w="2398" w:type="dxa"/>
            <w:tcBorders>
              <w:top w:val="single" w:color="auto" w:sz="4" w:space="0"/>
              <w:left w:val="nil"/>
              <w:bottom w:val="single" w:color="auto" w:sz="4" w:space="0"/>
              <w:right w:val="single" w:color="auto" w:sz="4" w:space="0"/>
            </w:tcBorders>
            <w:shd w:val="clear" w:color="auto" w:fill="auto"/>
            <w:vAlign w:val="center"/>
          </w:tcPr>
          <w:p w14:paraId="0FACE59B">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Operating Profit (₹ Lakh.)</w:t>
            </w:r>
          </w:p>
        </w:tc>
        <w:tc>
          <w:tcPr>
            <w:tcW w:w="2398" w:type="dxa"/>
            <w:tcBorders>
              <w:top w:val="single" w:color="auto" w:sz="4" w:space="0"/>
              <w:left w:val="nil"/>
              <w:bottom w:val="single" w:color="auto" w:sz="4" w:space="0"/>
              <w:right w:val="single" w:color="auto" w:sz="4" w:space="0"/>
            </w:tcBorders>
            <w:shd w:val="clear" w:color="auto" w:fill="auto"/>
            <w:vAlign w:val="center"/>
          </w:tcPr>
          <w:p w14:paraId="76F12B98">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Operating Profit Margin (%)</w:t>
            </w:r>
          </w:p>
        </w:tc>
      </w:tr>
      <w:tr w14:paraId="1A4C8BA9">
        <w:tblPrEx>
          <w:tblCellMar>
            <w:top w:w="0" w:type="dxa"/>
            <w:left w:w="108" w:type="dxa"/>
            <w:bottom w:w="0" w:type="dxa"/>
            <w:right w:w="108" w:type="dxa"/>
          </w:tblCellMar>
        </w:tblPrEx>
        <w:trPr>
          <w:trHeight w:val="543" w:hRule="atLeast"/>
        </w:trPr>
        <w:tc>
          <w:tcPr>
            <w:tcW w:w="1401" w:type="dxa"/>
            <w:tcBorders>
              <w:top w:val="nil"/>
              <w:left w:val="single" w:color="auto" w:sz="4" w:space="0"/>
              <w:bottom w:val="single" w:color="auto" w:sz="4" w:space="0"/>
              <w:right w:val="single" w:color="auto" w:sz="4" w:space="0"/>
            </w:tcBorders>
            <w:shd w:val="clear" w:color="auto" w:fill="auto"/>
            <w:vAlign w:val="center"/>
          </w:tcPr>
          <w:p w14:paraId="4ADFD911">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2020</w:t>
            </w:r>
          </w:p>
        </w:tc>
        <w:tc>
          <w:tcPr>
            <w:tcW w:w="2142" w:type="dxa"/>
            <w:tcBorders>
              <w:top w:val="nil"/>
              <w:left w:val="nil"/>
              <w:bottom w:val="single" w:color="auto" w:sz="4" w:space="0"/>
              <w:right w:val="single" w:color="auto" w:sz="4" w:space="0"/>
            </w:tcBorders>
            <w:shd w:val="clear" w:color="auto" w:fill="auto"/>
            <w:vAlign w:val="center"/>
          </w:tcPr>
          <w:p w14:paraId="08975013">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120</w:t>
            </w:r>
          </w:p>
        </w:tc>
        <w:tc>
          <w:tcPr>
            <w:tcW w:w="2398" w:type="dxa"/>
            <w:tcBorders>
              <w:top w:val="nil"/>
              <w:left w:val="nil"/>
              <w:bottom w:val="single" w:color="auto" w:sz="4" w:space="0"/>
              <w:right w:val="single" w:color="auto" w:sz="4" w:space="0"/>
            </w:tcBorders>
            <w:shd w:val="clear" w:color="auto" w:fill="auto"/>
            <w:vAlign w:val="center"/>
          </w:tcPr>
          <w:p w14:paraId="2FE795C9">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30</w:t>
            </w:r>
          </w:p>
        </w:tc>
        <w:tc>
          <w:tcPr>
            <w:tcW w:w="2398" w:type="dxa"/>
            <w:tcBorders>
              <w:top w:val="nil"/>
              <w:left w:val="nil"/>
              <w:bottom w:val="single" w:color="auto" w:sz="4" w:space="0"/>
              <w:right w:val="single" w:color="auto" w:sz="4" w:space="0"/>
            </w:tcBorders>
            <w:shd w:val="clear" w:color="auto" w:fill="auto"/>
            <w:vAlign w:val="center"/>
          </w:tcPr>
          <w:p w14:paraId="626A124A">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(30 / 120) × 100 = 25.00%</w:t>
            </w:r>
          </w:p>
        </w:tc>
      </w:tr>
      <w:tr w14:paraId="2D543EDF">
        <w:tblPrEx>
          <w:tblCellMar>
            <w:top w:w="0" w:type="dxa"/>
            <w:left w:w="108" w:type="dxa"/>
            <w:bottom w:w="0" w:type="dxa"/>
            <w:right w:w="108" w:type="dxa"/>
          </w:tblCellMar>
        </w:tblPrEx>
        <w:trPr>
          <w:trHeight w:val="543" w:hRule="atLeast"/>
        </w:trPr>
        <w:tc>
          <w:tcPr>
            <w:tcW w:w="1401" w:type="dxa"/>
            <w:tcBorders>
              <w:top w:val="nil"/>
              <w:left w:val="single" w:color="auto" w:sz="4" w:space="0"/>
              <w:bottom w:val="single" w:color="auto" w:sz="4" w:space="0"/>
              <w:right w:val="single" w:color="auto" w:sz="4" w:space="0"/>
            </w:tcBorders>
            <w:shd w:val="clear" w:color="auto" w:fill="auto"/>
            <w:vAlign w:val="center"/>
          </w:tcPr>
          <w:p w14:paraId="05967FA8">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2021</w:t>
            </w:r>
          </w:p>
        </w:tc>
        <w:tc>
          <w:tcPr>
            <w:tcW w:w="2142" w:type="dxa"/>
            <w:tcBorders>
              <w:top w:val="nil"/>
              <w:left w:val="nil"/>
              <w:bottom w:val="single" w:color="auto" w:sz="4" w:space="0"/>
              <w:right w:val="single" w:color="auto" w:sz="4" w:space="0"/>
            </w:tcBorders>
            <w:shd w:val="clear" w:color="auto" w:fill="auto"/>
            <w:vAlign w:val="center"/>
          </w:tcPr>
          <w:p w14:paraId="79ABF86A">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140</w:t>
            </w:r>
          </w:p>
        </w:tc>
        <w:tc>
          <w:tcPr>
            <w:tcW w:w="2398" w:type="dxa"/>
            <w:tcBorders>
              <w:top w:val="nil"/>
              <w:left w:val="nil"/>
              <w:bottom w:val="single" w:color="auto" w:sz="4" w:space="0"/>
              <w:right w:val="single" w:color="auto" w:sz="4" w:space="0"/>
            </w:tcBorders>
            <w:shd w:val="clear" w:color="auto" w:fill="auto"/>
            <w:vAlign w:val="center"/>
          </w:tcPr>
          <w:p w14:paraId="5565F70A">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36</w:t>
            </w:r>
          </w:p>
        </w:tc>
        <w:tc>
          <w:tcPr>
            <w:tcW w:w="2398" w:type="dxa"/>
            <w:tcBorders>
              <w:top w:val="nil"/>
              <w:left w:val="nil"/>
              <w:bottom w:val="single" w:color="auto" w:sz="4" w:space="0"/>
              <w:right w:val="single" w:color="auto" w:sz="4" w:space="0"/>
            </w:tcBorders>
            <w:shd w:val="clear" w:color="auto" w:fill="auto"/>
            <w:vAlign w:val="center"/>
          </w:tcPr>
          <w:p w14:paraId="43C31047">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(36 / 140) × 100 = 25.71%</w:t>
            </w:r>
          </w:p>
        </w:tc>
      </w:tr>
      <w:tr w14:paraId="6CD54F69">
        <w:tblPrEx>
          <w:tblCellMar>
            <w:top w:w="0" w:type="dxa"/>
            <w:left w:w="108" w:type="dxa"/>
            <w:bottom w:w="0" w:type="dxa"/>
            <w:right w:w="108" w:type="dxa"/>
          </w:tblCellMar>
        </w:tblPrEx>
        <w:trPr>
          <w:trHeight w:val="543" w:hRule="atLeast"/>
        </w:trPr>
        <w:tc>
          <w:tcPr>
            <w:tcW w:w="1401" w:type="dxa"/>
            <w:tcBorders>
              <w:top w:val="nil"/>
              <w:left w:val="single" w:color="auto" w:sz="4" w:space="0"/>
              <w:bottom w:val="single" w:color="auto" w:sz="4" w:space="0"/>
              <w:right w:val="single" w:color="auto" w:sz="4" w:space="0"/>
            </w:tcBorders>
            <w:shd w:val="clear" w:color="auto" w:fill="auto"/>
            <w:vAlign w:val="center"/>
          </w:tcPr>
          <w:p w14:paraId="13FCCB01">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2022</w:t>
            </w:r>
          </w:p>
        </w:tc>
        <w:tc>
          <w:tcPr>
            <w:tcW w:w="2142" w:type="dxa"/>
            <w:tcBorders>
              <w:top w:val="nil"/>
              <w:left w:val="nil"/>
              <w:bottom w:val="single" w:color="auto" w:sz="4" w:space="0"/>
              <w:right w:val="single" w:color="auto" w:sz="4" w:space="0"/>
            </w:tcBorders>
            <w:shd w:val="clear" w:color="auto" w:fill="auto"/>
            <w:vAlign w:val="center"/>
          </w:tcPr>
          <w:p w14:paraId="64049E9B">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160</w:t>
            </w:r>
          </w:p>
        </w:tc>
        <w:tc>
          <w:tcPr>
            <w:tcW w:w="2398" w:type="dxa"/>
            <w:tcBorders>
              <w:top w:val="nil"/>
              <w:left w:val="nil"/>
              <w:bottom w:val="single" w:color="auto" w:sz="4" w:space="0"/>
              <w:right w:val="single" w:color="auto" w:sz="4" w:space="0"/>
            </w:tcBorders>
            <w:shd w:val="clear" w:color="auto" w:fill="auto"/>
            <w:vAlign w:val="center"/>
          </w:tcPr>
          <w:p w14:paraId="204597D2">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42</w:t>
            </w:r>
          </w:p>
        </w:tc>
        <w:tc>
          <w:tcPr>
            <w:tcW w:w="2398" w:type="dxa"/>
            <w:tcBorders>
              <w:top w:val="nil"/>
              <w:left w:val="nil"/>
              <w:bottom w:val="single" w:color="auto" w:sz="4" w:space="0"/>
              <w:right w:val="single" w:color="auto" w:sz="4" w:space="0"/>
            </w:tcBorders>
            <w:shd w:val="clear" w:color="auto" w:fill="auto"/>
            <w:vAlign w:val="center"/>
          </w:tcPr>
          <w:p w14:paraId="28DE2244">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(42 / 160) × 100 = 26.25%</w:t>
            </w:r>
          </w:p>
        </w:tc>
      </w:tr>
      <w:tr w14:paraId="35946A26">
        <w:tblPrEx>
          <w:tblCellMar>
            <w:top w:w="0" w:type="dxa"/>
            <w:left w:w="108" w:type="dxa"/>
            <w:bottom w:w="0" w:type="dxa"/>
            <w:right w:w="108" w:type="dxa"/>
          </w:tblCellMar>
        </w:tblPrEx>
        <w:trPr>
          <w:trHeight w:val="559" w:hRule="atLeast"/>
        </w:trPr>
        <w:tc>
          <w:tcPr>
            <w:tcW w:w="1401" w:type="dxa"/>
            <w:tcBorders>
              <w:top w:val="nil"/>
              <w:left w:val="single" w:color="auto" w:sz="4" w:space="0"/>
              <w:bottom w:val="single" w:color="auto" w:sz="4" w:space="0"/>
              <w:right w:val="single" w:color="auto" w:sz="4" w:space="0"/>
            </w:tcBorders>
            <w:shd w:val="clear" w:color="auto" w:fill="auto"/>
            <w:vAlign w:val="center"/>
          </w:tcPr>
          <w:p w14:paraId="4E545EA3">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2023</w:t>
            </w:r>
          </w:p>
        </w:tc>
        <w:tc>
          <w:tcPr>
            <w:tcW w:w="2142" w:type="dxa"/>
            <w:tcBorders>
              <w:top w:val="nil"/>
              <w:left w:val="nil"/>
              <w:bottom w:val="single" w:color="auto" w:sz="4" w:space="0"/>
              <w:right w:val="single" w:color="auto" w:sz="4" w:space="0"/>
            </w:tcBorders>
            <w:shd w:val="clear" w:color="auto" w:fill="auto"/>
            <w:vAlign w:val="center"/>
          </w:tcPr>
          <w:p w14:paraId="15BF77D9">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180</w:t>
            </w:r>
          </w:p>
        </w:tc>
        <w:tc>
          <w:tcPr>
            <w:tcW w:w="2398" w:type="dxa"/>
            <w:tcBorders>
              <w:top w:val="nil"/>
              <w:left w:val="nil"/>
              <w:bottom w:val="single" w:color="auto" w:sz="4" w:space="0"/>
              <w:right w:val="single" w:color="auto" w:sz="4" w:space="0"/>
            </w:tcBorders>
            <w:shd w:val="clear" w:color="auto" w:fill="auto"/>
            <w:vAlign w:val="center"/>
          </w:tcPr>
          <w:p w14:paraId="6D657122">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50</w:t>
            </w:r>
          </w:p>
        </w:tc>
        <w:tc>
          <w:tcPr>
            <w:tcW w:w="2398" w:type="dxa"/>
            <w:tcBorders>
              <w:top w:val="nil"/>
              <w:left w:val="nil"/>
              <w:bottom w:val="single" w:color="auto" w:sz="4" w:space="0"/>
              <w:right w:val="single" w:color="auto" w:sz="4" w:space="0"/>
            </w:tcBorders>
            <w:shd w:val="clear" w:color="auto" w:fill="auto"/>
            <w:vAlign w:val="center"/>
          </w:tcPr>
          <w:p w14:paraId="67B2131F">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(50 / 180) × 100 = 27.78%</w:t>
            </w:r>
          </w:p>
        </w:tc>
      </w:tr>
    </w:tbl>
    <w:p w14:paraId="406705B8">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Arial" w:hAnsi="Arial" w:cs="Arial"/>
          <w:sz w:val="24"/>
          <w:szCs w:val="24"/>
        </w:rPr>
      </w:pPr>
    </w:p>
    <w:p w14:paraId="4A310CBB">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Arial" w:hAnsi="Arial" w:cs="Arial"/>
          <w:sz w:val="24"/>
          <w:szCs w:val="24"/>
        </w:rPr>
      </w:pPr>
    </w:p>
    <w:p w14:paraId="2908423E">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Arial" w:hAnsi="Arial" w:cs="Arial"/>
          <w:sz w:val="24"/>
          <w:szCs w:val="24"/>
        </w:rPr>
      </w:pPr>
    </w:p>
    <w:p w14:paraId="74DE627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Arial" w:hAnsi="Arial" w:cs="Arial"/>
          <w:sz w:val="24"/>
          <w:szCs w:val="24"/>
        </w:rPr>
      </w:pPr>
    </w:p>
    <w:p w14:paraId="6D77B06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Arial" w:hAnsi="Arial" w:cs="Arial"/>
          <w:sz w:val="24"/>
          <w:szCs w:val="24"/>
        </w:rPr>
      </w:pPr>
    </w:p>
    <w:p w14:paraId="2784500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Arial" w:hAnsi="Arial" w:cs="Arial"/>
          <w:sz w:val="24"/>
          <w:szCs w:val="24"/>
        </w:rPr>
      </w:pPr>
    </w:p>
    <w:p w14:paraId="4AABF008">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ascii="Arial" w:hAnsi="Arial" w:cs="Arial"/>
          <w:sz w:val="24"/>
          <w:szCs w:val="24"/>
        </w:rPr>
      </w:pPr>
      <w:r>
        <w:rPr>
          <w:rFonts w:ascii="Arial" w:hAnsi="Arial" w:cs="Arial"/>
          <w:sz w:val="24"/>
          <w:szCs w:val="24"/>
        </w:rPr>
        <w:drawing>
          <wp:inline distT="0" distB="0" distL="0" distR="0">
            <wp:extent cx="4284980" cy="2298065"/>
            <wp:effectExtent l="4445" t="4445" r="8255" b="13970"/>
            <wp:docPr id="2265903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BD8DDA">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14:paraId="2FBB1FDC">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Operating Profit Margin remained consistent, growing from *33.33%* in 2020 to *36.11%* in 2023. This indicates an efficient management of day-to-day operations.The increase shows improved operational performance, likely due to cost optimization initiatives or automation processes.The margin growth highlights the company’s ability to maintain profitability from core business activities despite potential market fluctuations. This sustained operational efficiency reinforces the company’s financial stability and ability to generate stable cash flows.</w:t>
      </w:r>
    </w:p>
    <w:p w14:paraId="1A731A27">
      <w:pPr>
        <w:numPr>
          <w:ilvl w:val="0"/>
          <w:numId w:val="4"/>
        </w:numPr>
        <w:spacing w:line="360" w:lineRule="auto"/>
        <w:ind w:left="360" w:leftChars="0" w:hanging="36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FIXED ASSET RATIO:</w:t>
      </w:r>
    </w:p>
    <w:tbl>
      <w:tblPr>
        <w:tblStyle w:val="3"/>
        <w:tblpPr w:leftFromText="180" w:rightFromText="180" w:vertAnchor="text" w:tblpXSpec="center" w:tblpY="1"/>
        <w:tblOverlap w:val="never"/>
        <w:tblW w:w="8358" w:type="dxa"/>
        <w:tblInd w:w="0" w:type="dxa"/>
        <w:tblLayout w:type="autofit"/>
        <w:tblCellMar>
          <w:top w:w="0" w:type="dxa"/>
          <w:left w:w="108" w:type="dxa"/>
          <w:bottom w:w="0" w:type="dxa"/>
          <w:right w:w="108" w:type="dxa"/>
        </w:tblCellMar>
      </w:tblPr>
      <w:tblGrid>
        <w:gridCol w:w="1620"/>
        <w:gridCol w:w="2204"/>
        <w:gridCol w:w="2207"/>
        <w:gridCol w:w="2327"/>
      </w:tblGrid>
      <w:tr w14:paraId="719DA23E">
        <w:tblPrEx>
          <w:tblCellMar>
            <w:top w:w="0" w:type="dxa"/>
            <w:left w:w="108" w:type="dxa"/>
            <w:bottom w:w="0" w:type="dxa"/>
            <w:right w:w="108" w:type="dxa"/>
          </w:tblCellMar>
        </w:tblPrEx>
        <w:trPr>
          <w:trHeight w:val="731"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4CBF189E">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Year</w:t>
            </w:r>
          </w:p>
        </w:tc>
        <w:tc>
          <w:tcPr>
            <w:tcW w:w="2204" w:type="dxa"/>
            <w:tcBorders>
              <w:top w:val="single" w:color="auto" w:sz="4" w:space="0"/>
              <w:left w:val="nil"/>
              <w:bottom w:val="single" w:color="auto" w:sz="4" w:space="0"/>
              <w:right w:val="single" w:color="auto" w:sz="4" w:space="0"/>
            </w:tcBorders>
            <w:shd w:val="clear" w:color="auto" w:fill="auto"/>
            <w:vAlign w:val="center"/>
          </w:tcPr>
          <w:p w14:paraId="5A20460E">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Fixed Assets (₹ lakh.)</w:t>
            </w:r>
          </w:p>
        </w:tc>
        <w:tc>
          <w:tcPr>
            <w:tcW w:w="2207" w:type="dxa"/>
            <w:tcBorders>
              <w:top w:val="single" w:color="auto" w:sz="4" w:space="0"/>
              <w:left w:val="nil"/>
              <w:bottom w:val="single" w:color="auto" w:sz="4" w:space="0"/>
              <w:right w:val="single" w:color="auto" w:sz="4" w:space="0"/>
            </w:tcBorders>
            <w:shd w:val="clear" w:color="auto" w:fill="auto"/>
            <w:vAlign w:val="center"/>
          </w:tcPr>
          <w:p w14:paraId="232C6D11">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Long-Term Funds (₹ lakh.)</w:t>
            </w:r>
          </w:p>
        </w:tc>
        <w:tc>
          <w:tcPr>
            <w:tcW w:w="2327" w:type="dxa"/>
            <w:tcBorders>
              <w:top w:val="single" w:color="auto" w:sz="4" w:space="0"/>
              <w:left w:val="nil"/>
              <w:bottom w:val="single" w:color="auto" w:sz="4" w:space="0"/>
              <w:right w:val="single" w:color="auto" w:sz="4" w:space="0"/>
            </w:tcBorders>
            <w:shd w:val="clear" w:color="auto" w:fill="auto"/>
            <w:vAlign w:val="center"/>
          </w:tcPr>
          <w:p w14:paraId="7A60E0D1">
            <w:pPr>
              <w:spacing w:after="0" w:line="240" w:lineRule="auto"/>
              <w:jc w:val="center"/>
              <w:rPr>
                <w:rFonts w:hint="default" w:ascii="Times New Roman" w:hAnsi="Times New Roman" w:eastAsia="Times New Roman" w:cs="Times New Roman"/>
                <w:b/>
                <w:bCs/>
                <w:color w:val="000000"/>
                <w:kern w:val="0"/>
                <w:sz w:val="24"/>
                <w:szCs w:val="24"/>
                <w:lang w:eastAsia="en-IN"/>
                <w14:ligatures w14:val="none"/>
              </w:rPr>
            </w:pPr>
            <w:r>
              <w:rPr>
                <w:rFonts w:hint="default" w:ascii="Times New Roman" w:hAnsi="Times New Roman" w:eastAsia="Times New Roman" w:cs="Times New Roman"/>
                <w:b/>
                <w:bCs/>
                <w:color w:val="000000"/>
                <w:kern w:val="0"/>
                <w:sz w:val="24"/>
                <w:szCs w:val="24"/>
                <w:lang w:eastAsia="en-IN"/>
                <w14:ligatures w14:val="none"/>
              </w:rPr>
              <w:t>Fixed Asset Ratio</w:t>
            </w:r>
          </w:p>
        </w:tc>
      </w:tr>
      <w:tr w14:paraId="63D5D8F6">
        <w:tblPrEx>
          <w:tblCellMar>
            <w:top w:w="0" w:type="dxa"/>
            <w:left w:w="108" w:type="dxa"/>
            <w:bottom w:w="0" w:type="dxa"/>
            <w:right w:w="108" w:type="dxa"/>
          </w:tblCellMar>
        </w:tblPrEx>
        <w:trPr>
          <w:trHeight w:val="548"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47660927">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2020</w:t>
            </w:r>
          </w:p>
        </w:tc>
        <w:tc>
          <w:tcPr>
            <w:tcW w:w="2204" w:type="dxa"/>
            <w:tcBorders>
              <w:top w:val="nil"/>
              <w:left w:val="nil"/>
              <w:bottom w:val="single" w:color="auto" w:sz="4" w:space="0"/>
              <w:right w:val="single" w:color="auto" w:sz="4" w:space="0"/>
            </w:tcBorders>
            <w:shd w:val="clear" w:color="auto" w:fill="auto"/>
            <w:vAlign w:val="center"/>
          </w:tcPr>
          <w:p w14:paraId="3079F4E9">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140.00</w:t>
            </w:r>
          </w:p>
        </w:tc>
        <w:tc>
          <w:tcPr>
            <w:tcW w:w="2207" w:type="dxa"/>
            <w:tcBorders>
              <w:top w:val="nil"/>
              <w:left w:val="nil"/>
              <w:bottom w:val="single" w:color="auto" w:sz="4" w:space="0"/>
              <w:right w:val="single" w:color="auto" w:sz="4" w:space="0"/>
            </w:tcBorders>
            <w:shd w:val="clear" w:color="auto" w:fill="auto"/>
            <w:vAlign w:val="center"/>
          </w:tcPr>
          <w:p w14:paraId="51B55D05">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210.00</w:t>
            </w:r>
          </w:p>
        </w:tc>
        <w:tc>
          <w:tcPr>
            <w:tcW w:w="2327" w:type="dxa"/>
            <w:tcBorders>
              <w:top w:val="nil"/>
              <w:left w:val="nil"/>
              <w:bottom w:val="single" w:color="auto" w:sz="4" w:space="0"/>
              <w:right w:val="single" w:color="auto" w:sz="4" w:space="0"/>
            </w:tcBorders>
            <w:shd w:val="clear" w:color="auto" w:fill="auto"/>
            <w:vAlign w:val="center"/>
          </w:tcPr>
          <w:p w14:paraId="35BE6282">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₹140.00 / ₹210.00 = 0.67</w:t>
            </w:r>
          </w:p>
        </w:tc>
      </w:tr>
      <w:tr w14:paraId="46B1AA58">
        <w:tblPrEx>
          <w:tblCellMar>
            <w:top w:w="0" w:type="dxa"/>
            <w:left w:w="108" w:type="dxa"/>
            <w:bottom w:w="0" w:type="dxa"/>
            <w:right w:w="108" w:type="dxa"/>
          </w:tblCellMar>
        </w:tblPrEx>
        <w:trPr>
          <w:trHeight w:val="548"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1DF13700">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2021</w:t>
            </w:r>
          </w:p>
        </w:tc>
        <w:tc>
          <w:tcPr>
            <w:tcW w:w="2204" w:type="dxa"/>
            <w:tcBorders>
              <w:top w:val="nil"/>
              <w:left w:val="nil"/>
              <w:bottom w:val="single" w:color="auto" w:sz="4" w:space="0"/>
              <w:right w:val="single" w:color="auto" w:sz="4" w:space="0"/>
            </w:tcBorders>
            <w:shd w:val="clear" w:color="auto" w:fill="auto"/>
            <w:vAlign w:val="center"/>
          </w:tcPr>
          <w:p w14:paraId="49D7C87A">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148.50</w:t>
            </w:r>
          </w:p>
        </w:tc>
        <w:tc>
          <w:tcPr>
            <w:tcW w:w="2207" w:type="dxa"/>
            <w:tcBorders>
              <w:top w:val="nil"/>
              <w:left w:val="nil"/>
              <w:bottom w:val="single" w:color="auto" w:sz="4" w:space="0"/>
              <w:right w:val="single" w:color="auto" w:sz="4" w:space="0"/>
            </w:tcBorders>
            <w:shd w:val="clear" w:color="auto" w:fill="auto"/>
            <w:vAlign w:val="center"/>
          </w:tcPr>
          <w:p w14:paraId="7632C31D">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220.00</w:t>
            </w:r>
          </w:p>
        </w:tc>
        <w:tc>
          <w:tcPr>
            <w:tcW w:w="2327" w:type="dxa"/>
            <w:tcBorders>
              <w:top w:val="nil"/>
              <w:left w:val="nil"/>
              <w:bottom w:val="single" w:color="auto" w:sz="4" w:space="0"/>
              <w:right w:val="single" w:color="auto" w:sz="4" w:space="0"/>
            </w:tcBorders>
            <w:shd w:val="clear" w:color="auto" w:fill="auto"/>
            <w:vAlign w:val="center"/>
          </w:tcPr>
          <w:p w14:paraId="147424BA">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₹148.50 / ₹220.00 = 0.68</w:t>
            </w:r>
          </w:p>
        </w:tc>
      </w:tr>
      <w:tr w14:paraId="4E3BEAFF">
        <w:tblPrEx>
          <w:tblCellMar>
            <w:top w:w="0" w:type="dxa"/>
            <w:left w:w="108" w:type="dxa"/>
            <w:bottom w:w="0" w:type="dxa"/>
            <w:right w:w="108" w:type="dxa"/>
          </w:tblCellMar>
        </w:tblPrEx>
        <w:trPr>
          <w:trHeight w:val="548"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28E0C358">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2022</w:t>
            </w:r>
          </w:p>
        </w:tc>
        <w:tc>
          <w:tcPr>
            <w:tcW w:w="2204" w:type="dxa"/>
            <w:tcBorders>
              <w:top w:val="nil"/>
              <w:left w:val="nil"/>
              <w:bottom w:val="single" w:color="auto" w:sz="4" w:space="0"/>
              <w:right w:val="single" w:color="auto" w:sz="4" w:space="0"/>
            </w:tcBorders>
            <w:shd w:val="clear" w:color="auto" w:fill="auto"/>
            <w:vAlign w:val="center"/>
          </w:tcPr>
          <w:p w14:paraId="51B2C47C">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158.00</w:t>
            </w:r>
          </w:p>
        </w:tc>
        <w:tc>
          <w:tcPr>
            <w:tcW w:w="2207" w:type="dxa"/>
            <w:tcBorders>
              <w:top w:val="nil"/>
              <w:left w:val="nil"/>
              <w:bottom w:val="single" w:color="auto" w:sz="4" w:space="0"/>
              <w:right w:val="single" w:color="auto" w:sz="4" w:space="0"/>
            </w:tcBorders>
            <w:shd w:val="clear" w:color="auto" w:fill="auto"/>
            <w:vAlign w:val="center"/>
          </w:tcPr>
          <w:p w14:paraId="5228A7C1">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230.00</w:t>
            </w:r>
          </w:p>
        </w:tc>
        <w:tc>
          <w:tcPr>
            <w:tcW w:w="2327" w:type="dxa"/>
            <w:tcBorders>
              <w:top w:val="nil"/>
              <w:left w:val="nil"/>
              <w:bottom w:val="single" w:color="auto" w:sz="4" w:space="0"/>
              <w:right w:val="single" w:color="auto" w:sz="4" w:space="0"/>
            </w:tcBorders>
            <w:shd w:val="clear" w:color="auto" w:fill="auto"/>
            <w:vAlign w:val="center"/>
          </w:tcPr>
          <w:p w14:paraId="7CB887BA">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₹158.00 / ₹230.00 = 0.69</w:t>
            </w:r>
          </w:p>
        </w:tc>
      </w:tr>
      <w:tr w14:paraId="66D3018C">
        <w:tblPrEx>
          <w:tblCellMar>
            <w:top w:w="0" w:type="dxa"/>
            <w:left w:w="108" w:type="dxa"/>
            <w:bottom w:w="0" w:type="dxa"/>
            <w:right w:w="108" w:type="dxa"/>
          </w:tblCellMar>
        </w:tblPrEx>
        <w:trPr>
          <w:trHeight w:val="548" w:hRule="atLeast"/>
        </w:trPr>
        <w:tc>
          <w:tcPr>
            <w:tcW w:w="1620" w:type="dxa"/>
            <w:tcBorders>
              <w:top w:val="nil"/>
              <w:left w:val="single" w:color="auto" w:sz="4" w:space="0"/>
              <w:bottom w:val="single" w:color="auto" w:sz="4" w:space="0"/>
              <w:right w:val="single" w:color="auto" w:sz="4" w:space="0"/>
            </w:tcBorders>
            <w:shd w:val="clear" w:color="auto" w:fill="auto"/>
            <w:vAlign w:val="center"/>
          </w:tcPr>
          <w:p w14:paraId="6BB31F5C">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2023</w:t>
            </w:r>
          </w:p>
        </w:tc>
        <w:tc>
          <w:tcPr>
            <w:tcW w:w="2204" w:type="dxa"/>
            <w:tcBorders>
              <w:top w:val="nil"/>
              <w:left w:val="nil"/>
              <w:bottom w:val="single" w:color="auto" w:sz="4" w:space="0"/>
              <w:right w:val="single" w:color="auto" w:sz="4" w:space="0"/>
            </w:tcBorders>
            <w:shd w:val="clear" w:color="auto" w:fill="auto"/>
            <w:vAlign w:val="center"/>
          </w:tcPr>
          <w:p w14:paraId="51C70DBF">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170.00</w:t>
            </w:r>
          </w:p>
        </w:tc>
        <w:tc>
          <w:tcPr>
            <w:tcW w:w="2207" w:type="dxa"/>
            <w:tcBorders>
              <w:top w:val="nil"/>
              <w:left w:val="nil"/>
              <w:bottom w:val="single" w:color="auto" w:sz="4" w:space="0"/>
              <w:right w:val="single" w:color="auto" w:sz="4" w:space="0"/>
            </w:tcBorders>
            <w:shd w:val="clear" w:color="auto" w:fill="auto"/>
            <w:vAlign w:val="center"/>
          </w:tcPr>
          <w:p w14:paraId="5C674601">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240.00</w:t>
            </w:r>
          </w:p>
        </w:tc>
        <w:tc>
          <w:tcPr>
            <w:tcW w:w="2327" w:type="dxa"/>
            <w:tcBorders>
              <w:top w:val="nil"/>
              <w:left w:val="nil"/>
              <w:bottom w:val="single" w:color="auto" w:sz="4" w:space="0"/>
              <w:right w:val="single" w:color="auto" w:sz="4" w:space="0"/>
            </w:tcBorders>
            <w:shd w:val="clear" w:color="auto" w:fill="auto"/>
            <w:vAlign w:val="center"/>
          </w:tcPr>
          <w:p w14:paraId="00F58A9B">
            <w:pPr>
              <w:spacing w:after="0" w:line="24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₹170.00 / ₹240.00 = 0.71</w:t>
            </w:r>
          </w:p>
        </w:tc>
      </w:tr>
    </w:tbl>
    <w:p w14:paraId="374F68E8">
      <w:pPr>
        <w:spacing w:line="360" w:lineRule="auto"/>
        <w:jc w:val="both"/>
        <w:rPr>
          <w:rFonts w:hint="default" w:ascii="Times New Roman" w:hAnsi="Times New Roman" w:cs="Times New Roman"/>
          <w:sz w:val="24"/>
          <w:szCs w:val="24"/>
        </w:rPr>
      </w:pPr>
    </w:p>
    <w:p w14:paraId="0C4E7C6E">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Arial" w:hAnsi="Arial" w:cs="Arial"/>
          <w:sz w:val="24"/>
          <w:szCs w:val="24"/>
        </w:rPr>
      </w:pPr>
      <w:r>
        <w:rPr>
          <w:rFonts w:hint="default" w:ascii="Arial" w:hAnsi="Arial" w:cs="Arial"/>
          <w:sz w:val="24"/>
          <w:szCs w:val="24"/>
        </w:rPr>
        <w:br w:type="textWrapping"/>
      </w:r>
    </w:p>
    <w:p w14:paraId="42457731">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Arial" w:hAnsi="Arial" w:cs="Arial"/>
          <w:sz w:val="24"/>
          <w:szCs w:val="24"/>
        </w:rPr>
      </w:pPr>
    </w:p>
    <w:p w14:paraId="1AE4825D">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Arial" w:hAnsi="Arial" w:cs="Arial"/>
          <w:sz w:val="24"/>
          <w:szCs w:val="24"/>
        </w:rPr>
      </w:pPr>
    </w:p>
    <w:p w14:paraId="5A610C0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Arial" w:hAnsi="Arial" w:cs="Arial"/>
          <w:sz w:val="24"/>
          <w:szCs w:val="24"/>
        </w:rPr>
      </w:pPr>
    </w:p>
    <w:p w14:paraId="7495771D">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ascii="Arial" w:hAnsi="Arial" w:cs="Arial"/>
          <w:sz w:val="24"/>
          <w:szCs w:val="24"/>
        </w:rPr>
      </w:pPr>
      <w:r>
        <w:rPr>
          <w:rFonts w:ascii="Arial" w:hAnsi="Arial" w:cs="Arial"/>
          <w:sz w:val="24"/>
          <w:szCs w:val="24"/>
        </w:rPr>
        <w:drawing>
          <wp:inline distT="0" distB="0" distL="0" distR="0">
            <wp:extent cx="4172585" cy="2388235"/>
            <wp:effectExtent l="4445" t="4445" r="13970" b="15240"/>
            <wp:docPr id="37158715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5381F6">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14:paraId="03936E91">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Fixed Asset Ratio remained consistent at around *0.52*, showing that approximately 52% of long-term funds are invested in fixed assets.This reflects an optimal and stable allocation of resources toward operational and productive assets. The ratio indicates that the company maintains sufficient flexibility in fund utilization, balancing fixed and current investments.This balance ensures operational growth while maintaining liquidity for other strategic investments.</w:t>
      </w:r>
    </w:p>
    <w:p w14:paraId="4230C845">
      <w:pPr>
        <w:numPr>
          <w:ilvl w:val="0"/>
          <w:numId w:val="4"/>
        </w:numPr>
        <w:spacing w:after="0" w:line="360" w:lineRule="auto"/>
        <w:ind w:left="360" w:leftChars="0" w:hanging="360" w:firstLineChars="0"/>
        <w:jc w:val="both"/>
        <w:rPr>
          <w:rFonts w:hint="default" w:ascii="Times New Roman" w:hAnsi="Times New Roman" w:cs="Times New Roman"/>
          <w:sz w:val="24"/>
          <w:szCs w:val="24"/>
        </w:rPr>
      </w:pPr>
      <w:bookmarkStart w:id="0" w:name="_Hlk193496304"/>
      <w:r>
        <w:rPr>
          <w:rFonts w:hint="default" w:ascii="Times New Roman" w:hAnsi="Times New Roman" w:eastAsia="Times New Roman" w:cs="Times New Roman"/>
          <w:b/>
          <w:bCs/>
          <w:color w:val="000000"/>
          <w:kern w:val="0"/>
          <w:sz w:val="24"/>
          <w:szCs w:val="24"/>
          <w:lang w:eastAsia="en-IN"/>
          <w14:ligatures w14:val="none"/>
        </w:rPr>
        <w:t>Which area do you believe has the most potential for cost reduction in your organization?</w:t>
      </w:r>
      <w:bookmarkEnd w:id="0"/>
    </w:p>
    <w:p w14:paraId="1D08BAC6">
      <w:pPr>
        <w:numPr>
          <w:ilvl w:val="0"/>
          <w:numId w:val="0"/>
        </w:numPr>
        <w:spacing w:after="0" w:line="360" w:lineRule="auto"/>
        <w:ind w:leftChars="0"/>
        <w:jc w:val="both"/>
        <w:rPr>
          <w:rFonts w:hint="default" w:ascii="Times New Roman" w:hAnsi="Times New Roman" w:cs="Times New Roman"/>
          <w:sz w:val="15"/>
          <w:szCs w:val="15"/>
        </w:rPr>
      </w:pPr>
    </w:p>
    <w:tbl>
      <w:tblPr>
        <w:tblStyle w:val="3"/>
        <w:tblW w:w="6617" w:type="dxa"/>
        <w:jc w:val="center"/>
        <w:tblLayout w:type="autofit"/>
        <w:tblCellMar>
          <w:top w:w="0" w:type="dxa"/>
          <w:left w:w="108" w:type="dxa"/>
          <w:bottom w:w="0" w:type="dxa"/>
          <w:right w:w="108" w:type="dxa"/>
        </w:tblCellMar>
      </w:tblPr>
      <w:tblGrid>
        <w:gridCol w:w="3550"/>
        <w:gridCol w:w="1897"/>
        <w:gridCol w:w="1170"/>
      </w:tblGrid>
      <w:tr w14:paraId="31DDB679">
        <w:tblPrEx>
          <w:tblCellMar>
            <w:top w:w="0" w:type="dxa"/>
            <w:left w:w="108" w:type="dxa"/>
            <w:bottom w:w="0" w:type="dxa"/>
            <w:right w:w="108" w:type="dxa"/>
          </w:tblCellMar>
        </w:tblPrEx>
        <w:trPr>
          <w:trHeight w:val="366" w:hRule="atLeast"/>
          <w:jc w:val="center"/>
        </w:trPr>
        <w:tc>
          <w:tcPr>
            <w:tcW w:w="3550" w:type="dxa"/>
            <w:tcBorders>
              <w:top w:val="single" w:color="auto" w:sz="4" w:space="0"/>
              <w:left w:val="single" w:color="auto" w:sz="4" w:space="0"/>
              <w:bottom w:val="single" w:color="auto" w:sz="4" w:space="0"/>
              <w:right w:val="nil"/>
            </w:tcBorders>
            <w:shd w:val="clear" w:color="auto" w:fill="auto"/>
            <w:noWrap/>
            <w:vAlign w:val="bottom"/>
          </w:tcPr>
          <w:p w14:paraId="647FCC77">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bookmarkStart w:id="1" w:name="_Hlk193496340"/>
            <w:r>
              <w:rPr>
                <w:rFonts w:hint="default" w:ascii="Times New Roman" w:hAnsi="Times New Roman" w:eastAsia="Times New Roman" w:cs="Times New Roman"/>
                <w:color w:val="000000"/>
                <w:kern w:val="0"/>
                <w:sz w:val="24"/>
                <w:szCs w:val="24"/>
                <w:lang w:eastAsia="en-IN"/>
                <w14:ligatures w14:val="none"/>
              </w:rPr>
              <w:t>Operational expenses</w:t>
            </w:r>
          </w:p>
        </w:tc>
        <w:tc>
          <w:tcPr>
            <w:tcW w:w="18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D3E36D">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26.25%</w:t>
            </w:r>
          </w:p>
        </w:tc>
        <w:tc>
          <w:tcPr>
            <w:tcW w:w="1170" w:type="dxa"/>
            <w:tcBorders>
              <w:top w:val="single" w:color="auto" w:sz="4" w:space="0"/>
              <w:left w:val="nil"/>
              <w:bottom w:val="single" w:color="auto" w:sz="4" w:space="0"/>
              <w:right w:val="single" w:color="auto" w:sz="4" w:space="0"/>
            </w:tcBorders>
            <w:shd w:val="clear" w:color="auto" w:fill="auto"/>
            <w:noWrap/>
            <w:vAlign w:val="bottom"/>
          </w:tcPr>
          <w:p w14:paraId="7CC8792D">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21</w:t>
            </w:r>
          </w:p>
        </w:tc>
      </w:tr>
      <w:tr w14:paraId="02CB0F9D">
        <w:tblPrEx>
          <w:tblCellMar>
            <w:top w:w="0" w:type="dxa"/>
            <w:left w:w="108" w:type="dxa"/>
            <w:bottom w:w="0" w:type="dxa"/>
            <w:right w:w="108" w:type="dxa"/>
          </w:tblCellMar>
        </w:tblPrEx>
        <w:trPr>
          <w:trHeight w:val="366" w:hRule="atLeast"/>
          <w:jc w:val="center"/>
        </w:trPr>
        <w:tc>
          <w:tcPr>
            <w:tcW w:w="3550" w:type="dxa"/>
            <w:tcBorders>
              <w:top w:val="nil"/>
              <w:left w:val="single" w:color="auto" w:sz="4" w:space="0"/>
              <w:bottom w:val="single" w:color="auto" w:sz="4" w:space="0"/>
              <w:right w:val="nil"/>
            </w:tcBorders>
            <w:shd w:val="clear" w:color="auto" w:fill="auto"/>
            <w:noWrap/>
            <w:vAlign w:val="bottom"/>
          </w:tcPr>
          <w:p w14:paraId="21AE1501">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Supply chain management</w:t>
            </w:r>
          </w:p>
        </w:tc>
        <w:tc>
          <w:tcPr>
            <w:tcW w:w="1897" w:type="dxa"/>
            <w:tcBorders>
              <w:top w:val="nil"/>
              <w:left w:val="single" w:color="auto" w:sz="4" w:space="0"/>
              <w:bottom w:val="single" w:color="auto" w:sz="4" w:space="0"/>
              <w:right w:val="single" w:color="auto" w:sz="4" w:space="0"/>
            </w:tcBorders>
            <w:shd w:val="clear" w:color="auto" w:fill="auto"/>
            <w:noWrap/>
            <w:vAlign w:val="bottom"/>
          </w:tcPr>
          <w:p w14:paraId="2E68810F">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22.5%</w:t>
            </w:r>
          </w:p>
        </w:tc>
        <w:tc>
          <w:tcPr>
            <w:tcW w:w="1170" w:type="dxa"/>
            <w:tcBorders>
              <w:top w:val="nil"/>
              <w:left w:val="nil"/>
              <w:bottom w:val="single" w:color="auto" w:sz="4" w:space="0"/>
              <w:right w:val="single" w:color="auto" w:sz="4" w:space="0"/>
            </w:tcBorders>
            <w:shd w:val="clear" w:color="auto" w:fill="auto"/>
            <w:noWrap/>
            <w:vAlign w:val="bottom"/>
          </w:tcPr>
          <w:p w14:paraId="7A2BF10A">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18</w:t>
            </w:r>
          </w:p>
        </w:tc>
      </w:tr>
      <w:tr w14:paraId="28B57C5C">
        <w:tblPrEx>
          <w:tblCellMar>
            <w:top w:w="0" w:type="dxa"/>
            <w:left w:w="108" w:type="dxa"/>
            <w:bottom w:w="0" w:type="dxa"/>
            <w:right w:w="108" w:type="dxa"/>
          </w:tblCellMar>
        </w:tblPrEx>
        <w:trPr>
          <w:trHeight w:val="366" w:hRule="atLeast"/>
          <w:jc w:val="center"/>
        </w:trPr>
        <w:tc>
          <w:tcPr>
            <w:tcW w:w="3550" w:type="dxa"/>
            <w:tcBorders>
              <w:top w:val="nil"/>
              <w:left w:val="single" w:color="auto" w:sz="4" w:space="0"/>
              <w:bottom w:val="single" w:color="auto" w:sz="4" w:space="0"/>
              <w:right w:val="nil"/>
            </w:tcBorders>
            <w:shd w:val="clear" w:color="auto" w:fill="auto"/>
            <w:noWrap/>
            <w:vAlign w:val="bottom"/>
          </w:tcPr>
          <w:p w14:paraId="43229AA1">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Employee salaries</w:t>
            </w:r>
          </w:p>
        </w:tc>
        <w:tc>
          <w:tcPr>
            <w:tcW w:w="1897" w:type="dxa"/>
            <w:tcBorders>
              <w:top w:val="nil"/>
              <w:left w:val="single" w:color="auto" w:sz="4" w:space="0"/>
              <w:bottom w:val="single" w:color="auto" w:sz="4" w:space="0"/>
              <w:right w:val="single" w:color="auto" w:sz="4" w:space="0"/>
            </w:tcBorders>
            <w:shd w:val="clear" w:color="auto" w:fill="auto"/>
            <w:noWrap/>
            <w:vAlign w:val="bottom"/>
          </w:tcPr>
          <w:p w14:paraId="2192ECDB">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37.5%</w:t>
            </w:r>
          </w:p>
        </w:tc>
        <w:tc>
          <w:tcPr>
            <w:tcW w:w="1170" w:type="dxa"/>
            <w:tcBorders>
              <w:top w:val="nil"/>
              <w:left w:val="nil"/>
              <w:bottom w:val="single" w:color="auto" w:sz="4" w:space="0"/>
              <w:right w:val="single" w:color="auto" w:sz="4" w:space="0"/>
            </w:tcBorders>
            <w:shd w:val="clear" w:color="auto" w:fill="auto"/>
            <w:noWrap/>
            <w:vAlign w:val="bottom"/>
          </w:tcPr>
          <w:p w14:paraId="1C955A4A">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30</w:t>
            </w:r>
          </w:p>
        </w:tc>
      </w:tr>
      <w:tr w14:paraId="3B07D9CF">
        <w:tblPrEx>
          <w:tblCellMar>
            <w:top w:w="0" w:type="dxa"/>
            <w:left w:w="108" w:type="dxa"/>
            <w:bottom w:w="0" w:type="dxa"/>
            <w:right w:w="108" w:type="dxa"/>
          </w:tblCellMar>
        </w:tblPrEx>
        <w:trPr>
          <w:trHeight w:val="366" w:hRule="atLeast"/>
          <w:jc w:val="center"/>
        </w:trPr>
        <w:tc>
          <w:tcPr>
            <w:tcW w:w="3550" w:type="dxa"/>
            <w:tcBorders>
              <w:top w:val="nil"/>
              <w:left w:val="single" w:color="auto" w:sz="4" w:space="0"/>
              <w:bottom w:val="single" w:color="auto" w:sz="4" w:space="0"/>
              <w:right w:val="single" w:color="auto" w:sz="4" w:space="0"/>
            </w:tcBorders>
            <w:shd w:val="clear" w:color="auto" w:fill="auto"/>
            <w:noWrap/>
            <w:vAlign w:val="bottom"/>
          </w:tcPr>
          <w:p w14:paraId="5570A718">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Marketing and advertising</w:t>
            </w:r>
          </w:p>
        </w:tc>
        <w:tc>
          <w:tcPr>
            <w:tcW w:w="1897" w:type="dxa"/>
            <w:tcBorders>
              <w:top w:val="nil"/>
              <w:left w:val="nil"/>
              <w:bottom w:val="single" w:color="auto" w:sz="4" w:space="0"/>
              <w:right w:val="single" w:color="auto" w:sz="4" w:space="0"/>
            </w:tcBorders>
            <w:shd w:val="clear" w:color="auto" w:fill="auto"/>
            <w:noWrap/>
            <w:vAlign w:val="bottom"/>
          </w:tcPr>
          <w:p w14:paraId="5DC71D1B">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13.75%</w:t>
            </w:r>
          </w:p>
        </w:tc>
        <w:tc>
          <w:tcPr>
            <w:tcW w:w="1170" w:type="dxa"/>
            <w:tcBorders>
              <w:top w:val="nil"/>
              <w:left w:val="nil"/>
              <w:bottom w:val="single" w:color="auto" w:sz="4" w:space="0"/>
              <w:right w:val="single" w:color="auto" w:sz="4" w:space="0"/>
            </w:tcBorders>
            <w:shd w:val="clear" w:color="auto" w:fill="auto"/>
            <w:noWrap/>
            <w:vAlign w:val="bottom"/>
          </w:tcPr>
          <w:p w14:paraId="3AB48966">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11</w:t>
            </w:r>
          </w:p>
        </w:tc>
      </w:tr>
      <w:bookmarkEnd w:id="1"/>
    </w:tbl>
    <w:p w14:paraId="2062219E">
      <w:pPr>
        <w:spacing w:line="360" w:lineRule="auto"/>
        <w:jc w:val="both"/>
        <w:rPr>
          <w:rFonts w:hint="default" w:ascii="Arial" w:hAnsi="Arial" w:cs="Arial"/>
          <w:sz w:val="4"/>
          <w:szCs w:val="4"/>
          <w:lang w:val="en-US"/>
        </w:rPr>
      </w:pPr>
      <w:r>
        <w:rPr>
          <w:rFonts w:hint="default" w:ascii="Arial" w:hAnsi="Arial" w:cs="Arial"/>
          <w:sz w:val="24"/>
          <w:szCs w:val="24"/>
          <w:lang w:val="en-US"/>
        </w:rPr>
        <w:t xml:space="preserve">  </w:t>
      </w:r>
    </w:p>
    <w:p w14:paraId="1C33C4F5">
      <w:pPr>
        <w:spacing w:line="360" w:lineRule="auto"/>
        <w:jc w:val="both"/>
        <w:rPr>
          <w:rFonts w:hint="default" w:ascii="Times New Roman" w:hAnsi="Times New Roman" w:cs="Times New Roman"/>
          <w:b/>
          <w:bCs/>
          <w:sz w:val="24"/>
          <w:szCs w:val="24"/>
        </w:rPr>
      </w:pPr>
      <w:r>
        <w:rPr>
          <w:rFonts w:hint="default" w:ascii="Arial" w:hAnsi="Arial" w:cs="Arial"/>
          <w:sz w:val="24"/>
          <w:szCs w:val="24"/>
          <w:lang w:val="en-US"/>
        </w:rPr>
        <w:t xml:space="preserve">                                      </w:t>
      </w:r>
      <w:r>
        <w:rPr>
          <w:rFonts w:ascii="Arial" w:hAnsi="Arial" w:cs="Arial"/>
          <w:sz w:val="24"/>
          <w:szCs w:val="24"/>
        </w:rPr>
        <w:drawing>
          <wp:inline distT="0" distB="0" distL="0" distR="0">
            <wp:extent cx="2940050" cy="1918335"/>
            <wp:effectExtent l="4445" t="4445" r="12065" b="12700"/>
            <wp:docPr id="8401140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Arial" w:hAnsi="Arial" w:cs="Arial"/>
          <w:sz w:val="24"/>
          <w:szCs w:val="24"/>
        </w:rPr>
        <w:br w:type="textWrapping"/>
      </w:r>
      <w:r>
        <w:rPr>
          <w:rFonts w:hint="default" w:ascii="Times New Roman" w:hAnsi="Times New Roman" w:cs="Times New Roman"/>
          <w:b/>
          <w:bCs/>
          <w:sz w:val="24"/>
          <w:szCs w:val="24"/>
        </w:rPr>
        <w:t>Inference:</w:t>
      </w:r>
    </w:p>
    <w:p w14:paraId="09179A4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It seems employee salaries have the highest allocation, with a percentage of 37.5 and a score of 30. If salary adjustments are not feasible or advisable, exploring operational expenses (26.25%) or supply chain management (22.5%) might be worthwhile alternatives for optimization. Marketing and advertising, while representing the smallest share (13.75%), could still provide opportunities for strategic realignment.</w:t>
      </w:r>
    </w:p>
    <w:p w14:paraId="44B6B3E3">
      <w:pPr>
        <w:numPr>
          <w:ilvl w:val="0"/>
          <w:numId w:val="4"/>
        </w:numPr>
        <w:spacing w:after="0" w:line="360" w:lineRule="auto"/>
        <w:ind w:left="360" w:leftChars="0" w:hanging="360" w:firstLineChars="0"/>
        <w:jc w:val="both"/>
        <w:rPr>
          <w:rFonts w:hint="default" w:ascii="Times New Roman" w:hAnsi="Times New Roman" w:eastAsia="Times New Roman" w:cs="Times New Roman"/>
          <w:b/>
          <w:bCs/>
          <w:color w:val="000000"/>
          <w:kern w:val="0"/>
          <w:sz w:val="24"/>
          <w:szCs w:val="24"/>
          <w:lang w:eastAsia="en-IN"/>
          <w14:ligatures w14:val="none"/>
        </w:rPr>
      </w:pPr>
      <w:bookmarkStart w:id="2" w:name="_Hlk193496615"/>
      <w:r>
        <w:rPr>
          <w:rFonts w:hint="default" w:ascii="Times New Roman" w:hAnsi="Times New Roman" w:eastAsia="Times New Roman" w:cs="Times New Roman"/>
          <w:b/>
          <w:bCs/>
          <w:color w:val="000000"/>
          <w:kern w:val="0"/>
          <w:sz w:val="24"/>
          <w:szCs w:val="24"/>
          <w:lang w:eastAsia="en-IN"/>
          <w14:ligatures w14:val="none"/>
        </w:rPr>
        <w:t xml:space="preserve">What is the biggest challenge your organization faces in managing costs effectively? </w:t>
      </w:r>
    </w:p>
    <w:bookmarkEnd w:id="2"/>
    <w:tbl>
      <w:tblPr>
        <w:tblStyle w:val="3"/>
        <w:tblW w:w="6617" w:type="dxa"/>
        <w:jc w:val="center"/>
        <w:tblLayout w:type="autofit"/>
        <w:tblCellMar>
          <w:top w:w="0" w:type="dxa"/>
          <w:left w:w="108" w:type="dxa"/>
          <w:bottom w:w="0" w:type="dxa"/>
          <w:right w:w="108" w:type="dxa"/>
        </w:tblCellMar>
      </w:tblPr>
      <w:tblGrid>
        <w:gridCol w:w="3225"/>
        <w:gridCol w:w="2222"/>
        <w:gridCol w:w="1170"/>
      </w:tblGrid>
      <w:tr w14:paraId="097853CD">
        <w:tblPrEx>
          <w:tblCellMar>
            <w:top w:w="0" w:type="dxa"/>
            <w:left w:w="108" w:type="dxa"/>
            <w:bottom w:w="0" w:type="dxa"/>
            <w:right w:w="108" w:type="dxa"/>
          </w:tblCellMar>
        </w:tblPrEx>
        <w:trPr>
          <w:trHeight w:val="575" w:hRule="atLeast"/>
          <w:jc w:val="center"/>
        </w:trPr>
        <w:tc>
          <w:tcPr>
            <w:tcW w:w="322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B21BBA">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bookmarkStart w:id="3" w:name="_Hlk193496695"/>
            <w:r>
              <w:rPr>
                <w:rFonts w:hint="default" w:ascii="Times New Roman" w:hAnsi="Times New Roman" w:eastAsia="Times New Roman" w:cs="Times New Roman"/>
                <w:color w:val="000000"/>
                <w:kern w:val="0"/>
                <w:sz w:val="24"/>
                <w:szCs w:val="24"/>
                <w:lang w:eastAsia="en-IN"/>
                <w14:ligatures w14:val="none"/>
              </w:rPr>
              <w:t>Lack of accurate data</w:t>
            </w:r>
          </w:p>
        </w:tc>
        <w:tc>
          <w:tcPr>
            <w:tcW w:w="2222" w:type="dxa"/>
            <w:tcBorders>
              <w:top w:val="single" w:color="auto" w:sz="4" w:space="0"/>
              <w:left w:val="nil"/>
              <w:bottom w:val="single" w:color="auto" w:sz="4" w:space="0"/>
              <w:right w:val="single" w:color="auto" w:sz="4" w:space="0"/>
            </w:tcBorders>
            <w:shd w:val="clear" w:color="auto" w:fill="auto"/>
            <w:noWrap/>
            <w:vAlign w:val="bottom"/>
          </w:tcPr>
          <w:p w14:paraId="4FDEA16F">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17.5%</w:t>
            </w:r>
          </w:p>
        </w:tc>
        <w:tc>
          <w:tcPr>
            <w:tcW w:w="1170" w:type="dxa"/>
            <w:tcBorders>
              <w:top w:val="single" w:color="auto" w:sz="4" w:space="0"/>
              <w:left w:val="nil"/>
              <w:bottom w:val="single" w:color="auto" w:sz="4" w:space="0"/>
              <w:right w:val="single" w:color="auto" w:sz="4" w:space="0"/>
            </w:tcBorders>
            <w:shd w:val="clear" w:color="auto" w:fill="auto"/>
            <w:noWrap/>
            <w:vAlign w:val="bottom"/>
          </w:tcPr>
          <w:p w14:paraId="2AE40AA0">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14</w:t>
            </w:r>
          </w:p>
        </w:tc>
      </w:tr>
      <w:tr w14:paraId="67035E16">
        <w:tblPrEx>
          <w:tblCellMar>
            <w:top w:w="0" w:type="dxa"/>
            <w:left w:w="108" w:type="dxa"/>
            <w:bottom w:w="0" w:type="dxa"/>
            <w:right w:w="108" w:type="dxa"/>
          </w:tblCellMar>
        </w:tblPrEx>
        <w:trPr>
          <w:trHeight w:val="575"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bottom"/>
          </w:tcPr>
          <w:p w14:paraId="6833915F">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Resistance to change</w:t>
            </w:r>
          </w:p>
        </w:tc>
        <w:tc>
          <w:tcPr>
            <w:tcW w:w="2222" w:type="dxa"/>
            <w:tcBorders>
              <w:top w:val="nil"/>
              <w:left w:val="nil"/>
              <w:bottom w:val="single" w:color="auto" w:sz="4" w:space="0"/>
              <w:right w:val="single" w:color="auto" w:sz="4" w:space="0"/>
            </w:tcBorders>
            <w:shd w:val="clear" w:color="auto" w:fill="auto"/>
            <w:noWrap/>
            <w:vAlign w:val="bottom"/>
          </w:tcPr>
          <w:p w14:paraId="1D5CE8AB">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45%</w:t>
            </w:r>
          </w:p>
        </w:tc>
        <w:tc>
          <w:tcPr>
            <w:tcW w:w="1170" w:type="dxa"/>
            <w:tcBorders>
              <w:top w:val="nil"/>
              <w:left w:val="nil"/>
              <w:bottom w:val="single" w:color="auto" w:sz="4" w:space="0"/>
              <w:right w:val="single" w:color="auto" w:sz="4" w:space="0"/>
            </w:tcBorders>
            <w:shd w:val="clear" w:color="auto" w:fill="auto"/>
            <w:noWrap/>
            <w:vAlign w:val="bottom"/>
          </w:tcPr>
          <w:p w14:paraId="1056A4F7">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36</w:t>
            </w:r>
          </w:p>
        </w:tc>
      </w:tr>
      <w:tr w14:paraId="0CBB08F5">
        <w:tblPrEx>
          <w:tblCellMar>
            <w:top w:w="0" w:type="dxa"/>
            <w:left w:w="108" w:type="dxa"/>
            <w:bottom w:w="0" w:type="dxa"/>
            <w:right w:w="108" w:type="dxa"/>
          </w:tblCellMar>
        </w:tblPrEx>
        <w:trPr>
          <w:trHeight w:val="575"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bottom"/>
          </w:tcPr>
          <w:p w14:paraId="073D6157">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Limited resources</w:t>
            </w:r>
          </w:p>
        </w:tc>
        <w:tc>
          <w:tcPr>
            <w:tcW w:w="2222" w:type="dxa"/>
            <w:tcBorders>
              <w:top w:val="nil"/>
              <w:left w:val="nil"/>
              <w:bottom w:val="single" w:color="auto" w:sz="4" w:space="0"/>
              <w:right w:val="single" w:color="auto" w:sz="4" w:space="0"/>
            </w:tcBorders>
            <w:shd w:val="clear" w:color="auto" w:fill="auto"/>
            <w:noWrap/>
            <w:vAlign w:val="bottom"/>
          </w:tcPr>
          <w:p w14:paraId="58CBF6EF">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22.5%</w:t>
            </w:r>
          </w:p>
        </w:tc>
        <w:tc>
          <w:tcPr>
            <w:tcW w:w="1170" w:type="dxa"/>
            <w:tcBorders>
              <w:top w:val="nil"/>
              <w:left w:val="nil"/>
              <w:bottom w:val="single" w:color="auto" w:sz="4" w:space="0"/>
              <w:right w:val="single" w:color="auto" w:sz="4" w:space="0"/>
            </w:tcBorders>
            <w:shd w:val="clear" w:color="auto" w:fill="auto"/>
            <w:noWrap/>
            <w:vAlign w:val="bottom"/>
          </w:tcPr>
          <w:p w14:paraId="23CD0EBC">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18</w:t>
            </w:r>
          </w:p>
        </w:tc>
      </w:tr>
      <w:tr w14:paraId="0A73DDAF">
        <w:tblPrEx>
          <w:tblCellMar>
            <w:top w:w="0" w:type="dxa"/>
            <w:left w:w="108" w:type="dxa"/>
            <w:bottom w:w="0" w:type="dxa"/>
            <w:right w:w="108" w:type="dxa"/>
          </w:tblCellMar>
        </w:tblPrEx>
        <w:trPr>
          <w:trHeight w:val="575" w:hRule="atLeast"/>
          <w:jc w:val="center"/>
        </w:trPr>
        <w:tc>
          <w:tcPr>
            <w:tcW w:w="3225" w:type="dxa"/>
            <w:tcBorders>
              <w:top w:val="nil"/>
              <w:left w:val="single" w:color="auto" w:sz="4" w:space="0"/>
              <w:bottom w:val="single" w:color="auto" w:sz="4" w:space="0"/>
              <w:right w:val="single" w:color="auto" w:sz="4" w:space="0"/>
            </w:tcBorders>
            <w:shd w:val="clear" w:color="auto" w:fill="auto"/>
            <w:noWrap/>
            <w:vAlign w:val="bottom"/>
          </w:tcPr>
          <w:p w14:paraId="7E535D7E">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Inefficient processes</w:t>
            </w:r>
          </w:p>
        </w:tc>
        <w:tc>
          <w:tcPr>
            <w:tcW w:w="2222" w:type="dxa"/>
            <w:tcBorders>
              <w:top w:val="nil"/>
              <w:left w:val="nil"/>
              <w:bottom w:val="single" w:color="auto" w:sz="4" w:space="0"/>
              <w:right w:val="single" w:color="auto" w:sz="4" w:space="0"/>
            </w:tcBorders>
            <w:shd w:val="clear" w:color="auto" w:fill="auto"/>
            <w:noWrap/>
            <w:vAlign w:val="bottom"/>
          </w:tcPr>
          <w:p w14:paraId="5F369758">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15%</w:t>
            </w:r>
          </w:p>
        </w:tc>
        <w:tc>
          <w:tcPr>
            <w:tcW w:w="1170" w:type="dxa"/>
            <w:tcBorders>
              <w:top w:val="nil"/>
              <w:left w:val="nil"/>
              <w:bottom w:val="single" w:color="auto" w:sz="4" w:space="0"/>
              <w:right w:val="single" w:color="auto" w:sz="4" w:space="0"/>
            </w:tcBorders>
            <w:shd w:val="clear" w:color="auto" w:fill="auto"/>
            <w:noWrap/>
            <w:vAlign w:val="bottom"/>
          </w:tcPr>
          <w:p w14:paraId="4C58EC73">
            <w:pPr>
              <w:spacing w:after="0" w:line="360" w:lineRule="auto"/>
              <w:jc w:val="center"/>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12</w:t>
            </w:r>
          </w:p>
        </w:tc>
      </w:tr>
      <w:bookmarkEnd w:id="3"/>
    </w:tbl>
    <w:p w14:paraId="26F5CF7A">
      <w:pPr>
        <w:spacing w:line="360" w:lineRule="auto"/>
        <w:jc w:val="both"/>
        <w:rPr>
          <w:rFonts w:hint="default" w:ascii="Times New Roman" w:hAnsi="Times New Roman" w:cs="Times New Roman"/>
          <w:sz w:val="10"/>
          <w:szCs w:val="10"/>
        </w:rPr>
      </w:pPr>
    </w:p>
    <w:p w14:paraId="6E58BDD3">
      <w:pPr>
        <w:spacing w:line="360" w:lineRule="auto"/>
        <w:jc w:val="center"/>
        <w:rPr>
          <w:rFonts w:ascii="Arial" w:hAnsi="Arial" w:cs="Arial"/>
          <w:sz w:val="24"/>
          <w:szCs w:val="24"/>
        </w:rPr>
      </w:pPr>
      <w:r>
        <w:rPr>
          <w:rFonts w:ascii="Arial" w:hAnsi="Arial" w:cs="Arial"/>
          <w:sz w:val="24"/>
          <w:szCs w:val="24"/>
        </w:rPr>
        <w:drawing>
          <wp:inline distT="0" distB="0" distL="0" distR="0">
            <wp:extent cx="3635375" cy="1995170"/>
            <wp:effectExtent l="4445" t="4445" r="17780" b="12065"/>
            <wp:docPr id="53349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6C3455">
      <w:pPr>
        <w:tabs>
          <w:tab w:val="left" w:pos="6432"/>
        </w:tabs>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14:paraId="40207519">
      <w:pPr>
        <w:keepNext w:val="0"/>
        <w:keepLines w:val="0"/>
        <w:pageBreakBefore w:val="0"/>
        <w:widowControl/>
        <w:tabs>
          <w:tab w:val="left" w:pos="6432"/>
        </w:tabs>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The biggest challenge is resistance to change, with 45% identifying it as a major hurdle. Limited resources follow at 22.5%, while lack of accurate data accounts for 17.5%, and inefficient processes are cited by 15%. This highlights the critical role of adaptability and resource allocation in effective cost management.</w:t>
      </w:r>
    </w:p>
    <w:p w14:paraId="6188B082">
      <w:pPr>
        <w:bidi w:val="0"/>
        <w:rPr>
          <w:sz w:val="10"/>
          <w:szCs w:val="10"/>
        </w:rPr>
      </w:pPr>
    </w:p>
    <w:p w14:paraId="083CCFE5">
      <w:pPr>
        <w:spacing w:line="360" w:lineRule="auto"/>
        <w:jc w:val="both"/>
        <w:rPr>
          <w:rFonts w:hint="default" w:ascii="Times New Roman" w:hAnsi="Times New Roman" w:cs="Times New Roman"/>
          <w:sz w:val="24"/>
          <w:szCs w:val="24"/>
        </w:rPr>
      </w:pPr>
      <w:r>
        <w:rPr>
          <w:rFonts w:ascii="Times New Roman" w:hAnsi="Times New Roman" w:eastAsia="SimSun" w:cs="Times New Roman"/>
          <w:b/>
          <w:bCs/>
          <w:sz w:val="24"/>
          <w:szCs w:val="24"/>
        </w:rPr>
        <w:t xml:space="preserve">FINDINGS AND CONCLUTIONS </w:t>
      </w:r>
      <w:r>
        <w:rPr>
          <w:rFonts w:ascii="Times New Roman" w:hAnsi="Times New Roman" w:eastAsia="SimSun" w:cs="Times New Roman"/>
          <w:b/>
          <w:bCs/>
          <w:sz w:val="24"/>
          <w:szCs w:val="24"/>
          <w:lang w:val="en-IN"/>
        </w:rPr>
        <w:t>:</w:t>
      </w:r>
    </w:p>
    <w:p w14:paraId="45A6FDAB">
      <w:pPr>
        <w:pStyle w:val="7"/>
        <w:numPr>
          <w:ilvl w:val="0"/>
          <w:numId w:val="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Employee salaries hold the largest allocation (37.5%), while operational expenses (26.25%) and supply chain management (22.5%) are alternatives for optimization. </w:t>
      </w:r>
    </w:p>
    <w:p w14:paraId="325E5C38">
      <w:pPr>
        <w:pStyle w:val="7"/>
        <w:numPr>
          <w:ilvl w:val="0"/>
          <w:numId w:val="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Marketing (13.75%) may also allow for strategic realignment.</w:t>
      </w:r>
    </w:p>
    <w:p w14:paraId="6A962A5D">
      <w:pPr>
        <w:pStyle w:val="7"/>
        <w:numPr>
          <w:ilvl w:val="0"/>
          <w:numId w:val="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45% view cost management strategies as very effective, with 37.5% finding them somewhat effective, showing overall positive sentiment.</w:t>
      </w:r>
    </w:p>
    <w:p w14:paraId="4E685C79">
      <w:pPr>
        <w:pStyle w:val="7"/>
        <w:numPr>
          <w:ilvl w:val="0"/>
          <w:numId w:val="5"/>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biggest cost management challenge is resistance to change (45%), followed by limited resources (22.5%) and inaccurate data (17.5%).</w:t>
      </w:r>
    </w:p>
    <w:p w14:paraId="09AFD64C">
      <w:pPr>
        <w:pStyle w:val="7"/>
        <w:numPr>
          <w:ilvl w:val="0"/>
          <w:numId w:val="5"/>
        </w:numPr>
        <w:spacing w:line="360" w:lineRule="auto"/>
        <w:jc w:val="both"/>
        <w:rPr>
          <w:rFonts w:ascii="Times New Roman" w:hAnsi="Times New Roman" w:eastAsia="SimSun" w:cs="Times New Roman"/>
          <w:sz w:val="24"/>
          <w:szCs w:val="24"/>
          <w:lang w:bidi="ar"/>
        </w:rPr>
      </w:pPr>
      <w:r>
        <w:rPr>
          <w:rFonts w:hint="default" w:ascii="Times New Roman" w:hAnsi="Times New Roman" w:cs="Times New Roman"/>
          <w:sz w:val="24"/>
          <w:szCs w:val="24"/>
        </w:rPr>
        <w:t>Budgeting and forecasting impact financial outcomes the most (38.75%), followed by process optimization (26.25%) and expense tracking (21.25%).</w:t>
      </w:r>
    </w:p>
    <w:p w14:paraId="69C5C0F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ascii="Times New Roman" w:hAnsi="Times New Roman" w:eastAsia="SimSun" w:cs="Times New Roman"/>
          <w:b/>
          <w:bCs/>
          <w:sz w:val="24"/>
          <w:szCs w:val="24"/>
          <w:lang w:bidi="ar"/>
        </w:rPr>
        <w:t>CONCLUSION</w:t>
      </w:r>
      <w:r>
        <w:rPr>
          <w:rFonts w:ascii="Times New Roman" w:hAnsi="Times New Roman" w:eastAsia="SimSun" w:cs="Times New Roman"/>
          <w:b/>
          <w:bCs/>
          <w:sz w:val="24"/>
          <w:szCs w:val="24"/>
          <w:lang w:val="en-IN" w:bidi="ar"/>
        </w:rPr>
        <w:t xml:space="preserve"> :</w:t>
      </w:r>
    </w:p>
    <w:p w14:paraId="5525C97B">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analysis reveals that the organization has a strong foundation in cost management, with effective tools and strategies already in place. However, challenges such as resistance to change and limited resources continue to hinder further optimization efforts. By addressing these challenges through employee engagement, better communication, and leveraging advanced technologies, the organization can unlock new opportunities for cost savings. Additionally, streamlining processes and ensuring the accuracy of data will enhance decision-making and strengthen the overall financial performance. With a clear focus on these areas, the organization is well-positioned to achieve sustainable growth and maintain its competitive edge in the industry.</w:t>
      </w:r>
    </w:p>
    <w:p w14:paraId="02E2874D">
      <w:pPr>
        <w:jc w:val="both"/>
        <w:rPr>
          <w:rFonts w:ascii="Times New Roman" w:hAnsi="Times New Roman" w:eastAsia="SimSun" w:cs="Times New Roman"/>
          <w:b/>
          <w:bCs/>
          <w:sz w:val="24"/>
          <w:szCs w:val="24"/>
          <w:lang w:bidi="ar"/>
        </w:rPr>
      </w:pPr>
      <w:r>
        <w:rPr>
          <w:rFonts w:ascii="Times New Roman" w:hAnsi="Times New Roman" w:eastAsia="SimSun" w:cs="Times New Roman"/>
          <w:b/>
          <w:bCs/>
          <w:sz w:val="24"/>
          <w:szCs w:val="24"/>
          <w:lang w:bidi="ar"/>
        </w:rPr>
        <w:t xml:space="preserve">REFERENCES </w:t>
      </w:r>
      <w:r>
        <w:rPr>
          <w:rFonts w:ascii="Times New Roman" w:hAnsi="Times New Roman" w:eastAsia="SimSun" w:cs="Times New Roman"/>
          <w:b/>
          <w:bCs/>
          <w:sz w:val="24"/>
          <w:szCs w:val="24"/>
          <w:lang w:val="en-IN" w:bidi="ar"/>
        </w:rPr>
        <w:t>:</w:t>
      </w:r>
    </w:p>
    <w:p w14:paraId="6A4FB19F">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Abrol, R., and Kavitha, D. (2021). Mutual funds as an investment vehicle from the viewpoint of the consumer. Journal of Economics and Finance (IOSR-JEF), 12(3), pp. 43–76. DOI: 10.9790/5933-12314576.</w:t>
      </w:r>
    </w:p>
    <w:p w14:paraId="093F3371">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Jain, M., and G. Agrawal (2013). Mutual funds are preferred by investors over other investment avenues. 115–131 in Journal of Indian Research, 1(4).</w:t>
      </w:r>
    </w:p>
    <w:p w14:paraId="47F6ABC9">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 xml:space="preserve">Agarwal, S. (2013). A study of the mutual fund industry's risk-adjusted performance in India.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2(9), 245–253 within the International Journal of Scientific Research.</w:t>
      </w:r>
    </w:p>
    <w:p w14:paraId="43329160">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AMFI. Monday, February 2021. trends in the sector. Other Articles of AMFI, p. 6. AMFI Industry Trends is available.</w:t>
      </w:r>
    </w:p>
    <w:p w14:paraId="318238D0">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Bera, S., &amp; P. K. Bansal (2014).A discussion of how investors find out mutual funds and the performance of specific mutual funds. FORE Management School.</w:t>
      </w:r>
    </w:p>
    <w:p w14:paraId="7713FD7D">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Brown.I 1965. A discussion of mutual funds: the performance of investment companies and investment policy. 43(1), 63-75; Elements of Investments.</w:t>
      </w:r>
    </w:p>
    <w:p w14:paraId="7B10935C">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 xml:space="preserve">Business-standard. (6 July, 2021). According to AMFI data, the AUM of the domestic mutual fund industry increased 14% to Rs 37.74 today.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Obtained from Business Standard </w:t>
      </w:r>
    </w:p>
    <w:p w14:paraId="03CCF864">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Sharma, A., &amp; N. Gupta (2016). An investigation on the variables influencing Jaipur City mutual fund investors' degree of satisfaction. SAMVAD 12, 80-84.</w:t>
      </w:r>
    </w:p>
    <w:p w14:paraId="27D56A80">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Mittal, D. (2021). Investing in mutual funds was the best option for average people. IUP Journal of Audit Practices &amp; Accounting Research, 20(4).</w:t>
      </w:r>
    </w:p>
    <w:p w14:paraId="760CF01C">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rPr>
      </w:pPr>
      <w:r>
        <w:rPr>
          <w:rFonts w:ascii="Times New Roman" w:hAnsi="Times New Roman" w:eastAsia="SimSun" w:cs="Times New Roman"/>
          <w:sz w:val="24"/>
          <w:szCs w:val="24"/>
          <w:lang w:bidi="ar"/>
        </w:rPr>
        <w:t>D. M. Munivel (2019). A review in Dharmapuri district's mutual fund consumers' knowledge and attitudes.</w:t>
      </w:r>
    </w:p>
    <w:p w14:paraId="75DAF3AC">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rPr>
      </w:pPr>
      <w:r>
        <w:rPr>
          <w:rFonts w:ascii="Times New Roman" w:hAnsi="Times New Roman" w:eastAsia="SimSun" w:cs="Times New Roman"/>
          <w:sz w:val="24"/>
          <w:szCs w:val="24"/>
        </w:rPr>
        <w:t>Nag, R., Chakraborty, S., &amp; Dey, N. B. (2022). An Empirical Study on Investors’preference for Mutual Fund Investment.</w:t>
      </w:r>
    </w:p>
    <w:p w14:paraId="0FEB495B">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rPr>
      </w:pPr>
      <w:r>
        <w:rPr>
          <w:rFonts w:ascii="Times New Roman" w:hAnsi="Times New Roman" w:eastAsia="SimSun" w:cs="Times New Roman"/>
          <w:sz w:val="24"/>
          <w:szCs w:val="24"/>
        </w:rPr>
        <w:t>Padmaja,R.(2013).</w:t>
      </w:r>
      <w:r>
        <w:rPr>
          <w:rFonts w:ascii="Times New Roman" w:hAnsi="Times New Roman" w:eastAsia="SimSun" w:cs="Times New Roman"/>
          <w:sz w:val="24"/>
          <w:szCs w:val="24"/>
          <w:lang w:val="en-IN"/>
        </w:rPr>
        <w:t>A study</w:t>
      </w:r>
      <w:r>
        <w:rPr>
          <w:rFonts w:ascii="Times New Roman" w:hAnsi="Times New Roman" w:eastAsia="SimSun" w:cs="Times New Roman"/>
          <w:sz w:val="24"/>
          <w:szCs w:val="24"/>
        </w:rPr>
        <w:t xml:space="preserve"> of consumer behavior towards mutual funds with special reference to ICICI Prudential Mutual Funds, Vijayawada. </w:t>
      </w:r>
    </w:p>
    <w:p w14:paraId="2ABE1933">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sz w:val="24"/>
          <w:szCs w:val="24"/>
        </w:rPr>
      </w:pPr>
      <w:r>
        <w:rPr>
          <w:rFonts w:ascii="Times New Roman" w:hAnsi="Times New Roman" w:eastAsia="SimSun" w:cs="Times New Roman"/>
          <w:sz w:val="24"/>
          <w:szCs w:val="24"/>
        </w:rPr>
        <w:t>Rajesh Trivedi, P. K. (2017). A study of Investors perception towards mutual funds decision: an Indian perspective.</w:t>
      </w:r>
    </w:p>
    <w:sectPr>
      <w:pgSz w:w="11906" w:h="16838"/>
      <w:pgMar w:top="737" w:right="907" w:bottom="737"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9F218"/>
    <w:multiLevelType w:val="singleLevel"/>
    <w:tmpl w:val="EAE9F218"/>
    <w:lvl w:ilvl="0" w:tentative="0">
      <w:start w:val="1"/>
      <w:numFmt w:val="decimal"/>
      <w:lvlText w:val="%1."/>
      <w:lvlJc w:val="left"/>
      <w:pPr>
        <w:tabs>
          <w:tab w:val="left" w:pos="425"/>
        </w:tabs>
        <w:ind w:left="425" w:hanging="425"/>
      </w:pPr>
      <w:rPr>
        <w:rFonts w:hint="default"/>
      </w:rPr>
    </w:lvl>
  </w:abstractNum>
  <w:abstractNum w:abstractNumId="1">
    <w:nsid w:val="08461A63"/>
    <w:multiLevelType w:val="multilevel"/>
    <w:tmpl w:val="08461A63"/>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360" w:hanging="360"/>
      </w:pPr>
      <w:rPr>
        <w:rFonts w:hint="default" w:ascii="Wingdings" w:hAnsi="Wingdings"/>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2">
    <w:nsid w:val="0B602191"/>
    <w:multiLevelType w:val="multilevel"/>
    <w:tmpl w:val="0B602191"/>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840267B"/>
    <w:multiLevelType w:val="singleLevel"/>
    <w:tmpl w:val="1840267B"/>
    <w:lvl w:ilvl="0" w:tentative="0">
      <w:start w:val="1"/>
      <w:numFmt w:val="decimal"/>
      <w:lvlText w:val="%1."/>
      <w:lvlJc w:val="left"/>
      <w:pPr>
        <w:tabs>
          <w:tab w:val="left" w:pos="425"/>
        </w:tabs>
        <w:ind w:left="425" w:leftChars="0" w:hanging="425" w:firstLineChars="0"/>
      </w:pPr>
      <w:rPr>
        <w:rFonts w:hint="default"/>
      </w:rPr>
    </w:lvl>
  </w:abstractNum>
  <w:abstractNum w:abstractNumId="4">
    <w:nsid w:val="233C63D6"/>
    <w:multiLevelType w:val="multilevel"/>
    <w:tmpl w:val="233C63D6"/>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5">
    <w:nsid w:val="63336221"/>
    <w:multiLevelType w:val="multilevel"/>
    <w:tmpl w:val="63336221"/>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045FD"/>
    <w:rsid w:val="259045FD"/>
    <w:rsid w:val="454944BF"/>
    <w:rsid w:val="7BF55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ocuments\Book1%20(version%201).xlsb.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hp\Documents\Book1%20(version%201).xlsb.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ocuments\Book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Gross Profit Margin</a:t>
            </a:r>
            <a:endParaRPr lang="en-US"/>
          </a:p>
        </c:rich>
      </c:tx>
      <c:layout/>
      <c:overlay val="0"/>
      <c:spPr>
        <a:noFill/>
        <a:ln>
          <a:noFill/>
        </a:ln>
        <a:effectLst/>
      </c:spPr>
    </c:title>
    <c:autoTitleDeleted val="0"/>
    <c:plotArea>
      <c:layout/>
      <c:barChart>
        <c:barDir val="col"/>
        <c:grouping val="clustered"/>
        <c:varyColors val="0"/>
        <c:ser>
          <c:idx val="0"/>
          <c:order val="0"/>
          <c:tx>
            <c:strRef>
              <c:f>Sheet5!$R$3</c:f>
              <c:strCache>
                <c:ptCount val="1"/>
                <c:pt idx="0">
                  <c:v>Gross Profit Margin (%)</c:v>
                </c:pt>
              </c:strCache>
            </c:strRef>
          </c:tx>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3"/>
              </a:solidFill>
              <a:ln>
                <a:noFill/>
              </a:ln>
              <a:effectLst/>
            </c:spPr>
          </c:dPt>
          <c:dPt>
            <c:idx val="2"/>
            <c:invertIfNegative val="0"/>
            <c:bubble3D val="0"/>
            <c:spPr>
              <a:solidFill>
                <a:schemeClr val="accent4"/>
              </a:solidFill>
              <a:ln>
                <a:noFill/>
              </a:ln>
              <a:effectLst/>
            </c:spPr>
          </c:dPt>
          <c:dPt>
            <c:idx val="3"/>
            <c:invertIfNegative val="0"/>
            <c:bubble3D val="0"/>
            <c:spPr>
              <a:solidFill>
                <a:schemeClr val="accent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Sheet5!$Q$4:$Q$7</c:f>
              <c:numCache>
                <c:formatCode>General</c:formatCode>
                <c:ptCount val="4"/>
                <c:pt idx="0">
                  <c:v>2020</c:v>
                </c:pt>
                <c:pt idx="1">
                  <c:v>2021</c:v>
                </c:pt>
                <c:pt idx="2">
                  <c:v>2022</c:v>
                </c:pt>
                <c:pt idx="3">
                  <c:v>2023</c:v>
                </c:pt>
              </c:numCache>
            </c:numRef>
          </c:cat>
          <c:val>
            <c:numRef>
              <c:f>Sheet5!$R$4:$R$7</c:f>
              <c:numCache>
                <c:formatCode>0.00%</c:formatCode>
                <c:ptCount val="4"/>
                <c:pt idx="0">
                  <c:v>0.4167</c:v>
                </c:pt>
                <c:pt idx="1">
                  <c:v>0.4286</c:v>
                </c:pt>
                <c:pt idx="2">
                  <c:v>0.4375</c:v>
                </c:pt>
                <c:pt idx="3">
                  <c:v>0.4722</c:v>
                </c:pt>
              </c:numCache>
            </c:numRef>
          </c:val>
        </c:ser>
        <c:dLbls>
          <c:showLegendKey val="0"/>
          <c:showVal val="1"/>
          <c:showCatName val="0"/>
          <c:showSerName val="0"/>
          <c:showPercent val="0"/>
          <c:showBubbleSize val="0"/>
        </c:dLbls>
        <c:gapWidth val="219"/>
        <c:overlap val="-27"/>
        <c:axId val="1299877967"/>
        <c:axId val="1299880367"/>
      </c:barChart>
      <c:catAx>
        <c:axId val="129987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299880367"/>
        <c:crosses val="autoZero"/>
        <c:auto val="1"/>
        <c:lblAlgn val="ctr"/>
        <c:lblOffset val="100"/>
        <c:noMultiLvlLbl val="0"/>
      </c:catAx>
      <c:valAx>
        <c:axId val="12998803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29987796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d8c2e61-74d0-47b0-9138-752c9b62ad17}"/>
      </c:ext>
    </c:extLst>
  </c:chart>
  <c:spPr>
    <a:solidFill>
      <a:schemeClr val="bg1"/>
    </a:solidFill>
    <a:ln w="9525" cap="flat" cmpd="sng" algn="ctr">
      <a:solidFill>
        <a:schemeClr val="tx1"/>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Operating Profit Margin </a:t>
            </a:r>
            <a:endParaRPr lang="en-IN"/>
          </a:p>
        </c:rich>
      </c:tx>
      <c:layout/>
      <c:overlay val="0"/>
      <c:spPr>
        <a:noFill/>
        <a:ln>
          <a:noFill/>
        </a:ln>
        <a:effectLst/>
      </c:spPr>
    </c:title>
    <c:autoTitleDeleted val="0"/>
    <c:plotArea>
      <c:layout/>
      <c:barChart>
        <c:barDir val="col"/>
        <c:grouping val="clustered"/>
        <c:varyColors val="0"/>
        <c:ser>
          <c:idx val="0"/>
          <c:order val="0"/>
          <c:tx>
            <c:strRef>
              <c:f>Sheet5!$R$21</c:f>
              <c:strCache>
                <c:ptCount val="1"/>
                <c:pt idx="0">
                  <c:v>Operating Profit Margin (%)</c:v>
                </c:pt>
              </c:strCache>
            </c:strRef>
          </c:tx>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3"/>
              </a:solidFill>
              <a:ln>
                <a:noFill/>
              </a:ln>
              <a:effectLst/>
            </c:spPr>
          </c:dPt>
          <c:dPt>
            <c:idx val="2"/>
            <c:invertIfNegative val="0"/>
            <c:bubble3D val="0"/>
            <c:spPr>
              <a:solidFill>
                <a:schemeClr val="accent4"/>
              </a:solidFill>
              <a:ln>
                <a:noFill/>
              </a:ln>
              <a:effectLst/>
            </c:spPr>
          </c:dPt>
          <c:dPt>
            <c:idx val="3"/>
            <c:invertIfNegative val="0"/>
            <c:bubble3D val="0"/>
            <c:spPr>
              <a:solidFill>
                <a:schemeClr val="accent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Sheet5!$Q$22:$Q$25</c:f>
              <c:numCache>
                <c:formatCode>General</c:formatCode>
                <c:ptCount val="4"/>
                <c:pt idx="0">
                  <c:v>2020</c:v>
                </c:pt>
                <c:pt idx="1">
                  <c:v>2021</c:v>
                </c:pt>
                <c:pt idx="2">
                  <c:v>2022</c:v>
                </c:pt>
                <c:pt idx="3">
                  <c:v>2023</c:v>
                </c:pt>
              </c:numCache>
            </c:numRef>
          </c:cat>
          <c:val>
            <c:numRef>
              <c:f>Sheet5!$R$22:$R$25</c:f>
              <c:numCache>
                <c:formatCode>0.00%</c:formatCode>
                <c:ptCount val="4"/>
                <c:pt idx="0">
                  <c:v>0.25</c:v>
                </c:pt>
                <c:pt idx="1">
                  <c:v>0.2571</c:v>
                </c:pt>
                <c:pt idx="2">
                  <c:v>0.2625</c:v>
                </c:pt>
                <c:pt idx="3">
                  <c:v>0.2778</c:v>
                </c:pt>
              </c:numCache>
            </c:numRef>
          </c:val>
        </c:ser>
        <c:dLbls>
          <c:showLegendKey val="0"/>
          <c:showVal val="1"/>
          <c:showCatName val="0"/>
          <c:showSerName val="0"/>
          <c:showPercent val="0"/>
          <c:showBubbleSize val="0"/>
        </c:dLbls>
        <c:gapWidth val="219"/>
        <c:overlap val="-27"/>
        <c:axId val="953523855"/>
        <c:axId val="953524335"/>
      </c:barChart>
      <c:catAx>
        <c:axId val="953523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53524335"/>
        <c:crosses val="autoZero"/>
        <c:auto val="1"/>
        <c:lblAlgn val="ctr"/>
        <c:lblOffset val="100"/>
        <c:noMultiLvlLbl val="0"/>
      </c:catAx>
      <c:valAx>
        <c:axId val="95352433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535238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703d6c7-c71c-421f-8bf0-ee528c96746f}"/>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58208223972004"/>
          <c:y val="0.0324074074074074"/>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Sheet5!$R$48</c:f>
              <c:strCache>
                <c:ptCount val="1"/>
                <c:pt idx="0">
                  <c:v>Fixed Asset Ratio</c:v>
                </c:pt>
              </c:strCache>
            </c:strRef>
          </c:tx>
          <c:spPr>
            <a:solidFill>
              <a:schemeClr val="accent1"/>
            </a:solidFill>
            <a:ln>
              <a:noFill/>
            </a:ln>
            <a:effectLst/>
          </c:spPr>
          <c:invertIfNegative val="0"/>
          <c:dPt>
            <c:idx val="0"/>
            <c:invertIfNegative val="0"/>
            <c:bubble3D val="0"/>
            <c:spPr>
              <a:solidFill>
                <a:schemeClr val="accent2"/>
              </a:solidFill>
              <a:ln>
                <a:noFill/>
              </a:ln>
              <a:effectLst/>
            </c:spPr>
          </c:dPt>
          <c:dPt>
            <c:idx val="1"/>
            <c:invertIfNegative val="0"/>
            <c:bubble3D val="0"/>
            <c:spPr>
              <a:solidFill>
                <a:schemeClr val="accent3"/>
              </a:solidFill>
              <a:ln>
                <a:noFill/>
              </a:ln>
              <a:effectLst/>
            </c:spPr>
          </c:dPt>
          <c:dPt>
            <c:idx val="2"/>
            <c:invertIfNegative val="0"/>
            <c:bubble3D val="0"/>
            <c:spPr>
              <a:solidFill>
                <a:schemeClr val="accent4"/>
              </a:solidFill>
              <a:ln>
                <a:noFill/>
              </a:ln>
              <a:effectLst/>
            </c:spPr>
          </c:dPt>
          <c:dPt>
            <c:idx val="3"/>
            <c:invertIfNegative val="0"/>
            <c:bubble3D val="0"/>
            <c:spPr>
              <a:solidFill>
                <a:schemeClr val="accent5"/>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Sheet5!$Q$49:$Q$52</c:f>
              <c:numCache>
                <c:formatCode>General</c:formatCode>
                <c:ptCount val="4"/>
                <c:pt idx="0">
                  <c:v>2020</c:v>
                </c:pt>
                <c:pt idx="1">
                  <c:v>2021</c:v>
                </c:pt>
                <c:pt idx="2">
                  <c:v>2022</c:v>
                </c:pt>
                <c:pt idx="3">
                  <c:v>2023</c:v>
                </c:pt>
              </c:numCache>
            </c:numRef>
          </c:cat>
          <c:val>
            <c:numRef>
              <c:f>Sheet5!$R$49:$R$52</c:f>
              <c:numCache>
                <c:formatCode>General</c:formatCode>
                <c:ptCount val="4"/>
                <c:pt idx="0">
                  <c:v>0.67</c:v>
                </c:pt>
                <c:pt idx="1">
                  <c:v>0.68</c:v>
                </c:pt>
                <c:pt idx="2">
                  <c:v>0.69</c:v>
                </c:pt>
                <c:pt idx="3">
                  <c:v>0.71</c:v>
                </c:pt>
              </c:numCache>
            </c:numRef>
          </c:val>
        </c:ser>
        <c:dLbls>
          <c:showLegendKey val="0"/>
          <c:showVal val="1"/>
          <c:showCatName val="0"/>
          <c:showSerName val="0"/>
          <c:showPercent val="0"/>
          <c:showBubbleSize val="0"/>
        </c:dLbls>
        <c:gapWidth val="219"/>
        <c:overlap val="-27"/>
        <c:axId val="955426943"/>
        <c:axId val="955430303"/>
      </c:barChart>
      <c:catAx>
        <c:axId val="955426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55430303"/>
        <c:crosses val="autoZero"/>
        <c:auto val="1"/>
        <c:lblAlgn val="ctr"/>
        <c:lblOffset val="100"/>
        <c:noMultiLvlLbl val="0"/>
      </c:catAx>
      <c:valAx>
        <c:axId val="955430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5542694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f7127b0-2701-4a2d-9536-7054bb3bbcc4}"/>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Areas with most potential for cost reduction</a:t>
            </a:r>
            <a:endParaRPr lang="en-I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Sheet1!$A$7:$A$10</c:f>
              <c:strCache>
                <c:ptCount val="4"/>
                <c:pt idx="0">
                  <c:v>Operational expenses</c:v>
                </c:pt>
                <c:pt idx="1">
                  <c:v>Supply chain management</c:v>
                </c:pt>
                <c:pt idx="2">
                  <c:v>Employee salaries</c:v>
                </c:pt>
                <c:pt idx="3">
                  <c:v>Marketing and advertising</c:v>
                </c:pt>
              </c:strCache>
            </c:strRef>
          </c:cat>
          <c:val>
            <c:numRef>
              <c:f>Sheet1!$B$7:$B$10</c:f>
              <c:numCache>
                <c:formatCode>General</c:formatCode>
                <c:ptCount val="4"/>
                <c:pt idx="0">
                  <c:v>26.25</c:v>
                </c:pt>
                <c:pt idx="1">
                  <c:v>22.5</c:v>
                </c:pt>
                <c:pt idx="2">
                  <c:v>37.5</c:v>
                </c:pt>
                <c:pt idx="3">
                  <c:v>13.75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417996b-b8c5-4d17-b26f-32c18260444d}"/>
      </c:ext>
    </c:extLst>
  </c:chart>
  <c:spPr>
    <a:solidFill>
      <a:schemeClr val="bg1"/>
    </a:solidFill>
    <a:ln w="9525" cap="flat" cmpd="sng" algn="ctr">
      <a:solidFill>
        <a:schemeClr val="tx1"/>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Biggest challenge in managing costs effectively </a:t>
            </a:r>
            <a:endParaRPr lang="en-I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Sheet1!$A$52:$A$55</c:f>
              <c:strCache>
                <c:ptCount val="4"/>
                <c:pt idx="0">
                  <c:v>Lack of accurate data</c:v>
                </c:pt>
                <c:pt idx="1">
                  <c:v>Resistance to change</c:v>
                </c:pt>
                <c:pt idx="2">
                  <c:v>Limited resources</c:v>
                </c:pt>
                <c:pt idx="3">
                  <c:v>Inefficient processes</c:v>
                </c:pt>
              </c:strCache>
            </c:strRef>
          </c:cat>
          <c:val>
            <c:numRef>
              <c:f>Sheet1!$B$52:$B$55</c:f>
              <c:numCache>
                <c:formatCode>General</c:formatCode>
                <c:ptCount val="4"/>
                <c:pt idx="0">
                  <c:v>17.5</c:v>
                </c:pt>
                <c:pt idx="1">
                  <c:v>45</c:v>
                </c:pt>
                <c:pt idx="2">
                  <c:v>22.5</c:v>
                </c:pt>
                <c:pt idx="3">
                  <c:v>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7b11afd-18fa-4578-a1ac-b97db08d35db}"/>
      </c:ext>
    </c:extLst>
  </c:chart>
  <c:spPr>
    <a:solidFill>
      <a:schemeClr val="bg1"/>
    </a:solidFill>
    <a:ln w="9525" cap="flat" cmpd="sng" algn="ctr">
      <a:solidFill>
        <a:schemeClr val="tx1"/>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13</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2025-04-09T13:48:00Z</dcterms:created>
  <dc:creator>Balaji .S</dc:creator>
  <cp:lastModifiedBy>Balaji .S</cp:lastModifiedBy>
  <dcterms:modified xsi:type="dcterms:W3CDTF">2025-04-22T16:31:34Z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85487F943B52404487227A9A1B005601_11</vt:lpwstr>
  </property>
</Properties>
</file>