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37F5B" w14:textId="46020C90" w:rsidR="007B1A1F" w:rsidRDefault="007B1A1F" w:rsidP="007B1A1F">
      <w:pPr>
        <w:spacing w:before="100" w:beforeAutospacing="1" w:after="100" w:afterAutospacing="1" w:line="360" w:lineRule="auto"/>
        <w:jc w:val="center"/>
        <w:outlineLvl w:val="2"/>
        <w:rPr>
          <w:rFonts w:ascii="Arial" w:eastAsia="Times New Roman" w:hAnsi="Arial" w:cs="Arial"/>
          <w:b/>
          <w:bCs/>
          <w:sz w:val="28"/>
          <w:szCs w:val="24"/>
        </w:rPr>
      </w:pPr>
      <w:r>
        <w:rPr>
          <w:rFonts w:ascii="Arial" w:eastAsia="Times New Roman" w:hAnsi="Arial" w:cs="Arial"/>
          <w:b/>
          <w:bCs/>
          <w:sz w:val="28"/>
          <w:szCs w:val="24"/>
        </w:rPr>
        <w:t xml:space="preserve">A STUDY ON PAYROLL PROCESSING AND OPTIMIZING TAX DEDUCTIONS &amp; CALCULATIONS </w:t>
      </w:r>
      <w:r w:rsidR="00E25B25">
        <w:rPr>
          <w:rFonts w:ascii="Arial" w:eastAsia="Times New Roman" w:hAnsi="Arial" w:cs="Arial"/>
          <w:b/>
          <w:bCs/>
          <w:sz w:val="28"/>
          <w:szCs w:val="24"/>
        </w:rPr>
        <w:t>AT</w:t>
      </w:r>
      <w:r>
        <w:rPr>
          <w:rFonts w:ascii="Arial" w:eastAsia="Times New Roman" w:hAnsi="Arial" w:cs="Arial"/>
          <w:b/>
          <w:bCs/>
          <w:sz w:val="28"/>
          <w:szCs w:val="24"/>
        </w:rPr>
        <w:t xml:space="preserve"> ACCESS HEALTHCARE SERVICES</w:t>
      </w:r>
    </w:p>
    <w:p w14:paraId="0E599051" w14:textId="77777777" w:rsidR="007B1A1F" w:rsidRPr="007B1A1F" w:rsidRDefault="007B1A1F" w:rsidP="007B1A1F">
      <w:pPr>
        <w:pStyle w:val="NoSpacing"/>
        <w:jc w:val="center"/>
        <w:rPr>
          <w:rFonts w:ascii="Arial" w:hAnsi="Arial" w:cs="Arial"/>
          <w:b/>
          <w:sz w:val="24"/>
        </w:rPr>
      </w:pPr>
      <w:r w:rsidRPr="007B1A1F">
        <w:rPr>
          <w:rFonts w:ascii="Arial" w:hAnsi="Arial" w:cs="Arial"/>
          <w:b/>
          <w:sz w:val="24"/>
        </w:rPr>
        <w:t xml:space="preserve">Ms. YUVASHREE J </w:t>
      </w:r>
    </w:p>
    <w:p w14:paraId="1D022721" w14:textId="77777777" w:rsidR="007B1A1F" w:rsidRPr="007B1A1F" w:rsidRDefault="007B1A1F" w:rsidP="007B1A1F">
      <w:pPr>
        <w:pStyle w:val="NoSpacing"/>
        <w:jc w:val="center"/>
        <w:rPr>
          <w:rFonts w:ascii="Arial" w:hAnsi="Arial" w:cs="Arial"/>
          <w:sz w:val="24"/>
        </w:rPr>
      </w:pPr>
      <w:r w:rsidRPr="007B1A1F">
        <w:rPr>
          <w:rFonts w:ascii="Arial" w:hAnsi="Arial" w:cs="Arial"/>
          <w:sz w:val="24"/>
        </w:rPr>
        <w:t>MBA Student, School of Management Studies, Sathyabama Institute of Science and Technology</w:t>
      </w:r>
    </w:p>
    <w:p w14:paraId="76A3DD33" w14:textId="77777777" w:rsidR="00D977D9" w:rsidRDefault="00D977D9" w:rsidP="00D977D9">
      <w:pPr>
        <w:pStyle w:val="NoSpacing"/>
      </w:pPr>
    </w:p>
    <w:p w14:paraId="0769E0EC" w14:textId="77777777" w:rsidR="00D977D9" w:rsidRPr="00D977D9" w:rsidRDefault="004F6180" w:rsidP="00D977D9">
      <w:pPr>
        <w:pStyle w:val="NoSpacing"/>
        <w:jc w:val="center"/>
        <w:rPr>
          <w:rFonts w:ascii="Arial" w:hAnsi="Arial" w:cs="Arial"/>
          <w:b/>
          <w:sz w:val="24"/>
        </w:rPr>
      </w:pPr>
      <w:r>
        <w:rPr>
          <w:rFonts w:ascii="Arial" w:hAnsi="Arial" w:cs="Arial"/>
          <w:b/>
          <w:sz w:val="24"/>
        </w:rPr>
        <w:t>Ms. D</w:t>
      </w:r>
      <w:r w:rsidR="007C720B">
        <w:rPr>
          <w:rFonts w:ascii="Arial" w:hAnsi="Arial" w:cs="Arial"/>
          <w:b/>
          <w:sz w:val="24"/>
        </w:rPr>
        <w:t>r</w:t>
      </w:r>
      <w:r>
        <w:rPr>
          <w:rFonts w:ascii="Arial" w:hAnsi="Arial" w:cs="Arial"/>
          <w:b/>
          <w:sz w:val="24"/>
        </w:rPr>
        <w:t xml:space="preserve"> K KAAVYA</w:t>
      </w:r>
    </w:p>
    <w:p w14:paraId="03E666B9" w14:textId="77777777" w:rsidR="00D977D9" w:rsidRPr="007B1A1F" w:rsidRDefault="00D977D9" w:rsidP="00D977D9">
      <w:pPr>
        <w:pStyle w:val="NoSpacing"/>
        <w:jc w:val="center"/>
        <w:rPr>
          <w:rFonts w:ascii="Arial" w:hAnsi="Arial" w:cs="Arial"/>
          <w:sz w:val="24"/>
        </w:rPr>
      </w:pPr>
      <w:r w:rsidRPr="00D977D9">
        <w:rPr>
          <w:rFonts w:ascii="Arial" w:hAnsi="Arial" w:cs="Arial"/>
          <w:sz w:val="24"/>
        </w:rPr>
        <w:t>Assistant Professor,</w:t>
      </w:r>
      <w:r>
        <w:rPr>
          <w:rFonts w:ascii="Arial" w:hAnsi="Arial" w:cs="Arial"/>
          <w:sz w:val="24"/>
        </w:rPr>
        <w:t xml:space="preserve"> </w:t>
      </w:r>
      <w:r w:rsidRPr="007B1A1F">
        <w:rPr>
          <w:rFonts w:ascii="Arial" w:hAnsi="Arial" w:cs="Arial"/>
          <w:sz w:val="24"/>
        </w:rPr>
        <w:t>School of Management Studies, Sathyabama Institute of Science and Technology</w:t>
      </w:r>
    </w:p>
    <w:p w14:paraId="38FF8865" w14:textId="77777777" w:rsidR="007B1A1F" w:rsidRPr="00D977D9" w:rsidRDefault="007B1A1F" w:rsidP="00D977D9">
      <w:pPr>
        <w:pStyle w:val="NoSpacing"/>
        <w:jc w:val="center"/>
        <w:rPr>
          <w:rFonts w:ascii="Arial" w:hAnsi="Arial" w:cs="Arial"/>
          <w:sz w:val="24"/>
        </w:rPr>
      </w:pPr>
    </w:p>
    <w:p w14:paraId="3E206594" w14:textId="77777777"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Abstract</w:t>
      </w:r>
    </w:p>
    <w:p w14:paraId="7BE5C544"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This study explores how payroll is managed at Access Healthcare and how effectively employees make use of tax-saving options. It focuses on understanding how well employees know their salary structure and the exemptions they can claim under sections like HRA, LTA, 80C, 80D, and NPS. A total of 122 employees from different income levels and job positions were surveyed using a questionnaire. Tools like ANOVA, Chi-Square, Correlation, and Regression were used to study the links between employee experience, income, awareness, and how well tax-saving benefits are used. The results showed that many employees are not fully aware of their salary components or the tax benefits they are eligible for. However, the regression analysis showed that those who did use tax-saving options were more satisfied with how payroll was handled. Interestingly, job position and experience didn’t seem to have much effect on their awareness or satisfaction. The study recommends that companies conduct awareness programs, ensure payroll transparency, and offer personalized tax advice to help employees better understand and utilize tax benefits.</w:t>
      </w:r>
    </w:p>
    <w:p w14:paraId="38CDAE20" w14:textId="77777777"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Introduction</w:t>
      </w:r>
    </w:p>
    <w:p w14:paraId="459DD52C"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 xml:space="preserve">Payroll processing plays a crucial role in any organization as it involves accurate calculation of employee salaries and compliance with tax laws. It includes regular deductions such as TDS, EPF, and ESI, along with benefits that help employees save on </w:t>
      </w:r>
      <w:r w:rsidRPr="000153FA">
        <w:rPr>
          <w:rFonts w:ascii="Arial" w:eastAsia="Times New Roman" w:hAnsi="Arial" w:cs="Arial"/>
          <w:sz w:val="24"/>
          <w:szCs w:val="24"/>
        </w:rPr>
        <w:lastRenderedPageBreak/>
        <w:t>taxes. An efficient payroll system ensures timely salary payments, compliance with laws, and employee satisfaction. Tax deductions can be either compulsory or optional, and using them wisely helps reduce taxable income. However, as tax laws often change, many employees find it difficult to keep up, which sometimes leads to mistakes or missed benefits. The use of automated and AI-driven payroll systems helps in managing these complexities by ensuring that the latest tax rules are applied. Employers are responsible for creating salary structures that support tax savings, educating employees about exemptions, and offering support in making tax declarations. A well-designed and transparent payroll system improves not only employee financial wellness but also overall company efficiency.</w:t>
      </w:r>
    </w:p>
    <w:p w14:paraId="5307C0C4" w14:textId="77777777"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Objectives of the Study</w:t>
      </w:r>
    </w:p>
    <w:p w14:paraId="6B7AF97D"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Primary Objective:</w:t>
      </w:r>
    </w:p>
    <w:p w14:paraId="67C22BE4" w14:textId="77777777" w:rsidR="000153FA" w:rsidRPr="000153FA" w:rsidRDefault="000153FA" w:rsidP="000153FA">
      <w:pPr>
        <w:numPr>
          <w:ilvl w:val="0"/>
          <w:numId w:val="1"/>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analyze the payroll processing and tax-saving practices at Access Healthcare.</w:t>
      </w:r>
    </w:p>
    <w:p w14:paraId="1F1AB0DB"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Secondary Objectives:</w:t>
      </w:r>
    </w:p>
    <w:p w14:paraId="5DFF9208" w14:textId="77777777" w:rsidR="000153FA" w:rsidRPr="000153FA" w:rsidRDefault="000153FA" w:rsidP="000153FA">
      <w:pPr>
        <w:numPr>
          <w:ilvl w:val="0"/>
          <w:numId w:val="2"/>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study the tax exemptions and deductions available to employees.</w:t>
      </w:r>
    </w:p>
    <w:p w14:paraId="309219E5" w14:textId="77777777" w:rsidR="000153FA" w:rsidRPr="000153FA" w:rsidRDefault="000153FA" w:rsidP="000153FA">
      <w:pPr>
        <w:numPr>
          <w:ilvl w:val="0"/>
          <w:numId w:val="2"/>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find challenges in payroll processing and suggest improvements.</w:t>
      </w:r>
    </w:p>
    <w:p w14:paraId="6FF829A0" w14:textId="77777777" w:rsidR="000153FA" w:rsidRPr="000153FA" w:rsidRDefault="000153FA" w:rsidP="000153FA">
      <w:pPr>
        <w:numPr>
          <w:ilvl w:val="0"/>
          <w:numId w:val="2"/>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check how well the organization complies with tax laws and internal payroll rules.</w:t>
      </w:r>
    </w:p>
    <w:p w14:paraId="1E61CB40" w14:textId="77777777" w:rsidR="000153FA" w:rsidRPr="000153FA" w:rsidRDefault="000153FA" w:rsidP="00D0220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Review of Literature</w:t>
      </w:r>
    </w:p>
    <w:p w14:paraId="28BF0DEC" w14:textId="77777777"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Becker &amp; Huselid (2021):</w:t>
      </w:r>
      <w:r w:rsidR="00D0220A">
        <w:rPr>
          <w:rFonts w:ascii="Arial" w:eastAsia="Times New Roman" w:hAnsi="Arial" w:cs="Arial"/>
          <w:sz w:val="24"/>
          <w:szCs w:val="24"/>
        </w:rPr>
        <w:t xml:space="preserve"> </w:t>
      </w:r>
      <w:r w:rsidRPr="000153FA">
        <w:rPr>
          <w:rFonts w:ascii="Arial" w:eastAsia="Times New Roman" w:hAnsi="Arial" w:cs="Arial"/>
          <w:sz w:val="24"/>
          <w:szCs w:val="24"/>
        </w:rPr>
        <w:t>Their study highlighted that an accurate and transparent payroll system is crucial for boosting employee trust and job satisfaction. When salaries are processed without errors and deductions are clearly explained, employees feel more secure and valued. In contrast, payroll mistakes can lead to disputes and compliance issues. The authors emphasized that organizations must invest in reliable payroll systems to maintain employee morale. They also noted that dissatisfaction due to payroll errors may increase turnover rates.</w:t>
      </w:r>
    </w:p>
    <w:p w14:paraId="4485EF00" w14:textId="77777777"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lastRenderedPageBreak/>
        <w:t>Rao (2017):</w:t>
      </w:r>
      <w:r w:rsidR="00D0220A">
        <w:rPr>
          <w:rFonts w:ascii="Arial" w:eastAsia="Times New Roman" w:hAnsi="Arial" w:cs="Arial"/>
          <w:sz w:val="24"/>
          <w:szCs w:val="24"/>
        </w:rPr>
        <w:t xml:space="preserve"> </w:t>
      </w:r>
      <w:r w:rsidRPr="000153FA">
        <w:rPr>
          <w:rFonts w:ascii="Arial" w:eastAsia="Times New Roman" w:hAnsi="Arial" w:cs="Arial"/>
          <w:sz w:val="24"/>
          <w:szCs w:val="24"/>
        </w:rPr>
        <w:t>Rao found that a large number of employees were unaware of the tax exemptions available to them, especially under sections like 80C and 80D. This lack of knowledge led to poor utilization of tax-saving benefits. He suggested that companies should organize tax education sessions to help employees make better financial decisions. Providing personalized guidance and regular updates on tax policies could significantly improve awareness. His research highlights the gap between policy availability and actual usage by employees.</w:t>
      </w:r>
    </w:p>
    <w:p w14:paraId="612EABCA" w14:textId="77777777"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Das &amp; Mishra (2019):</w:t>
      </w:r>
      <w:r w:rsidR="00D0220A">
        <w:rPr>
          <w:rFonts w:ascii="Arial" w:eastAsia="Times New Roman" w:hAnsi="Arial" w:cs="Arial"/>
          <w:sz w:val="24"/>
          <w:szCs w:val="24"/>
        </w:rPr>
        <w:t xml:space="preserve"> </w:t>
      </w:r>
      <w:r w:rsidRPr="000153FA">
        <w:rPr>
          <w:rFonts w:ascii="Arial" w:eastAsia="Times New Roman" w:hAnsi="Arial" w:cs="Arial"/>
          <w:sz w:val="24"/>
          <w:szCs w:val="24"/>
        </w:rPr>
        <w:t>This study focused on how employer-led tax workshops impact employee behavior. It was observed that when organizations actively educate their staff on tax-saving options like HRA, LTA, and NPS, employees tend to participate more in such schemes. The researchers found a clear link between awareness efforts and improved financial planning. They also mentioned that employees feel more engaged when companies take steps to support their financial well-being. The study recommends regular and simplified communication about tax benefits.</w:t>
      </w:r>
    </w:p>
    <w:p w14:paraId="56814796" w14:textId="77777777"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Sharma &amp; Verma (2020):</w:t>
      </w:r>
      <w:r w:rsidR="00D0220A">
        <w:rPr>
          <w:rFonts w:ascii="Arial" w:eastAsia="Times New Roman" w:hAnsi="Arial" w:cs="Arial"/>
          <w:sz w:val="24"/>
          <w:szCs w:val="24"/>
        </w:rPr>
        <w:t xml:space="preserve"> </w:t>
      </w:r>
      <w:r w:rsidRPr="000153FA">
        <w:rPr>
          <w:rFonts w:ascii="Arial" w:eastAsia="Times New Roman" w:hAnsi="Arial" w:cs="Arial"/>
          <w:sz w:val="24"/>
          <w:szCs w:val="24"/>
        </w:rPr>
        <w:t>Sharma and Verma discussed the advantages of using automated payroll systems, especially those powered by artificial intelligence. These systems help reduce human errors in tax deduction and salary processing, ensuring better compliance with legal standards. They found that AI tools improve the accuracy of TDS calculations and simplify tax reporting. Automation also saves time for HR and finance departments. The study concluded that technology adoption is essential for modern payroll management.</w:t>
      </w:r>
    </w:p>
    <w:p w14:paraId="38A43237" w14:textId="77777777"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Research Methodology</w:t>
      </w:r>
    </w:p>
    <w:p w14:paraId="0E2730F7"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Research Design:</w:t>
      </w:r>
    </w:p>
    <w:p w14:paraId="108E2410" w14:textId="77777777" w:rsidR="00D0220A" w:rsidRPr="00473647" w:rsidRDefault="00D0220A" w:rsidP="00D0220A">
      <w:p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sz w:val="24"/>
          <w:szCs w:val="24"/>
        </w:rPr>
        <w:t xml:space="preserve">A </w:t>
      </w:r>
      <w:r w:rsidRPr="00473647">
        <w:rPr>
          <w:rFonts w:ascii="Arial" w:eastAsia="Times New Roman" w:hAnsi="Arial" w:cs="Arial"/>
          <w:bCs/>
          <w:sz w:val="24"/>
          <w:szCs w:val="24"/>
        </w:rPr>
        <w:t>descriptive research design</w:t>
      </w:r>
      <w:r w:rsidRPr="00473647">
        <w:rPr>
          <w:rFonts w:ascii="Arial" w:eastAsia="Times New Roman" w:hAnsi="Arial" w:cs="Arial"/>
          <w:sz w:val="24"/>
          <w:szCs w:val="24"/>
        </w:rPr>
        <w:t xml:space="preserve"> is adopted to analyze employee tax deductions, compliance, and optimization strategies. It helps in understanding payroll tax processes, employee perceptions, and tax-saving practices without manipulating any variables.</w:t>
      </w:r>
    </w:p>
    <w:p w14:paraId="380A335C" w14:textId="77777777" w:rsidR="007B1A1F" w:rsidRDefault="007B1A1F" w:rsidP="000153FA">
      <w:pPr>
        <w:spacing w:before="100" w:beforeAutospacing="1" w:after="100" w:afterAutospacing="1" w:line="360" w:lineRule="auto"/>
        <w:jc w:val="both"/>
        <w:rPr>
          <w:rFonts w:ascii="Arial" w:eastAsia="Times New Roman" w:hAnsi="Arial" w:cs="Arial"/>
          <w:b/>
          <w:bCs/>
          <w:sz w:val="24"/>
          <w:szCs w:val="24"/>
        </w:rPr>
      </w:pPr>
    </w:p>
    <w:p w14:paraId="7A611713"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lastRenderedPageBreak/>
        <w:t>Sampling Techniques:</w:t>
      </w:r>
    </w:p>
    <w:p w14:paraId="79BF3F1E" w14:textId="77777777" w:rsidR="00D0220A" w:rsidRPr="00473647" w:rsidRDefault="00D0220A" w:rsidP="00D0220A">
      <w:pPr>
        <w:numPr>
          <w:ilvl w:val="0"/>
          <w:numId w:val="15"/>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Sampling Method:</w:t>
      </w:r>
      <w:r w:rsidRPr="00473647">
        <w:rPr>
          <w:rFonts w:ascii="Arial" w:eastAsia="Times New Roman" w:hAnsi="Arial" w:cs="Arial"/>
          <w:sz w:val="24"/>
          <w:szCs w:val="24"/>
        </w:rPr>
        <w:t xml:space="preserve"> </w:t>
      </w:r>
      <w:r w:rsidRPr="00473647">
        <w:rPr>
          <w:rFonts w:ascii="Arial" w:eastAsia="Times New Roman" w:hAnsi="Arial" w:cs="Arial"/>
          <w:bCs/>
          <w:sz w:val="24"/>
          <w:szCs w:val="24"/>
        </w:rPr>
        <w:t>Convenience sampling</w:t>
      </w:r>
      <w:r w:rsidRPr="00473647">
        <w:rPr>
          <w:rFonts w:ascii="Arial" w:eastAsia="Times New Roman" w:hAnsi="Arial" w:cs="Arial"/>
          <w:sz w:val="24"/>
          <w:szCs w:val="24"/>
        </w:rPr>
        <w:t xml:space="preserve"> is used to select employees who are readily available and familiar with tax deductions and exemptions.</w:t>
      </w:r>
    </w:p>
    <w:p w14:paraId="38E54E78" w14:textId="77777777" w:rsidR="00D0220A" w:rsidRPr="00473647" w:rsidRDefault="00D0220A" w:rsidP="00D0220A">
      <w:pPr>
        <w:numPr>
          <w:ilvl w:val="0"/>
          <w:numId w:val="15"/>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Population Size:</w:t>
      </w:r>
      <w:r w:rsidRPr="00473647">
        <w:rPr>
          <w:rFonts w:ascii="Arial" w:eastAsia="Times New Roman" w:hAnsi="Arial" w:cs="Arial"/>
          <w:sz w:val="24"/>
          <w:szCs w:val="24"/>
        </w:rPr>
        <w:t xml:space="preserve"> All employees at Access Healthcare who are subject to payroll tax deductions.</w:t>
      </w:r>
    </w:p>
    <w:p w14:paraId="50003313" w14:textId="77777777" w:rsidR="00D0220A" w:rsidRPr="00473647" w:rsidRDefault="00D0220A" w:rsidP="00D0220A">
      <w:pPr>
        <w:numPr>
          <w:ilvl w:val="0"/>
          <w:numId w:val="15"/>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Sample Size:</w:t>
      </w:r>
      <w:r w:rsidRPr="00473647">
        <w:rPr>
          <w:rFonts w:ascii="Arial" w:eastAsia="Times New Roman" w:hAnsi="Arial" w:cs="Arial"/>
          <w:sz w:val="24"/>
          <w:szCs w:val="24"/>
        </w:rPr>
        <w:t xml:space="preserve"> 122 employees, chosen based on accessibility and to ensure a diverse representation across roles, salary levels, and tax brackets.</w:t>
      </w:r>
    </w:p>
    <w:p w14:paraId="32B445CE"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Data Collection:</w:t>
      </w:r>
    </w:p>
    <w:p w14:paraId="48E6CAE0" w14:textId="77777777" w:rsidR="00D0220A" w:rsidRPr="00473647" w:rsidRDefault="00D0220A" w:rsidP="00D0220A">
      <w:pPr>
        <w:numPr>
          <w:ilvl w:val="0"/>
          <w:numId w:val="16"/>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Primary Data:</w:t>
      </w:r>
      <w:r w:rsidRPr="00473647">
        <w:rPr>
          <w:rFonts w:ascii="Arial" w:eastAsia="Times New Roman" w:hAnsi="Arial" w:cs="Arial"/>
          <w:sz w:val="24"/>
          <w:szCs w:val="24"/>
        </w:rPr>
        <w:t xml:space="preserve"> Collected using a </w:t>
      </w:r>
      <w:r w:rsidRPr="00473647">
        <w:rPr>
          <w:rFonts w:ascii="Arial" w:eastAsia="Times New Roman" w:hAnsi="Arial" w:cs="Arial"/>
          <w:bCs/>
          <w:sz w:val="24"/>
          <w:szCs w:val="24"/>
        </w:rPr>
        <w:t>structured questionnaire</w:t>
      </w:r>
      <w:r w:rsidRPr="00473647">
        <w:rPr>
          <w:rFonts w:ascii="Arial" w:eastAsia="Times New Roman" w:hAnsi="Arial" w:cs="Arial"/>
          <w:sz w:val="24"/>
          <w:szCs w:val="24"/>
        </w:rPr>
        <w:t xml:space="preserve"> through Google Forms.</w:t>
      </w:r>
    </w:p>
    <w:p w14:paraId="5901C173" w14:textId="77777777" w:rsidR="00D0220A" w:rsidRPr="00473647" w:rsidRDefault="00D0220A" w:rsidP="00D0220A">
      <w:pPr>
        <w:numPr>
          <w:ilvl w:val="0"/>
          <w:numId w:val="16"/>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sz w:val="24"/>
          <w:szCs w:val="24"/>
        </w:rPr>
        <w:t>The questionnaire covers awareness of payroll tax deductions, use of exemptions (HRA, LTA, 80C, medical insurance), compliance challenges, and the impact of automation.</w:t>
      </w:r>
    </w:p>
    <w:p w14:paraId="33673CF5"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Statistical Tools Used:</w:t>
      </w:r>
    </w:p>
    <w:p w14:paraId="1A9A573A" w14:textId="77777777" w:rsidR="00D0220A" w:rsidRPr="00473647" w:rsidRDefault="00D0220A" w:rsidP="00D0220A">
      <w:pPr>
        <w:numPr>
          <w:ilvl w:val="0"/>
          <w:numId w:val="17"/>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ANOVA:</w:t>
      </w:r>
      <w:r w:rsidRPr="00473647">
        <w:rPr>
          <w:rFonts w:ascii="Arial" w:eastAsia="Times New Roman" w:hAnsi="Arial" w:cs="Arial"/>
          <w:sz w:val="24"/>
          <w:szCs w:val="24"/>
        </w:rPr>
        <w:t xml:space="preserve"> Analyzes differences in means across employee groups.</w:t>
      </w:r>
    </w:p>
    <w:p w14:paraId="2E1105D7" w14:textId="77777777" w:rsidR="00D0220A" w:rsidRPr="00473647" w:rsidRDefault="00D0220A" w:rsidP="00D0220A">
      <w:pPr>
        <w:numPr>
          <w:ilvl w:val="0"/>
          <w:numId w:val="17"/>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Correlation:</w:t>
      </w:r>
      <w:r w:rsidRPr="00473647">
        <w:rPr>
          <w:rFonts w:ascii="Arial" w:eastAsia="Times New Roman" w:hAnsi="Arial" w:cs="Arial"/>
          <w:sz w:val="24"/>
          <w:szCs w:val="24"/>
        </w:rPr>
        <w:t xml:space="preserve"> Measures the relationship between tax awareness and usage of exemptions.</w:t>
      </w:r>
    </w:p>
    <w:p w14:paraId="5E19E4AB" w14:textId="77777777" w:rsidR="00D0220A" w:rsidRPr="007B1A1F" w:rsidRDefault="00D0220A" w:rsidP="007B1A1F">
      <w:pPr>
        <w:numPr>
          <w:ilvl w:val="0"/>
          <w:numId w:val="17"/>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Frequency &amp; Percentage Distribution:</w:t>
      </w:r>
      <w:r w:rsidRPr="00473647">
        <w:rPr>
          <w:rFonts w:ascii="Arial" w:eastAsia="Times New Roman" w:hAnsi="Arial" w:cs="Arial"/>
          <w:sz w:val="24"/>
          <w:szCs w:val="24"/>
        </w:rPr>
        <w:t xml:space="preserve"> Summarizes demographic data and key responses, highlighting patterns like awareness gaps.</w:t>
      </w:r>
    </w:p>
    <w:p w14:paraId="22664C9D" w14:textId="77777777"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14:paraId="4995EA5E" w14:textId="77777777"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14:paraId="174CEEFE" w14:textId="77777777"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14:paraId="7D794DC0" w14:textId="77777777"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14:paraId="31A8C9E5" w14:textId="77777777"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14:paraId="33561582" w14:textId="77777777"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lastRenderedPageBreak/>
        <w:t>Data Analysis and Interpretation</w:t>
      </w:r>
    </w:p>
    <w:p w14:paraId="0883E25D" w14:textId="77777777" w:rsidR="000153FA" w:rsidRDefault="000153FA" w:rsidP="000153FA">
      <w:pPr>
        <w:spacing w:before="100" w:beforeAutospacing="1" w:after="100" w:afterAutospacing="1" w:line="360" w:lineRule="auto"/>
        <w:jc w:val="both"/>
        <w:rPr>
          <w:rFonts w:ascii="Arial" w:eastAsia="Times New Roman" w:hAnsi="Arial" w:cs="Arial"/>
          <w:b/>
          <w:bCs/>
          <w:sz w:val="24"/>
          <w:szCs w:val="24"/>
        </w:rPr>
      </w:pPr>
      <w:r w:rsidRPr="000153FA">
        <w:rPr>
          <w:rFonts w:ascii="Arial" w:eastAsia="Times New Roman" w:hAnsi="Arial" w:cs="Arial"/>
          <w:b/>
          <w:bCs/>
          <w:sz w:val="24"/>
          <w:szCs w:val="24"/>
        </w:rPr>
        <w:t>Designation Analysis:</w:t>
      </w:r>
    </w:p>
    <w:p w14:paraId="468FBDDC" w14:textId="77777777" w:rsidR="00D07D0E" w:rsidRPr="00D07D0E" w:rsidRDefault="00D07D0E" w:rsidP="00D07D0E">
      <w:pPr>
        <w:pStyle w:val="Caption"/>
        <w:keepNext/>
        <w:rPr>
          <w:rFonts w:ascii="Arial" w:hAnsi="Arial" w:cs="Arial"/>
          <w:color w:val="auto"/>
          <w:sz w:val="20"/>
        </w:rPr>
      </w:pPr>
      <w:r>
        <w:rPr>
          <w:rFonts w:ascii="Arial" w:hAnsi="Arial" w:cs="Arial"/>
          <w:color w:val="auto"/>
          <w:sz w:val="20"/>
        </w:rPr>
        <w:t xml:space="preserve">                                                                                                          </w:t>
      </w:r>
      <w:r w:rsidRPr="00D07D0E">
        <w:rPr>
          <w:rFonts w:ascii="Arial" w:hAnsi="Arial" w:cs="Arial"/>
          <w:color w:val="auto"/>
          <w:sz w:val="20"/>
        </w:rPr>
        <w:t>Table 1.1 showing designation</w:t>
      </w:r>
    </w:p>
    <w:tbl>
      <w:tblPr>
        <w:tblStyle w:val="TableGrid"/>
        <w:tblpPr w:leftFromText="180" w:rightFromText="180" w:vertAnchor="text" w:horzAnchor="margin" w:tblpXSpec="right" w:tblpY="365"/>
        <w:tblOverlap w:val="never"/>
        <w:tblW w:w="0" w:type="auto"/>
        <w:tblLook w:val="04A0" w:firstRow="1" w:lastRow="0" w:firstColumn="1" w:lastColumn="0" w:noHBand="0" w:noVBand="1"/>
      </w:tblPr>
      <w:tblGrid>
        <w:gridCol w:w="1484"/>
        <w:gridCol w:w="1350"/>
        <w:gridCol w:w="1164"/>
      </w:tblGrid>
      <w:tr w:rsidR="00CF11F8" w14:paraId="57BA8259" w14:textId="77777777" w:rsidTr="00CF11F8">
        <w:trPr>
          <w:trHeight w:val="386"/>
        </w:trPr>
        <w:tc>
          <w:tcPr>
            <w:tcW w:w="1484" w:type="dxa"/>
          </w:tcPr>
          <w:p w14:paraId="137383FB" w14:textId="77777777" w:rsidR="00CF11F8" w:rsidRPr="00524343" w:rsidRDefault="00CF11F8" w:rsidP="00CF11F8">
            <w:pPr>
              <w:rPr>
                <w:rFonts w:ascii="Arial" w:hAnsi="Arial" w:cs="Arial"/>
                <w:sz w:val="24"/>
                <w:szCs w:val="24"/>
              </w:rPr>
            </w:pPr>
            <w:r w:rsidRPr="00524343">
              <w:rPr>
                <w:rFonts w:ascii="Arial" w:hAnsi="Arial" w:cs="Arial"/>
                <w:sz w:val="24"/>
                <w:szCs w:val="24"/>
              </w:rPr>
              <w:t>Designation</w:t>
            </w:r>
          </w:p>
        </w:tc>
        <w:tc>
          <w:tcPr>
            <w:tcW w:w="1350" w:type="dxa"/>
          </w:tcPr>
          <w:p w14:paraId="519AEC9B" w14:textId="77777777" w:rsidR="00CF11F8" w:rsidRPr="00524343" w:rsidRDefault="00CF11F8" w:rsidP="00CF11F8">
            <w:pPr>
              <w:rPr>
                <w:rFonts w:ascii="Arial" w:hAnsi="Arial" w:cs="Arial"/>
                <w:sz w:val="24"/>
                <w:szCs w:val="24"/>
              </w:rPr>
            </w:pPr>
            <w:r w:rsidRPr="00524343">
              <w:rPr>
                <w:rFonts w:ascii="Arial" w:hAnsi="Arial" w:cs="Arial"/>
                <w:sz w:val="24"/>
                <w:szCs w:val="24"/>
              </w:rPr>
              <w:t>Frequency</w:t>
            </w:r>
          </w:p>
        </w:tc>
        <w:tc>
          <w:tcPr>
            <w:tcW w:w="1164" w:type="dxa"/>
            <w:vAlign w:val="bottom"/>
          </w:tcPr>
          <w:p w14:paraId="3F73C788" w14:textId="77777777" w:rsidR="00CF11F8" w:rsidRPr="00524343" w:rsidRDefault="00CF11F8" w:rsidP="00CF11F8">
            <w:pPr>
              <w:autoSpaceDE w:val="0"/>
              <w:autoSpaceDN w:val="0"/>
              <w:adjustRightInd w:val="0"/>
              <w:spacing w:line="320" w:lineRule="atLeast"/>
              <w:ind w:right="60"/>
              <w:rPr>
                <w:rFonts w:ascii="Arial" w:hAnsi="Arial" w:cs="Arial"/>
                <w:sz w:val="24"/>
                <w:szCs w:val="24"/>
              </w:rPr>
            </w:pPr>
            <w:r w:rsidRPr="00524343">
              <w:rPr>
                <w:rFonts w:ascii="Arial" w:hAnsi="Arial" w:cs="Arial"/>
                <w:sz w:val="24"/>
                <w:szCs w:val="24"/>
              </w:rPr>
              <w:t>Percent</w:t>
            </w:r>
          </w:p>
        </w:tc>
      </w:tr>
      <w:tr w:rsidR="00CF11F8" w14:paraId="425381F2" w14:textId="77777777" w:rsidTr="00CF11F8">
        <w:trPr>
          <w:trHeight w:val="386"/>
        </w:trPr>
        <w:tc>
          <w:tcPr>
            <w:tcW w:w="1484" w:type="dxa"/>
          </w:tcPr>
          <w:p w14:paraId="29277749" w14:textId="77777777" w:rsidR="00CF11F8" w:rsidRPr="00524343" w:rsidRDefault="00CF11F8" w:rsidP="00CF11F8">
            <w:pPr>
              <w:rPr>
                <w:rFonts w:ascii="Arial" w:hAnsi="Arial" w:cs="Arial"/>
                <w:sz w:val="24"/>
                <w:szCs w:val="24"/>
              </w:rPr>
            </w:pPr>
            <w:r w:rsidRPr="00524343">
              <w:rPr>
                <w:rFonts w:ascii="Arial" w:hAnsi="Arial" w:cs="Arial"/>
                <w:sz w:val="24"/>
                <w:szCs w:val="24"/>
              </w:rPr>
              <w:t>Entry-level</w:t>
            </w:r>
          </w:p>
        </w:tc>
        <w:tc>
          <w:tcPr>
            <w:tcW w:w="1350" w:type="dxa"/>
          </w:tcPr>
          <w:p w14:paraId="6A17F506" w14:textId="77777777" w:rsidR="00CF11F8" w:rsidRPr="00524343" w:rsidRDefault="00CF11F8" w:rsidP="00CF11F8">
            <w:pPr>
              <w:rPr>
                <w:rFonts w:ascii="Arial" w:hAnsi="Arial" w:cs="Arial"/>
                <w:sz w:val="24"/>
                <w:szCs w:val="24"/>
              </w:rPr>
            </w:pPr>
            <w:r w:rsidRPr="00524343">
              <w:rPr>
                <w:rFonts w:ascii="Arial" w:hAnsi="Arial" w:cs="Arial"/>
                <w:sz w:val="24"/>
                <w:szCs w:val="24"/>
              </w:rPr>
              <w:t>27</w:t>
            </w:r>
          </w:p>
        </w:tc>
        <w:tc>
          <w:tcPr>
            <w:tcW w:w="1164" w:type="dxa"/>
          </w:tcPr>
          <w:p w14:paraId="341FC84A" w14:textId="77777777"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22.1</w:t>
            </w:r>
          </w:p>
        </w:tc>
      </w:tr>
      <w:tr w:rsidR="00CF11F8" w14:paraId="55A6AC8F" w14:textId="77777777" w:rsidTr="00CF11F8">
        <w:trPr>
          <w:trHeight w:val="363"/>
        </w:trPr>
        <w:tc>
          <w:tcPr>
            <w:tcW w:w="1484" w:type="dxa"/>
          </w:tcPr>
          <w:p w14:paraId="18ACEA32" w14:textId="77777777" w:rsidR="00CF11F8" w:rsidRPr="00524343" w:rsidRDefault="00CF11F8" w:rsidP="00CF11F8">
            <w:pPr>
              <w:rPr>
                <w:rFonts w:ascii="Arial" w:hAnsi="Arial" w:cs="Arial"/>
                <w:sz w:val="24"/>
                <w:szCs w:val="24"/>
              </w:rPr>
            </w:pPr>
            <w:r w:rsidRPr="00524343">
              <w:rPr>
                <w:rFonts w:ascii="Arial" w:hAnsi="Arial" w:cs="Arial"/>
                <w:sz w:val="24"/>
                <w:szCs w:val="24"/>
              </w:rPr>
              <w:t>Mid-level</w:t>
            </w:r>
          </w:p>
        </w:tc>
        <w:tc>
          <w:tcPr>
            <w:tcW w:w="1350" w:type="dxa"/>
          </w:tcPr>
          <w:p w14:paraId="3CA14C5E" w14:textId="77777777" w:rsidR="00CF11F8" w:rsidRPr="00524343" w:rsidRDefault="00CF11F8" w:rsidP="00CF11F8">
            <w:pPr>
              <w:rPr>
                <w:rFonts w:ascii="Arial" w:hAnsi="Arial" w:cs="Arial"/>
                <w:sz w:val="24"/>
                <w:szCs w:val="24"/>
              </w:rPr>
            </w:pPr>
            <w:r w:rsidRPr="00524343">
              <w:rPr>
                <w:rFonts w:ascii="Arial" w:hAnsi="Arial" w:cs="Arial"/>
                <w:sz w:val="24"/>
                <w:szCs w:val="24"/>
              </w:rPr>
              <w:t>37</w:t>
            </w:r>
          </w:p>
        </w:tc>
        <w:tc>
          <w:tcPr>
            <w:tcW w:w="1164" w:type="dxa"/>
          </w:tcPr>
          <w:p w14:paraId="12FB8193" w14:textId="77777777"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30.3</w:t>
            </w:r>
          </w:p>
        </w:tc>
      </w:tr>
      <w:tr w:rsidR="00CF11F8" w14:paraId="3E7CE61A" w14:textId="77777777" w:rsidTr="00CF11F8">
        <w:trPr>
          <w:trHeight w:val="386"/>
        </w:trPr>
        <w:tc>
          <w:tcPr>
            <w:tcW w:w="1484" w:type="dxa"/>
          </w:tcPr>
          <w:p w14:paraId="7636C0B7" w14:textId="77777777" w:rsidR="00CF11F8" w:rsidRPr="00524343" w:rsidRDefault="00CF11F8" w:rsidP="00CF11F8">
            <w:pPr>
              <w:rPr>
                <w:rFonts w:ascii="Arial" w:hAnsi="Arial" w:cs="Arial"/>
                <w:sz w:val="24"/>
                <w:szCs w:val="24"/>
              </w:rPr>
            </w:pPr>
            <w:r w:rsidRPr="00524343">
              <w:rPr>
                <w:rFonts w:ascii="Arial" w:hAnsi="Arial" w:cs="Arial"/>
                <w:sz w:val="24"/>
                <w:szCs w:val="24"/>
              </w:rPr>
              <w:t>Senior-level</w:t>
            </w:r>
          </w:p>
        </w:tc>
        <w:tc>
          <w:tcPr>
            <w:tcW w:w="1350" w:type="dxa"/>
          </w:tcPr>
          <w:p w14:paraId="2D8C135C" w14:textId="77777777" w:rsidR="00CF11F8" w:rsidRPr="00524343" w:rsidRDefault="00CF11F8" w:rsidP="00CF11F8">
            <w:pPr>
              <w:rPr>
                <w:rFonts w:ascii="Arial" w:hAnsi="Arial" w:cs="Arial"/>
                <w:sz w:val="24"/>
                <w:szCs w:val="24"/>
              </w:rPr>
            </w:pPr>
            <w:r w:rsidRPr="00524343">
              <w:rPr>
                <w:rFonts w:ascii="Arial" w:hAnsi="Arial" w:cs="Arial"/>
                <w:sz w:val="24"/>
                <w:szCs w:val="24"/>
              </w:rPr>
              <w:t>26</w:t>
            </w:r>
          </w:p>
        </w:tc>
        <w:tc>
          <w:tcPr>
            <w:tcW w:w="1164" w:type="dxa"/>
          </w:tcPr>
          <w:p w14:paraId="71CF7308" w14:textId="77777777"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21.3</w:t>
            </w:r>
          </w:p>
        </w:tc>
      </w:tr>
      <w:tr w:rsidR="00CF11F8" w14:paraId="74BD2408" w14:textId="77777777" w:rsidTr="00CF11F8">
        <w:trPr>
          <w:trHeight w:val="408"/>
        </w:trPr>
        <w:tc>
          <w:tcPr>
            <w:tcW w:w="1484" w:type="dxa"/>
          </w:tcPr>
          <w:p w14:paraId="5894585F" w14:textId="77777777" w:rsidR="00CF11F8" w:rsidRPr="00524343" w:rsidRDefault="00CF11F8" w:rsidP="00CF11F8">
            <w:pPr>
              <w:rPr>
                <w:rFonts w:ascii="Arial" w:hAnsi="Arial" w:cs="Arial"/>
                <w:sz w:val="24"/>
                <w:szCs w:val="24"/>
              </w:rPr>
            </w:pPr>
            <w:r w:rsidRPr="00524343">
              <w:rPr>
                <w:rFonts w:ascii="Arial" w:hAnsi="Arial" w:cs="Arial"/>
                <w:sz w:val="24"/>
                <w:szCs w:val="24"/>
              </w:rPr>
              <w:t>Managerial</w:t>
            </w:r>
          </w:p>
        </w:tc>
        <w:tc>
          <w:tcPr>
            <w:tcW w:w="1350" w:type="dxa"/>
          </w:tcPr>
          <w:p w14:paraId="4E0F280D" w14:textId="77777777" w:rsidR="00CF11F8" w:rsidRPr="00524343" w:rsidRDefault="00CF11F8" w:rsidP="00CF11F8">
            <w:pPr>
              <w:rPr>
                <w:rFonts w:ascii="Arial" w:hAnsi="Arial" w:cs="Arial"/>
                <w:sz w:val="24"/>
                <w:szCs w:val="24"/>
              </w:rPr>
            </w:pPr>
            <w:r w:rsidRPr="00524343">
              <w:rPr>
                <w:rFonts w:ascii="Arial" w:hAnsi="Arial" w:cs="Arial"/>
                <w:sz w:val="24"/>
                <w:szCs w:val="24"/>
              </w:rPr>
              <w:t>32</w:t>
            </w:r>
          </w:p>
        </w:tc>
        <w:tc>
          <w:tcPr>
            <w:tcW w:w="1164" w:type="dxa"/>
          </w:tcPr>
          <w:p w14:paraId="36805802" w14:textId="77777777"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26.2</w:t>
            </w:r>
          </w:p>
        </w:tc>
      </w:tr>
    </w:tbl>
    <w:p w14:paraId="171C48E9" w14:textId="77777777" w:rsidR="000153FA" w:rsidRDefault="000153FA" w:rsidP="000153FA">
      <w:pPr>
        <w:pStyle w:val="Caption"/>
        <w:keepNext/>
        <w:rPr>
          <w:color w:val="auto"/>
        </w:rPr>
      </w:pPr>
      <w:r>
        <w:rPr>
          <w:color w:val="auto"/>
        </w:rPr>
        <w:t xml:space="preserve">  </w:t>
      </w:r>
      <w:r w:rsidRPr="002903B7">
        <w:rPr>
          <w:color w:val="auto"/>
        </w:rPr>
        <w:t xml:space="preserve"> </w:t>
      </w:r>
      <w:r w:rsidRPr="00524343">
        <w:rPr>
          <w:rFonts w:ascii="Arial" w:eastAsia="Times New Roman" w:hAnsi="Arial" w:cs="Arial"/>
          <w:noProof/>
          <w:sz w:val="24"/>
          <w:szCs w:val="24"/>
        </w:rPr>
        <w:drawing>
          <wp:inline distT="0" distB="0" distL="0" distR="0" wp14:anchorId="5FFC206C" wp14:editId="6674AF4A">
            <wp:extent cx="2817294" cy="1962150"/>
            <wp:effectExtent l="19050" t="0" r="2106"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819400" cy="1963617"/>
                    </a:xfrm>
                    <a:prstGeom prst="rect">
                      <a:avLst/>
                    </a:prstGeom>
                    <a:noFill/>
                    <a:ln w="9525">
                      <a:noFill/>
                      <a:miter lim="800000"/>
                      <a:headEnd/>
                      <a:tailEnd/>
                    </a:ln>
                  </pic:spPr>
                </pic:pic>
              </a:graphicData>
            </a:graphic>
          </wp:inline>
        </w:drawing>
      </w:r>
      <w:r w:rsidRPr="002903B7">
        <w:rPr>
          <w:color w:val="auto"/>
        </w:rPr>
        <w:t xml:space="preserve">                                                            </w:t>
      </w:r>
    </w:p>
    <w:p w14:paraId="3325CBD1" w14:textId="77777777" w:rsidR="000153FA" w:rsidRPr="00292E7F" w:rsidRDefault="000153FA" w:rsidP="000153FA">
      <w:pPr>
        <w:pStyle w:val="Caption"/>
        <w:jc w:val="both"/>
        <w:rPr>
          <w:rFonts w:ascii="Arial" w:hAnsi="Arial" w:cs="Arial"/>
          <w:color w:val="auto"/>
          <w:sz w:val="20"/>
        </w:rPr>
      </w:pPr>
      <w:r w:rsidRPr="002903B7">
        <w:rPr>
          <w:rFonts w:ascii="Arial" w:hAnsi="Arial" w:cs="Arial"/>
          <w:color w:val="auto"/>
          <w:sz w:val="20"/>
        </w:rPr>
        <w:t>Chart 1.1 showing the designation of the respondents</w:t>
      </w:r>
    </w:p>
    <w:p w14:paraId="4C08DB1B" w14:textId="77777777" w:rsidR="000153FA" w:rsidRPr="000153FA" w:rsidRDefault="000153FA" w:rsidP="000153FA">
      <w:pPr>
        <w:pStyle w:val="Caption"/>
        <w:keepNext/>
        <w:rPr>
          <w:color w:val="auto"/>
        </w:rPr>
      </w:pPr>
      <w:r>
        <w:rPr>
          <w:color w:val="auto"/>
        </w:rPr>
        <w:t xml:space="preserve">                                                                    </w:t>
      </w:r>
      <w:r w:rsidRPr="002903B7">
        <w:rPr>
          <w:color w:val="auto"/>
        </w:rPr>
        <w:t xml:space="preserve">                            </w:t>
      </w:r>
      <w:r>
        <w:rPr>
          <w:color w:val="auto"/>
        </w:rPr>
        <w:t xml:space="preserve">                               </w:t>
      </w:r>
    </w:p>
    <w:p w14:paraId="0ACA6DE8" w14:textId="77777777" w:rsidR="00D0220A" w:rsidRPr="007B1A1F" w:rsidRDefault="000153FA" w:rsidP="000153FA">
      <w:pPr>
        <w:spacing w:before="100" w:beforeAutospacing="1" w:after="100" w:afterAutospacing="1" w:line="360" w:lineRule="auto"/>
        <w:jc w:val="both"/>
        <w:rPr>
          <w:rFonts w:ascii="Arial" w:hAnsi="Arial" w:cs="Arial"/>
          <w:sz w:val="24"/>
        </w:rPr>
      </w:pPr>
      <w:r w:rsidRPr="00916003">
        <w:rPr>
          <w:rFonts w:ascii="Arial" w:hAnsi="Arial" w:cs="Arial"/>
          <w:sz w:val="24"/>
        </w:rPr>
        <w:t>The majority of respondents are from mid-level and managerial roles. Entry-level and senior-level employees are also well represented. This mix ensures a broad understanding of payroll expectations. It enables role-based analysis in payroll systems.</w:t>
      </w:r>
    </w:p>
    <w:p w14:paraId="12E7219E" w14:textId="77777777" w:rsidR="00D0220A" w:rsidRPr="000153FA" w:rsidRDefault="000153FA" w:rsidP="000153FA">
      <w:pPr>
        <w:spacing w:before="100" w:beforeAutospacing="1" w:after="100" w:afterAutospacing="1" w:line="360" w:lineRule="auto"/>
        <w:jc w:val="both"/>
        <w:rPr>
          <w:rFonts w:ascii="Arial" w:eastAsia="Times New Roman" w:hAnsi="Arial" w:cs="Arial"/>
          <w:b/>
          <w:bCs/>
          <w:sz w:val="24"/>
          <w:szCs w:val="24"/>
        </w:rPr>
      </w:pPr>
      <w:r w:rsidRPr="000153FA">
        <w:rPr>
          <w:rFonts w:ascii="Arial" w:eastAsia="Times New Roman" w:hAnsi="Arial" w:cs="Arial"/>
          <w:b/>
          <w:bCs/>
          <w:sz w:val="24"/>
          <w:szCs w:val="24"/>
        </w:rPr>
        <w:t>Income Levels:</w:t>
      </w:r>
    </w:p>
    <w:p w14:paraId="4801770D" w14:textId="77777777" w:rsidR="002A2AA0" w:rsidRPr="002A2AA0" w:rsidRDefault="002A2AA0" w:rsidP="002A2AA0">
      <w:pPr>
        <w:pStyle w:val="Caption"/>
        <w:keepNext/>
        <w:rPr>
          <w:rFonts w:ascii="Arial" w:hAnsi="Arial" w:cs="Arial"/>
          <w:color w:val="auto"/>
          <w:sz w:val="20"/>
        </w:rPr>
      </w:pPr>
      <w:r>
        <w:rPr>
          <w:rFonts w:ascii="Arial" w:hAnsi="Arial" w:cs="Arial"/>
          <w:color w:val="auto"/>
          <w:sz w:val="20"/>
        </w:rPr>
        <w:t xml:space="preserve">                                                                                              </w:t>
      </w:r>
      <w:r w:rsidRPr="002A2AA0">
        <w:rPr>
          <w:rFonts w:ascii="Arial" w:hAnsi="Arial" w:cs="Arial"/>
          <w:color w:val="auto"/>
          <w:sz w:val="20"/>
        </w:rPr>
        <w:t xml:space="preserve">Table </w:t>
      </w:r>
      <w:r w:rsidR="00EA72F0" w:rsidRPr="002A2AA0">
        <w:rPr>
          <w:rFonts w:ascii="Arial" w:hAnsi="Arial" w:cs="Arial"/>
          <w:color w:val="auto"/>
          <w:sz w:val="20"/>
        </w:rPr>
        <w:fldChar w:fldCharType="begin"/>
      </w:r>
      <w:r w:rsidRPr="002A2AA0">
        <w:rPr>
          <w:rFonts w:ascii="Arial" w:hAnsi="Arial" w:cs="Arial"/>
          <w:color w:val="auto"/>
          <w:sz w:val="20"/>
        </w:rPr>
        <w:instrText xml:space="preserve"> SEQ Table \* ARABIC </w:instrText>
      </w:r>
      <w:r w:rsidR="00EA72F0" w:rsidRPr="002A2AA0">
        <w:rPr>
          <w:rFonts w:ascii="Arial" w:hAnsi="Arial" w:cs="Arial"/>
          <w:color w:val="auto"/>
          <w:sz w:val="20"/>
        </w:rPr>
        <w:fldChar w:fldCharType="separate"/>
      </w:r>
      <w:r w:rsidRPr="002A2AA0">
        <w:rPr>
          <w:rFonts w:ascii="Arial" w:hAnsi="Arial" w:cs="Arial"/>
          <w:noProof/>
          <w:color w:val="auto"/>
          <w:sz w:val="20"/>
        </w:rPr>
        <w:t>1</w:t>
      </w:r>
      <w:r w:rsidR="00EA72F0" w:rsidRPr="002A2AA0">
        <w:rPr>
          <w:rFonts w:ascii="Arial" w:hAnsi="Arial" w:cs="Arial"/>
          <w:color w:val="auto"/>
          <w:sz w:val="20"/>
        </w:rPr>
        <w:fldChar w:fldCharType="end"/>
      </w:r>
      <w:r w:rsidRPr="002A2AA0">
        <w:rPr>
          <w:rFonts w:ascii="Arial" w:hAnsi="Arial" w:cs="Arial"/>
          <w:color w:val="auto"/>
          <w:sz w:val="20"/>
        </w:rPr>
        <w:t>.2 showing the monthly income</w:t>
      </w:r>
    </w:p>
    <w:tbl>
      <w:tblPr>
        <w:tblpPr w:leftFromText="180" w:rightFromText="180" w:vertAnchor="text" w:horzAnchor="margin" w:tblpXSpec="right"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1350"/>
        <w:gridCol w:w="1080"/>
      </w:tblGrid>
      <w:tr w:rsidR="00D0220A" w14:paraId="55549E6D" w14:textId="77777777" w:rsidTr="00D0220A">
        <w:trPr>
          <w:trHeight w:val="291"/>
        </w:trPr>
        <w:tc>
          <w:tcPr>
            <w:tcW w:w="2178" w:type="dxa"/>
          </w:tcPr>
          <w:p w14:paraId="7B410097" w14:textId="77777777" w:rsidR="00D0220A" w:rsidRPr="00916003" w:rsidRDefault="00D0220A" w:rsidP="00D0220A">
            <w:pPr>
              <w:rPr>
                <w:rFonts w:ascii="Arial" w:hAnsi="Arial" w:cs="Arial"/>
                <w:sz w:val="24"/>
              </w:rPr>
            </w:pPr>
            <w:r w:rsidRPr="00916003">
              <w:rPr>
                <w:rFonts w:ascii="Arial" w:hAnsi="Arial" w:cs="Arial"/>
                <w:sz w:val="24"/>
              </w:rPr>
              <w:t>Monthly Income</w:t>
            </w:r>
          </w:p>
        </w:tc>
        <w:tc>
          <w:tcPr>
            <w:tcW w:w="1350" w:type="dxa"/>
          </w:tcPr>
          <w:p w14:paraId="07C09D04" w14:textId="77777777" w:rsidR="00D0220A" w:rsidRPr="00916003" w:rsidRDefault="00D0220A" w:rsidP="00D0220A">
            <w:pPr>
              <w:rPr>
                <w:rFonts w:ascii="Arial" w:hAnsi="Arial" w:cs="Arial"/>
                <w:sz w:val="24"/>
              </w:rPr>
            </w:pPr>
            <w:r w:rsidRPr="00916003">
              <w:rPr>
                <w:rFonts w:ascii="Arial" w:hAnsi="Arial" w:cs="Arial"/>
                <w:sz w:val="24"/>
              </w:rPr>
              <w:t>Frequency</w:t>
            </w:r>
          </w:p>
        </w:tc>
        <w:tc>
          <w:tcPr>
            <w:tcW w:w="1080" w:type="dxa"/>
          </w:tcPr>
          <w:p w14:paraId="0354552F" w14:textId="77777777" w:rsidR="00D0220A" w:rsidRPr="00916003" w:rsidRDefault="00D0220A" w:rsidP="00D0220A">
            <w:pPr>
              <w:rPr>
                <w:rFonts w:ascii="Arial" w:hAnsi="Arial" w:cs="Arial"/>
                <w:sz w:val="24"/>
              </w:rPr>
            </w:pPr>
            <w:r w:rsidRPr="00916003">
              <w:rPr>
                <w:rFonts w:ascii="Arial" w:hAnsi="Arial" w:cs="Arial"/>
                <w:sz w:val="24"/>
              </w:rPr>
              <w:t>Percent</w:t>
            </w:r>
          </w:p>
        </w:tc>
      </w:tr>
      <w:tr w:rsidR="00D0220A" w14:paraId="21C0A9B6" w14:textId="77777777" w:rsidTr="00D0220A">
        <w:trPr>
          <w:trHeight w:val="215"/>
        </w:trPr>
        <w:tc>
          <w:tcPr>
            <w:tcW w:w="2178" w:type="dxa"/>
          </w:tcPr>
          <w:p w14:paraId="2A4E97D7" w14:textId="77777777" w:rsidR="00D0220A" w:rsidRPr="00916003" w:rsidRDefault="00D0220A" w:rsidP="00D0220A">
            <w:pPr>
              <w:rPr>
                <w:rFonts w:ascii="Arial" w:hAnsi="Arial" w:cs="Arial"/>
                <w:sz w:val="24"/>
              </w:rPr>
            </w:pPr>
            <w:r w:rsidRPr="00916003">
              <w:rPr>
                <w:rFonts w:ascii="Arial" w:hAnsi="Arial" w:cs="Arial"/>
                <w:sz w:val="24"/>
              </w:rPr>
              <w:t>Below ₹20,000</w:t>
            </w:r>
          </w:p>
        </w:tc>
        <w:tc>
          <w:tcPr>
            <w:tcW w:w="1350" w:type="dxa"/>
          </w:tcPr>
          <w:p w14:paraId="2423CE3A" w14:textId="77777777" w:rsidR="00D0220A" w:rsidRPr="00916003" w:rsidRDefault="00D0220A" w:rsidP="00D0220A">
            <w:pPr>
              <w:rPr>
                <w:rFonts w:ascii="Arial" w:hAnsi="Arial" w:cs="Arial"/>
                <w:sz w:val="24"/>
              </w:rPr>
            </w:pPr>
            <w:r w:rsidRPr="00916003">
              <w:rPr>
                <w:rFonts w:ascii="Arial" w:hAnsi="Arial" w:cs="Arial"/>
                <w:sz w:val="24"/>
              </w:rPr>
              <w:t>29</w:t>
            </w:r>
          </w:p>
        </w:tc>
        <w:tc>
          <w:tcPr>
            <w:tcW w:w="1080" w:type="dxa"/>
          </w:tcPr>
          <w:p w14:paraId="0CAB469D" w14:textId="77777777" w:rsidR="00D0220A" w:rsidRPr="00916003" w:rsidRDefault="00D0220A" w:rsidP="00D0220A">
            <w:pPr>
              <w:rPr>
                <w:rFonts w:ascii="Arial" w:hAnsi="Arial" w:cs="Arial"/>
                <w:sz w:val="24"/>
              </w:rPr>
            </w:pPr>
            <w:r w:rsidRPr="00916003">
              <w:rPr>
                <w:rFonts w:ascii="Arial" w:hAnsi="Arial" w:cs="Arial"/>
                <w:sz w:val="24"/>
              </w:rPr>
              <w:t>23.8</w:t>
            </w:r>
          </w:p>
        </w:tc>
      </w:tr>
      <w:tr w:rsidR="00D0220A" w14:paraId="365AEC6C" w14:textId="77777777" w:rsidTr="00D0220A">
        <w:trPr>
          <w:trHeight w:val="231"/>
        </w:trPr>
        <w:tc>
          <w:tcPr>
            <w:tcW w:w="2178" w:type="dxa"/>
          </w:tcPr>
          <w:p w14:paraId="773B7930" w14:textId="77777777" w:rsidR="00D0220A" w:rsidRPr="00916003" w:rsidRDefault="00D0220A" w:rsidP="00D0220A">
            <w:pPr>
              <w:rPr>
                <w:rFonts w:ascii="Arial" w:hAnsi="Arial" w:cs="Arial"/>
                <w:sz w:val="24"/>
              </w:rPr>
            </w:pPr>
            <w:r w:rsidRPr="00916003">
              <w:rPr>
                <w:rFonts w:ascii="Arial" w:hAnsi="Arial" w:cs="Arial"/>
                <w:sz w:val="24"/>
              </w:rPr>
              <w:t>₹20,000–₹40,000</w:t>
            </w:r>
          </w:p>
        </w:tc>
        <w:tc>
          <w:tcPr>
            <w:tcW w:w="1350" w:type="dxa"/>
          </w:tcPr>
          <w:p w14:paraId="3FA530FB" w14:textId="77777777" w:rsidR="00D0220A" w:rsidRPr="00916003" w:rsidRDefault="00D0220A" w:rsidP="00D0220A">
            <w:pPr>
              <w:rPr>
                <w:rFonts w:ascii="Arial" w:hAnsi="Arial" w:cs="Arial"/>
                <w:sz w:val="24"/>
              </w:rPr>
            </w:pPr>
            <w:r w:rsidRPr="00916003">
              <w:rPr>
                <w:rFonts w:ascii="Arial" w:hAnsi="Arial" w:cs="Arial"/>
                <w:sz w:val="24"/>
              </w:rPr>
              <w:t>29</w:t>
            </w:r>
          </w:p>
        </w:tc>
        <w:tc>
          <w:tcPr>
            <w:tcW w:w="1080" w:type="dxa"/>
          </w:tcPr>
          <w:p w14:paraId="3F54E17A" w14:textId="77777777" w:rsidR="00D0220A" w:rsidRPr="00916003" w:rsidRDefault="00D0220A" w:rsidP="00D0220A">
            <w:pPr>
              <w:rPr>
                <w:rFonts w:ascii="Arial" w:hAnsi="Arial" w:cs="Arial"/>
                <w:sz w:val="24"/>
              </w:rPr>
            </w:pPr>
            <w:r w:rsidRPr="00916003">
              <w:rPr>
                <w:rFonts w:ascii="Arial" w:hAnsi="Arial" w:cs="Arial"/>
                <w:sz w:val="24"/>
              </w:rPr>
              <w:t>23.8</w:t>
            </w:r>
          </w:p>
        </w:tc>
      </w:tr>
      <w:tr w:rsidR="00D0220A" w14:paraId="7722E67B" w14:textId="77777777" w:rsidTr="00D0220A">
        <w:trPr>
          <w:trHeight w:val="272"/>
        </w:trPr>
        <w:tc>
          <w:tcPr>
            <w:tcW w:w="2178" w:type="dxa"/>
          </w:tcPr>
          <w:p w14:paraId="592CC2AD" w14:textId="77777777" w:rsidR="00D0220A" w:rsidRPr="00916003" w:rsidRDefault="00D0220A" w:rsidP="00D0220A">
            <w:pPr>
              <w:rPr>
                <w:rFonts w:ascii="Arial" w:hAnsi="Arial" w:cs="Arial"/>
                <w:sz w:val="24"/>
              </w:rPr>
            </w:pPr>
            <w:r w:rsidRPr="00916003">
              <w:rPr>
                <w:rFonts w:ascii="Arial" w:hAnsi="Arial" w:cs="Arial"/>
                <w:sz w:val="24"/>
              </w:rPr>
              <w:t>₹40,001–₹60,000</w:t>
            </w:r>
          </w:p>
        </w:tc>
        <w:tc>
          <w:tcPr>
            <w:tcW w:w="1350" w:type="dxa"/>
          </w:tcPr>
          <w:p w14:paraId="25353FB7" w14:textId="77777777" w:rsidR="00D0220A" w:rsidRPr="00916003" w:rsidRDefault="00D0220A" w:rsidP="00D0220A">
            <w:pPr>
              <w:rPr>
                <w:rFonts w:ascii="Arial" w:hAnsi="Arial" w:cs="Arial"/>
                <w:sz w:val="24"/>
              </w:rPr>
            </w:pPr>
            <w:r w:rsidRPr="00916003">
              <w:rPr>
                <w:rFonts w:ascii="Arial" w:hAnsi="Arial" w:cs="Arial"/>
                <w:sz w:val="24"/>
              </w:rPr>
              <w:t>31</w:t>
            </w:r>
          </w:p>
        </w:tc>
        <w:tc>
          <w:tcPr>
            <w:tcW w:w="1080" w:type="dxa"/>
          </w:tcPr>
          <w:p w14:paraId="06DA134B" w14:textId="77777777" w:rsidR="00D0220A" w:rsidRPr="00916003" w:rsidRDefault="00D0220A" w:rsidP="00D0220A">
            <w:pPr>
              <w:rPr>
                <w:rFonts w:ascii="Arial" w:hAnsi="Arial" w:cs="Arial"/>
                <w:sz w:val="24"/>
              </w:rPr>
            </w:pPr>
            <w:r w:rsidRPr="00916003">
              <w:rPr>
                <w:rFonts w:ascii="Arial" w:hAnsi="Arial" w:cs="Arial"/>
                <w:sz w:val="24"/>
              </w:rPr>
              <w:t>25.4</w:t>
            </w:r>
          </w:p>
        </w:tc>
      </w:tr>
    </w:tbl>
    <w:p w14:paraId="10F0EC68" w14:textId="77777777" w:rsidR="000153FA" w:rsidRPr="002903B7" w:rsidRDefault="00D0220A" w:rsidP="000153FA">
      <w:pPr>
        <w:pStyle w:val="Caption"/>
        <w:keepNext/>
        <w:rPr>
          <w:rFonts w:ascii="Arial" w:hAnsi="Arial" w:cs="Arial"/>
          <w:color w:val="auto"/>
          <w:sz w:val="20"/>
        </w:rPr>
      </w:pPr>
      <w:r w:rsidRPr="00916003">
        <w:rPr>
          <w:rFonts w:ascii="Arial" w:eastAsia="Times New Roman" w:hAnsi="Arial" w:cs="Arial"/>
          <w:noProof/>
          <w:sz w:val="28"/>
          <w:szCs w:val="24"/>
        </w:rPr>
        <w:drawing>
          <wp:inline distT="0" distB="0" distL="0" distR="0" wp14:anchorId="2575A4D8" wp14:editId="2D41A8B8">
            <wp:extent cx="2495550" cy="17335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99228" cy="1736105"/>
                    </a:xfrm>
                    <a:prstGeom prst="rect">
                      <a:avLst/>
                    </a:prstGeom>
                    <a:noFill/>
                    <a:ln w="9525">
                      <a:noFill/>
                      <a:miter lim="800000"/>
                      <a:headEnd/>
                      <a:tailEnd/>
                    </a:ln>
                  </pic:spPr>
                </pic:pic>
              </a:graphicData>
            </a:graphic>
          </wp:inline>
        </w:drawing>
      </w:r>
      <w:r w:rsidR="000153FA">
        <w:rPr>
          <w:rFonts w:ascii="Arial" w:hAnsi="Arial" w:cs="Arial"/>
          <w:color w:val="auto"/>
          <w:sz w:val="20"/>
        </w:rPr>
        <w:t xml:space="preserve">       </w:t>
      </w:r>
      <w:r w:rsidR="000153FA" w:rsidRPr="002903B7">
        <w:rPr>
          <w:rFonts w:ascii="Arial" w:hAnsi="Arial" w:cs="Arial"/>
          <w:color w:val="auto"/>
          <w:sz w:val="20"/>
        </w:rPr>
        <w:t xml:space="preserve">       </w:t>
      </w:r>
      <w:r>
        <w:rPr>
          <w:rFonts w:ascii="Arial" w:hAnsi="Arial" w:cs="Arial"/>
          <w:color w:val="auto"/>
          <w:sz w:val="20"/>
        </w:rPr>
        <w:t xml:space="preserve">             </w:t>
      </w:r>
    </w:p>
    <w:p w14:paraId="05A9FEAB" w14:textId="77777777" w:rsidR="000153FA" w:rsidRPr="002903B7" w:rsidRDefault="000153FA" w:rsidP="000153FA">
      <w:pPr>
        <w:pStyle w:val="Caption"/>
        <w:rPr>
          <w:rFonts w:cstheme="minorHAnsi"/>
          <w:color w:val="auto"/>
          <w:sz w:val="20"/>
        </w:rPr>
      </w:pPr>
      <w:r w:rsidRPr="002903B7">
        <w:rPr>
          <w:rFonts w:cstheme="minorHAnsi"/>
          <w:color w:val="auto"/>
          <w:sz w:val="20"/>
        </w:rPr>
        <w:t>Chart 1.2 showing the monthly income of the respondents</w:t>
      </w:r>
    </w:p>
    <w:p w14:paraId="659B9207" w14:textId="77777777" w:rsidR="000153FA" w:rsidRDefault="000153FA" w:rsidP="000153FA">
      <w:pPr>
        <w:spacing w:line="360" w:lineRule="auto"/>
        <w:jc w:val="both"/>
        <w:rPr>
          <w:rFonts w:ascii="Arial" w:eastAsia="Times New Roman" w:hAnsi="Arial" w:cs="Arial"/>
          <w:sz w:val="32"/>
          <w:szCs w:val="24"/>
        </w:rPr>
      </w:pPr>
      <w:r w:rsidRPr="00916003">
        <w:rPr>
          <w:rFonts w:ascii="Arial" w:hAnsi="Arial" w:cs="Arial"/>
          <w:sz w:val="24"/>
        </w:rPr>
        <w:t xml:space="preserve">Income distribution is balanced across all four income groups. A notable number earn above ₹60,000, followed closely by those in the ₹40,001–₹60,000 range. Lower-income </w:t>
      </w:r>
      <w:r w:rsidRPr="00916003">
        <w:rPr>
          <w:rFonts w:ascii="Arial" w:hAnsi="Arial" w:cs="Arial"/>
          <w:sz w:val="24"/>
        </w:rPr>
        <w:lastRenderedPageBreak/>
        <w:t>groups are also equally represented. This helps compare tax behavior across income levels.</w:t>
      </w:r>
    </w:p>
    <w:p w14:paraId="1C3E0151"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Experience:</w:t>
      </w:r>
    </w:p>
    <w:p w14:paraId="11C5540D" w14:textId="77777777" w:rsidR="000153FA" w:rsidRPr="00292E7F" w:rsidRDefault="007B1A1F" w:rsidP="000153FA">
      <w:pPr>
        <w:pStyle w:val="Caption"/>
        <w:keepNext/>
        <w:rPr>
          <w:rFonts w:ascii="Arial" w:hAnsi="Arial" w:cs="Arial"/>
          <w:color w:val="auto"/>
          <w:sz w:val="20"/>
        </w:rPr>
      </w:pPr>
      <w:r>
        <w:rPr>
          <w:rFonts w:ascii="Arial" w:hAnsi="Arial" w:cs="Arial"/>
          <w:color w:val="auto"/>
          <w:sz w:val="20"/>
        </w:rPr>
        <w:t xml:space="preserve">           </w:t>
      </w:r>
      <w:r w:rsidR="000153FA" w:rsidRPr="00292E7F">
        <w:rPr>
          <w:rFonts w:ascii="Arial" w:hAnsi="Arial" w:cs="Arial"/>
          <w:color w:val="auto"/>
          <w:sz w:val="20"/>
        </w:rPr>
        <w:t xml:space="preserve">  </w:t>
      </w:r>
      <w:r w:rsidR="000153FA">
        <w:rPr>
          <w:rFonts w:ascii="Arial" w:hAnsi="Arial" w:cs="Arial"/>
          <w:color w:val="auto"/>
          <w:sz w:val="20"/>
        </w:rPr>
        <w:t xml:space="preserve">                                                                                 </w:t>
      </w:r>
      <w:r>
        <w:rPr>
          <w:rFonts w:ascii="Arial" w:hAnsi="Arial" w:cs="Arial"/>
          <w:color w:val="auto"/>
          <w:sz w:val="20"/>
        </w:rPr>
        <w:t xml:space="preserve"> </w:t>
      </w:r>
      <w:r w:rsidR="000153FA" w:rsidRPr="00292E7F">
        <w:rPr>
          <w:rFonts w:ascii="Arial" w:hAnsi="Arial" w:cs="Arial"/>
          <w:color w:val="auto"/>
          <w:sz w:val="20"/>
        </w:rPr>
        <w:t xml:space="preserve"> Table 1.3 showing the years of experience</w:t>
      </w:r>
    </w:p>
    <w:tbl>
      <w:tblPr>
        <w:tblpPr w:leftFromText="180" w:rightFromText="180" w:vertAnchor="text" w:horzAnchor="margin" w:tblpXSpec="righ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1174"/>
        <w:gridCol w:w="994"/>
      </w:tblGrid>
      <w:tr w:rsidR="000153FA" w14:paraId="2E1E8897" w14:textId="77777777" w:rsidTr="001877BA">
        <w:trPr>
          <w:trHeight w:val="183"/>
        </w:trPr>
        <w:tc>
          <w:tcPr>
            <w:tcW w:w="2005" w:type="dxa"/>
          </w:tcPr>
          <w:p w14:paraId="5A361F1C" w14:textId="77777777" w:rsidR="000153FA" w:rsidRDefault="000153FA" w:rsidP="001877BA">
            <w:r>
              <w:t>Years of Experience</w:t>
            </w:r>
          </w:p>
        </w:tc>
        <w:tc>
          <w:tcPr>
            <w:tcW w:w="1174" w:type="dxa"/>
          </w:tcPr>
          <w:p w14:paraId="69544B56" w14:textId="77777777" w:rsidR="000153FA" w:rsidRDefault="000153FA" w:rsidP="001877BA">
            <w:r>
              <w:t>Frequency</w:t>
            </w:r>
          </w:p>
        </w:tc>
        <w:tc>
          <w:tcPr>
            <w:tcW w:w="994" w:type="dxa"/>
          </w:tcPr>
          <w:p w14:paraId="61DB1E19" w14:textId="77777777" w:rsidR="000153FA" w:rsidRDefault="000153FA" w:rsidP="001877BA">
            <w:r>
              <w:t>Percent</w:t>
            </w:r>
          </w:p>
        </w:tc>
      </w:tr>
      <w:tr w:rsidR="000153FA" w14:paraId="56D7680B" w14:textId="77777777" w:rsidTr="001877BA">
        <w:trPr>
          <w:trHeight w:val="183"/>
        </w:trPr>
        <w:tc>
          <w:tcPr>
            <w:tcW w:w="2005" w:type="dxa"/>
          </w:tcPr>
          <w:p w14:paraId="646AC4B9" w14:textId="77777777" w:rsidR="000153FA" w:rsidRDefault="000153FA" w:rsidP="001877BA">
            <w:r>
              <w:t>Less than 1 year</w:t>
            </w:r>
          </w:p>
        </w:tc>
        <w:tc>
          <w:tcPr>
            <w:tcW w:w="1174" w:type="dxa"/>
          </w:tcPr>
          <w:p w14:paraId="6F09CC10" w14:textId="77777777" w:rsidR="000153FA" w:rsidRDefault="000153FA" w:rsidP="001877BA">
            <w:r>
              <w:t>36</w:t>
            </w:r>
          </w:p>
        </w:tc>
        <w:tc>
          <w:tcPr>
            <w:tcW w:w="994" w:type="dxa"/>
          </w:tcPr>
          <w:p w14:paraId="65E6805D" w14:textId="77777777" w:rsidR="000153FA" w:rsidRDefault="000153FA" w:rsidP="001877BA">
            <w:r>
              <w:t>29.5</w:t>
            </w:r>
          </w:p>
        </w:tc>
      </w:tr>
      <w:tr w:rsidR="000153FA" w14:paraId="2BCC5A23" w14:textId="77777777" w:rsidTr="001877BA">
        <w:trPr>
          <w:trHeight w:val="113"/>
        </w:trPr>
        <w:tc>
          <w:tcPr>
            <w:tcW w:w="2005" w:type="dxa"/>
          </w:tcPr>
          <w:p w14:paraId="20BF5C4B" w14:textId="77777777" w:rsidR="000153FA" w:rsidRDefault="000153FA" w:rsidP="001877BA">
            <w:r>
              <w:t>1–3 years</w:t>
            </w:r>
          </w:p>
        </w:tc>
        <w:tc>
          <w:tcPr>
            <w:tcW w:w="1174" w:type="dxa"/>
          </w:tcPr>
          <w:p w14:paraId="68446B1B" w14:textId="77777777" w:rsidR="000153FA" w:rsidRDefault="000153FA" w:rsidP="001877BA">
            <w:r>
              <w:t>32</w:t>
            </w:r>
          </w:p>
        </w:tc>
        <w:tc>
          <w:tcPr>
            <w:tcW w:w="994" w:type="dxa"/>
          </w:tcPr>
          <w:p w14:paraId="23CDDE0D" w14:textId="77777777" w:rsidR="000153FA" w:rsidRDefault="000153FA" w:rsidP="001877BA">
            <w:r>
              <w:t>26.2</w:t>
            </w:r>
          </w:p>
        </w:tc>
      </w:tr>
      <w:tr w:rsidR="000153FA" w14:paraId="4D8383F8" w14:textId="77777777" w:rsidTr="001877BA">
        <w:trPr>
          <w:trHeight w:val="117"/>
        </w:trPr>
        <w:tc>
          <w:tcPr>
            <w:tcW w:w="2005" w:type="dxa"/>
          </w:tcPr>
          <w:p w14:paraId="59AABA25" w14:textId="77777777" w:rsidR="000153FA" w:rsidRDefault="000153FA" w:rsidP="001877BA">
            <w:r>
              <w:t>4–6 years</w:t>
            </w:r>
          </w:p>
        </w:tc>
        <w:tc>
          <w:tcPr>
            <w:tcW w:w="1174" w:type="dxa"/>
          </w:tcPr>
          <w:p w14:paraId="05B3F796" w14:textId="77777777" w:rsidR="000153FA" w:rsidRDefault="000153FA" w:rsidP="001877BA">
            <w:r>
              <w:t>26</w:t>
            </w:r>
          </w:p>
        </w:tc>
        <w:tc>
          <w:tcPr>
            <w:tcW w:w="994" w:type="dxa"/>
          </w:tcPr>
          <w:p w14:paraId="642DD64F" w14:textId="77777777" w:rsidR="000153FA" w:rsidRDefault="000153FA" w:rsidP="001877BA">
            <w:r>
              <w:t>21.3</w:t>
            </w:r>
          </w:p>
        </w:tc>
      </w:tr>
      <w:tr w:rsidR="000153FA" w14:paraId="380BAEE5" w14:textId="77777777" w:rsidTr="001877BA">
        <w:trPr>
          <w:trHeight w:val="187"/>
        </w:trPr>
        <w:tc>
          <w:tcPr>
            <w:tcW w:w="2005" w:type="dxa"/>
          </w:tcPr>
          <w:p w14:paraId="496A90D1" w14:textId="77777777" w:rsidR="000153FA" w:rsidRDefault="000153FA" w:rsidP="001877BA">
            <w:r>
              <w:t>More than 6 years</w:t>
            </w:r>
          </w:p>
        </w:tc>
        <w:tc>
          <w:tcPr>
            <w:tcW w:w="1174" w:type="dxa"/>
          </w:tcPr>
          <w:p w14:paraId="184285F5" w14:textId="77777777" w:rsidR="000153FA" w:rsidRDefault="000153FA" w:rsidP="001877BA">
            <w:r>
              <w:t>28</w:t>
            </w:r>
          </w:p>
        </w:tc>
        <w:tc>
          <w:tcPr>
            <w:tcW w:w="994" w:type="dxa"/>
          </w:tcPr>
          <w:p w14:paraId="4B19CE49" w14:textId="77777777" w:rsidR="000153FA" w:rsidRDefault="000153FA" w:rsidP="001877BA">
            <w:r>
              <w:t>23.0</w:t>
            </w:r>
          </w:p>
        </w:tc>
      </w:tr>
    </w:tbl>
    <w:p w14:paraId="33416201" w14:textId="77777777" w:rsidR="000153FA" w:rsidRDefault="000153FA" w:rsidP="000153FA">
      <w:pPr>
        <w:keepNext/>
      </w:pPr>
      <w:r w:rsidRPr="00916003">
        <w:rPr>
          <w:rFonts w:ascii="Arial" w:eastAsia="Times New Roman" w:hAnsi="Arial" w:cs="Arial"/>
          <w:sz w:val="32"/>
          <w:szCs w:val="24"/>
        </w:rPr>
        <w:t xml:space="preserve"> </w:t>
      </w:r>
      <w:r w:rsidRPr="00916003">
        <w:rPr>
          <w:rFonts w:ascii="Arial" w:eastAsia="Times New Roman" w:hAnsi="Arial" w:cs="Arial"/>
          <w:noProof/>
          <w:sz w:val="32"/>
          <w:szCs w:val="24"/>
        </w:rPr>
        <w:drawing>
          <wp:inline distT="0" distB="0" distL="0" distR="0" wp14:anchorId="4AF261CD" wp14:editId="4F9ECFD6">
            <wp:extent cx="2759183" cy="1847850"/>
            <wp:effectExtent l="19050" t="0" r="3067"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59183" cy="1847850"/>
                    </a:xfrm>
                    <a:prstGeom prst="rect">
                      <a:avLst/>
                    </a:prstGeom>
                    <a:noFill/>
                    <a:ln w="9525">
                      <a:noFill/>
                      <a:miter lim="800000"/>
                      <a:headEnd/>
                      <a:tailEnd/>
                    </a:ln>
                  </pic:spPr>
                </pic:pic>
              </a:graphicData>
            </a:graphic>
          </wp:inline>
        </w:drawing>
      </w:r>
    </w:p>
    <w:p w14:paraId="6E599FE5" w14:textId="77777777" w:rsidR="000153FA" w:rsidRPr="000153FA" w:rsidRDefault="000153FA" w:rsidP="000153FA">
      <w:pPr>
        <w:pStyle w:val="Caption"/>
        <w:rPr>
          <w:rFonts w:ascii="Arial" w:hAnsi="Arial" w:cs="Arial"/>
          <w:color w:val="auto"/>
          <w:sz w:val="20"/>
        </w:rPr>
      </w:pPr>
      <w:r w:rsidRPr="00292E7F">
        <w:rPr>
          <w:rFonts w:ascii="Arial" w:hAnsi="Arial" w:cs="Arial"/>
          <w:color w:val="auto"/>
          <w:sz w:val="20"/>
        </w:rPr>
        <w:t>Chart 1.3 showing the years of experience of the respondents</w:t>
      </w:r>
    </w:p>
    <w:p w14:paraId="7F5804BB" w14:textId="77777777" w:rsidR="00D0220A" w:rsidRPr="00D0220A" w:rsidRDefault="000153FA" w:rsidP="000153FA">
      <w:pPr>
        <w:spacing w:before="100" w:beforeAutospacing="1" w:after="100" w:afterAutospacing="1" w:line="360" w:lineRule="auto"/>
        <w:jc w:val="both"/>
        <w:rPr>
          <w:rFonts w:ascii="Arial" w:eastAsia="Times New Roman" w:hAnsi="Arial" w:cs="Arial"/>
          <w:sz w:val="24"/>
          <w:szCs w:val="24"/>
        </w:rPr>
      </w:pPr>
      <w:r w:rsidRPr="00916003">
        <w:rPr>
          <w:rFonts w:ascii="Arial" w:eastAsia="Times New Roman" w:hAnsi="Arial" w:cs="Arial"/>
          <w:sz w:val="24"/>
          <w:szCs w:val="24"/>
        </w:rPr>
        <w:t>Respondents have a varied range of work experience. Most have less than 1 year, followed by those with 1–3 years and over 6 years. This reflects a good mix of freshers and experienced professionals. It supports payroll analysis based on experience levels.</w:t>
      </w:r>
      <w:r w:rsidRPr="000153FA">
        <w:rPr>
          <w:rFonts w:ascii="Arial" w:eastAsia="Times New Roman" w:hAnsi="Arial" w:cs="Arial"/>
          <w:sz w:val="24"/>
          <w:szCs w:val="24"/>
        </w:rPr>
        <w:t>.</w:t>
      </w:r>
    </w:p>
    <w:p w14:paraId="6EBA7364"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ANOVA Test:</w:t>
      </w:r>
    </w:p>
    <w:p w14:paraId="01E9AE1B" w14:textId="77777777" w:rsidR="000153FA" w:rsidRPr="00AE7FAF" w:rsidRDefault="000153FA" w:rsidP="000153FA">
      <w:pPr>
        <w:numPr>
          <w:ilvl w:val="0"/>
          <w:numId w:val="13"/>
        </w:numPr>
        <w:spacing w:before="100" w:beforeAutospacing="1" w:after="100" w:afterAutospacing="1" w:line="360" w:lineRule="auto"/>
        <w:rPr>
          <w:rFonts w:ascii="Arial" w:eastAsia="Times New Roman" w:hAnsi="Arial" w:cs="Arial"/>
          <w:sz w:val="24"/>
          <w:szCs w:val="24"/>
        </w:rPr>
      </w:pPr>
      <w:r w:rsidRPr="00AE7FAF">
        <w:rPr>
          <w:rFonts w:ascii="Arial" w:eastAsia="Times New Roman" w:hAnsi="Arial" w:cs="Arial"/>
          <w:b/>
          <w:bCs/>
          <w:sz w:val="24"/>
          <w:szCs w:val="24"/>
        </w:rPr>
        <w:t>Null Hypothesis (H</w:t>
      </w:r>
      <w:r w:rsidRPr="00AE7FAF">
        <w:rPr>
          <w:rFonts w:ascii="Times New Roman" w:eastAsia="Times New Roman" w:hAnsi="Times New Roman" w:cs="Arial"/>
          <w:b/>
          <w:bCs/>
          <w:sz w:val="24"/>
          <w:szCs w:val="24"/>
        </w:rPr>
        <w:t>₀</w:t>
      </w:r>
      <w:r w:rsidRPr="00AE7FAF">
        <w:rPr>
          <w:rFonts w:ascii="Arial" w:eastAsia="Times New Roman" w:hAnsi="Arial" w:cs="Arial"/>
          <w:b/>
          <w:bCs/>
          <w:sz w:val="24"/>
          <w:szCs w:val="24"/>
        </w:rPr>
        <w:t>):</w:t>
      </w:r>
      <w:r w:rsidRPr="00AE7FAF">
        <w:rPr>
          <w:rFonts w:ascii="Arial" w:eastAsia="Times New Roman" w:hAnsi="Arial" w:cs="Arial"/>
          <w:sz w:val="24"/>
          <w:szCs w:val="24"/>
        </w:rPr>
        <w:br/>
        <w:t>There is no significant difference in the perception of payroll processing accuracy across different employee designations.</w:t>
      </w:r>
    </w:p>
    <w:p w14:paraId="7CC8EF23" w14:textId="77777777" w:rsidR="000153FA" w:rsidRPr="000153FA" w:rsidRDefault="000153FA" w:rsidP="000153FA">
      <w:pPr>
        <w:numPr>
          <w:ilvl w:val="0"/>
          <w:numId w:val="13"/>
        </w:numPr>
        <w:spacing w:before="100" w:beforeAutospacing="1" w:after="100" w:afterAutospacing="1" w:line="360" w:lineRule="auto"/>
        <w:rPr>
          <w:rFonts w:ascii="Arial" w:eastAsia="Times New Roman" w:hAnsi="Arial" w:cs="Arial"/>
          <w:sz w:val="24"/>
          <w:szCs w:val="24"/>
        </w:rPr>
      </w:pPr>
      <w:r w:rsidRPr="00AE7FAF">
        <w:rPr>
          <w:rFonts w:ascii="Arial" w:eastAsia="Times New Roman" w:hAnsi="Arial" w:cs="Arial"/>
          <w:b/>
          <w:bCs/>
          <w:sz w:val="24"/>
          <w:szCs w:val="24"/>
        </w:rPr>
        <w:t>Alternative Hypothesis (H</w:t>
      </w:r>
      <w:r w:rsidRPr="00AE7FAF">
        <w:rPr>
          <w:rFonts w:ascii="Times New Roman" w:eastAsia="Times New Roman" w:hAnsi="Times New Roman" w:cs="Arial"/>
          <w:b/>
          <w:bCs/>
          <w:sz w:val="24"/>
          <w:szCs w:val="24"/>
        </w:rPr>
        <w:t>₁</w:t>
      </w:r>
      <w:r w:rsidRPr="00AE7FAF">
        <w:rPr>
          <w:rFonts w:ascii="Arial" w:eastAsia="Times New Roman" w:hAnsi="Arial" w:cs="Arial"/>
          <w:b/>
          <w:bCs/>
          <w:sz w:val="24"/>
          <w:szCs w:val="24"/>
        </w:rPr>
        <w:t>):</w:t>
      </w:r>
      <w:r w:rsidRPr="00AE7FAF">
        <w:rPr>
          <w:rFonts w:ascii="Arial" w:eastAsia="Times New Roman" w:hAnsi="Arial" w:cs="Arial"/>
          <w:sz w:val="24"/>
          <w:szCs w:val="24"/>
        </w:rPr>
        <w:br/>
        <w:t>There is a significant difference in the perception of payroll processing accuracy across different employee designations.</w:t>
      </w:r>
    </w:p>
    <w:p w14:paraId="438B0DCC" w14:textId="77777777" w:rsidR="000153FA" w:rsidRPr="00292E7F" w:rsidRDefault="000153FA" w:rsidP="000153FA">
      <w:pPr>
        <w:pStyle w:val="Caption"/>
        <w:keepNext/>
        <w:jc w:val="center"/>
        <w:rPr>
          <w:rFonts w:ascii="Arial" w:hAnsi="Arial" w:cs="Arial"/>
          <w:color w:val="auto"/>
          <w:sz w:val="20"/>
        </w:rPr>
      </w:pPr>
      <w:r w:rsidRPr="00292E7F">
        <w:rPr>
          <w:rFonts w:ascii="Arial" w:hAnsi="Arial" w:cs="Arial"/>
          <w:color w:val="auto"/>
          <w:sz w:val="20"/>
        </w:rPr>
        <w:t>Table 2.1 showing the ANOVA</w:t>
      </w:r>
    </w:p>
    <w:tbl>
      <w:tblPr>
        <w:tblpPr w:leftFromText="180" w:rightFromText="180" w:vertAnchor="text" w:horzAnchor="margin" w:tblpXSpec="center" w:tblpY="227"/>
        <w:tblW w:w="8632"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000" w:firstRow="0" w:lastRow="0" w:firstColumn="0" w:lastColumn="0" w:noHBand="0" w:noVBand="0"/>
      </w:tblPr>
      <w:tblGrid>
        <w:gridCol w:w="1848"/>
        <w:gridCol w:w="1708"/>
        <w:gridCol w:w="1186"/>
        <w:gridCol w:w="1518"/>
        <w:gridCol w:w="1186"/>
        <w:gridCol w:w="1186"/>
      </w:tblGrid>
      <w:tr w:rsidR="000153FA" w:rsidRPr="004D1CC0" w14:paraId="51E3F5D3" w14:textId="77777777" w:rsidTr="001877BA">
        <w:trPr>
          <w:cantSplit/>
          <w:trHeight w:val="262"/>
        </w:trPr>
        <w:tc>
          <w:tcPr>
            <w:tcW w:w="8632" w:type="dxa"/>
            <w:gridSpan w:val="6"/>
            <w:shd w:val="clear" w:color="auto" w:fill="FFFFFF"/>
            <w:vAlign w:val="center"/>
          </w:tcPr>
          <w:p w14:paraId="489D3415" w14:textId="77777777"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b/>
                <w:bCs/>
                <w:sz w:val="24"/>
                <w:szCs w:val="24"/>
              </w:rPr>
              <w:t>ANOVA</w:t>
            </w:r>
          </w:p>
        </w:tc>
      </w:tr>
      <w:tr w:rsidR="000153FA" w:rsidRPr="004D1CC0" w14:paraId="789D154D" w14:textId="77777777" w:rsidTr="001877BA">
        <w:trPr>
          <w:cantSplit/>
          <w:trHeight w:val="250"/>
        </w:trPr>
        <w:tc>
          <w:tcPr>
            <w:tcW w:w="8632" w:type="dxa"/>
            <w:gridSpan w:val="6"/>
            <w:shd w:val="clear" w:color="auto" w:fill="FFFFFF"/>
            <w:vAlign w:val="bottom"/>
          </w:tcPr>
          <w:p w14:paraId="315A8495" w14:textId="77777777" w:rsidR="000153FA" w:rsidRPr="004D1CC0" w:rsidRDefault="000153FA" w:rsidP="001877BA">
            <w:pPr>
              <w:autoSpaceDE w:val="0"/>
              <w:autoSpaceDN w:val="0"/>
              <w:adjustRightInd w:val="0"/>
              <w:spacing w:after="0" w:line="320" w:lineRule="atLeast"/>
              <w:rPr>
                <w:rFonts w:ascii="Times New Roman" w:hAnsi="Times New Roman" w:cs="Times New Roman"/>
                <w:sz w:val="24"/>
                <w:szCs w:val="24"/>
              </w:rPr>
            </w:pPr>
            <w:r w:rsidRPr="004D1CC0">
              <w:rPr>
                <w:rFonts w:ascii="Arial" w:hAnsi="Arial" w:cs="Arial"/>
                <w:sz w:val="24"/>
                <w:szCs w:val="24"/>
                <w:shd w:val="clear" w:color="auto" w:fill="FFFFFF"/>
              </w:rPr>
              <w:t>PAYROLL</w:t>
            </w:r>
            <w:r>
              <w:rPr>
                <w:rFonts w:ascii="Arial" w:hAnsi="Arial" w:cs="Arial"/>
                <w:sz w:val="24"/>
                <w:szCs w:val="24"/>
                <w:shd w:val="clear" w:color="auto" w:fill="FFFFFF"/>
              </w:rPr>
              <w:t xml:space="preserve"> </w:t>
            </w:r>
            <w:r w:rsidRPr="004D1CC0">
              <w:rPr>
                <w:rFonts w:ascii="Arial" w:hAnsi="Arial" w:cs="Arial"/>
                <w:sz w:val="24"/>
                <w:szCs w:val="24"/>
                <w:shd w:val="clear" w:color="auto" w:fill="FFFFFF"/>
              </w:rPr>
              <w:t>PROCESSING</w:t>
            </w:r>
            <w:r>
              <w:rPr>
                <w:rFonts w:ascii="Arial" w:hAnsi="Arial" w:cs="Arial"/>
                <w:sz w:val="24"/>
                <w:szCs w:val="24"/>
                <w:shd w:val="clear" w:color="auto" w:fill="FFFFFF"/>
              </w:rPr>
              <w:t xml:space="preserve"> </w:t>
            </w:r>
            <w:r w:rsidRPr="004D1CC0">
              <w:rPr>
                <w:rFonts w:ascii="Arial" w:hAnsi="Arial" w:cs="Arial"/>
                <w:sz w:val="24"/>
                <w:szCs w:val="24"/>
                <w:shd w:val="clear" w:color="auto" w:fill="FFFFFF"/>
              </w:rPr>
              <w:t xml:space="preserve">ACCURACY  </w:t>
            </w:r>
          </w:p>
        </w:tc>
      </w:tr>
      <w:tr w:rsidR="000153FA" w:rsidRPr="004D1CC0" w14:paraId="2B5C99A7" w14:textId="77777777" w:rsidTr="001877BA">
        <w:trPr>
          <w:cantSplit/>
          <w:trHeight w:val="512"/>
        </w:trPr>
        <w:tc>
          <w:tcPr>
            <w:tcW w:w="1848" w:type="dxa"/>
            <w:shd w:val="clear" w:color="auto" w:fill="FFFFFF"/>
            <w:vAlign w:val="bottom"/>
          </w:tcPr>
          <w:p w14:paraId="3D472E9F" w14:textId="77777777"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708" w:type="dxa"/>
            <w:shd w:val="clear" w:color="auto" w:fill="FFFFFF"/>
            <w:vAlign w:val="bottom"/>
          </w:tcPr>
          <w:p w14:paraId="6ED46925" w14:textId="77777777"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Sum of Squares</w:t>
            </w:r>
          </w:p>
        </w:tc>
        <w:tc>
          <w:tcPr>
            <w:tcW w:w="1186" w:type="dxa"/>
            <w:shd w:val="clear" w:color="auto" w:fill="FFFFFF"/>
            <w:vAlign w:val="bottom"/>
          </w:tcPr>
          <w:p w14:paraId="65D2930C" w14:textId="77777777"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df</w:t>
            </w:r>
          </w:p>
        </w:tc>
        <w:tc>
          <w:tcPr>
            <w:tcW w:w="1518" w:type="dxa"/>
            <w:shd w:val="clear" w:color="auto" w:fill="FFFFFF"/>
            <w:vAlign w:val="bottom"/>
          </w:tcPr>
          <w:p w14:paraId="5A600EB2" w14:textId="77777777"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Mean Square</w:t>
            </w:r>
          </w:p>
        </w:tc>
        <w:tc>
          <w:tcPr>
            <w:tcW w:w="1186" w:type="dxa"/>
            <w:shd w:val="clear" w:color="auto" w:fill="FFFFFF"/>
            <w:vAlign w:val="bottom"/>
          </w:tcPr>
          <w:p w14:paraId="3220AC9D" w14:textId="77777777"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F</w:t>
            </w:r>
          </w:p>
        </w:tc>
        <w:tc>
          <w:tcPr>
            <w:tcW w:w="1186" w:type="dxa"/>
            <w:shd w:val="clear" w:color="auto" w:fill="FFFFFF"/>
            <w:vAlign w:val="bottom"/>
          </w:tcPr>
          <w:p w14:paraId="2A8AD6BB" w14:textId="77777777"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Sig.</w:t>
            </w:r>
          </w:p>
        </w:tc>
      </w:tr>
      <w:tr w:rsidR="000153FA" w:rsidRPr="004D1CC0" w14:paraId="75DB11E0" w14:textId="77777777" w:rsidTr="001877BA">
        <w:trPr>
          <w:cantSplit/>
          <w:trHeight w:val="512"/>
        </w:trPr>
        <w:tc>
          <w:tcPr>
            <w:tcW w:w="1848" w:type="dxa"/>
            <w:shd w:val="clear" w:color="auto" w:fill="E0E0E0"/>
          </w:tcPr>
          <w:p w14:paraId="1A7F6DB8" w14:textId="77777777" w:rsidR="000153FA" w:rsidRPr="004D1CC0" w:rsidRDefault="000153FA" w:rsidP="001877BA">
            <w:pPr>
              <w:autoSpaceDE w:val="0"/>
              <w:autoSpaceDN w:val="0"/>
              <w:adjustRightInd w:val="0"/>
              <w:spacing w:after="0" w:line="320" w:lineRule="atLeast"/>
              <w:ind w:left="60" w:right="60"/>
              <w:rPr>
                <w:rFonts w:ascii="Arial" w:hAnsi="Arial" w:cs="Arial"/>
                <w:sz w:val="24"/>
                <w:szCs w:val="24"/>
              </w:rPr>
            </w:pPr>
            <w:r w:rsidRPr="004D1CC0">
              <w:rPr>
                <w:rFonts w:ascii="Arial" w:hAnsi="Arial" w:cs="Arial"/>
                <w:sz w:val="24"/>
                <w:szCs w:val="24"/>
              </w:rPr>
              <w:lastRenderedPageBreak/>
              <w:t>Between Groups</w:t>
            </w:r>
          </w:p>
        </w:tc>
        <w:tc>
          <w:tcPr>
            <w:tcW w:w="1708" w:type="dxa"/>
            <w:shd w:val="clear" w:color="auto" w:fill="F9F9FB"/>
          </w:tcPr>
          <w:p w14:paraId="25A0DB5A"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21.148</w:t>
            </w:r>
          </w:p>
        </w:tc>
        <w:tc>
          <w:tcPr>
            <w:tcW w:w="1186" w:type="dxa"/>
            <w:shd w:val="clear" w:color="auto" w:fill="F9F9FB"/>
          </w:tcPr>
          <w:p w14:paraId="270BC551"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3</w:t>
            </w:r>
          </w:p>
        </w:tc>
        <w:tc>
          <w:tcPr>
            <w:tcW w:w="1518" w:type="dxa"/>
            <w:shd w:val="clear" w:color="auto" w:fill="F9F9FB"/>
          </w:tcPr>
          <w:p w14:paraId="099D820E"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7.049</w:t>
            </w:r>
          </w:p>
        </w:tc>
        <w:tc>
          <w:tcPr>
            <w:tcW w:w="1186" w:type="dxa"/>
            <w:shd w:val="clear" w:color="auto" w:fill="F9F9FB"/>
          </w:tcPr>
          <w:p w14:paraId="7A930D74"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1.155</w:t>
            </w:r>
          </w:p>
        </w:tc>
        <w:tc>
          <w:tcPr>
            <w:tcW w:w="1186" w:type="dxa"/>
            <w:shd w:val="clear" w:color="auto" w:fill="F9F9FB"/>
          </w:tcPr>
          <w:p w14:paraId="76780815"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.330</w:t>
            </w:r>
          </w:p>
        </w:tc>
      </w:tr>
      <w:tr w:rsidR="000153FA" w:rsidRPr="004D1CC0" w14:paraId="451A3F07" w14:textId="77777777" w:rsidTr="001877BA">
        <w:trPr>
          <w:cantSplit/>
          <w:trHeight w:val="262"/>
        </w:trPr>
        <w:tc>
          <w:tcPr>
            <w:tcW w:w="1848" w:type="dxa"/>
            <w:shd w:val="clear" w:color="auto" w:fill="E0E0E0"/>
          </w:tcPr>
          <w:p w14:paraId="7049AF24" w14:textId="77777777" w:rsidR="000153FA" w:rsidRPr="004D1CC0" w:rsidRDefault="000153FA" w:rsidP="001877BA">
            <w:pPr>
              <w:autoSpaceDE w:val="0"/>
              <w:autoSpaceDN w:val="0"/>
              <w:adjustRightInd w:val="0"/>
              <w:spacing w:after="0" w:line="320" w:lineRule="atLeast"/>
              <w:ind w:left="60" w:right="60"/>
              <w:rPr>
                <w:rFonts w:ascii="Arial" w:hAnsi="Arial" w:cs="Arial"/>
                <w:sz w:val="24"/>
                <w:szCs w:val="24"/>
              </w:rPr>
            </w:pPr>
            <w:r w:rsidRPr="004D1CC0">
              <w:rPr>
                <w:rFonts w:ascii="Arial" w:hAnsi="Arial" w:cs="Arial"/>
                <w:sz w:val="24"/>
                <w:szCs w:val="24"/>
              </w:rPr>
              <w:t>Within Groups</w:t>
            </w:r>
          </w:p>
        </w:tc>
        <w:tc>
          <w:tcPr>
            <w:tcW w:w="1708" w:type="dxa"/>
            <w:shd w:val="clear" w:color="auto" w:fill="F9F9FB"/>
          </w:tcPr>
          <w:p w14:paraId="55D0E027"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720.328</w:t>
            </w:r>
          </w:p>
        </w:tc>
        <w:tc>
          <w:tcPr>
            <w:tcW w:w="1186" w:type="dxa"/>
            <w:shd w:val="clear" w:color="auto" w:fill="F9F9FB"/>
          </w:tcPr>
          <w:p w14:paraId="49341D8C"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118</w:t>
            </w:r>
          </w:p>
        </w:tc>
        <w:tc>
          <w:tcPr>
            <w:tcW w:w="1518" w:type="dxa"/>
            <w:shd w:val="clear" w:color="auto" w:fill="F9F9FB"/>
          </w:tcPr>
          <w:p w14:paraId="6F5E547B"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6.104</w:t>
            </w:r>
          </w:p>
        </w:tc>
        <w:tc>
          <w:tcPr>
            <w:tcW w:w="1186" w:type="dxa"/>
            <w:shd w:val="clear" w:color="auto" w:fill="F9F9FB"/>
            <w:vAlign w:val="center"/>
          </w:tcPr>
          <w:p w14:paraId="10DBDD9C" w14:textId="77777777"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186" w:type="dxa"/>
            <w:shd w:val="clear" w:color="auto" w:fill="F9F9FB"/>
            <w:vAlign w:val="center"/>
          </w:tcPr>
          <w:p w14:paraId="5DD164F0" w14:textId="77777777"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r>
      <w:tr w:rsidR="000153FA" w:rsidRPr="004D1CC0" w14:paraId="7741C44B" w14:textId="77777777" w:rsidTr="001877BA">
        <w:trPr>
          <w:cantSplit/>
          <w:trHeight w:val="262"/>
        </w:trPr>
        <w:tc>
          <w:tcPr>
            <w:tcW w:w="1848" w:type="dxa"/>
            <w:shd w:val="clear" w:color="auto" w:fill="E0E0E0"/>
          </w:tcPr>
          <w:p w14:paraId="1AF0C257" w14:textId="77777777" w:rsidR="000153FA" w:rsidRPr="004D1CC0" w:rsidRDefault="000153FA" w:rsidP="001877BA">
            <w:pPr>
              <w:autoSpaceDE w:val="0"/>
              <w:autoSpaceDN w:val="0"/>
              <w:adjustRightInd w:val="0"/>
              <w:spacing w:after="0" w:line="320" w:lineRule="atLeast"/>
              <w:ind w:left="60" w:right="60"/>
              <w:rPr>
                <w:rFonts w:ascii="Arial" w:hAnsi="Arial" w:cs="Arial"/>
                <w:sz w:val="24"/>
                <w:szCs w:val="24"/>
              </w:rPr>
            </w:pPr>
            <w:r w:rsidRPr="004D1CC0">
              <w:rPr>
                <w:rFonts w:ascii="Arial" w:hAnsi="Arial" w:cs="Arial"/>
                <w:sz w:val="24"/>
                <w:szCs w:val="24"/>
              </w:rPr>
              <w:t>Total</w:t>
            </w:r>
          </w:p>
        </w:tc>
        <w:tc>
          <w:tcPr>
            <w:tcW w:w="1708" w:type="dxa"/>
            <w:shd w:val="clear" w:color="auto" w:fill="F9F9FB"/>
          </w:tcPr>
          <w:p w14:paraId="215C526F"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741.475</w:t>
            </w:r>
          </w:p>
        </w:tc>
        <w:tc>
          <w:tcPr>
            <w:tcW w:w="1186" w:type="dxa"/>
            <w:shd w:val="clear" w:color="auto" w:fill="F9F9FB"/>
          </w:tcPr>
          <w:p w14:paraId="6DD32318" w14:textId="77777777"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121</w:t>
            </w:r>
          </w:p>
        </w:tc>
        <w:tc>
          <w:tcPr>
            <w:tcW w:w="1518" w:type="dxa"/>
            <w:shd w:val="clear" w:color="auto" w:fill="F9F9FB"/>
            <w:vAlign w:val="center"/>
          </w:tcPr>
          <w:p w14:paraId="57F64774" w14:textId="77777777"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186" w:type="dxa"/>
            <w:shd w:val="clear" w:color="auto" w:fill="F9F9FB"/>
            <w:vAlign w:val="center"/>
          </w:tcPr>
          <w:p w14:paraId="1E201106" w14:textId="77777777"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186" w:type="dxa"/>
            <w:shd w:val="clear" w:color="auto" w:fill="F9F9FB"/>
            <w:vAlign w:val="center"/>
          </w:tcPr>
          <w:p w14:paraId="4F39CB86" w14:textId="77777777"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r>
    </w:tbl>
    <w:p w14:paraId="311471AD" w14:textId="77777777" w:rsidR="000153FA" w:rsidRDefault="000153FA" w:rsidP="000153FA">
      <w:pPr>
        <w:rPr>
          <w:rFonts w:ascii="Arial" w:eastAsia="Times New Roman" w:hAnsi="Arial" w:cs="Arial"/>
          <w:sz w:val="32"/>
          <w:szCs w:val="24"/>
        </w:rPr>
      </w:pPr>
    </w:p>
    <w:p w14:paraId="7859BA0F" w14:textId="77777777" w:rsidR="000153FA" w:rsidRDefault="000153FA" w:rsidP="000153FA">
      <w:pPr>
        <w:spacing w:before="100" w:beforeAutospacing="1" w:after="100" w:afterAutospacing="1" w:line="360" w:lineRule="auto"/>
        <w:jc w:val="both"/>
        <w:rPr>
          <w:rFonts w:ascii="Arial" w:eastAsia="Times New Roman" w:hAnsi="Arial" w:cs="Arial"/>
          <w:sz w:val="24"/>
          <w:szCs w:val="24"/>
        </w:rPr>
      </w:pPr>
      <w:r w:rsidRPr="00AE7FAF">
        <w:rPr>
          <w:rFonts w:ascii="Arial" w:eastAsia="Times New Roman" w:hAnsi="Arial" w:cs="Arial"/>
          <w:sz w:val="24"/>
          <w:szCs w:val="24"/>
        </w:rPr>
        <w:t xml:space="preserve">Since the p-value is above 0.05, we </w:t>
      </w:r>
      <w:r w:rsidRPr="00AE7FAF">
        <w:rPr>
          <w:rFonts w:ascii="Arial" w:eastAsia="Times New Roman" w:hAnsi="Arial" w:cs="Arial"/>
          <w:bCs/>
          <w:sz w:val="24"/>
          <w:szCs w:val="24"/>
        </w:rPr>
        <w:t>fail to reject the null hypothesis</w:t>
      </w:r>
      <w:r w:rsidRPr="00AE7FAF">
        <w:rPr>
          <w:rFonts w:ascii="Arial" w:eastAsia="Times New Roman" w:hAnsi="Arial" w:cs="Arial"/>
          <w:sz w:val="24"/>
          <w:szCs w:val="24"/>
        </w:rPr>
        <w:t>.</w:t>
      </w:r>
      <w:r w:rsidRPr="00AE7FAF">
        <w:rPr>
          <w:rFonts w:ascii="Arial" w:eastAsia="Times New Roman" w:hAnsi="Arial" w:cs="Arial"/>
          <w:sz w:val="24"/>
          <w:szCs w:val="24"/>
        </w:rPr>
        <w:br/>
        <w:t xml:space="preserve">This means that </w:t>
      </w:r>
      <w:r w:rsidRPr="00AE7FAF">
        <w:rPr>
          <w:rFonts w:ascii="Arial" w:eastAsia="Times New Roman" w:hAnsi="Arial" w:cs="Arial"/>
          <w:bCs/>
          <w:sz w:val="24"/>
          <w:szCs w:val="24"/>
        </w:rPr>
        <w:t>designation level does not significantly affect</w:t>
      </w:r>
      <w:r w:rsidRPr="00AE7FAF">
        <w:rPr>
          <w:rFonts w:ascii="Arial" w:eastAsia="Times New Roman" w:hAnsi="Arial" w:cs="Arial"/>
          <w:sz w:val="24"/>
          <w:szCs w:val="24"/>
        </w:rPr>
        <w:t xml:space="preserve"> how employees view payroll processing accuracy. All groups share </w:t>
      </w:r>
      <w:r w:rsidRPr="00AE7FAF">
        <w:rPr>
          <w:rFonts w:ascii="Arial" w:eastAsia="Times New Roman" w:hAnsi="Arial" w:cs="Arial"/>
          <w:bCs/>
          <w:sz w:val="24"/>
          <w:szCs w:val="24"/>
        </w:rPr>
        <w:t>similar levels of confidence</w:t>
      </w:r>
      <w:r w:rsidRPr="00AE7FAF">
        <w:rPr>
          <w:rFonts w:ascii="Arial" w:eastAsia="Times New Roman" w:hAnsi="Arial" w:cs="Arial"/>
          <w:sz w:val="24"/>
          <w:szCs w:val="24"/>
        </w:rPr>
        <w:t xml:space="preserve"> in the payroll process. This suggests consistent payroll operations and communication across roles. No designation-specific changes are required for improving perception of payroll accuracy.</w:t>
      </w:r>
    </w:p>
    <w:p w14:paraId="2543C4D7" w14:textId="77777777"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Correlation Test:</w:t>
      </w:r>
    </w:p>
    <w:p w14:paraId="33E33B75" w14:textId="77777777" w:rsidR="000153FA" w:rsidRPr="007041B9" w:rsidRDefault="000153FA" w:rsidP="000153FA">
      <w:pPr>
        <w:numPr>
          <w:ilvl w:val="0"/>
          <w:numId w:val="14"/>
        </w:numPr>
        <w:spacing w:before="100" w:beforeAutospacing="1" w:after="100" w:afterAutospacing="1" w:line="360" w:lineRule="auto"/>
        <w:rPr>
          <w:rFonts w:ascii="Arial" w:eastAsia="Times New Roman" w:hAnsi="Arial" w:cs="Arial"/>
          <w:sz w:val="24"/>
          <w:szCs w:val="24"/>
        </w:rPr>
      </w:pPr>
      <w:r w:rsidRPr="007041B9">
        <w:rPr>
          <w:rFonts w:ascii="Arial" w:eastAsia="Times New Roman" w:hAnsi="Arial" w:cs="Arial"/>
          <w:b/>
          <w:bCs/>
          <w:sz w:val="24"/>
          <w:szCs w:val="24"/>
        </w:rPr>
        <w:t>Null Hypothesis (H</w:t>
      </w:r>
      <w:r w:rsidRPr="007041B9">
        <w:rPr>
          <w:rFonts w:ascii="Times New Roman" w:eastAsia="Times New Roman" w:hAnsi="Times New Roman" w:cs="Arial"/>
          <w:b/>
          <w:bCs/>
          <w:sz w:val="24"/>
          <w:szCs w:val="24"/>
        </w:rPr>
        <w:t>₀</w:t>
      </w:r>
      <w:r w:rsidRPr="007041B9">
        <w:rPr>
          <w:rFonts w:ascii="Arial" w:eastAsia="Times New Roman" w:hAnsi="Arial" w:cs="Arial"/>
          <w:b/>
          <w:bCs/>
          <w:sz w:val="24"/>
          <w:szCs w:val="24"/>
        </w:rPr>
        <w:t>):</w:t>
      </w:r>
      <w:r w:rsidRPr="007041B9">
        <w:rPr>
          <w:rFonts w:ascii="Arial" w:eastAsia="Times New Roman" w:hAnsi="Arial" w:cs="Arial"/>
          <w:sz w:val="24"/>
          <w:szCs w:val="24"/>
        </w:rPr>
        <w:br/>
        <w:t>There is no significant relationship between awareness of tax exemptions and utilization of tax benefits.</w:t>
      </w:r>
    </w:p>
    <w:p w14:paraId="2F6CB8B1" w14:textId="77777777" w:rsidR="000153FA" w:rsidRDefault="000153FA" w:rsidP="000153FA">
      <w:pPr>
        <w:numPr>
          <w:ilvl w:val="0"/>
          <w:numId w:val="14"/>
        </w:numPr>
        <w:spacing w:before="100" w:beforeAutospacing="1" w:after="100" w:afterAutospacing="1" w:line="360" w:lineRule="auto"/>
        <w:rPr>
          <w:rFonts w:ascii="Arial" w:eastAsia="Times New Roman" w:hAnsi="Arial" w:cs="Arial"/>
          <w:sz w:val="24"/>
          <w:szCs w:val="24"/>
        </w:rPr>
      </w:pPr>
      <w:r w:rsidRPr="007041B9">
        <w:rPr>
          <w:rFonts w:ascii="Arial" w:eastAsia="Times New Roman" w:hAnsi="Arial" w:cs="Arial"/>
          <w:b/>
          <w:bCs/>
          <w:sz w:val="24"/>
          <w:szCs w:val="24"/>
        </w:rPr>
        <w:t>Alternative Hypothesis (H</w:t>
      </w:r>
      <w:r w:rsidRPr="007041B9">
        <w:rPr>
          <w:rFonts w:ascii="Times New Roman" w:eastAsia="Times New Roman" w:hAnsi="Times New Roman" w:cs="Arial"/>
          <w:b/>
          <w:bCs/>
          <w:sz w:val="24"/>
          <w:szCs w:val="24"/>
        </w:rPr>
        <w:t>₁</w:t>
      </w:r>
      <w:r w:rsidRPr="007041B9">
        <w:rPr>
          <w:rFonts w:ascii="Arial" w:eastAsia="Times New Roman" w:hAnsi="Arial" w:cs="Arial"/>
          <w:b/>
          <w:bCs/>
          <w:sz w:val="24"/>
          <w:szCs w:val="24"/>
        </w:rPr>
        <w:t>):</w:t>
      </w:r>
      <w:r w:rsidRPr="007041B9">
        <w:rPr>
          <w:rFonts w:ascii="Arial" w:eastAsia="Times New Roman" w:hAnsi="Arial" w:cs="Arial"/>
          <w:sz w:val="24"/>
          <w:szCs w:val="24"/>
        </w:rPr>
        <w:br/>
        <w:t>There is a significant relationship between awareness of tax exemptions and utilization of tax benefits.</w:t>
      </w:r>
    </w:p>
    <w:p w14:paraId="78F63930" w14:textId="77777777" w:rsidR="000153FA" w:rsidRPr="00292E7F" w:rsidRDefault="000153FA" w:rsidP="000153FA">
      <w:pPr>
        <w:pStyle w:val="Caption"/>
        <w:keepNext/>
        <w:jc w:val="center"/>
        <w:rPr>
          <w:rFonts w:ascii="Arial" w:hAnsi="Arial" w:cs="Arial"/>
          <w:color w:val="auto"/>
          <w:sz w:val="20"/>
        </w:rPr>
      </w:pPr>
      <w:r w:rsidRPr="00292E7F">
        <w:rPr>
          <w:rFonts w:ascii="Arial" w:hAnsi="Arial" w:cs="Arial"/>
          <w:color w:val="auto"/>
          <w:sz w:val="20"/>
        </w:rPr>
        <w:t>Table 3.1 showing the Correlations</w:t>
      </w:r>
    </w:p>
    <w:tbl>
      <w:tblPr>
        <w:tblW w:w="955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000" w:firstRow="0" w:lastRow="0" w:firstColumn="0" w:lastColumn="0" w:noHBand="0" w:noVBand="0"/>
      </w:tblPr>
      <w:tblGrid>
        <w:gridCol w:w="2859"/>
        <w:gridCol w:w="2180"/>
        <w:gridCol w:w="2351"/>
        <w:gridCol w:w="2160"/>
      </w:tblGrid>
      <w:tr w:rsidR="000153FA" w:rsidRPr="007041B9" w14:paraId="354EFF9C" w14:textId="77777777" w:rsidTr="001877BA">
        <w:trPr>
          <w:cantSplit/>
        </w:trPr>
        <w:tc>
          <w:tcPr>
            <w:tcW w:w="9550" w:type="dxa"/>
            <w:gridSpan w:val="4"/>
            <w:shd w:val="clear" w:color="auto" w:fill="FFFFFF"/>
            <w:vAlign w:val="center"/>
          </w:tcPr>
          <w:p w14:paraId="18FCCCF1" w14:textId="77777777" w:rsidR="000153FA" w:rsidRPr="007041B9" w:rsidRDefault="000153FA" w:rsidP="001877BA">
            <w:pPr>
              <w:autoSpaceDE w:val="0"/>
              <w:autoSpaceDN w:val="0"/>
              <w:adjustRightInd w:val="0"/>
              <w:spacing w:after="0" w:line="320" w:lineRule="atLeast"/>
              <w:ind w:left="60" w:right="60"/>
              <w:jc w:val="center"/>
              <w:rPr>
                <w:rFonts w:ascii="Arial" w:hAnsi="Arial" w:cs="Arial"/>
                <w:sz w:val="24"/>
                <w:szCs w:val="24"/>
              </w:rPr>
            </w:pPr>
            <w:r w:rsidRPr="007041B9">
              <w:rPr>
                <w:rFonts w:ascii="Arial" w:hAnsi="Arial" w:cs="Arial"/>
                <w:b/>
                <w:bCs/>
                <w:sz w:val="24"/>
                <w:szCs w:val="24"/>
              </w:rPr>
              <w:t>Correlations</w:t>
            </w:r>
          </w:p>
        </w:tc>
      </w:tr>
      <w:tr w:rsidR="000153FA" w:rsidRPr="007041B9" w14:paraId="1F5245ED" w14:textId="77777777" w:rsidTr="001877BA">
        <w:trPr>
          <w:cantSplit/>
        </w:trPr>
        <w:tc>
          <w:tcPr>
            <w:tcW w:w="5039" w:type="dxa"/>
            <w:gridSpan w:val="2"/>
            <w:shd w:val="clear" w:color="auto" w:fill="FFFFFF"/>
            <w:vAlign w:val="bottom"/>
          </w:tcPr>
          <w:p w14:paraId="32B0D725" w14:textId="77777777"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c>
          <w:tcPr>
            <w:tcW w:w="2351" w:type="dxa"/>
            <w:shd w:val="clear" w:color="auto" w:fill="FFFFFF"/>
            <w:vAlign w:val="bottom"/>
          </w:tcPr>
          <w:p w14:paraId="453A6741" w14:textId="77777777" w:rsidR="000153FA" w:rsidRPr="007041B9" w:rsidRDefault="000153FA" w:rsidP="001877BA">
            <w:pPr>
              <w:autoSpaceDE w:val="0"/>
              <w:autoSpaceDN w:val="0"/>
              <w:adjustRightInd w:val="0"/>
              <w:spacing w:after="0" w:line="320" w:lineRule="atLeast"/>
              <w:ind w:left="60" w:right="60"/>
              <w:jc w:val="center"/>
              <w:rPr>
                <w:rFonts w:ascii="Arial" w:hAnsi="Arial" w:cs="Arial"/>
                <w:sz w:val="24"/>
                <w:szCs w:val="24"/>
              </w:rPr>
            </w:pPr>
            <w:r w:rsidRPr="00CD37A0">
              <w:rPr>
                <w:rFonts w:ascii="Arial" w:hAnsi="Arial" w:cs="Arial"/>
                <w:szCs w:val="24"/>
              </w:rPr>
              <w:t>AWARENESS OF TAX EXEMPTIONS</w:t>
            </w:r>
          </w:p>
        </w:tc>
        <w:tc>
          <w:tcPr>
            <w:tcW w:w="2160" w:type="dxa"/>
            <w:shd w:val="clear" w:color="auto" w:fill="FFFFFF"/>
            <w:vAlign w:val="bottom"/>
          </w:tcPr>
          <w:p w14:paraId="6C980705" w14:textId="77777777" w:rsidR="000153FA" w:rsidRPr="007041B9" w:rsidRDefault="000153FA" w:rsidP="001877BA">
            <w:pPr>
              <w:autoSpaceDE w:val="0"/>
              <w:autoSpaceDN w:val="0"/>
              <w:adjustRightInd w:val="0"/>
              <w:spacing w:after="0" w:line="320" w:lineRule="atLeast"/>
              <w:ind w:left="60" w:right="60"/>
              <w:jc w:val="center"/>
              <w:rPr>
                <w:rFonts w:ascii="Arial" w:hAnsi="Arial" w:cs="Arial"/>
                <w:sz w:val="24"/>
                <w:szCs w:val="24"/>
              </w:rPr>
            </w:pPr>
            <w:r w:rsidRPr="00CD37A0">
              <w:rPr>
                <w:rFonts w:ascii="Arial" w:hAnsi="Arial" w:cs="Arial"/>
                <w:szCs w:val="24"/>
              </w:rPr>
              <w:t>UTILIZATION OF TAX BENEFITS</w:t>
            </w:r>
          </w:p>
        </w:tc>
      </w:tr>
      <w:tr w:rsidR="000153FA" w:rsidRPr="007041B9" w14:paraId="5983063C" w14:textId="77777777" w:rsidTr="001877BA">
        <w:trPr>
          <w:cantSplit/>
        </w:trPr>
        <w:tc>
          <w:tcPr>
            <w:tcW w:w="2859" w:type="dxa"/>
            <w:vMerge w:val="restart"/>
            <w:shd w:val="clear" w:color="auto" w:fill="E0E0E0"/>
          </w:tcPr>
          <w:p w14:paraId="3251595C"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AWARENESS</w:t>
            </w:r>
            <w:r>
              <w:rPr>
                <w:rFonts w:ascii="Arial" w:hAnsi="Arial" w:cs="Arial"/>
                <w:sz w:val="24"/>
                <w:szCs w:val="24"/>
              </w:rPr>
              <w:t xml:space="preserve"> </w:t>
            </w:r>
            <w:r w:rsidRPr="007041B9">
              <w:rPr>
                <w:rFonts w:ascii="Arial" w:hAnsi="Arial" w:cs="Arial"/>
                <w:sz w:val="24"/>
                <w:szCs w:val="24"/>
              </w:rPr>
              <w:t>OF</w:t>
            </w:r>
            <w:r>
              <w:rPr>
                <w:rFonts w:ascii="Arial" w:hAnsi="Arial" w:cs="Arial"/>
                <w:sz w:val="24"/>
                <w:szCs w:val="24"/>
              </w:rPr>
              <w:t xml:space="preserve"> </w:t>
            </w:r>
            <w:r w:rsidRPr="007041B9">
              <w:rPr>
                <w:rFonts w:ascii="Arial" w:hAnsi="Arial" w:cs="Arial"/>
                <w:sz w:val="24"/>
                <w:szCs w:val="24"/>
              </w:rPr>
              <w:t>TAX</w:t>
            </w:r>
            <w:r>
              <w:rPr>
                <w:rFonts w:ascii="Arial" w:hAnsi="Arial" w:cs="Arial"/>
                <w:sz w:val="24"/>
                <w:szCs w:val="24"/>
              </w:rPr>
              <w:t xml:space="preserve"> </w:t>
            </w:r>
            <w:r w:rsidRPr="007041B9">
              <w:rPr>
                <w:rFonts w:ascii="Arial" w:hAnsi="Arial" w:cs="Arial"/>
                <w:sz w:val="24"/>
                <w:szCs w:val="24"/>
              </w:rPr>
              <w:t>EX</w:t>
            </w:r>
            <w:r>
              <w:rPr>
                <w:rFonts w:ascii="Arial" w:hAnsi="Arial" w:cs="Arial"/>
                <w:sz w:val="24"/>
                <w:szCs w:val="24"/>
              </w:rPr>
              <w:t>E</w:t>
            </w:r>
            <w:r w:rsidRPr="007041B9">
              <w:rPr>
                <w:rFonts w:ascii="Arial" w:hAnsi="Arial" w:cs="Arial"/>
                <w:sz w:val="24"/>
                <w:szCs w:val="24"/>
              </w:rPr>
              <w:t>MPTIONS</w:t>
            </w:r>
          </w:p>
        </w:tc>
        <w:tc>
          <w:tcPr>
            <w:tcW w:w="2180" w:type="dxa"/>
            <w:shd w:val="clear" w:color="auto" w:fill="E0E0E0"/>
          </w:tcPr>
          <w:p w14:paraId="75DDE41A"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Pearson Correlation</w:t>
            </w:r>
          </w:p>
        </w:tc>
        <w:tc>
          <w:tcPr>
            <w:tcW w:w="2351" w:type="dxa"/>
            <w:shd w:val="clear" w:color="auto" w:fill="F9F9FB"/>
          </w:tcPr>
          <w:p w14:paraId="5C84B6CD"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w:t>
            </w:r>
          </w:p>
        </w:tc>
        <w:tc>
          <w:tcPr>
            <w:tcW w:w="2160" w:type="dxa"/>
            <w:shd w:val="clear" w:color="auto" w:fill="F9F9FB"/>
          </w:tcPr>
          <w:p w14:paraId="6A65ABF7"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.449</w:t>
            </w:r>
            <w:r w:rsidRPr="007041B9">
              <w:rPr>
                <w:rFonts w:ascii="Arial" w:hAnsi="Arial" w:cs="Arial"/>
                <w:sz w:val="24"/>
                <w:szCs w:val="24"/>
                <w:vertAlign w:val="superscript"/>
              </w:rPr>
              <w:t>**</w:t>
            </w:r>
          </w:p>
        </w:tc>
      </w:tr>
      <w:tr w:rsidR="000153FA" w:rsidRPr="007041B9" w14:paraId="25DEB71A" w14:textId="77777777" w:rsidTr="001877BA">
        <w:trPr>
          <w:cantSplit/>
        </w:trPr>
        <w:tc>
          <w:tcPr>
            <w:tcW w:w="2859" w:type="dxa"/>
            <w:vMerge/>
            <w:shd w:val="clear" w:color="auto" w:fill="E0E0E0"/>
          </w:tcPr>
          <w:p w14:paraId="12930E08" w14:textId="77777777" w:rsidR="000153FA" w:rsidRPr="007041B9" w:rsidRDefault="000153FA" w:rsidP="001877BA">
            <w:pPr>
              <w:autoSpaceDE w:val="0"/>
              <w:autoSpaceDN w:val="0"/>
              <w:adjustRightInd w:val="0"/>
              <w:spacing w:after="0" w:line="240" w:lineRule="auto"/>
              <w:rPr>
                <w:rFonts w:ascii="Arial" w:hAnsi="Arial" w:cs="Arial"/>
                <w:sz w:val="24"/>
                <w:szCs w:val="24"/>
              </w:rPr>
            </w:pPr>
          </w:p>
        </w:tc>
        <w:tc>
          <w:tcPr>
            <w:tcW w:w="2180" w:type="dxa"/>
            <w:shd w:val="clear" w:color="auto" w:fill="E0E0E0"/>
          </w:tcPr>
          <w:p w14:paraId="2E8E0167"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Sig. (2-tailed)</w:t>
            </w:r>
          </w:p>
        </w:tc>
        <w:tc>
          <w:tcPr>
            <w:tcW w:w="2351" w:type="dxa"/>
            <w:shd w:val="clear" w:color="auto" w:fill="F9F9FB"/>
            <w:vAlign w:val="center"/>
          </w:tcPr>
          <w:p w14:paraId="18D8A49C" w14:textId="77777777"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c>
          <w:tcPr>
            <w:tcW w:w="2160" w:type="dxa"/>
            <w:shd w:val="clear" w:color="auto" w:fill="F9F9FB"/>
          </w:tcPr>
          <w:p w14:paraId="4A2FC67E"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&lt;.001</w:t>
            </w:r>
          </w:p>
        </w:tc>
      </w:tr>
      <w:tr w:rsidR="000153FA" w:rsidRPr="007041B9" w14:paraId="6CF1BC67" w14:textId="77777777" w:rsidTr="001877BA">
        <w:trPr>
          <w:cantSplit/>
        </w:trPr>
        <w:tc>
          <w:tcPr>
            <w:tcW w:w="2859" w:type="dxa"/>
            <w:vMerge/>
            <w:shd w:val="clear" w:color="auto" w:fill="E0E0E0"/>
          </w:tcPr>
          <w:p w14:paraId="6C23266D" w14:textId="77777777" w:rsidR="000153FA" w:rsidRPr="007041B9" w:rsidRDefault="000153FA" w:rsidP="001877BA">
            <w:pPr>
              <w:autoSpaceDE w:val="0"/>
              <w:autoSpaceDN w:val="0"/>
              <w:adjustRightInd w:val="0"/>
              <w:spacing w:after="0" w:line="240" w:lineRule="auto"/>
              <w:rPr>
                <w:rFonts w:ascii="Arial" w:hAnsi="Arial" w:cs="Arial"/>
                <w:sz w:val="24"/>
                <w:szCs w:val="24"/>
              </w:rPr>
            </w:pPr>
          </w:p>
        </w:tc>
        <w:tc>
          <w:tcPr>
            <w:tcW w:w="2180" w:type="dxa"/>
            <w:shd w:val="clear" w:color="auto" w:fill="E0E0E0"/>
          </w:tcPr>
          <w:p w14:paraId="1B861677"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N</w:t>
            </w:r>
          </w:p>
        </w:tc>
        <w:tc>
          <w:tcPr>
            <w:tcW w:w="2351" w:type="dxa"/>
            <w:shd w:val="clear" w:color="auto" w:fill="F9F9FB"/>
          </w:tcPr>
          <w:p w14:paraId="0218983E"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c>
          <w:tcPr>
            <w:tcW w:w="2160" w:type="dxa"/>
            <w:shd w:val="clear" w:color="auto" w:fill="F9F9FB"/>
          </w:tcPr>
          <w:p w14:paraId="0495412B"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r>
      <w:tr w:rsidR="000153FA" w:rsidRPr="007041B9" w14:paraId="187F5F40" w14:textId="77777777" w:rsidTr="001877BA">
        <w:trPr>
          <w:cantSplit/>
        </w:trPr>
        <w:tc>
          <w:tcPr>
            <w:tcW w:w="2859" w:type="dxa"/>
            <w:vMerge w:val="restart"/>
            <w:shd w:val="clear" w:color="auto" w:fill="E0E0E0"/>
          </w:tcPr>
          <w:p w14:paraId="10D5AB96"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UTILIZATION</w:t>
            </w:r>
            <w:r>
              <w:rPr>
                <w:rFonts w:ascii="Arial" w:hAnsi="Arial" w:cs="Arial"/>
                <w:sz w:val="24"/>
                <w:szCs w:val="24"/>
              </w:rPr>
              <w:t xml:space="preserve"> </w:t>
            </w:r>
            <w:r w:rsidRPr="007041B9">
              <w:rPr>
                <w:rFonts w:ascii="Arial" w:hAnsi="Arial" w:cs="Arial"/>
                <w:sz w:val="24"/>
                <w:szCs w:val="24"/>
              </w:rPr>
              <w:t>OF</w:t>
            </w:r>
            <w:r>
              <w:rPr>
                <w:rFonts w:ascii="Arial" w:hAnsi="Arial" w:cs="Arial"/>
                <w:sz w:val="24"/>
                <w:szCs w:val="24"/>
              </w:rPr>
              <w:t xml:space="preserve"> </w:t>
            </w:r>
            <w:r w:rsidRPr="007041B9">
              <w:rPr>
                <w:rFonts w:ascii="Arial" w:hAnsi="Arial" w:cs="Arial"/>
                <w:sz w:val="24"/>
                <w:szCs w:val="24"/>
              </w:rPr>
              <w:t>TAX</w:t>
            </w:r>
            <w:r>
              <w:rPr>
                <w:rFonts w:ascii="Arial" w:hAnsi="Arial" w:cs="Arial"/>
                <w:sz w:val="24"/>
                <w:szCs w:val="24"/>
              </w:rPr>
              <w:t xml:space="preserve"> </w:t>
            </w:r>
            <w:r w:rsidRPr="007041B9">
              <w:rPr>
                <w:rFonts w:ascii="Arial" w:hAnsi="Arial" w:cs="Arial"/>
                <w:sz w:val="24"/>
                <w:szCs w:val="24"/>
              </w:rPr>
              <w:t>BENEFITS</w:t>
            </w:r>
          </w:p>
        </w:tc>
        <w:tc>
          <w:tcPr>
            <w:tcW w:w="2180" w:type="dxa"/>
            <w:shd w:val="clear" w:color="auto" w:fill="E0E0E0"/>
          </w:tcPr>
          <w:p w14:paraId="7024422D"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Pearson Correlation</w:t>
            </w:r>
          </w:p>
        </w:tc>
        <w:tc>
          <w:tcPr>
            <w:tcW w:w="2351" w:type="dxa"/>
            <w:shd w:val="clear" w:color="auto" w:fill="F9F9FB"/>
          </w:tcPr>
          <w:p w14:paraId="3A0BAA64"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.449</w:t>
            </w:r>
            <w:r w:rsidRPr="007041B9">
              <w:rPr>
                <w:rFonts w:ascii="Arial" w:hAnsi="Arial" w:cs="Arial"/>
                <w:sz w:val="24"/>
                <w:szCs w:val="24"/>
                <w:vertAlign w:val="superscript"/>
              </w:rPr>
              <w:t>**</w:t>
            </w:r>
          </w:p>
        </w:tc>
        <w:tc>
          <w:tcPr>
            <w:tcW w:w="2160" w:type="dxa"/>
            <w:shd w:val="clear" w:color="auto" w:fill="F9F9FB"/>
          </w:tcPr>
          <w:p w14:paraId="6C948356"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w:t>
            </w:r>
          </w:p>
        </w:tc>
      </w:tr>
      <w:tr w:rsidR="000153FA" w:rsidRPr="007041B9" w14:paraId="2BC72982" w14:textId="77777777" w:rsidTr="001877BA">
        <w:trPr>
          <w:cantSplit/>
        </w:trPr>
        <w:tc>
          <w:tcPr>
            <w:tcW w:w="2859" w:type="dxa"/>
            <w:vMerge/>
            <w:shd w:val="clear" w:color="auto" w:fill="E0E0E0"/>
          </w:tcPr>
          <w:p w14:paraId="6975C807" w14:textId="77777777" w:rsidR="000153FA" w:rsidRPr="007041B9" w:rsidRDefault="000153FA" w:rsidP="001877BA">
            <w:pPr>
              <w:autoSpaceDE w:val="0"/>
              <w:autoSpaceDN w:val="0"/>
              <w:adjustRightInd w:val="0"/>
              <w:spacing w:after="0" w:line="240" w:lineRule="auto"/>
              <w:rPr>
                <w:rFonts w:ascii="Arial" w:hAnsi="Arial" w:cs="Arial"/>
                <w:sz w:val="24"/>
                <w:szCs w:val="24"/>
              </w:rPr>
            </w:pPr>
          </w:p>
        </w:tc>
        <w:tc>
          <w:tcPr>
            <w:tcW w:w="2180" w:type="dxa"/>
            <w:shd w:val="clear" w:color="auto" w:fill="E0E0E0"/>
          </w:tcPr>
          <w:p w14:paraId="6687B412"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Sig. (2-tailed)</w:t>
            </w:r>
          </w:p>
        </w:tc>
        <w:tc>
          <w:tcPr>
            <w:tcW w:w="2351" w:type="dxa"/>
            <w:shd w:val="clear" w:color="auto" w:fill="F9F9FB"/>
          </w:tcPr>
          <w:p w14:paraId="7F13F638"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&lt;.001</w:t>
            </w:r>
          </w:p>
        </w:tc>
        <w:tc>
          <w:tcPr>
            <w:tcW w:w="2160" w:type="dxa"/>
            <w:shd w:val="clear" w:color="auto" w:fill="F9F9FB"/>
            <w:vAlign w:val="center"/>
          </w:tcPr>
          <w:p w14:paraId="3BD9C0D3" w14:textId="77777777"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r>
      <w:tr w:rsidR="000153FA" w:rsidRPr="007041B9" w14:paraId="0607845E" w14:textId="77777777" w:rsidTr="001877BA">
        <w:trPr>
          <w:cantSplit/>
        </w:trPr>
        <w:tc>
          <w:tcPr>
            <w:tcW w:w="2859" w:type="dxa"/>
            <w:vMerge/>
            <w:shd w:val="clear" w:color="auto" w:fill="E0E0E0"/>
          </w:tcPr>
          <w:p w14:paraId="12902550" w14:textId="77777777"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c>
          <w:tcPr>
            <w:tcW w:w="2180" w:type="dxa"/>
            <w:shd w:val="clear" w:color="auto" w:fill="E0E0E0"/>
          </w:tcPr>
          <w:p w14:paraId="3EF433AC"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N</w:t>
            </w:r>
          </w:p>
        </w:tc>
        <w:tc>
          <w:tcPr>
            <w:tcW w:w="2351" w:type="dxa"/>
            <w:shd w:val="clear" w:color="auto" w:fill="F9F9FB"/>
          </w:tcPr>
          <w:p w14:paraId="396F1D82"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c>
          <w:tcPr>
            <w:tcW w:w="2160" w:type="dxa"/>
            <w:shd w:val="clear" w:color="auto" w:fill="F9F9FB"/>
          </w:tcPr>
          <w:p w14:paraId="76CBDDC3" w14:textId="77777777"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r>
      <w:tr w:rsidR="000153FA" w:rsidRPr="007041B9" w14:paraId="3477991F" w14:textId="77777777" w:rsidTr="001877BA">
        <w:trPr>
          <w:cantSplit/>
        </w:trPr>
        <w:tc>
          <w:tcPr>
            <w:tcW w:w="9550" w:type="dxa"/>
            <w:gridSpan w:val="4"/>
            <w:shd w:val="clear" w:color="auto" w:fill="FFFFFF"/>
          </w:tcPr>
          <w:p w14:paraId="696DCDA8" w14:textId="77777777"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 Correlation is significant at the 0.01 level (2-tailed).</w:t>
            </w:r>
          </w:p>
        </w:tc>
      </w:tr>
    </w:tbl>
    <w:p w14:paraId="6B3A1419" w14:textId="77777777" w:rsidR="000153FA" w:rsidRPr="00292E7F" w:rsidRDefault="000153FA" w:rsidP="000153FA">
      <w:pPr>
        <w:spacing w:before="100" w:beforeAutospacing="1" w:after="100" w:afterAutospacing="1" w:line="360" w:lineRule="auto"/>
        <w:jc w:val="both"/>
        <w:rPr>
          <w:rFonts w:ascii="Arial" w:eastAsia="Times New Roman" w:hAnsi="Arial" w:cs="Arial"/>
          <w:sz w:val="24"/>
          <w:szCs w:val="24"/>
        </w:rPr>
      </w:pPr>
      <w:r w:rsidRPr="007041B9">
        <w:rPr>
          <w:rFonts w:ascii="Arial" w:eastAsia="Times New Roman" w:hAnsi="Arial" w:cs="Arial"/>
          <w:sz w:val="24"/>
          <w:szCs w:val="24"/>
        </w:rPr>
        <w:lastRenderedPageBreak/>
        <w:t xml:space="preserve">As the correlation is positive and statistically significant, we </w:t>
      </w:r>
      <w:r w:rsidRPr="007041B9">
        <w:rPr>
          <w:rFonts w:ascii="Arial" w:eastAsia="Times New Roman" w:hAnsi="Arial" w:cs="Arial"/>
          <w:bCs/>
          <w:sz w:val="24"/>
          <w:szCs w:val="24"/>
        </w:rPr>
        <w:t>reject the null hypothesis</w:t>
      </w:r>
      <w:r w:rsidRPr="007041B9">
        <w:rPr>
          <w:rFonts w:ascii="Arial" w:eastAsia="Times New Roman" w:hAnsi="Arial" w:cs="Arial"/>
          <w:sz w:val="24"/>
          <w:szCs w:val="24"/>
        </w:rPr>
        <w:t>.</w:t>
      </w:r>
      <w:r w:rsidRPr="007041B9">
        <w:rPr>
          <w:rFonts w:ascii="Arial" w:eastAsia="Times New Roman" w:hAnsi="Arial" w:cs="Arial"/>
          <w:sz w:val="24"/>
          <w:szCs w:val="24"/>
        </w:rPr>
        <w:br/>
        <w:t xml:space="preserve">There is a </w:t>
      </w:r>
      <w:r w:rsidRPr="007041B9">
        <w:rPr>
          <w:rFonts w:ascii="Arial" w:eastAsia="Times New Roman" w:hAnsi="Arial" w:cs="Arial"/>
          <w:bCs/>
          <w:sz w:val="24"/>
          <w:szCs w:val="24"/>
        </w:rPr>
        <w:t>moderate and meaningful relationship</w:t>
      </w:r>
      <w:r w:rsidRPr="007041B9">
        <w:rPr>
          <w:rFonts w:ascii="Arial" w:eastAsia="Times New Roman" w:hAnsi="Arial" w:cs="Arial"/>
          <w:sz w:val="24"/>
          <w:szCs w:val="24"/>
        </w:rPr>
        <w:t xml:space="preserve"> between tax awareness and benefit utilization. Employees who are more aware of tax exemptions tend to use more tax-saving provisions. This indicates the importance of awareness programs and effective communication. Improving tax-related knowledge may directly lead to better financial planning by employees.</w:t>
      </w:r>
    </w:p>
    <w:p w14:paraId="2E21FB1E" w14:textId="77777777" w:rsidR="000153FA" w:rsidRPr="00B40071"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B40071">
        <w:rPr>
          <w:rFonts w:ascii="Arial" w:eastAsia="Times New Roman" w:hAnsi="Arial" w:cs="Arial"/>
          <w:b/>
          <w:bCs/>
          <w:sz w:val="28"/>
          <w:szCs w:val="24"/>
        </w:rPr>
        <w:t>Conclusion</w:t>
      </w:r>
    </w:p>
    <w:p w14:paraId="68AB8749" w14:textId="77777777" w:rsid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This study reveals that although Access Healthcare has consistent payroll practices, many employees are still unaware of the tax exemptions they can use. There is a clear connection between awareness and utilization of tax-saving tools. Employees who are better informed are more likely to use these benefits and are more satisfied with payroll services. Designation and experience do not influence this awareness or satisfaction, which suggests that improvement strategies should target all employees equally. The study recommends that companies invest in tax awareness workshops, maintain transparent payroll processes, and offer personal guidance to help employees make informed financial decisions. Such steps can not only boost compliance and reduce errors but also contribute to higher employee satisfaction and organizational efficiency.</w:t>
      </w:r>
    </w:p>
    <w:p w14:paraId="1771F01C" w14:textId="77777777" w:rsidR="00B32B50" w:rsidRPr="000153FA" w:rsidRDefault="00B32B50" w:rsidP="000153FA">
      <w:pPr>
        <w:spacing w:before="100" w:beforeAutospacing="1" w:after="100" w:afterAutospacing="1" w:line="360" w:lineRule="auto"/>
        <w:jc w:val="both"/>
        <w:rPr>
          <w:rFonts w:ascii="Arial" w:eastAsia="Times New Roman" w:hAnsi="Arial" w:cs="Arial"/>
          <w:b/>
          <w:sz w:val="28"/>
          <w:szCs w:val="24"/>
        </w:rPr>
      </w:pPr>
      <w:r w:rsidRPr="00B32B50">
        <w:rPr>
          <w:rFonts w:ascii="Arial" w:eastAsia="Times New Roman" w:hAnsi="Arial" w:cs="Arial"/>
          <w:b/>
          <w:sz w:val="28"/>
          <w:szCs w:val="24"/>
        </w:rPr>
        <w:t>Key Findings</w:t>
      </w:r>
    </w:p>
    <w:p w14:paraId="09152DEE" w14:textId="77777777"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Many employees at Access Healthcare are unaware of key tax exemptions such as HRA, LTA, 80C, 80D, and NPS, leading to poor utilization of these benefits.</w:t>
      </w:r>
    </w:p>
    <w:p w14:paraId="0C8FA914" w14:textId="77777777"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Employees who are more informed about tax-saving provisions tend to make better use of them, as shown by a statistically significant positive correlation between awareness and utilization.</w:t>
      </w:r>
    </w:p>
    <w:p w14:paraId="7E561EC8" w14:textId="77777777"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Designation level (entry, mid, senior, managerial) and years of experience do not significantly influence employee awareness or satisfaction with payroll processes.</w:t>
      </w:r>
    </w:p>
    <w:p w14:paraId="48E7D98A" w14:textId="77777777"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Employees who actively use tax-saving options reported higher satisfaction levels with payroll transparency and accuracy.</w:t>
      </w:r>
    </w:p>
    <w:p w14:paraId="019158C8" w14:textId="77777777"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lastRenderedPageBreak/>
        <w:t>Consistent payroll practices are maintained across the organization, but communication about salary structure and tax options needs to be improved.</w:t>
      </w:r>
    </w:p>
    <w:p w14:paraId="4007955F" w14:textId="77777777"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Automated and AI-powered payroll systems enhance accuracy in tax deductions and help ensure compliance with changing tax laws.</w:t>
      </w:r>
    </w:p>
    <w:p w14:paraId="7DFA3780" w14:textId="77777777"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The study suggests companies should conduct regular tax awareness programs and offer personalized support to help employees make better financial decisions.</w:t>
      </w:r>
    </w:p>
    <w:p w14:paraId="03301494" w14:textId="77777777" w:rsidR="00B32B50" w:rsidRPr="00B32B50" w:rsidRDefault="00B32B50" w:rsidP="00B32B50">
      <w:pPr>
        <w:spacing w:before="100" w:beforeAutospacing="1" w:after="100" w:afterAutospacing="1" w:line="360" w:lineRule="auto"/>
        <w:jc w:val="both"/>
        <w:rPr>
          <w:rFonts w:ascii="Arial" w:eastAsia="Times New Roman" w:hAnsi="Arial" w:cs="Arial"/>
          <w:sz w:val="28"/>
          <w:szCs w:val="24"/>
        </w:rPr>
      </w:pPr>
      <w:r w:rsidRPr="00B32B50">
        <w:rPr>
          <w:rFonts w:ascii="Arial" w:eastAsia="Times New Roman" w:hAnsi="Arial" w:cs="Arial"/>
          <w:b/>
          <w:bCs/>
          <w:sz w:val="28"/>
          <w:szCs w:val="24"/>
        </w:rPr>
        <w:t>References</w:t>
      </w:r>
    </w:p>
    <w:p w14:paraId="6692149B" w14:textId="77777777"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Becker, B. E., &amp; Huselid, M. A. (2021). The importance of transparent payroll systems for employee satisfaction and retention. </w:t>
      </w:r>
      <w:r w:rsidRPr="00B32B50">
        <w:rPr>
          <w:rFonts w:ascii="Arial" w:eastAsia="Times New Roman" w:hAnsi="Arial" w:cs="Arial"/>
          <w:i/>
          <w:iCs/>
          <w:sz w:val="24"/>
          <w:szCs w:val="24"/>
        </w:rPr>
        <w:t>Journal of Human Resource Management</w:t>
      </w:r>
      <w:r w:rsidRPr="00B32B50">
        <w:rPr>
          <w:rFonts w:ascii="Arial" w:eastAsia="Times New Roman" w:hAnsi="Arial" w:cs="Arial"/>
          <w:sz w:val="24"/>
          <w:szCs w:val="24"/>
        </w:rPr>
        <w:t>. Retrieved from: https://journals.sagepub.com</w:t>
      </w:r>
    </w:p>
    <w:p w14:paraId="0D2D69E9" w14:textId="77777777"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Sharma, R., &amp; Verma, S. (2020). Role of AI in payroll management: Improving accuracy and compliance. </w:t>
      </w:r>
      <w:r w:rsidRPr="00B32B50">
        <w:rPr>
          <w:rFonts w:ascii="Arial" w:eastAsia="Times New Roman" w:hAnsi="Arial" w:cs="Arial"/>
          <w:i/>
          <w:iCs/>
          <w:sz w:val="24"/>
          <w:szCs w:val="24"/>
        </w:rPr>
        <w:t>International Journal of Finance and Management</w:t>
      </w:r>
      <w:r w:rsidRPr="00B32B50">
        <w:rPr>
          <w:rFonts w:ascii="Arial" w:eastAsia="Times New Roman" w:hAnsi="Arial" w:cs="Arial"/>
          <w:sz w:val="24"/>
          <w:szCs w:val="24"/>
        </w:rPr>
        <w:t xml:space="preserve">. Retrieved from: </w:t>
      </w:r>
      <w:hyperlink r:id="rId10" w:tgtFrame="_new" w:history="1">
        <w:r w:rsidRPr="00B32B50">
          <w:rPr>
            <w:rFonts w:ascii="Arial" w:eastAsia="Times New Roman" w:hAnsi="Arial" w:cs="Arial"/>
            <w:color w:val="0000FF"/>
            <w:sz w:val="24"/>
            <w:szCs w:val="24"/>
            <w:u w:val="single"/>
          </w:rPr>
          <w:t>https://www.ijfmr.com</w:t>
        </w:r>
      </w:hyperlink>
    </w:p>
    <w:p w14:paraId="2244D3D5" w14:textId="77777777"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Das, A., &amp; Mishra, K. (2019). Employer-led tax awareness and its effect on financial behavior of employees. </w:t>
      </w:r>
      <w:r w:rsidRPr="00B32B50">
        <w:rPr>
          <w:rFonts w:ascii="Arial" w:eastAsia="Times New Roman" w:hAnsi="Arial" w:cs="Arial"/>
          <w:i/>
          <w:iCs/>
          <w:sz w:val="24"/>
          <w:szCs w:val="24"/>
        </w:rPr>
        <w:t>Journal of Business and Taxation Studies</w:t>
      </w:r>
      <w:r w:rsidRPr="00B32B50">
        <w:rPr>
          <w:rFonts w:ascii="Arial" w:eastAsia="Times New Roman" w:hAnsi="Arial" w:cs="Arial"/>
          <w:sz w:val="24"/>
          <w:szCs w:val="24"/>
        </w:rPr>
        <w:t xml:space="preserve">. Retrieved from: </w:t>
      </w:r>
      <w:hyperlink r:id="rId11" w:tgtFrame="_new" w:history="1">
        <w:r w:rsidRPr="00B32B50">
          <w:rPr>
            <w:rFonts w:ascii="Arial" w:eastAsia="Times New Roman" w:hAnsi="Arial" w:cs="Arial"/>
            <w:color w:val="0000FF"/>
            <w:sz w:val="24"/>
            <w:szCs w:val="24"/>
            <w:u w:val="single"/>
          </w:rPr>
          <w:t>https://www.abacademies.org</w:t>
        </w:r>
      </w:hyperlink>
    </w:p>
    <w:p w14:paraId="457F5118" w14:textId="77777777"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Rao, P. (2017). Awareness and utilization of tax benefits among salaried employees. </w:t>
      </w:r>
      <w:r w:rsidRPr="00B32B50">
        <w:rPr>
          <w:rFonts w:ascii="Arial" w:eastAsia="Times New Roman" w:hAnsi="Arial" w:cs="Arial"/>
          <w:i/>
          <w:iCs/>
          <w:sz w:val="24"/>
          <w:szCs w:val="24"/>
        </w:rPr>
        <w:t>International Journal of Research in Commerce and Management</w:t>
      </w:r>
      <w:r w:rsidRPr="00B32B50">
        <w:rPr>
          <w:rFonts w:ascii="Arial" w:eastAsia="Times New Roman" w:hAnsi="Arial" w:cs="Arial"/>
          <w:sz w:val="24"/>
          <w:szCs w:val="24"/>
        </w:rPr>
        <w:t xml:space="preserve">. Retrieved from: </w:t>
      </w:r>
      <w:hyperlink r:id="rId12" w:tgtFrame="_new" w:history="1">
        <w:r w:rsidRPr="00B32B50">
          <w:rPr>
            <w:rFonts w:ascii="Arial" w:eastAsia="Times New Roman" w:hAnsi="Arial" w:cs="Arial"/>
            <w:color w:val="0000FF"/>
            <w:sz w:val="24"/>
            <w:szCs w:val="24"/>
            <w:u w:val="single"/>
          </w:rPr>
          <w:t>https://ijrcm.org.in</w:t>
        </w:r>
      </w:hyperlink>
    </w:p>
    <w:p w14:paraId="4056E0D5" w14:textId="77777777" w:rsidR="00F71C36" w:rsidRPr="00B32B50" w:rsidRDefault="00F71C36" w:rsidP="00B32B50">
      <w:pPr>
        <w:spacing w:line="360" w:lineRule="auto"/>
        <w:jc w:val="both"/>
        <w:rPr>
          <w:rFonts w:ascii="Arial" w:hAnsi="Arial" w:cs="Arial"/>
          <w:sz w:val="24"/>
          <w:szCs w:val="24"/>
        </w:rPr>
      </w:pPr>
    </w:p>
    <w:sectPr w:rsidR="00F71C36" w:rsidRPr="00B32B50" w:rsidSect="007B1A1F">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E996E" w14:textId="77777777" w:rsidR="003F314F" w:rsidRDefault="003F314F" w:rsidP="000153FA">
      <w:pPr>
        <w:spacing w:after="0" w:line="240" w:lineRule="auto"/>
      </w:pPr>
      <w:r>
        <w:separator/>
      </w:r>
    </w:p>
  </w:endnote>
  <w:endnote w:type="continuationSeparator" w:id="0">
    <w:p w14:paraId="0933A612" w14:textId="77777777" w:rsidR="003F314F" w:rsidRDefault="003F314F" w:rsidP="00015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376080"/>
      <w:docPartObj>
        <w:docPartGallery w:val="Page Numbers (Bottom of Page)"/>
        <w:docPartUnique/>
      </w:docPartObj>
    </w:sdtPr>
    <w:sdtEndPr/>
    <w:sdtContent>
      <w:p w14:paraId="6D8E9301" w14:textId="77777777" w:rsidR="00C613A8" w:rsidRDefault="007C720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1AA6F4C" w14:textId="77777777" w:rsidR="00C613A8" w:rsidRDefault="00C613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3F995" w14:textId="77777777" w:rsidR="003F314F" w:rsidRDefault="003F314F" w:rsidP="000153FA">
      <w:pPr>
        <w:spacing w:after="0" w:line="240" w:lineRule="auto"/>
      </w:pPr>
      <w:r>
        <w:separator/>
      </w:r>
    </w:p>
  </w:footnote>
  <w:footnote w:type="continuationSeparator" w:id="0">
    <w:p w14:paraId="66CC7669" w14:textId="77777777" w:rsidR="003F314F" w:rsidRDefault="003F314F" w:rsidP="000153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0261"/>
    <w:multiLevelType w:val="multilevel"/>
    <w:tmpl w:val="DD466F5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15:restartNumberingAfterBreak="0">
    <w:nsid w:val="25B97460"/>
    <w:multiLevelType w:val="multilevel"/>
    <w:tmpl w:val="B8A6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B2DAB"/>
    <w:multiLevelType w:val="multilevel"/>
    <w:tmpl w:val="8D40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D41E2D"/>
    <w:multiLevelType w:val="multilevel"/>
    <w:tmpl w:val="A67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C17FD7"/>
    <w:multiLevelType w:val="multilevel"/>
    <w:tmpl w:val="54407CC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5" w15:restartNumberingAfterBreak="0">
    <w:nsid w:val="40AF2F03"/>
    <w:multiLevelType w:val="multilevel"/>
    <w:tmpl w:val="783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F309B"/>
    <w:multiLevelType w:val="multilevel"/>
    <w:tmpl w:val="CC36D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2D953FD"/>
    <w:multiLevelType w:val="multilevel"/>
    <w:tmpl w:val="AEB28A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6100BB2"/>
    <w:multiLevelType w:val="multilevel"/>
    <w:tmpl w:val="D26615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4A6550EF"/>
    <w:multiLevelType w:val="multilevel"/>
    <w:tmpl w:val="4D18EC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4DB14B98"/>
    <w:multiLevelType w:val="multilevel"/>
    <w:tmpl w:val="83E67DD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15:restartNumberingAfterBreak="0">
    <w:nsid w:val="53E8448A"/>
    <w:multiLevelType w:val="multilevel"/>
    <w:tmpl w:val="240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315286"/>
    <w:multiLevelType w:val="multilevel"/>
    <w:tmpl w:val="3014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131BD7"/>
    <w:multiLevelType w:val="multilevel"/>
    <w:tmpl w:val="6CE2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953288"/>
    <w:multiLevelType w:val="multilevel"/>
    <w:tmpl w:val="740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220BE"/>
    <w:multiLevelType w:val="multilevel"/>
    <w:tmpl w:val="8BAE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43CE4"/>
    <w:multiLevelType w:val="multilevel"/>
    <w:tmpl w:val="7FC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F769D"/>
    <w:multiLevelType w:val="multilevel"/>
    <w:tmpl w:val="6AFA575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8" w15:restartNumberingAfterBreak="0">
    <w:nsid w:val="71936685"/>
    <w:multiLevelType w:val="multilevel"/>
    <w:tmpl w:val="833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8263245">
    <w:abstractNumId w:val="2"/>
  </w:num>
  <w:num w:numId="2" w16cid:durableId="198595616">
    <w:abstractNumId w:val="14"/>
  </w:num>
  <w:num w:numId="3" w16cid:durableId="1960333415">
    <w:abstractNumId w:val="3"/>
  </w:num>
  <w:num w:numId="4" w16cid:durableId="1725906820">
    <w:abstractNumId w:val="6"/>
  </w:num>
  <w:num w:numId="5" w16cid:durableId="707031178">
    <w:abstractNumId w:val="10"/>
  </w:num>
  <w:num w:numId="6" w16cid:durableId="960308081">
    <w:abstractNumId w:val="7"/>
  </w:num>
  <w:num w:numId="7" w16cid:durableId="988169588">
    <w:abstractNumId w:val="8"/>
  </w:num>
  <w:num w:numId="8" w16cid:durableId="1225992498">
    <w:abstractNumId w:val="13"/>
  </w:num>
  <w:num w:numId="9" w16cid:durableId="398141204">
    <w:abstractNumId w:val="11"/>
  </w:num>
  <w:num w:numId="10" w16cid:durableId="1691684893">
    <w:abstractNumId w:val="15"/>
  </w:num>
  <w:num w:numId="11" w16cid:durableId="1535576369">
    <w:abstractNumId w:val="12"/>
  </w:num>
  <w:num w:numId="12" w16cid:durableId="2037541734">
    <w:abstractNumId w:val="18"/>
  </w:num>
  <w:num w:numId="13" w16cid:durableId="671492581">
    <w:abstractNumId w:val="16"/>
  </w:num>
  <w:num w:numId="14" w16cid:durableId="1457984896">
    <w:abstractNumId w:val="0"/>
  </w:num>
  <w:num w:numId="15" w16cid:durableId="988020744">
    <w:abstractNumId w:val="9"/>
  </w:num>
  <w:num w:numId="16" w16cid:durableId="1235432934">
    <w:abstractNumId w:val="4"/>
  </w:num>
  <w:num w:numId="17" w16cid:durableId="233783876">
    <w:abstractNumId w:val="17"/>
  </w:num>
  <w:num w:numId="18" w16cid:durableId="1661931847">
    <w:abstractNumId w:val="1"/>
  </w:num>
  <w:num w:numId="19" w16cid:durableId="575163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3FA"/>
    <w:rsid w:val="000153FA"/>
    <w:rsid w:val="001C654F"/>
    <w:rsid w:val="002A2AA0"/>
    <w:rsid w:val="002A334E"/>
    <w:rsid w:val="00315DE9"/>
    <w:rsid w:val="003308E1"/>
    <w:rsid w:val="003F314F"/>
    <w:rsid w:val="004F6180"/>
    <w:rsid w:val="0063711C"/>
    <w:rsid w:val="007B1A1F"/>
    <w:rsid w:val="007C720B"/>
    <w:rsid w:val="009006A8"/>
    <w:rsid w:val="009032D3"/>
    <w:rsid w:val="00A436AC"/>
    <w:rsid w:val="00A715A0"/>
    <w:rsid w:val="00B32B50"/>
    <w:rsid w:val="00B40071"/>
    <w:rsid w:val="00C613A8"/>
    <w:rsid w:val="00CF11F8"/>
    <w:rsid w:val="00D0220A"/>
    <w:rsid w:val="00D05473"/>
    <w:rsid w:val="00D07D0E"/>
    <w:rsid w:val="00D977D9"/>
    <w:rsid w:val="00E25B25"/>
    <w:rsid w:val="00EA72F0"/>
    <w:rsid w:val="00F000FA"/>
    <w:rsid w:val="00F02B04"/>
    <w:rsid w:val="00F71C36"/>
    <w:rsid w:val="00F948F9"/>
    <w:rsid w:val="00FD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C169"/>
  <w15:docId w15:val="{FA6E8711-42C1-DE48-9B41-F4A5EC57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C36"/>
  </w:style>
  <w:style w:type="paragraph" w:styleId="Heading3">
    <w:name w:val="heading 3"/>
    <w:basedOn w:val="Normal"/>
    <w:link w:val="Heading3Char"/>
    <w:uiPriority w:val="9"/>
    <w:qFormat/>
    <w:rsid w:val="000153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53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5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3FA"/>
    <w:rPr>
      <w:b/>
      <w:bCs/>
    </w:rPr>
  </w:style>
  <w:style w:type="paragraph" w:styleId="Caption">
    <w:name w:val="caption"/>
    <w:basedOn w:val="Normal"/>
    <w:next w:val="Normal"/>
    <w:uiPriority w:val="35"/>
    <w:unhideWhenUsed/>
    <w:qFormat/>
    <w:rsid w:val="000153FA"/>
    <w:pPr>
      <w:spacing w:line="240" w:lineRule="auto"/>
    </w:pPr>
    <w:rPr>
      <w:b/>
      <w:bCs/>
      <w:color w:val="4F81BD" w:themeColor="accent1"/>
      <w:sz w:val="18"/>
      <w:szCs w:val="18"/>
    </w:rPr>
  </w:style>
  <w:style w:type="table" w:styleId="TableGrid">
    <w:name w:val="Table Grid"/>
    <w:basedOn w:val="TableNormal"/>
    <w:uiPriority w:val="59"/>
    <w:rsid w:val="000153F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FA"/>
    <w:rPr>
      <w:rFonts w:ascii="Tahoma" w:hAnsi="Tahoma" w:cs="Tahoma"/>
      <w:sz w:val="16"/>
      <w:szCs w:val="16"/>
    </w:rPr>
  </w:style>
  <w:style w:type="paragraph" w:styleId="Header">
    <w:name w:val="header"/>
    <w:basedOn w:val="Normal"/>
    <w:link w:val="HeaderChar"/>
    <w:uiPriority w:val="99"/>
    <w:semiHidden/>
    <w:unhideWhenUsed/>
    <w:rsid w:val="000153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53FA"/>
  </w:style>
  <w:style w:type="paragraph" w:styleId="Footer">
    <w:name w:val="footer"/>
    <w:basedOn w:val="Normal"/>
    <w:link w:val="FooterChar"/>
    <w:uiPriority w:val="99"/>
    <w:unhideWhenUsed/>
    <w:rsid w:val="0001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3FA"/>
  </w:style>
  <w:style w:type="character" w:styleId="Emphasis">
    <w:name w:val="Emphasis"/>
    <w:basedOn w:val="DefaultParagraphFont"/>
    <w:uiPriority w:val="20"/>
    <w:qFormat/>
    <w:rsid w:val="00B32B50"/>
    <w:rPr>
      <w:i/>
      <w:iCs/>
    </w:rPr>
  </w:style>
  <w:style w:type="character" w:styleId="Hyperlink">
    <w:name w:val="Hyperlink"/>
    <w:basedOn w:val="DefaultParagraphFont"/>
    <w:uiPriority w:val="99"/>
    <w:semiHidden/>
    <w:unhideWhenUsed/>
    <w:rsid w:val="00B32B50"/>
    <w:rPr>
      <w:color w:val="0000FF"/>
      <w:u w:val="single"/>
    </w:rPr>
  </w:style>
  <w:style w:type="paragraph" w:styleId="NoSpacing">
    <w:name w:val="No Spacing"/>
    <w:uiPriority w:val="1"/>
    <w:qFormat/>
    <w:rsid w:val="007B1A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607315">
      <w:bodyDiv w:val="1"/>
      <w:marLeft w:val="0"/>
      <w:marRight w:val="0"/>
      <w:marTop w:val="0"/>
      <w:marBottom w:val="0"/>
      <w:divBdr>
        <w:top w:val="none" w:sz="0" w:space="0" w:color="auto"/>
        <w:left w:val="none" w:sz="0" w:space="0" w:color="auto"/>
        <w:bottom w:val="none" w:sz="0" w:space="0" w:color="auto"/>
        <w:right w:val="none" w:sz="0" w:space="0" w:color="auto"/>
      </w:divBdr>
    </w:div>
    <w:div w:id="1406566000">
      <w:bodyDiv w:val="1"/>
      <w:marLeft w:val="0"/>
      <w:marRight w:val="0"/>
      <w:marTop w:val="0"/>
      <w:marBottom w:val="0"/>
      <w:divBdr>
        <w:top w:val="none" w:sz="0" w:space="0" w:color="auto"/>
        <w:left w:val="none" w:sz="0" w:space="0" w:color="auto"/>
        <w:bottom w:val="none" w:sz="0" w:space="0" w:color="auto"/>
        <w:right w:val="none" w:sz="0" w:space="0" w:color="auto"/>
      </w:divBdr>
    </w:div>
    <w:div w:id="15635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yperlink" Target="https://ijrcm.org.i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www.abacademies.org"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s://www.ijfmr.com" TargetMode="Externa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1978</Words>
  <Characters>11278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Yuva Shree</cp:lastModifiedBy>
  <cp:revision>2</cp:revision>
  <dcterms:created xsi:type="dcterms:W3CDTF">2025-04-21T07:09:00Z</dcterms:created>
  <dcterms:modified xsi:type="dcterms:W3CDTF">2025-04-21T07:09:00Z</dcterms:modified>
</cp:coreProperties>
</file>