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EB068" w14:textId="100A92FC" w:rsidR="002A617D" w:rsidRPr="002A617D" w:rsidRDefault="00437E6C" w:rsidP="000E1D4C">
      <w:pPr>
        <w:pStyle w:val="Heading1"/>
        <w:ind w:right="2050"/>
        <w:rPr>
          <w:b/>
          <w:bCs/>
          <w:sz w:val="28"/>
          <w:szCs w:val="28"/>
          <w:lang w:val="en-IN"/>
        </w:rPr>
      </w:pPr>
      <w:r>
        <w:rPr>
          <w:noProof/>
        </w:rPr>
        <w:drawing>
          <wp:anchor distT="0" distB="0" distL="0" distR="0" simplePos="0" relativeHeight="251662336" behindDoc="0" locked="0" layoutInCell="1" allowOverlap="1" wp14:anchorId="5A5CC9C0" wp14:editId="6192489E">
            <wp:simplePos x="0" y="0"/>
            <wp:positionH relativeFrom="margin">
              <wp:posOffset>1915795</wp:posOffset>
            </wp:positionH>
            <wp:positionV relativeFrom="paragraph">
              <wp:posOffset>0</wp:posOffset>
            </wp:positionV>
            <wp:extent cx="1708785" cy="662305"/>
            <wp:effectExtent l="0" t="0" r="5715" b="4445"/>
            <wp:wrapTopAndBottom/>
            <wp:docPr id="1" name="image1.jpeg" descr="A logo with blue and yellow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A logo with blue and yellow text&#10;&#10;AI-generated content may be incorrect."/>
                    <pic:cNvPicPr/>
                  </pic:nvPicPr>
                  <pic:blipFill>
                    <a:blip r:embed="rId5" cstate="print"/>
                    <a:stretch>
                      <a:fillRect/>
                    </a:stretch>
                  </pic:blipFill>
                  <pic:spPr>
                    <a:xfrm>
                      <a:off x="0" y="0"/>
                      <a:ext cx="1708785" cy="662305"/>
                    </a:xfrm>
                    <a:prstGeom prst="rect">
                      <a:avLst/>
                    </a:prstGeom>
                  </pic:spPr>
                </pic:pic>
              </a:graphicData>
            </a:graphic>
            <wp14:sizeRelH relativeFrom="margin">
              <wp14:pctWidth>0</wp14:pctWidth>
            </wp14:sizeRelH>
            <wp14:sizeRelV relativeFrom="margin">
              <wp14:pctHeight>0</wp14:pctHeight>
            </wp14:sizeRelV>
          </wp:anchor>
        </w:drawing>
      </w:r>
      <w:r w:rsidR="002A617D">
        <w:rPr>
          <w:rFonts w:ascii="Times New Roman" w:hAnsi="Times New Roman" w:cs="Times New Roman"/>
          <w:b/>
          <w:bCs/>
          <w:color w:val="auto"/>
          <w:sz w:val="32"/>
          <w:szCs w:val="32"/>
        </w:rPr>
        <w:t xml:space="preserve">                       </w:t>
      </w:r>
      <w:r w:rsidR="002A617D" w:rsidRPr="002A617D">
        <w:rPr>
          <w:rFonts w:ascii="Times New Roman" w:hAnsi="Times New Roman" w:cs="Times New Roman"/>
          <w:b/>
          <w:bCs/>
          <w:color w:val="auto"/>
          <w:sz w:val="28"/>
          <w:szCs w:val="28"/>
        </w:rPr>
        <w:t xml:space="preserve"> </w:t>
      </w:r>
    </w:p>
    <w:p w14:paraId="6B08D0D3" w14:textId="5F875423" w:rsidR="00437E6C" w:rsidRDefault="000E1D4C" w:rsidP="000E1D4C">
      <w:pPr>
        <w:spacing w:before="50" w:line="360" w:lineRule="auto"/>
        <w:ind w:left="316" w:right="315"/>
        <w:jc w:val="both"/>
        <w:rPr>
          <w:b/>
          <w:sz w:val="28"/>
          <w:szCs w:val="28"/>
        </w:rPr>
      </w:pPr>
      <w:r w:rsidRPr="005200C8">
        <w:rPr>
          <w:b/>
          <w:sz w:val="28"/>
          <w:szCs w:val="28"/>
        </w:rPr>
        <w:t>“ANALYSIS OF INVESTMENT LANDSCAPE FOR RENEWABLE ENERGY SECTOR IN INDIA”</w:t>
      </w:r>
    </w:p>
    <w:p w14:paraId="38419179" w14:textId="77777777" w:rsidR="000E1D4C" w:rsidRPr="000E1D4C" w:rsidRDefault="000E1D4C" w:rsidP="000E1D4C">
      <w:pPr>
        <w:spacing w:before="50" w:line="360" w:lineRule="auto"/>
        <w:ind w:left="316" w:right="315"/>
        <w:jc w:val="both"/>
        <w:rPr>
          <w:b/>
          <w:sz w:val="28"/>
          <w:szCs w:val="28"/>
        </w:rPr>
      </w:pPr>
    </w:p>
    <w:tbl>
      <w:tblPr>
        <w:tblW w:w="3734" w:type="dxa"/>
        <w:tblLook w:val="04A0" w:firstRow="1" w:lastRow="0" w:firstColumn="1" w:lastColumn="0" w:noHBand="0" w:noVBand="1"/>
      </w:tblPr>
      <w:tblGrid>
        <w:gridCol w:w="3734"/>
      </w:tblGrid>
      <w:tr w:rsidR="00437E6C" w:rsidRPr="00437E6C" w14:paraId="673B0E8A" w14:textId="77777777" w:rsidTr="00211A2B">
        <w:trPr>
          <w:trHeight w:val="337"/>
        </w:trPr>
        <w:tc>
          <w:tcPr>
            <w:tcW w:w="37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ED6B53" w14:textId="77777777" w:rsidR="00437E6C" w:rsidRPr="00437E6C" w:rsidRDefault="00437E6C" w:rsidP="00437E6C">
            <w:pPr>
              <w:widowControl/>
              <w:autoSpaceDE/>
              <w:autoSpaceDN/>
              <w:rPr>
                <w:b/>
                <w:bCs/>
                <w:color w:val="000000"/>
                <w:lang w:val="en-IN" w:eastAsia="en-IN"/>
              </w:rPr>
            </w:pPr>
            <w:r w:rsidRPr="00437E6C">
              <w:rPr>
                <w:b/>
                <w:bCs/>
                <w:color w:val="000000"/>
                <w:lang w:val="en-IN" w:eastAsia="en-IN"/>
              </w:rPr>
              <w:t>Author 1</w:t>
            </w:r>
          </w:p>
        </w:tc>
      </w:tr>
      <w:tr w:rsidR="00437E6C" w:rsidRPr="00437E6C" w14:paraId="0CF53EE7" w14:textId="77777777" w:rsidTr="00211A2B">
        <w:trPr>
          <w:trHeight w:val="33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14:paraId="5FA9B798" w14:textId="5DC344AD" w:rsidR="00437E6C" w:rsidRPr="00437E6C" w:rsidRDefault="00437E6C" w:rsidP="00437E6C">
            <w:pPr>
              <w:widowControl/>
              <w:autoSpaceDE/>
              <w:autoSpaceDN/>
              <w:rPr>
                <w:b/>
                <w:bCs/>
                <w:color w:val="000000"/>
                <w:lang w:val="en-IN" w:eastAsia="en-IN"/>
              </w:rPr>
            </w:pPr>
            <w:r w:rsidRPr="00437E6C">
              <w:rPr>
                <w:b/>
                <w:bCs/>
                <w:color w:val="000000"/>
                <w:lang w:val="en-IN" w:eastAsia="en-IN"/>
              </w:rPr>
              <w:t xml:space="preserve">Mr. </w:t>
            </w:r>
            <w:r w:rsidR="00F76D0F">
              <w:rPr>
                <w:b/>
                <w:bCs/>
                <w:color w:val="000000"/>
                <w:lang w:val="en-IN" w:eastAsia="en-IN"/>
              </w:rPr>
              <w:t>Aniket Shelke</w:t>
            </w:r>
          </w:p>
        </w:tc>
      </w:tr>
      <w:tr w:rsidR="00437E6C" w:rsidRPr="00437E6C" w14:paraId="0015FED0" w14:textId="77777777" w:rsidTr="00211A2B">
        <w:trPr>
          <w:trHeight w:val="337"/>
        </w:trPr>
        <w:tc>
          <w:tcPr>
            <w:tcW w:w="3734" w:type="dxa"/>
            <w:tcBorders>
              <w:top w:val="nil"/>
              <w:left w:val="single" w:sz="4" w:space="0" w:color="auto"/>
              <w:bottom w:val="single" w:sz="4" w:space="0" w:color="auto"/>
              <w:right w:val="single" w:sz="4" w:space="0" w:color="auto"/>
            </w:tcBorders>
            <w:shd w:val="clear" w:color="auto" w:fill="auto"/>
            <w:noWrap/>
            <w:vAlign w:val="bottom"/>
            <w:hideMark/>
          </w:tcPr>
          <w:p w14:paraId="377AE0FC" w14:textId="77777777" w:rsidR="00437E6C" w:rsidRPr="00437E6C" w:rsidRDefault="00437E6C" w:rsidP="00437E6C">
            <w:pPr>
              <w:widowControl/>
              <w:autoSpaceDE/>
              <w:autoSpaceDN/>
              <w:rPr>
                <w:b/>
                <w:bCs/>
                <w:color w:val="000000"/>
                <w:lang w:val="en-IN" w:eastAsia="en-IN"/>
              </w:rPr>
            </w:pPr>
            <w:r w:rsidRPr="00437E6C">
              <w:rPr>
                <w:b/>
                <w:bCs/>
                <w:color w:val="000000"/>
                <w:lang w:val="en-IN" w:eastAsia="en-IN"/>
              </w:rPr>
              <w:t>MBA Student, Amity University Mumbai</w:t>
            </w:r>
          </w:p>
        </w:tc>
      </w:tr>
    </w:tbl>
    <w:tbl>
      <w:tblPr>
        <w:tblpPr w:leftFromText="180" w:rightFromText="180" w:vertAnchor="text" w:horzAnchor="margin" w:tblpXSpec="right" w:tblpY="-1277"/>
        <w:tblW w:w="3974" w:type="dxa"/>
        <w:tblLook w:val="04A0" w:firstRow="1" w:lastRow="0" w:firstColumn="1" w:lastColumn="0" w:noHBand="0" w:noVBand="1"/>
      </w:tblPr>
      <w:tblGrid>
        <w:gridCol w:w="3974"/>
      </w:tblGrid>
      <w:tr w:rsidR="00211A2B" w:rsidRPr="00437E6C" w14:paraId="57CC737A" w14:textId="77777777" w:rsidTr="00211A2B">
        <w:trPr>
          <w:trHeight w:val="374"/>
        </w:trPr>
        <w:tc>
          <w:tcPr>
            <w:tcW w:w="39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90B068" w14:textId="77777777" w:rsidR="00211A2B" w:rsidRPr="00437E6C" w:rsidRDefault="00211A2B" w:rsidP="00211A2B">
            <w:pPr>
              <w:widowControl/>
              <w:autoSpaceDE/>
              <w:autoSpaceDN/>
              <w:rPr>
                <w:b/>
                <w:bCs/>
                <w:color w:val="000000"/>
                <w:lang w:val="en-IN" w:eastAsia="en-IN"/>
              </w:rPr>
            </w:pPr>
            <w:r w:rsidRPr="00437E6C">
              <w:rPr>
                <w:b/>
                <w:bCs/>
                <w:color w:val="000000"/>
                <w:lang w:val="en-IN" w:eastAsia="en-IN"/>
              </w:rPr>
              <w:t>Author 2</w:t>
            </w:r>
          </w:p>
        </w:tc>
      </w:tr>
      <w:tr w:rsidR="00211A2B" w:rsidRPr="00437E6C" w14:paraId="4168A0BD" w14:textId="77777777" w:rsidTr="00211A2B">
        <w:trPr>
          <w:trHeight w:val="374"/>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14:paraId="5976E629" w14:textId="77777777" w:rsidR="00211A2B" w:rsidRPr="00437E6C" w:rsidRDefault="00211A2B" w:rsidP="00211A2B">
            <w:pPr>
              <w:widowControl/>
              <w:autoSpaceDE/>
              <w:autoSpaceDN/>
              <w:rPr>
                <w:b/>
                <w:bCs/>
                <w:color w:val="000000"/>
                <w:lang w:val="en-IN" w:eastAsia="en-IN"/>
              </w:rPr>
            </w:pPr>
            <w:r w:rsidRPr="00437E6C">
              <w:rPr>
                <w:b/>
                <w:bCs/>
                <w:color w:val="000000"/>
                <w:lang w:val="en-IN" w:eastAsia="en-IN"/>
              </w:rPr>
              <w:t>Dr. Neha Choudhary</w:t>
            </w:r>
          </w:p>
        </w:tc>
      </w:tr>
      <w:tr w:rsidR="00211A2B" w:rsidRPr="00437E6C" w14:paraId="1086494B" w14:textId="77777777" w:rsidTr="00211A2B">
        <w:trPr>
          <w:trHeight w:val="374"/>
        </w:trPr>
        <w:tc>
          <w:tcPr>
            <w:tcW w:w="3974" w:type="dxa"/>
            <w:tcBorders>
              <w:top w:val="nil"/>
              <w:left w:val="single" w:sz="4" w:space="0" w:color="auto"/>
              <w:bottom w:val="single" w:sz="4" w:space="0" w:color="auto"/>
              <w:right w:val="single" w:sz="4" w:space="0" w:color="auto"/>
            </w:tcBorders>
            <w:shd w:val="clear" w:color="auto" w:fill="auto"/>
            <w:noWrap/>
            <w:vAlign w:val="bottom"/>
            <w:hideMark/>
          </w:tcPr>
          <w:p w14:paraId="65EB5770" w14:textId="77777777" w:rsidR="00211A2B" w:rsidRPr="00437E6C" w:rsidRDefault="00211A2B" w:rsidP="00211A2B">
            <w:pPr>
              <w:widowControl/>
              <w:autoSpaceDE/>
              <w:autoSpaceDN/>
              <w:rPr>
                <w:b/>
                <w:bCs/>
                <w:color w:val="000000"/>
                <w:lang w:val="en-IN" w:eastAsia="en-IN"/>
              </w:rPr>
            </w:pPr>
            <w:r w:rsidRPr="00437E6C">
              <w:rPr>
                <w:b/>
                <w:bCs/>
                <w:color w:val="000000"/>
                <w:lang w:val="en-IN" w:eastAsia="en-IN"/>
              </w:rPr>
              <w:t>Assistant Professor, Amity University Mumbai</w:t>
            </w:r>
          </w:p>
        </w:tc>
      </w:tr>
    </w:tbl>
    <w:p w14:paraId="1D972785" w14:textId="77777777" w:rsidR="002A617D" w:rsidRDefault="002A617D" w:rsidP="002A617D">
      <w:pPr>
        <w:rPr>
          <w:sz w:val="20"/>
        </w:rPr>
      </w:pPr>
    </w:p>
    <w:p w14:paraId="7EFA73B0" w14:textId="77777777" w:rsidR="00437E6C" w:rsidRDefault="00437E6C" w:rsidP="002A617D">
      <w:pPr>
        <w:rPr>
          <w:sz w:val="20"/>
        </w:rPr>
      </w:pPr>
    </w:p>
    <w:p w14:paraId="3667EA9F" w14:textId="77777777" w:rsidR="00437E6C" w:rsidRDefault="00437E6C" w:rsidP="002A617D">
      <w:pPr>
        <w:rPr>
          <w:sz w:val="20"/>
        </w:rPr>
      </w:pPr>
    </w:p>
    <w:p w14:paraId="4CBABAA5" w14:textId="5BF37EBF" w:rsidR="001336AE" w:rsidRDefault="001336AE" w:rsidP="00D667C8">
      <w:pPr>
        <w:rPr>
          <w:b/>
          <w:bCs/>
          <w:sz w:val="28"/>
          <w:szCs w:val="28"/>
        </w:rPr>
      </w:pPr>
      <w:r>
        <w:rPr>
          <w:b/>
          <w:bCs/>
          <w:sz w:val="28"/>
          <w:szCs w:val="28"/>
        </w:rPr>
        <w:t>ABSTRACT</w:t>
      </w:r>
    </w:p>
    <w:p w14:paraId="69695428" w14:textId="65E99BA4" w:rsidR="001336AE" w:rsidRPr="00BC523E" w:rsidRDefault="001336AE" w:rsidP="001336AE">
      <w:pPr>
        <w:spacing w:line="360" w:lineRule="auto"/>
        <w:jc w:val="both"/>
        <w:rPr>
          <w:sz w:val="24"/>
          <w:szCs w:val="24"/>
          <w:lang w:val="en-IN"/>
        </w:rPr>
      </w:pPr>
    </w:p>
    <w:p w14:paraId="0FA662B2" w14:textId="20009140" w:rsidR="00E21EA9" w:rsidRDefault="00F76D0F" w:rsidP="00E21EA9">
      <w:pPr>
        <w:pStyle w:val="BodyText"/>
        <w:spacing w:line="360" w:lineRule="auto"/>
        <w:ind w:left="140" w:right="137"/>
        <w:jc w:val="both"/>
        <w:rPr>
          <w:b w:val="0"/>
          <w:bCs w:val="0"/>
          <w:lang w:val="en-IN"/>
        </w:rPr>
      </w:pPr>
      <w:r w:rsidRPr="00F76D0F">
        <w:rPr>
          <w:b w:val="0"/>
          <w:bCs w:val="0"/>
          <w:lang w:val="en-IN"/>
        </w:rPr>
        <w:t xml:space="preserve">This </w:t>
      </w:r>
      <w:r w:rsidR="00AC42DC">
        <w:rPr>
          <w:b w:val="0"/>
          <w:bCs w:val="0"/>
          <w:lang w:val="en-IN"/>
        </w:rPr>
        <w:t>research</w:t>
      </w:r>
      <w:r w:rsidRPr="00F76D0F">
        <w:rPr>
          <w:b w:val="0"/>
          <w:bCs w:val="0"/>
          <w:lang w:val="en-IN"/>
        </w:rPr>
        <w:t xml:space="preserve"> explores the investment opportunities for retail investors in India's rapidly increasing renewable energy sector. The sector offers enormous investment prospects, fuelled by rising environmental consciousness, supportive government regulations, and ambitious clean energy targets (for example, 500 GW of non-fossil fuel capacity by 2030). This paper examines these prospects, the challenges that retail investors confront, and the risk-return profiles of various investment products.</w:t>
      </w:r>
    </w:p>
    <w:p w14:paraId="66F6B949" w14:textId="77777777" w:rsidR="00E21EA9" w:rsidRDefault="00E21EA9" w:rsidP="00E21EA9">
      <w:pPr>
        <w:pStyle w:val="BodyText"/>
        <w:spacing w:line="360" w:lineRule="auto"/>
        <w:ind w:left="140" w:right="137"/>
        <w:jc w:val="both"/>
        <w:rPr>
          <w:b w:val="0"/>
          <w:bCs w:val="0"/>
          <w:lang w:val="en-IN"/>
        </w:rPr>
      </w:pPr>
    </w:p>
    <w:p w14:paraId="6AD69D8D" w14:textId="07E4BD72" w:rsidR="00E21EA9" w:rsidRPr="00E21EA9" w:rsidRDefault="00E21EA9" w:rsidP="00E21EA9">
      <w:pPr>
        <w:pStyle w:val="BodyText"/>
        <w:spacing w:line="360" w:lineRule="auto"/>
        <w:ind w:left="140" w:right="137"/>
        <w:jc w:val="both"/>
        <w:rPr>
          <w:b w:val="0"/>
          <w:bCs w:val="0"/>
          <w:lang w:val="en-IN"/>
        </w:rPr>
      </w:pPr>
      <w:r w:rsidRPr="00E21EA9">
        <w:rPr>
          <w:b w:val="0"/>
          <w:bCs w:val="0"/>
          <w:lang w:val="en-IN"/>
        </w:rPr>
        <w:t>This research investigates how retail investors can effectively participate in India's sustainable energy revolution by examining options like direct investments and renewable energy-focused mutual funds. Employing a mixed-methods approach with surveys of 100 active retail investors and secondary data from industry publications and academic research, the study aims to identify key factors influencing their investment decisions and assess their impact on market growth and stability. The goal is to understand the relationship between retail investments and the growth of India's renewable energy sector, pinpoint industry influences on investor behaviour, and offer recommendations to improve retail access to clean energy investments, while acknowledging challenges like limited information and regulations, to ultimately empower retail investors in sustainable finance and their contribution to India's renewable energy transition, despite limitations in data and market dynamics.</w:t>
      </w:r>
      <w:r w:rsidR="00B90011" w:rsidRPr="00B90011">
        <w:rPr>
          <w:b w:val="0"/>
          <w:bCs w:val="0"/>
          <w:sz w:val="22"/>
          <w:szCs w:val="22"/>
        </w:rPr>
        <w:t xml:space="preserve"> </w:t>
      </w:r>
    </w:p>
    <w:p w14:paraId="39697693" w14:textId="159AB320" w:rsidR="001336AE" w:rsidRPr="00E71E0D" w:rsidRDefault="001336AE" w:rsidP="00F76D0F">
      <w:pPr>
        <w:widowControl/>
        <w:autoSpaceDE/>
        <w:autoSpaceDN/>
        <w:spacing w:after="160" w:line="278" w:lineRule="auto"/>
        <w:jc w:val="both"/>
        <w:rPr>
          <w:sz w:val="24"/>
          <w:szCs w:val="24"/>
          <w:lang w:val="en-IN"/>
        </w:rPr>
      </w:pPr>
      <w:r w:rsidRPr="00F76D0F">
        <w:rPr>
          <w:b/>
          <w:bCs/>
          <w:sz w:val="28"/>
          <w:szCs w:val="28"/>
        </w:rPr>
        <w:br w:type="page"/>
      </w:r>
      <w:r>
        <w:rPr>
          <w:b/>
          <w:bCs/>
          <w:sz w:val="28"/>
          <w:szCs w:val="28"/>
        </w:rPr>
        <w:lastRenderedPageBreak/>
        <w:t xml:space="preserve"> 1- INTRODUCTION</w:t>
      </w:r>
    </w:p>
    <w:p w14:paraId="1DF6B56E" w14:textId="77777777" w:rsidR="001336AE" w:rsidRDefault="001336AE" w:rsidP="001336AE">
      <w:pPr>
        <w:jc w:val="center"/>
        <w:rPr>
          <w:b/>
          <w:bCs/>
          <w:sz w:val="28"/>
          <w:szCs w:val="28"/>
        </w:rPr>
      </w:pPr>
    </w:p>
    <w:p w14:paraId="1C9AF024" w14:textId="6ED09F2F" w:rsidR="001336AE" w:rsidRPr="00FF20AA" w:rsidRDefault="001336AE" w:rsidP="001336AE">
      <w:pPr>
        <w:pStyle w:val="ListParagraph"/>
        <w:numPr>
          <w:ilvl w:val="1"/>
          <w:numId w:val="1"/>
        </w:numPr>
        <w:spacing w:line="360" w:lineRule="auto"/>
        <w:contextualSpacing w:val="0"/>
        <w:jc w:val="both"/>
        <w:rPr>
          <w:b/>
          <w:bCs/>
          <w:sz w:val="24"/>
          <w:szCs w:val="24"/>
        </w:rPr>
      </w:pPr>
      <w:r w:rsidRPr="00FF20AA">
        <w:rPr>
          <w:b/>
          <w:bCs/>
          <w:sz w:val="24"/>
          <w:szCs w:val="24"/>
        </w:rPr>
        <w:t>:</w:t>
      </w:r>
      <w:r w:rsidR="00B90011">
        <w:rPr>
          <w:b/>
          <w:bCs/>
          <w:sz w:val="24"/>
          <w:szCs w:val="24"/>
        </w:rPr>
        <w:t xml:space="preserve"> Overview of Study: </w:t>
      </w:r>
    </w:p>
    <w:p w14:paraId="7EFB4AE0" w14:textId="77777777" w:rsidR="001336AE" w:rsidRPr="00FF20AA" w:rsidRDefault="001336AE" w:rsidP="001336AE">
      <w:pPr>
        <w:pStyle w:val="ListParagraph"/>
        <w:spacing w:line="360" w:lineRule="auto"/>
        <w:ind w:left="360"/>
        <w:jc w:val="both"/>
        <w:rPr>
          <w:b/>
          <w:bCs/>
          <w:sz w:val="24"/>
          <w:szCs w:val="24"/>
        </w:rPr>
      </w:pPr>
    </w:p>
    <w:p w14:paraId="2A8DD27C" w14:textId="77777777" w:rsidR="00B90011" w:rsidRPr="00B90011" w:rsidRDefault="00B90011" w:rsidP="00B90011">
      <w:pPr>
        <w:pStyle w:val="NormalWeb"/>
        <w:spacing w:before="0" w:beforeAutospacing="0" w:after="240" w:afterAutospacing="0" w:line="360" w:lineRule="auto"/>
        <w:ind w:left="360"/>
        <w:jc w:val="both"/>
        <w:rPr>
          <w:color w:val="1B1C1D"/>
        </w:rPr>
      </w:pPr>
      <w:r w:rsidRPr="00B90011">
        <w:rPr>
          <w:color w:val="1B1C1D"/>
        </w:rPr>
        <w:t>Renewable energy, derived from naturally replenishing resources like solar, wind, and hydropower, is crucial for sustainable energy solutions in both urban and rural settings and is often coupled with electrification for efficient heat and vehicle transport. Variable sources like wind and solar complement controllable options such as hydroelectricity, bioenergy, and geothermal power. The International Energy Agency defines it as energy from natural processes replenished faster than consumed, including biomass, geothermal, hydro, wind, and solar, frequently substituting traditional fuels in transportation, heating, power generation, and off-grid applications. With India's energy demand projected to surge, low-carbon renewables are essential, highlighted by the nation's commitment to net-zero emissions by 2070 and 50% renewable electricity by 2030. India ranked fourth globally in renewable energy capacity in 2023, demonstrating rapid growth with a 15.4% CAGR in installed renewable power capacity from FY16 to FY23, reaching 125.15 GW in FY23, and its renewable electricity market is anticipated to expand rapidly with capacity additions tripling by 2026.</w:t>
      </w:r>
    </w:p>
    <w:p w14:paraId="7D81D048" w14:textId="5DC3A784" w:rsidR="0051645F" w:rsidRPr="007A5EED" w:rsidRDefault="0051645F" w:rsidP="0051645F">
      <w:pPr>
        <w:pStyle w:val="ListParagraph"/>
        <w:numPr>
          <w:ilvl w:val="1"/>
          <w:numId w:val="1"/>
        </w:numPr>
        <w:spacing w:after="240" w:line="360" w:lineRule="auto"/>
        <w:rPr>
          <w:b/>
          <w:bCs/>
          <w:sz w:val="24"/>
          <w:szCs w:val="24"/>
          <w:lang w:val="en-IN"/>
        </w:rPr>
      </w:pPr>
      <w:r w:rsidRPr="007A5EED">
        <w:rPr>
          <w:b/>
          <w:bCs/>
          <w:sz w:val="24"/>
          <w:szCs w:val="24"/>
          <w:lang w:val="en-IN"/>
        </w:rPr>
        <w:t xml:space="preserve">Review of </w:t>
      </w:r>
      <w:r w:rsidR="00B90011">
        <w:rPr>
          <w:b/>
          <w:bCs/>
          <w:sz w:val="24"/>
          <w:szCs w:val="24"/>
          <w:lang w:val="en-IN"/>
        </w:rPr>
        <w:t>L</w:t>
      </w:r>
      <w:r w:rsidRPr="007A5EED">
        <w:rPr>
          <w:b/>
          <w:bCs/>
          <w:sz w:val="24"/>
          <w:szCs w:val="24"/>
          <w:lang w:val="en-IN"/>
        </w:rPr>
        <w:t>iterature</w:t>
      </w:r>
    </w:p>
    <w:p w14:paraId="04C74888" w14:textId="1DC2E5E4" w:rsidR="00E412B7" w:rsidRPr="00E412B7" w:rsidRDefault="00E412B7" w:rsidP="00E412B7">
      <w:pPr>
        <w:pStyle w:val="ListParagraph"/>
        <w:numPr>
          <w:ilvl w:val="0"/>
          <w:numId w:val="3"/>
        </w:numPr>
        <w:spacing w:line="360" w:lineRule="auto"/>
        <w:jc w:val="both"/>
        <w:rPr>
          <w:sz w:val="24"/>
          <w:szCs w:val="24"/>
          <w:lang w:val="en-IN"/>
        </w:rPr>
      </w:pPr>
      <w:r w:rsidRPr="00E412B7">
        <w:rPr>
          <w:sz w:val="24"/>
          <w:szCs w:val="24"/>
          <w:lang w:val="en-IN"/>
        </w:rPr>
        <w:t xml:space="preserve">India has set ambitious goals for renewable energy expansion, aiming for 500 GW of non-fossil fuel-based electricity capacity by 2030 </w:t>
      </w:r>
      <w:r w:rsidRPr="00E412B7">
        <w:rPr>
          <w:b/>
          <w:bCs/>
          <w:sz w:val="24"/>
          <w:szCs w:val="24"/>
          <w:lang w:val="en-IN"/>
        </w:rPr>
        <w:t>(MNRE, 2023)</w:t>
      </w:r>
      <w:r w:rsidRPr="00E412B7">
        <w:rPr>
          <w:sz w:val="24"/>
          <w:szCs w:val="24"/>
          <w:lang w:val="en-IN"/>
        </w:rPr>
        <w:t xml:space="preserve">. According to predictions, a major financial investment of over $370 billion will be required over the next ten years to achieve this target </w:t>
      </w:r>
      <w:r w:rsidRPr="00E412B7">
        <w:rPr>
          <w:b/>
          <w:bCs/>
          <w:sz w:val="24"/>
          <w:szCs w:val="24"/>
          <w:lang w:val="en-IN"/>
        </w:rPr>
        <w:t>(IEA, 2023).</w:t>
      </w:r>
      <w:r w:rsidRPr="00E412B7">
        <w:rPr>
          <w:sz w:val="24"/>
          <w:szCs w:val="24"/>
          <w:lang w:val="en-IN"/>
        </w:rPr>
        <w:t xml:space="preserve"> While development banks, sovereign funds, and institutional investors are key sources of funding for renewable energy projects, private investors remain underserved. Retail investors can participate in renewable energy through green bonds, infrastructure investment trusts </w:t>
      </w:r>
      <w:r w:rsidRPr="00E412B7">
        <w:rPr>
          <w:b/>
          <w:bCs/>
          <w:sz w:val="24"/>
          <w:szCs w:val="24"/>
          <w:lang w:val="en-IN"/>
        </w:rPr>
        <w:t>(</w:t>
      </w:r>
      <w:proofErr w:type="spellStart"/>
      <w:r w:rsidRPr="00E412B7">
        <w:rPr>
          <w:b/>
          <w:bCs/>
          <w:sz w:val="24"/>
          <w:szCs w:val="24"/>
          <w:lang w:val="en-IN"/>
        </w:rPr>
        <w:t>InvITs</w:t>
      </w:r>
      <w:proofErr w:type="spellEnd"/>
      <w:r w:rsidRPr="00E412B7">
        <w:rPr>
          <w:b/>
          <w:bCs/>
          <w:sz w:val="24"/>
          <w:szCs w:val="24"/>
          <w:lang w:val="en-IN"/>
        </w:rPr>
        <w:t>)</w:t>
      </w:r>
      <w:r w:rsidRPr="00E412B7">
        <w:rPr>
          <w:sz w:val="24"/>
          <w:szCs w:val="24"/>
          <w:lang w:val="en-IN"/>
        </w:rPr>
        <w:t>, crowdfunding platforms, and renewable energy firm stocks, among other options. However, research indicates a paucity of investment institutions and policies that effectively attract small-scale investors to the business.</w:t>
      </w:r>
    </w:p>
    <w:p w14:paraId="030F5823" w14:textId="77777777" w:rsidR="00E412B7" w:rsidRPr="00E412B7" w:rsidRDefault="00E412B7" w:rsidP="00E412B7">
      <w:pPr>
        <w:pStyle w:val="ListParagraph"/>
        <w:widowControl/>
        <w:numPr>
          <w:ilvl w:val="0"/>
          <w:numId w:val="3"/>
        </w:numPr>
        <w:autoSpaceDE/>
        <w:autoSpaceDN/>
        <w:spacing w:line="360" w:lineRule="auto"/>
        <w:jc w:val="both"/>
        <w:rPr>
          <w:sz w:val="24"/>
          <w:szCs w:val="24"/>
          <w:lang w:val="en-IN" w:eastAsia="en-IN"/>
        </w:rPr>
      </w:pPr>
      <w:r w:rsidRPr="00E412B7">
        <w:rPr>
          <w:sz w:val="24"/>
          <w:szCs w:val="24"/>
          <w:lang w:val="en-IN" w:eastAsia="en-IN"/>
        </w:rPr>
        <w:t xml:space="preserve">Retail investors are attracted to renewable energy investments for a variety of reasons. First, because renewable energy projects often operate under long-term power purchase agreements (PPAs) and receive government subsidies, these investments yield consistent and long-term returns. Second, investor interest in green energy equities, </w:t>
      </w:r>
      <w:r w:rsidRPr="00E412B7">
        <w:rPr>
          <w:sz w:val="24"/>
          <w:szCs w:val="24"/>
          <w:lang w:val="en-IN" w:eastAsia="en-IN"/>
        </w:rPr>
        <w:lastRenderedPageBreak/>
        <w:t xml:space="preserve">bonds, and funds has grown in response to the growing emphasis on sustainability and Environmental, Social, and Governance (ESG) considerations </w:t>
      </w:r>
      <w:r w:rsidRPr="00E412B7">
        <w:rPr>
          <w:b/>
          <w:bCs/>
          <w:sz w:val="24"/>
          <w:szCs w:val="24"/>
          <w:lang w:val="en-IN" w:eastAsia="en-IN"/>
        </w:rPr>
        <w:t>(Deloitte, 2023).</w:t>
      </w:r>
    </w:p>
    <w:p w14:paraId="79673427" w14:textId="77777777" w:rsidR="00CA0CEA" w:rsidRPr="00CA0CEA" w:rsidRDefault="00CA0CEA" w:rsidP="00CA0CEA">
      <w:pPr>
        <w:pStyle w:val="ListParagraph"/>
        <w:widowControl/>
        <w:numPr>
          <w:ilvl w:val="0"/>
          <w:numId w:val="3"/>
        </w:numPr>
        <w:autoSpaceDE/>
        <w:autoSpaceDN/>
        <w:spacing w:line="360" w:lineRule="auto"/>
        <w:jc w:val="both"/>
        <w:rPr>
          <w:sz w:val="24"/>
          <w:szCs w:val="24"/>
          <w:lang w:val="en-IN" w:eastAsia="en-IN"/>
        </w:rPr>
      </w:pPr>
      <w:r w:rsidRPr="00CA0CEA">
        <w:rPr>
          <w:sz w:val="24"/>
          <w:szCs w:val="24"/>
          <w:lang w:val="en-IN" w:eastAsia="en-IN"/>
        </w:rPr>
        <w:t xml:space="preserve">To encourage retail participation, the Indian government has launched a range of initiatives, including tax exemptions, individual investment incentives, and subsidies. Rooftop solar installation subsidies, for example, and tax-free green bonds, make renewable energy investments more appealing. Furthermore, the introduction of fintech platforms that enable fractional ownership of renewable energy assets has made small-scale retail participation in large-scale projects more accessible </w:t>
      </w:r>
      <w:r w:rsidRPr="00CA0CEA">
        <w:rPr>
          <w:b/>
          <w:bCs/>
          <w:sz w:val="24"/>
          <w:szCs w:val="24"/>
          <w:lang w:val="en-IN" w:eastAsia="en-IN"/>
        </w:rPr>
        <w:t>(EY Report, 2024).</w:t>
      </w:r>
    </w:p>
    <w:p w14:paraId="0C1ED0E7" w14:textId="77777777" w:rsidR="00CA0CEA" w:rsidRPr="00CA0CEA" w:rsidRDefault="00CA0CEA" w:rsidP="00CA0CEA">
      <w:pPr>
        <w:pStyle w:val="ListParagraph"/>
        <w:widowControl/>
        <w:numPr>
          <w:ilvl w:val="0"/>
          <w:numId w:val="3"/>
        </w:numPr>
        <w:autoSpaceDE/>
        <w:autoSpaceDN/>
        <w:spacing w:line="360" w:lineRule="auto"/>
        <w:jc w:val="both"/>
        <w:rPr>
          <w:b/>
          <w:bCs/>
          <w:sz w:val="24"/>
          <w:szCs w:val="24"/>
          <w:lang w:val="en-IN" w:eastAsia="en-IN"/>
        </w:rPr>
      </w:pPr>
      <w:r w:rsidRPr="00CA0CEA">
        <w:rPr>
          <w:sz w:val="24"/>
          <w:szCs w:val="24"/>
          <w:lang w:val="en-IN" w:eastAsia="en-IN"/>
        </w:rPr>
        <w:t xml:space="preserve">Despite these prospects, retail investment in the renewable energy sector faces a number of challenges. One of the major concerns is that retail investors are unaware and lack financial knowledge. According to surveys, a considerable number of individual investors miss out on investment opportunities because they are unaware of the various financial instruments available in the renewable energy sector </w:t>
      </w:r>
      <w:r w:rsidRPr="00CA0CEA">
        <w:rPr>
          <w:b/>
          <w:bCs/>
          <w:sz w:val="24"/>
          <w:szCs w:val="24"/>
          <w:lang w:val="en-IN" w:eastAsia="en-IN"/>
        </w:rPr>
        <w:t xml:space="preserve">(SEBI Investor Survey, 2023). </w:t>
      </w:r>
    </w:p>
    <w:p w14:paraId="78205B2E" w14:textId="6C362DD2" w:rsidR="0051645F" w:rsidRDefault="0051645F" w:rsidP="00CA0CEA">
      <w:pPr>
        <w:pStyle w:val="ListParagraph"/>
        <w:spacing w:line="276" w:lineRule="auto"/>
        <w:jc w:val="both"/>
        <w:rPr>
          <w:sz w:val="24"/>
          <w:szCs w:val="24"/>
          <w:lang w:val="en-IN"/>
        </w:rPr>
      </w:pPr>
    </w:p>
    <w:p w14:paraId="543C6ED3" w14:textId="424B49F6" w:rsidR="001D5685" w:rsidRPr="005B4942" w:rsidRDefault="005B4942" w:rsidP="005B4942">
      <w:pPr>
        <w:pStyle w:val="ListParagraph"/>
        <w:numPr>
          <w:ilvl w:val="1"/>
          <w:numId w:val="1"/>
        </w:numPr>
        <w:spacing w:line="360" w:lineRule="auto"/>
        <w:jc w:val="both"/>
        <w:rPr>
          <w:b/>
          <w:bCs/>
          <w:sz w:val="24"/>
          <w:szCs w:val="24"/>
        </w:rPr>
      </w:pPr>
      <w:r w:rsidRPr="005B4942">
        <w:rPr>
          <w:b/>
          <w:bCs/>
          <w:sz w:val="24"/>
          <w:szCs w:val="24"/>
        </w:rPr>
        <w:t xml:space="preserve">Objective of the </w:t>
      </w:r>
      <w:r w:rsidR="001243E6">
        <w:rPr>
          <w:b/>
          <w:bCs/>
          <w:sz w:val="24"/>
          <w:szCs w:val="24"/>
        </w:rPr>
        <w:t>S</w:t>
      </w:r>
      <w:r w:rsidRPr="005B4942">
        <w:rPr>
          <w:b/>
          <w:bCs/>
          <w:sz w:val="24"/>
          <w:szCs w:val="24"/>
        </w:rPr>
        <w:t>tudy:</w:t>
      </w:r>
    </w:p>
    <w:p w14:paraId="30110DE5" w14:textId="0AFD2F80" w:rsidR="0051645F" w:rsidRPr="00CA0CEA" w:rsidRDefault="005B4942" w:rsidP="00CA0CEA">
      <w:pPr>
        <w:spacing w:line="360" w:lineRule="auto"/>
        <w:jc w:val="both"/>
        <w:rPr>
          <w:sz w:val="24"/>
          <w:szCs w:val="24"/>
        </w:rPr>
      </w:pPr>
      <w:r w:rsidRPr="00CA0CEA">
        <w:rPr>
          <w:sz w:val="24"/>
          <w:szCs w:val="24"/>
        </w:rPr>
        <w:t>The study aims to achieve the following specific objectives:</w:t>
      </w:r>
    </w:p>
    <w:p w14:paraId="1E593E15" w14:textId="77777777" w:rsidR="00CA0CEA" w:rsidRPr="00CA0CEA" w:rsidRDefault="00CA0CEA" w:rsidP="00CA0CEA">
      <w:pPr>
        <w:widowControl/>
        <w:numPr>
          <w:ilvl w:val="0"/>
          <w:numId w:val="26"/>
        </w:numPr>
        <w:autoSpaceDE/>
        <w:autoSpaceDN/>
        <w:spacing w:after="160" w:line="360" w:lineRule="auto"/>
        <w:jc w:val="both"/>
        <w:rPr>
          <w:sz w:val="24"/>
          <w:szCs w:val="24"/>
        </w:rPr>
      </w:pPr>
      <w:r w:rsidRPr="00CA0CEA">
        <w:rPr>
          <w:sz w:val="24"/>
          <w:szCs w:val="24"/>
        </w:rPr>
        <w:t>To analyze stock market trends related to renewable energy companies in India.</w:t>
      </w:r>
    </w:p>
    <w:p w14:paraId="45C03F5F" w14:textId="77777777" w:rsidR="00CA0CEA" w:rsidRPr="00CA0CEA" w:rsidRDefault="00CA0CEA" w:rsidP="00CA0CEA">
      <w:pPr>
        <w:widowControl/>
        <w:numPr>
          <w:ilvl w:val="0"/>
          <w:numId w:val="26"/>
        </w:numPr>
        <w:autoSpaceDE/>
        <w:autoSpaceDN/>
        <w:spacing w:after="160" w:line="360" w:lineRule="auto"/>
        <w:jc w:val="both"/>
        <w:rPr>
          <w:sz w:val="24"/>
          <w:szCs w:val="24"/>
        </w:rPr>
      </w:pPr>
      <w:r w:rsidRPr="00CA0CEA">
        <w:rPr>
          <w:sz w:val="24"/>
          <w:szCs w:val="24"/>
        </w:rPr>
        <w:t>To assess the risk-return profiles of renewable energy stocks for retail investors.</w:t>
      </w:r>
    </w:p>
    <w:p w14:paraId="7B4C0C14" w14:textId="77777777" w:rsidR="00CA0CEA" w:rsidRPr="00CA0CEA" w:rsidRDefault="00CA0CEA" w:rsidP="00CA0CEA">
      <w:pPr>
        <w:widowControl/>
        <w:numPr>
          <w:ilvl w:val="0"/>
          <w:numId w:val="26"/>
        </w:numPr>
        <w:autoSpaceDE/>
        <w:autoSpaceDN/>
        <w:spacing w:after="160" w:line="360" w:lineRule="auto"/>
        <w:jc w:val="both"/>
        <w:rPr>
          <w:sz w:val="24"/>
          <w:szCs w:val="24"/>
        </w:rPr>
      </w:pPr>
      <w:r w:rsidRPr="00CA0CEA">
        <w:rPr>
          <w:sz w:val="24"/>
          <w:szCs w:val="24"/>
        </w:rPr>
        <w:t>To identify challenges faced by retail investors in accessing investment opportunities within this sector.</w:t>
      </w:r>
    </w:p>
    <w:p w14:paraId="2F786309" w14:textId="77777777" w:rsidR="00CA0CEA" w:rsidRPr="00CA0CEA" w:rsidRDefault="00CA0CEA" w:rsidP="00CA0CEA">
      <w:pPr>
        <w:widowControl/>
        <w:numPr>
          <w:ilvl w:val="0"/>
          <w:numId w:val="26"/>
        </w:numPr>
        <w:autoSpaceDE/>
        <w:autoSpaceDN/>
        <w:spacing w:after="160" w:line="360" w:lineRule="auto"/>
        <w:jc w:val="both"/>
        <w:rPr>
          <w:sz w:val="24"/>
          <w:szCs w:val="24"/>
        </w:rPr>
      </w:pPr>
      <w:r w:rsidRPr="00CA0CEA">
        <w:rPr>
          <w:sz w:val="24"/>
          <w:szCs w:val="24"/>
        </w:rPr>
        <w:t>To provide recommendations for enhancing retail participation in India's clean energy transition.</w:t>
      </w:r>
    </w:p>
    <w:p w14:paraId="387C2F34" w14:textId="77777777" w:rsidR="00CA0CEA" w:rsidRPr="00CA0CEA" w:rsidRDefault="00CA0CEA" w:rsidP="00CA0CEA">
      <w:pPr>
        <w:pStyle w:val="BodyText"/>
        <w:numPr>
          <w:ilvl w:val="0"/>
          <w:numId w:val="26"/>
        </w:numPr>
        <w:spacing w:before="199" w:line="360" w:lineRule="auto"/>
        <w:ind w:right="136"/>
        <w:jc w:val="both"/>
        <w:rPr>
          <w:b w:val="0"/>
          <w:bCs w:val="0"/>
          <w:lang w:val="en-IN"/>
        </w:rPr>
      </w:pPr>
      <w:r w:rsidRPr="00CA0CEA">
        <w:rPr>
          <w:b w:val="0"/>
          <w:bCs w:val="0"/>
        </w:rPr>
        <w:t>To determine factors influencing investment decisions among retail investors.</w:t>
      </w:r>
    </w:p>
    <w:p w14:paraId="0F2BBD0E" w14:textId="77777777" w:rsidR="00CA0CEA" w:rsidRPr="00CA0CEA" w:rsidRDefault="00CA0CEA" w:rsidP="00CA0CEA">
      <w:pPr>
        <w:pStyle w:val="BodyText"/>
        <w:numPr>
          <w:ilvl w:val="0"/>
          <w:numId w:val="26"/>
        </w:numPr>
        <w:spacing w:before="199" w:line="360" w:lineRule="auto"/>
        <w:ind w:right="136"/>
        <w:jc w:val="both"/>
        <w:rPr>
          <w:b w:val="0"/>
          <w:bCs w:val="0"/>
          <w:lang w:val="en-IN"/>
        </w:rPr>
      </w:pPr>
      <w:r w:rsidRPr="00CA0CEA">
        <w:rPr>
          <w:b w:val="0"/>
          <w:bCs w:val="0"/>
        </w:rPr>
        <w:t>To compare returns across different financial instruments within the renewable energy sector. </w:t>
      </w:r>
    </w:p>
    <w:p w14:paraId="7BFE765D" w14:textId="164EA1F8" w:rsidR="00AD0B8C" w:rsidRPr="008D28F2" w:rsidRDefault="00AD0B8C" w:rsidP="008D28F2">
      <w:pPr>
        <w:pStyle w:val="ListParagraph"/>
        <w:spacing w:line="360" w:lineRule="auto"/>
        <w:jc w:val="both"/>
        <w:rPr>
          <w:sz w:val="24"/>
          <w:szCs w:val="24"/>
          <w:lang w:val="en-IN"/>
        </w:rPr>
      </w:pPr>
    </w:p>
    <w:p w14:paraId="679678F0" w14:textId="7979EBFC" w:rsidR="00AD0B8C" w:rsidRDefault="00AD0B8C" w:rsidP="00AD0B8C">
      <w:pPr>
        <w:pStyle w:val="ListParagraph"/>
        <w:numPr>
          <w:ilvl w:val="1"/>
          <w:numId w:val="1"/>
        </w:numPr>
        <w:spacing w:after="240" w:line="360" w:lineRule="auto"/>
        <w:rPr>
          <w:b/>
          <w:bCs/>
          <w:sz w:val="24"/>
          <w:szCs w:val="24"/>
          <w:lang w:val="en-IN"/>
        </w:rPr>
      </w:pPr>
      <w:r>
        <w:rPr>
          <w:b/>
          <w:bCs/>
          <w:sz w:val="24"/>
          <w:szCs w:val="24"/>
          <w:lang w:val="en-IN"/>
        </w:rPr>
        <w:t>Research Methodology.</w:t>
      </w:r>
    </w:p>
    <w:p w14:paraId="4A2091F4" w14:textId="76C57140" w:rsidR="00451A1C" w:rsidRPr="0051645F" w:rsidRDefault="00FA71FE" w:rsidP="000C1D0A">
      <w:pPr>
        <w:pStyle w:val="ListParagraph"/>
        <w:numPr>
          <w:ilvl w:val="0"/>
          <w:numId w:val="11"/>
        </w:numPr>
        <w:spacing w:line="276" w:lineRule="auto"/>
        <w:jc w:val="both"/>
        <w:rPr>
          <w:b/>
          <w:bCs/>
          <w:sz w:val="24"/>
          <w:szCs w:val="24"/>
          <w:lang w:val="en-IN"/>
        </w:rPr>
      </w:pPr>
      <w:r w:rsidRPr="0051645F">
        <w:rPr>
          <w:b/>
          <w:bCs/>
          <w:sz w:val="24"/>
          <w:szCs w:val="24"/>
          <w:lang w:val="en-IN"/>
        </w:rPr>
        <w:t>Research Design</w:t>
      </w:r>
      <w:r w:rsidR="000B4416">
        <w:rPr>
          <w:b/>
          <w:bCs/>
          <w:sz w:val="24"/>
          <w:szCs w:val="24"/>
          <w:lang w:val="en-IN"/>
        </w:rPr>
        <w:t xml:space="preserve">: </w:t>
      </w:r>
    </w:p>
    <w:p w14:paraId="5CCF3448" w14:textId="77777777" w:rsidR="008A7028" w:rsidRDefault="000B4416" w:rsidP="008A7028">
      <w:pPr>
        <w:pStyle w:val="ListParagraph"/>
        <w:spacing w:line="360" w:lineRule="auto"/>
        <w:jc w:val="both"/>
        <w:rPr>
          <w:sz w:val="24"/>
          <w:szCs w:val="24"/>
          <w:lang w:val="en-IN"/>
        </w:rPr>
      </w:pPr>
      <w:r w:rsidRPr="000B4416">
        <w:rPr>
          <w:sz w:val="24"/>
          <w:szCs w:val="24"/>
          <w:lang w:val="en-IN"/>
        </w:rPr>
        <w:t xml:space="preserve">This study employs a mixed-methods research approach, integrating both qualitative and quantitative methodologies to provide a comprehensive analysis of the investment landscape for retail investors in India's renewable energy sector. </w:t>
      </w:r>
    </w:p>
    <w:p w14:paraId="057921A6" w14:textId="6E2B8C9B" w:rsidR="000B4416" w:rsidRPr="008A7028" w:rsidRDefault="00451A1C" w:rsidP="008A7028">
      <w:pPr>
        <w:pStyle w:val="ListParagraph"/>
        <w:numPr>
          <w:ilvl w:val="0"/>
          <w:numId w:val="11"/>
        </w:numPr>
        <w:spacing w:line="360" w:lineRule="auto"/>
        <w:jc w:val="both"/>
        <w:rPr>
          <w:sz w:val="24"/>
          <w:szCs w:val="24"/>
          <w:lang w:val="en-IN"/>
        </w:rPr>
      </w:pPr>
      <w:r w:rsidRPr="008A7028">
        <w:rPr>
          <w:b/>
          <w:bCs/>
          <w:sz w:val="24"/>
          <w:szCs w:val="24"/>
          <w:lang w:val="en-IN"/>
        </w:rPr>
        <w:lastRenderedPageBreak/>
        <w:t>Research</w:t>
      </w:r>
      <w:r w:rsidR="000B4416" w:rsidRPr="008A7028">
        <w:rPr>
          <w:b/>
          <w:bCs/>
          <w:sz w:val="24"/>
          <w:szCs w:val="24"/>
          <w:lang w:val="en-IN"/>
        </w:rPr>
        <w:t xml:space="preserve"> </w:t>
      </w:r>
      <w:r w:rsidRPr="008A7028">
        <w:rPr>
          <w:b/>
          <w:bCs/>
          <w:sz w:val="24"/>
          <w:szCs w:val="24"/>
          <w:lang w:val="en-IN"/>
        </w:rPr>
        <w:t>Approach</w:t>
      </w:r>
      <w:r w:rsidR="000B4416" w:rsidRPr="008A7028">
        <w:rPr>
          <w:b/>
          <w:bCs/>
          <w:sz w:val="24"/>
          <w:szCs w:val="24"/>
          <w:lang w:val="en-IN"/>
        </w:rPr>
        <w:t>:</w:t>
      </w:r>
    </w:p>
    <w:p w14:paraId="3B4F5A74" w14:textId="77777777" w:rsidR="000B4416" w:rsidRPr="000B4416" w:rsidRDefault="000B4416" w:rsidP="000B4416">
      <w:pPr>
        <w:pStyle w:val="ListParagraph"/>
        <w:spacing w:line="360" w:lineRule="auto"/>
        <w:jc w:val="both"/>
        <w:rPr>
          <w:sz w:val="24"/>
          <w:szCs w:val="24"/>
          <w:lang w:val="en-IN"/>
        </w:rPr>
      </w:pPr>
      <w:r w:rsidRPr="000B4416">
        <w:rPr>
          <w:sz w:val="24"/>
          <w:szCs w:val="24"/>
          <w:lang w:val="en-IN"/>
        </w:rPr>
        <w:t>The research is descriptive and analytical in nature, focusing on evaluating stock market trends, financial instruments, and investor behaviour.</w:t>
      </w:r>
    </w:p>
    <w:p w14:paraId="5B125289" w14:textId="6F74C8B5" w:rsidR="000B4416" w:rsidRPr="000B4416" w:rsidRDefault="00451A1C" w:rsidP="000B4416">
      <w:pPr>
        <w:pStyle w:val="ListParagraph"/>
        <w:numPr>
          <w:ilvl w:val="0"/>
          <w:numId w:val="11"/>
        </w:numPr>
        <w:spacing w:line="276" w:lineRule="auto"/>
        <w:jc w:val="both"/>
        <w:rPr>
          <w:b/>
          <w:bCs/>
          <w:sz w:val="24"/>
          <w:szCs w:val="24"/>
          <w:lang w:val="en-IN"/>
        </w:rPr>
      </w:pPr>
      <w:r w:rsidRPr="000B4416">
        <w:rPr>
          <w:b/>
          <w:bCs/>
          <w:sz w:val="24"/>
          <w:szCs w:val="24"/>
          <w:lang w:val="en-IN"/>
        </w:rPr>
        <w:t>Data Collection</w:t>
      </w:r>
      <w:r w:rsidR="000B4416">
        <w:rPr>
          <w:b/>
          <w:bCs/>
          <w:sz w:val="24"/>
          <w:szCs w:val="24"/>
          <w:lang w:val="en-IN"/>
        </w:rPr>
        <w:t>:</w:t>
      </w:r>
    </w:p>
    <w:p w14:paraId="4C2B0AB3" w14:textId="79AF746C" w:rsidR="00451A1C" w:rsidRPr="000B4416" w:rsidRDefault="00451A1C" w:rsidP="000B4416">
      <w:pPr>
        <w:pStyle w:val="ListParagraph"/>
        <w:numPr>
          <w:ilvl w:val="0"/>
          <w:numId w:val="27"/>
        </w:numPr>
        <w:spacing w:line="276" w:lineRule="auto"/>
        <w:jc w:val="both"/>
        <w:rPr>
          <w:b/>
          <w:bCs/>
          <w:sz w:val="24"/>
          <w:szCs w:val="24"/>
          <w:lang w:val="en-IN"/>
        </w:rPr>
      </w:pPr>
      <w:r w:rsidRPr="000B4416">
        <w:rPr>
          <w:sz w:val="24"/>
          <w:szCs w:val="24"/>
          <w:lang w:val="en-IN"/>
        </w:rPr>
        <w:t>Primary: Surveys (structured questionnaires), expert interviews.</w:t>
      </w:r>
    </w:p>
    <w:p w14:paraId="2A464055" w14:textId="370784A4" w:rsidR="00451A1C" w:rsidRPr="000B4416" w:rsidRDefault="00451A1C" w:rsidP="000B4416">
      <w:pPr>
        <w:pStyle w:val="ListParagraph"/>
        <w:numPr>
          <w:ilvl w:val="0"/>
          <w:numId w:val="27"/>
        </w:numPr>
        <w:spacing w:line="276" w:lineRule="auto"/>
        <w:jc w:val="both"/>
        <w:rPr>
          <w:sz w:val="24"/>
          <w:szCs w:val="24"/>
          <w:lang w:val="en-IN"/>
        </w:rPr>
      </w:pPr>
      <w:r w:rsidRPr="000B4416">
        <w:rPr>
          <w:sz w:val="24"/>
          <w:szCs w:val="24"/>
          <w:lang w:val="en-IN"/>
        </w:rPr>
        <w:t>Secondary</w:t>
      </w:r>
      <w:r w:rsidRPr="000B4416">
        <w:rPr>
          <w:b/>
          <w:bCs/>
          <w:sz w:val="24"/>
          <w:szCs w:val="24"/>
          <w:lang w:val="en-IN"/>
        </w:rPr>
        <w:t>:</w:t>
      </w:r>
      <w:r w:rsidRPr="000B4416">
        <w:rPr>
          <w:sz w:val="24"/>
          <w:szCs w:val="24"/>
          <w:lang w:val="en-IN"/>
        </w:rPr>
        <w:t> </w:t>
      </w:r>
      <w:r w:rsidR="000B4416" w:rsidRPr="000B4416">
        <w:rPr>
          <w:sz w:val="24"/>
          <w:szCs w:val="24"/>
          <w:lang w:val="en-IN"/>
        </w:rPr>
        <w:t>Industry r</w:t>
      </w:r>
      <w:r w:rsidRPr="000B4416">
        <w:rPr>
          <w:sz w:val="24"/>
          <w:szCs w:val="24"/>
          <w:lang w:val="en-IN"/>
        </w:rPr>
        <w:t xml:space="preserve">eports, </w:t>
      </w:r>
      <w:r w:rsidR="000B4416" w:rsidRPr="000B4416">
        <w:rPr>
          <w:sz w:val="24"/>
          <w:szCs w:val="24"/>
          <w:lang w:val="en-IN"/>
        </w:rPr>
        <w:t xml:space="preserve">stock market database, government publications. </w:t>
      </w:r>
    </w:p>
    <w:p w14:paraId="3F95C35E" w14:textId="6E44C69B" w:rsidR="000B4416" w:rsidRPr="000B4416" w:rsidRDefault="00451A1C" w:rsidP="000B4416">
      <w:pPr>
        <w:pStyle w:val="ListParagraph"/>
        <w:numPr>
          <w:ilvl w:val="0"/>
          <w:numId w:val="11"/>
        </w:numPr>
        <w:spacing w:line="276" w:lineRule="auto"/>
        <w:jc w:val="both"/>
        <w:rPr>
          <w:sz w:val="24"/>
          <w:szCs w:val="24"/>
          <w:lang w:val="en-IN"/>
        </w:rPr>
      </w:pPr>
      <w:r w:rsidRPr="000B4416">
        <w:rPr>
          <w:b/>
          <w:bCs/>
          <w:sz w:val="24"/>
          <w:szCs w:val="24"/>
          <w:lang w:val="en-IN"/>
        </w:rPr>
        <w:t>Sampling</w:t>
      </w:r>
      <w:r w:rsidR="000B4416">
        <w:rPr>
          <w:b/>
          <w:bCs/>
          <w:sz w:val="24"/>
          <w:szCs w:val="24"/>
          <w:lang w:val="en-IN"/>
        </w:rPr>
        <w:t>:</w:t>
      </w:r>
    </w:p>
    <w:p w14:paraId="4E1457C4" w14:textId="4EE8446C" w:rsidR="000B4416" w:rsidRDefault="000B4416" w:rsidP="000B4416">
      <w:pPr>
        <w:pStyle w:val="ListParagraph"/>
        <w:spacing w:line="276" w:lineRule="auto"/>
        <w:jc w:val="both"/>
        <w:rPr>
          <w:sz w:val="24"/>
          <w:szCs w:val="24"/>
          <w:lang w:val="en-IN" w:eastAsia="en-IN"/>
        </w:rPr>
      </w:pPr>
      <w:r w:rsidRPr="000B4416">
        <w:rPr>
          <w:sz w:val="24"/>
          <w:szCs w:val="24"/>
          <w:lang w:val="en-IN" w:eastAsia="en-IN"/>
        </w:rPr>
        <w:t xml:space="preserve">The proposed sample size is between 100-110 respondents, ensuring statistical significance in </w:t>
      </w:r>
      <w:proofErr w:type="spellStart"/>
      <w:r w:rsidRPr="000B4416">
        <w:rPr>
          <w:sz w:val="24"/>
          <w:szCs w:val="24"/>
          <w:lang w:val="en-IN" w:eastAsia="en-IN"/>
        </w:rPr>
        <w:t>analyzing</w:t>
      </w:r>
      <w:proofErr w:type="spellEnd"/>
      <w:r w:rsidRPr="000B4416">
        <w:rPr>
          <w:sz w:val="24"/>
          <w:szCs w:val="24"/>
          <w:lang w:val="en-IN" w:eastAsia="en-IN"/>
        </w:rPr>
        <w:t xml:space="preserve"> investment patterns and </w:t>
      </w:r>
      <w:proofErr w:type="spellStart"/>
      <w:r w:rsidRPr="000B4416">
        <w:rPr>
          <w:sz w:val="24"/>
          <w:szCs w:val="24"/>
          <w:lang w:val="en-IN" w:eastAsia="en-IN"/>
        </w:rPr>
        <w:t>behavior</w:t>
      </w:r>
      <w:proofErr w:type="spellEnd"/>
      <w:r w:rsidRPr="000B4416">
        <w:rPr>
          <w:sz w:val="24"/>
          <w:szCs w:val="24"/>
          <w:lang w:val="en-IN" w:eastAsia="en-IN"/>
        </w:rPr>
        <w:t xml:space="preserve">. </w:t>
      </w:r>
    </w:p>
    <w:p w14:paraId="18C02AB4" w14:textId="77777777" w:rsidR="001A210B" w:rsidRPr="000B4416" w:rsidRDefault="001A210B" w:rsidP="000B4416">
      <w:pPr>
        <w:pStyle w:val="ListParagraph"/>
        <w:spacing w:line="276" w:lineRule="auto"/>
        <w:jc w:val="both"/>
        <w:rPr>
          <w:sz w:val="24"/>
          <w:szCs w:val="24"/>
          <w:lang w:val="en-IN"/>
        </w:rPr>
      </w:pPr>
    </w:p>
    <w:p w14:paraId="0F07EFA3" w14:textId="694FDB26" w:rsidR="00821E0A" w:rsidRPr="0051645F" w:rsidRDefault="00391674" w:rsidP="000B4416">
      <w:pPr>
        <w:spacing w:line="276" w:lineRule="auto"/>
        <w:jc w:val="both"/>
        <w:rPr>
          <w:b/>
          <w:bCs/>
          <w:sz w:val="24"/>
          <w:szCs w:val="24"/>
          <w:lang w:val="en-IN"/>
        </w:rPr>
      </w:pPr>
      <w:r>
        <w:rPr>
          <w:sz w:val="24"/>
          <w:szCs w:val="24"/>
          <w:lang w:val="en-IN"/>
        </w:rPr>
        <w:t xml:space="preserve">    </w:t>
      </w:r>
      <w:r w:rsidR="00821E0A" w:rsidRPr="0051645F">
        <w:rPr>
          <w:b/>
          <w:bCs/>
          <w:sz w:val="24"/>
          <w:szCs w:val="24"/>
          <w:lang w:val="en-IN"/>
        </w:rPr>
        <w:t>5. Hypotheses</w:t>
      </w:r>
      <w:r w:rsidR="000B4416">
        <w:rPr>
          <w:b/>
          <w:bCs/>
          <w:sz w:val="24"/>
          <w:szCs w:val="24"/>
          <w:lang w:val="en-IN"/>
        </w:rPr>
        <w:t xml:space="preserve">: </w:t>
      </w:r>
    </w:p>
    <w:p w14:paraId="18DC36AB" w14:textId="77777777" w:rsidR="000B4416" w:rsidRPr="000B4416" w:rsidRDefault="000B4416" w:rsidP="000B4416">
      <w:pPr>
        <w:pStyle w:val="ListParagraph"/>
        <w:widowControl/>
        <w:numPr>
          <w:ilvl w:val="0"/>
          <w:numId w:val="29"/>
        </w:numPr>
        <w:tabs>
          <w:tab w:val="num" w:pos="1440"/>
        </w:tabs>
        <w:autoSpaceDE/>
        <w:autoSpaceDN/>
        <w:spacing w:before="100" w:beforeAutospacing="1" w:after="100" w:afterAutospacing="1" w:line="360" w:lineRule="auto"/>
        <w:jc w:val="both"/>
        <w:rPr>
          <w:sz w:val="24"/>
          <w:szCs w:val="24"/>
          <w:lang w:val="en-IN" w:eastAsia="en-IN"/>
        </w:rPr>
      </w:pPr>
      <w:r w:rsidRPr="000B4416">
        <w:rPr>
          <w:b/>
          <w:bCs/>
          <w:sz w:val="24"/>
          <w:szCs w:val="24"/>
          <w:lang w:val="en-IN" w:eastAsia="en-IN"/>
        </w:rPr>
        <w:t>Null Hypothesis (H₀):</w:t>
      </w:r>
      <w:r w:rsidRPr="000B4416">
        <w:rPr>
          <w:sz w:val="24"/>
          <w:szCs w:val="24"/>
          <w:lang w:val="en-IN" w:eastAsia="en-IN"/>
        </w:rPr>
        <w:t xml:space="preserve"> Retail investments do not significantly contribute to the growth of India's renewable energy sector or influence market trends.</w:t>
      </w:r>
    </w:p>
    <w:p w14:paraId="07F94A63" w14:textId="028AA61C" w:rsidR="009036D2" w:rsidRDefault="000B4416" w:rsidP="000B4416">
      <w:pPr>
        <w:pStyle w:val="ListParagraph"/>
        <w:numPr>
          <w:ilvl w:val="0"/>
          <w:numId w:val="29"/>
        </w:numPr>
        <w:spacing w:line="360" w:lineRule="auto"/>
        <w:jc w:val="both"/>
        <w:rPr>
          <w:b/>
          <w:bCs/>
          <w:sz w:val="28"/>
          <w:szCs w:val="28"/>
        </w:rPr>
      </w:pPr>
      <w:r w:rsidRPr="000B4416">
        <w:rPr>
          <w:b/>
          <w:bCs/>
          <w:sz w:val="24"/>
          <w:szCs w:val="24"/>
          <w:lang w:val="en-IN" w:eastAsia="en-IN"/>
        </w:rPr>
        <w:t>Alternative Hypothesis (H₁):</w:t>
      </w:r>
      <w:r w:rsidRPr="000B4416">
        <w:rPr>
          <w:sz w:val="24"/>
          <w:szCs w:val="24"/>
          <w:lang w:val="en-IN" w:eastAsia="en-IN"/>
        </w:rPr>
        <w:t xml:space="preserve"> Retail investments significantly contribute to the growth of India's renewable energy sector by influencing market trends and driving demand for financial instruments tied to clean energy projects.</w:t>
      </w:r>
      <w:r w:rsidRPr="000B4416">
        <w:rPr>
          <w:b/>
          <w:bCs/>
          <w:sz w:val="28"/>
          <w:szCs w:val="28"/>
        </w:rPr>
        <w:t xml:space="preserve"> </w:t>
      </w:r>
    </w:p>
    <w:p w14:paraId="5F9F327C" w14:textId="77777777" w:rsidR="000B4416" w:rsidRPr="000B4416" w:rsidRDefault="000B4416" w:rsidP="000B4416">
      <w:pPr>
        <w:pStyle w:val="ListParagraph"/>
        <w:spacing w:line="360" w:lineRule="auto"/>
        <w:jc w:val="both"/>
        <w:rPr>
          <w:b/>
          <w:bCs/>
          <w:sz w:val="28"/>
          <w:szCs w:val="28"/>
        </w:rPr>
      </w:pPr>
    </w:p>
    <w:p w14:paraId="3A047683" w14:textId="45104295" w:rsidR="00B75EDB" w:rsidRPr="00FF20AA" w:rsidRDefault="00B75EDB" w:rsidP="004A39A9">
      <w:pPr>
        <w:rPr>
          <w:b/>
          <w:bCs/>
          <w:sz w:val="28"/>
          <w:szCs w:val="28"/>
        </w:rPr>
      </w:pPr>
      <w:r>
        <w:rPr>
          <w:b/>
          <w:bCs/>
          <w:sz w:val="28"/>
          <w:szCs w:val="28"/>
        </w:rPr>
        <w:t xml:space="preserve">2- </w:t>
      </w:r>
      <w:r w:rsidR="003F13E7">
        <w:rPr>
          <w:b/>
          <w:bCs/>
          <w:sz w:val="28"/>
          <w:szCs w:val="28"/>
        </w:rPr>
        <w:t>DATA ANALYSIS</w:t>
      </w:r>
      <w:r w:rsidR="007B004B">
        <w:rPr>
          <w:b/>
          <w:bCs/>
          <w:sz w:val="28"/>
          <w:szCs w:val="28"/>
        </w:rPr>
        <w:t xml:space="preserve"> AND </w:t>
      </w:r>
      <w:r w:rsidR="00D9391B">
        <w:rPr>
          <w:b/>
          <w:bCs/>
          <w:sz w:val="28"/>
          <w:szCs w:val="28"/>
        </w:rPr>
        <w:t>FINDINGS</w:t>
      </w:r>
    </w:p>
    <w:p w14:paraId="216847E4" w14:textId="1EACDEE7" w:rsidR="00E11C26" w:rsidRPr="007D7071" w:rsidRDefault="00E11C26" w:rsidP="007D7071">
      <w:pPr>
        <w:spacing w:line="360" w:lineRule="auto"/>
        <w:jc w:val="both"/>
        <w:rPr>
          <w:sz w:val="24"/>
          <w:szCs w:val="24"/>
          <w:lang w:val="en-IN"/>
        </w:rPr>
      </w:pPr>
    </w:p>
    <w:p w14:paraId="1FE64280" w14:textId="32946093" w:rsidR="000B4416" w:rsidRPr="000E1D4C" w:rsidRDefault="000E1D4C" w:rsidP="000B4416">
      <w:pPr>
        <w:pStyle w:val="BodyText"/>
        <w:spacing w:before="124" w:line="360" w:lineRule="auto"/>
        <w:jc w:val="both"/>
      </w:pPr>
      <w:r>
        <w:t xml:space="preserve">2.1 </w:t>
      </w:r>
      <w:r w:rsidR="000B4416" w:rsidRPr="000E1D4C">
        <w:t xml:space="preserve">Regression Analysis </w:t>
      </w:r>
    </w:p>
    <w:p w14:paraId="5F91F12E" w14:textId="77777777" w:rsidR="000B4416" w:rsidRPr="000B4416" w:rsidRDefault="000B4416" w:rsidP="000B4416">
      <w:pPr>
        <w:pStyle w:val="BodyText"/>
        <w:spacing w:before="124" w:line="360" w:lineRule="auto"/>
        <w:jc w:val="both"/>
        <w:rPr>
          <w:b w:val="0"/>
          <w:bCs w:val="0"/>
          <w:lang w:val="en-IN"/>
        </w:rPr>
      </w:pPr>
      <w:r w:rsidRPr="000B4416">
        <w:rPr>
          <w:b w:val="0"/>
          <w:bCs w:val="0"/>
          <w:lang w:val="en-IN"/>
        </w:rPr>
        <w:t>The dataset is a survey of 107 respondents on retail investments in India's renewable energy sector. It consists entirely of categorical data from responses to multiple-choice questions. Following are the steps for regression analysis for hypothesis testing:</w:t>
      </w:r>
    </w:p>
    <w:p w14:paraId="7CDE52E4" w14:textId="77777777" w:rsidR="000B4416" w:rsidRPr="000B4416" w:rsidRDefault="000B4416" w:rsidP="000B4416">
      <w:pPr>
        <w:pStyle w:val="BodyText"/>
        <w:spacing w:before="124" w:line="360" w:lineRule="auto"/>
        <w:jc w:val="both"/>
        <w:rPr>
          <w:b w:val="0"/>
          <w:bCs w:val="0"/>
          <w:lang w:val="en-IN"/>
        </w:rPr>
      </w:pPr>
      <w:r w:rsidRPr="000B4416">
        <w:rPr>
          <w:b w:val="0"/>
          <w:bCs w:val="0"/>
          <w:lang w:val="en-IN"/>
        </w:rPr>
        <w:t>Step 1: Define a proxy for measurable variables</w:t>
      </w:r>
    </w:p>
    <w:p w14:paraId="781EE538" w14:textId="77777777" w:rsidR="000B4416" w:rsidRPr="000B4416" w:rsidRDefault="000B4416" w:rsidP="000B4416">
      <w:pPr>
        <w:pStyle w:val="BodyText"/>
        <w:spacing w:before="124" w:line="360" w:lineRule="auto"/>
        <w:jc w:val="both"/>
        <w:rPr>
          <w:b w:val="0"/>
          <w:bCs w:val="0"/>
          <w:lang w:val="en-IN"/>
        </w:rPr>
      </w:pPr>
      <w:r w:rsidRPr="000B4416">
        <w:rPr>
          <w:b w:val="0"/>
          <w:bCs w:val="0"/>
          <w:lang w:val="en-IN"/>
        </w:rPr>
        <w:t>Since we want to evaluate if retail investments contribute to growth and influence trends, we'll create derived variables such as:</w:t>
      </w:r>
    </w:p>
    <w:p w14:paraId="544C80DD" w14:textId="77777777" w:rsidR="000B4416" w:rsidRPr="000B4416" w:rsidRDefault="000B4416" w:rsidP="000B4416">
      <w:pPr>
        <w:pStyle w:val="BodyText"/>
        <w:numPr>
          <w:ilvl w:val="0"/>
          <w:numId w:val="30"/>
        </w:numPr>
        <w:spacing w:before="124" w:line="360" w:lineRule="auto"/>
        <w:jc w:val="both"/>
        <w:rPr>
          <w:b w:val="0"/>
          <w:bCs w:val="0"/>
          <w:lang w:val="en-IN"/>
        </w:rPr>
      </w:pPr>
      <w:r w:rsidRPr="001A210B">
        <w:rPr>
          <w:lang w:val="en-IN"/>
        </w:rPr>
        <w:t>Investment activity:</w:t>
      </w:r>
      <w:r w:rsidRPr="000B4416">
        <w:rPr>
          <w:b w:val="0"/>
          <w:bCs w:val="0"/>
          <w:lang w:val="en-IN"/>
        </w:rPr>
        <w:t xml:space="preserve"> Based on answers to whether they have considered investing (Q4) and what instruments they used (Q5).</w:t>
      </w:r>
    </w:p>
    <w:p w14:paraId="15F8914E" w14:textId="77777777" w:rsidR="000B4416" w:rsidRPr="000B4416" w:rsidRDefault="000B4416" w:rsidP="000B4416">
      <w:pPr>
        <w:pStyle w:val="BodyText"/>
        <w:numPr>
          <w:ilvl w:val="0"/>
          <w:numId w:val="30"/>
        </w:numPr>
        <w:spacing w:before="124" w:line="360" w:lineRule="auto"/>
        <w:jc w:val="both"/>
        <w:rPr>
          <w:b w:val="0"/>
          <w:bCs w:val="0"/>
          <w:lang w:val="en-IN"/>
        </w:rPr>
      </w:pPr>
      <w:r w:rsidRPr="001A210B">
        <w:rPr>
          <w:lang w:val="en-IN"/>
        </w:rPr>
        <w:t>Perceived impact/performance:</w:t>
      </w:r>
      <w:r w:rsidRPr="000B4416">
        <w:rPr>
          <w:b w:val="0"/>
          <w:bCs w:val="0"/>
          <w:lang w:val="en-IN"/>
        </w:rPr>
        <w:t xml:space="preserve"> Based on observations on price trends (Q8), fund performance (Q11), belief in long-term returns (Q15), etc.</w:t>
      </w:r>
    </w:p>
    <w:p w14:paraId="257112C7" w14:textId="2AA75852" w:rsidR="000B4416" w:rsidRDefault="000B4416" w:rsidP="001A210B">
      <w:pPr>
        <w:pStyle w:val="BodyText"/>
        <w:numPr>
          <w:ilvl w:val="0"/>
          <w:numId w:val="30"/>
        </w:numPr>
        <w:spacing w:before="124" w:line="360" w:lineRule="auto"/>
        <w:jc w:val="both"/>
        <w:rPr>
          <w:b w:val="0"/>
          <w:bCs w:val="0"/>
          <w:lang w:val="en-IN"/>
        </w:rPr>
      </w:pPr>
      <w:r w:rsidRPr="001A210B">
        <w:rPr>
          <w:lang w:val="en-IN"/>
        </w:rPr>
        <w:t>Government influence:</w:t>
      </w:r>
      <w:r w:rsidRPr="000B4416">
        <w:rPr>
          <w:b w:val="0"/>
          <w:bCs w:val="0"/>
          <w:lang w:val="en-IN"/>
        </w:rPr>
        <w:t xml:space="preserve"> From Q17.</w:t>
      </w:r>
    </w:p>
    <w:p w14:paraId="1669C109" w14:textId="77777777" w:rsidR="008A7028" w:rsidRPr="001A210B" w:rsidRDefault="008A7028" w:rsidP="008A7028">
      <w:pPr>
        <w:pStyle w:val="BodyText"/>
        <w:spacing w:before="124" w:line="360" w:lineRule="auto"/>
        <w:ind w:left="720"/>
        <w:jc w:val="both"/>
        <w:rPr>
          <w:b w:val="0"/>
          <w:bCs w:val="0"/>
          <w:lang w:val="en-IN"/>
        </w:rPr>
      </w:pPr>
    </w:p>
    <w:p w14:paraId="7DEA22A6" w14:textId="77777777" w:rsidR="000B4416" w:rsidRPr="000B4416" w:rsidRDefault="000B4416" w:rsidP="000B4416">
      <w:pPr>
        <w:pStyle w:val="BodyText"/>
        <w:spacing w:before="124" w:line="360" w:lineRule="auto"/>
        <w:jc w:val="both"/>
        <w:rPr>
          <w:b w:val="0"/>
          <w:bCs w:val="0"/>
          <w:lang w:val="en-IN"/>
        </w:rPr>
      </w:pPr>
      <w:r w:rsidRPr="000B4416">
        <w:rPr>
          <w:b w:val="0"/>
          <w:bCs w:val="0"/>
          <w:lang w:val="en-IN"/>
        </w:rPr>
        <w:lastRenderedPageBreak/>
        <w:t>Let’s start with preprocessing and encoding.</w:t>
      </w:r>
    </w:p>
    <w:p w14:paraId="1A4029A7" w14:textId="77777777" w:rsidR="000B4416" w:rsidRPr="000B4416" w:rsidRDefault="000B4416" w:rsidP="000B4416">
      <w:pPr>
        <w:pStyle w:val="BodyText"/>
        <w:spacing w:before="124" w:line="360" w:lineRule="auto"/>
        <w:jc w:val="both"/>
        <w:rPr>
          <w:b w:val="0"/>
          <w:bCs w:val="0"/>
          <w:lang w:val="en-IN"/>
        </w:rPr>
      </w:pPr>
      <w:r w:rsidRPr="000B4416">
        <w:rPr>
          <w:b w:val="0"/>
          <w:bCs w:val="0"/>
          <w:lang w:val="en-IN"/>
        </w:rPr>
        <w:t>We now have a clean dataset with encoded variables. Following is the brief explanation of model setup:</w:t>
      </w:r>
    </w:p>
    <w:p w14:paraId="2A8A9C26" w14:textId="77777777" w:rsidR="000B4416" w:rsidRPr="000B4416" w:rsidRDefault="000B4416" w:rsidP="000B4416">
      <w:pPr>
        <w:pStyle w:val="BodyText"/>
        <w:numPr>
          <w:ilvl w:val="0"/>
          <w:numId w:val="33"/>
        </w:numPr>
        <w:spacing w:before="124" w:line="360" w:lineRule="auto"/>
        <w:jc w:val="both"/>
        <w:rPr>
          <w:b w:val="0"/>
          <w:bCs w:val="0"/>
          <w:lang w:val="en-IN"/>
        </w:rPr>
      </w:pPr>
      <w:r w:rsidRPr="001A210B">
        <w:rPr>
          <w:lang w:val="en-IN"/>
        </w:rPr>
        <w:t>Dependent Variable:</w:t>
      </w:r>
      <w:r w:rsidRPr="000B4416">
        <w:rPr>
          <w:b w:val="0"/>
          <w:bCs w:val="0"/>
          <w:lang w:val="en-IN"/>
        </w:rPr>
        <w:t xml:space="preserve"> Invested — whether a person has considered investing in renewable energy.</w:t>
      </w:r>
    </w:p>
    <w:p w14:paraId="2295254A" w14:textId="77777777" w:rsidR="000B4416" w:rsidRPr="000B4416" w:rsidRDefault="000B4416" w:rsidP="000B4416">
      <w:pPr>
        <w:pStyle w:val="BodyText"/>
        <w:numPr>
          <w:ilvl w:val="0"/>
          <w:numId w:val="33"/>
        </w:numPr>
        <w:spacing w:before="124" w:line="360" w:lineRule="auto"/>
        <w:jc w:val="both"/>
        <w:rPr>
          <w:b w:val="0"/>
          <w:bCs w:val="0"/>
          <w:lang w:val="en-IN"/>
        </w:rPr>
      </w:pPr>
      <w:r w:rsidRPr="001A210B">
        <w:rPr>
          <w:lang w:val="en-IN"/>
        </w:rPr>
        <w:t>Independent</w:t>
      </w:r>
      <w:r w:rsidRPr="000B4416">
        <w:rPr>
          <w:b w:val="0"/>
          <w:bCs w:val="0"/>
          <w:lang w:val="en-IN"/>
        </w:rPr>
        <w:t xml:space="preserve"> </w:t>
      </w:r>
      <w:r w:rsidRPr="001A210B">
        <w:rPr>
          <w:lang w:val="en-IN"/>
        </w:rPr>
        <w:t>Variables:</w:t>
      </w:r>
    </w:p>
    <w:p w14:paraId="4EC4464C" w14:textId="77777777" w:rsidR="000B4416" w:rsidRPr="000B4416" w:rsidRDefault="000B4416" w:rsidP="000B4416">
      <w:pPr>
        <w:pStyle w:val="BodyText"/>
        <w:numPr>
          <w:ilvl w:val="1"/>
          <w:numId w:val="33"/>
        </w:numPr>
        <w:spacing w:before="124" w:line="360" w:lineRule="auto"/>
        <w:jc w:val="both"/>
        <w:rPr>
          <w:b w:val="0"/>
          <w:bCs w:val="0"/>
          <w:lang w:val="en-IN"/>
        </w:rPr>
      </w:pPr>
      <w:r w:rsidRPr="001A210B">
        <w:rPr>
          <w:lang w:val="en-IN"/>
        </w:rPr>
        <w:t>Seen Increase</w:t>
      </w:r>
      <w:r w:rsidRPr="000B4416">
        <w:rPr>
          <w:b w:val="0"/>
          <w:bCs w:val="0"/>
          <w:lang w:val="en-IN"/>
        </w:rPr>
        <w:t xml:space="preserve"> - Perceived increase in renewable stock prices.</w:t>
      </w:r>
    </w:p>
    <w:p w14:paraId="5AC9B736" w14:textId="77777777" w:rsidR="000B4416" w:rsidRPr="000B4416" w:rsidRDefault="000B4416" w:rsidP="000B4416">
      <w:pPr>
        <w:pStyle w:val="BodyText"/>
        <w:numPr>
          <w:ilvl w:val="1"/>
          <w:numId w:val="33"/>
        </w:numPr>
        <w:spacing w:before="124" w:line="360" w:lineRule="auto"/>
        <w:jc w:val="both"/>
        <w:rPr>
          <w:b w:val="0"/>
          <w:bCs w:val="0"/>
          <w:lang w:val="en-IN"/>
        </w:rPr>
      </w:pPr>
      <w:r w:rsidRPr="001A210B">
        <w:rPr>
          <w:lang w:val="en-IN"/>
        </w:rPr>
        <w:t>Fund</w:t>
      </w:r>
      <w:r w:rsidRPr="000B4416">
        <w:rPr>
          <w:b w:val="0"/>
          <w:bCs w:val="0"/>
          <w:lang w:val="en-IN"/>
        </w:rPr>
        <w:t xml:space="preserve"> </w:t>
      </w:r>
      <w:r w:rsidRPr="001A210B">
        <w:rPr>
          <w:lang w:val="en-IN"/>
        </w:rPr>
        <w:t>Performance</w:t>
      </w:r>
      <w:r w:rsidRPr="000B4416">
        <w:rPr>
          <w:b w:val="0"/>
          <w:bCs w:val="0"/>
          <w:lang w:val="en-IN"/>
        </w:rPr>
        <w:t xml:space="preserve"> - Perceived fund performance vs traditional funds.</w:t>
      </w:r>
    </w:p>
    <w:p w14:paraId="07867826" w14:textId="77777777" w:rsidR="000B4416" w:rsidRPr="000B4416" w:rsidRDefault="000B4416" w:rsidP="000B4416">
      <w:pPr>
        <w:pStyle w:val="BodyText"/>
        <w:numPr>
          <w:ilvl w:val="1"/>
          <w:numId w:val="33"/>
        </w:numPr>
        <w:spacing w:before="124" w:line="360" w:lineRule="auto"/>
        <w:jc w:val="both"/>
        <w:rPr>
          <w:b w:val="0"/>
          <w:bCs w:val="0"/>
          <w:lang w:val="en-IN"/>
        </w:rPr>
      </w:pPr>
      <w:r w:rsidRPr="001A210B">
        <w:rPr>
          <w:lang w:val="en-IN"/>
        </w:rPr>
        <w:t>Belief</w:t>
      </w:r>
      <w:r w:rsidRPr="000B4416">
        <w:rPr>
          <w:b w:val="0"/>
          <w:bCs w:val="0"/>
          <w:lang w:val="en-IN"/>
        </w:rPr>
        <w:t xml:space="preserve"> </w:t>
      </w:r>
      <w:r w:rsidRPr="001A210B">
        <w:rPr>
          <w:lang w:val="en-IN"/>
        </w:rPr>
        <w:t>Long</w:t>
      </w:r>
      <w:r w:rsidRPr="000B4416">
        <w:rPr>
          <w:b w:val="0"/>
          <w:bCs w:val="0"/>
          <w:lang w:val="en-IN"/>
        </w:rPr>
        <w:t xml:space="preserve"> </w:t>
      </w:r>
      <w:r w:rsidRPr="001A210B">
        <w:rPr>
          <w:lang w:val="en-IN"/>
        </w:rPr>
        <w:t>Term</w:t>
      </w:r>
      <w:r w:rsidRPr="000B4416">
        <w:rPr>
          <w:b w:val="0"/>
          <w:bCs w:val="0"/>
          <w:lang w:val="en-IN"/>
        </w:rPr>
        <w:t xml:space="preserve"> - Belief in long-term returns despite short-term volatility.</w:t>
      </w:r>
    </w:p>
    <w:p w14:paraId="4BE48759" w14:textId="2E66CFD2" w:rsidR="001A210B" w:rsidRPr="001A210B" w:rsidRDefault="000B4416" w:rsidP="001A210B">
      <w:pPr>
        <w:pStyle w:val="BodyText"/>
        <w:numPr>
          <w:ilvl w:val="1"/>
          <w:numId w:val="33"/>
        </w:numPr>
        <w:spacing w:before="124" w:line="360" w:lineRule="auto"/>
        <w:jc w:val="both"/>
        <w:rPr>
          <w:b w:val="0"/>
          <w:bCs w:val="0"/>
          <w:lang w:val="en-IN"/>
        </w:rPr>
      </w:pPr>
      <w:r w:rsidRPr="001A210B">
        <w:rPr>
          <w:lang w:val="en-IN"/>
        </w:rPr>
        <w:t>Policy</w:t>
      </w:r>
      <w:r w:rsidRPr="000B4416">
        <w:rPr>
          <w:b w:val="0"/>
          <w:bCs w:val="0"/>
          <w:lang w:val="en-IN"/>
        </w:rPr>
        <w:t xml:space="preserve"> </w:t>
      </w:r>
      <w:r w:rsidRPr="001A210B">
        <w:rPr>
          <w:lang w:val="en-IN"/>
        </w:rPr>
        <w:t>Encourage</w:t>
      </w:r>
      <w:r w:rsidRPr="000B4416">
        <w:rPr>
          <w:b w:val="0"/>
          <w:bCs w:val="0"/>
          <w:lang w:val="en-IN"/>
        </w:rPr>
        <w:t xml:space="preserve"> - Belief that government policy encourages investment.</w:t>
      </w:r>
    </w:p>
    <w:p w14:paraId="287C8E02" w14:textId="1F3303C6" w:rsidR="000B4416" w:rsidRPr="000B4416" w:rsidRDefault="001A210B" w:rsidP="000B4416">
      <w:pPr>
        <w:pStyle w:val="BodyText"/>
        <w:spacing w:before="124" w:line="360" w:lineRule="auto"/>
        <w:jc w:val="both"/>
        <w:rPr>
          <w:b w:val="0"/>
          <w:bCs w:val="0"/>
          <w:lang w:val="en-IN"/>
        </w:rPr>
      </w:pPr>
      <w:r w:rsidRPr="000B4416">
        <w:rPr>
          <w:b w:val="0"/>
          <w:bCs w:val="0"/>
          <w:noProof/>
          <w:lang w:val="en-IN"/>
        </w:rPr>
        <w:drawing>
          <wp:anchor distT="0" distB="0" distL="114300" distR="114300" simplePos="0" relativeHeight="251663360" behindDoc="0" locked="0" layoutInCell="1" allowOverlap="1" wp14:anchorId="5A73F8D0" wp14:editId="602E9A31">
            <wp:simplePos x="0" y="0"/>
            <wp:positionH relativeFrom="column">
              <wp:posOffset>281940</wp:posOffset>
            </wp:positionH>
            <wp:positionV relativeFrom="paragraph">
              <wp:posOffset>679450</wp:posOffset>
            </wp:positionV>
            <wp:extent cx="4838700" cy="3364185"/>
            <wp:effectExtent l="0" t="0" r="0" b="8255"/>
            <wp:wrapTopAndBottom/>
            <wp:docPr id="135607408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8700" cy="3364185"/>
                    </a:xfrm>
                    <a:prstGeom prst="rect">
                      <a:avLst/>
                    </a:prstGeom>
                    <a:noFill/>
                    <a:ln>
                      <a:noFill/>
                    </a:ln>
                  </pic:spPr>
                </pic:pic>
              </a:graphicData>
            </a:graphic>
            <wp14:sizeRelH relativeFrom="page">
              <wp14:pctWidth>0</wp14:pctWidth>
            </wp14:sizeRelH>
            <wp14:sizeRelV relativeFrom="page">
              <wp14:pctHeight>0</wp14:pctHeight>
            </wp14:sizeRelV>
          </wp:anchor>
        </w:drawing>
      </w:r>
      <w:r w:rsidR="000B4416" w:rsidRPr="000B4416">
        <w:rPr>
          <w:b w:val="0"/>
          <w:bCs w:val="0"/>
          <w:lang w:val="en-IN"/>
        </w:rPr>
        <w:t>Now, we’ll see the logistic regression to examine how strongly these factors predict investment activity and test the null hypothesis:</w:t>
      </w:r>
    </w:p>
    <w:p w14:paraId="4D60BA78" w14:textId="77777777" w:rsidR="000B4416" w:rsidRPr="001A210B" w:rsidRDefault="000B4416" w:rsidP="000B4416">
      <w:pPr>
        <w:pStyle w:val="BodyText"/>
        <w:spacing w:before="124" w:line="360" w:lineRule="auto"/>
        <w:jc w:val="both"/>
        <w:rPr>
          <w:lang w:val="en-IN"/>
        </w:rPr>
      </w:pPr>
      <w:r w:rsidRPr="001A210B">
        <w:rPr>
          <w:lang w:val="en-IN"/>
        </w:rPr>
        <w:t>Logistic Regression:</w:t>
      </w:r>
    </w:p>
    <w:p w14:paraId="12DE5BF9" w14:textId="77777777" w:rsidR="000B4416" w:rsidRPr="000B4416" w:rsidRDefault="000B4416" w:rsidP="000B4416">
      <w:pPr>
        <w:pStyle w:val="BodyText"/>
        <w:spacing w:before="124" w:line="360" w:lineRule="auto"/>
        <w:jc w:val="both"/>
        <w:rPr>
          <w:b w:val="0"/>
          <w:bCs w:val="0"/>
          <w:lang w:val="en-IN"/>
        </w:rPr>
      </w:pPr>
      <w:r w:rsidRPr="001A210B">
        <w:rPr>
          <w:lang w:val="en-IN"/>
        </w:rPr>
        <w:t>Objective</w:t>
      </w:r>
      <w:r w:rsidRPr="000B4416">
        <w:rPr>
          <w:b w:val="0"/>
          <w:bCs w:val="0"/>
          <w:lang w:val="en-IN"/>
        </w:rPr>
        <w:t>: To test whether retail investors’ perceptions and policy incentives significantly influence their decision to invest in India’s renewable energy sector.</w:t>
      </w:r>
    </w:p>
    <w:p w14:paraId="777B12C8" w14:textId="77777777" w:rsidR="000B4416" w:rsidRDefault="000B4416" w:rsidP="000B4416">
      <w:pPr>
        <w:pStyle w:val="BodyText"/>
        <w:spacing w:before="124" w:line="360" w:lineRule="auto"/>
        <w:jc w:val="both"/>
        <w:rPr>
          <w:b w:val="0"/>
          <w:bCs w:val="0"/>
          <w:lang w:val="en-IN"/>
        </w:rPr>
      </w:pPr>
    </w:p>
    <w:p w14:paraId="42543FC7" w14:textId="77777777" w:rsidR="008A7028" w:rsidRPr="000B4416" w:rsidRDefault="008A7028" w:rsidP="000B4416">
      <w:pPr>
        <w:pStyle w:val="BodyText"/>
        <w:spacing w:before="124" w:line="360" w:lineRule="auto"/>
        <w:jc w:val="both"/>
        <w:rPr>
          <w:b w:val="0"/>
          <w:bCs w:val="0"/>
          <w:lang w:val="en-IN"/>
        </w:rPr>
      </w:pPr>
    </w:p>
    <w:p w14:paraId="478C6CC1" w14:textId="77777777" w:rsidR="000B4416" w:rsidRPr="001A210B" w:rsidRDefault="000B4416" w:rsidP="000B4416">
      <w:pPr>
        <w:pStyle w:val="BodyText"/>
        <w:spacing w:before="124" w:line="360" w:lineRule="auto"/>
        <w:jc w:val="both"/>
        <w:rPr>
          <w:lang w:val="en-IN"/>
        </w:rPr>
      </w:pPr>
      <w:r w:rsidRPr="001A210B">
        <w:rPr>
          <w:lang w:val="en-IN"/>
        </w:rPr>
        <w:lastRenderedPageBreak/>
        <w:t> Model Summary:</w:t>
      </w:r>
    </w:p>
    <w:p w14:paraId="713509BE" w14:textId="77777777" w:rsidR="000B4416" w:rsidRPr="000B4416" w:rsidRDefault="000B4416" w:rsidP="000B4416">
      <w:pPr>
        <w:pStyle w:val="BodyText"/>
        <w:numPr>
          <w:ilvl w:val="0"/>
          <w:numId w:val="34"/>
        </w:numPr>
        <w:spacing w:before="124" w:line="360" w:lineRule="auto"/>
        <w:jc w:val="both"/>
        <w:rPr>
          <w:b w:val="0"/>
          <w:bCs w:val="0"/>
          <w:lang w:val="en-IN"/>
        </w:rPr>
      </w:pPr>
      <w:r w:rsidRPr="000B4416">
        <w:rPr>
          <w:b w:val="0"/>
          <w:bCs w:val="0"/>
          <w:lang w:val="en-IN"/>
        </w:rPr>
        <w:t>Model Type: Binary Logistic Regression</w:t>
      </w:r>
    </w:p>
    <w:p w14:paraId="1AC3B1DD" w14:textId="77777777" w:rsidR="000B4416" w:rsidRPr="000B4416" w:rsidRDefault="000B4416" w:rsidP="000B4416">
      <w:pPr>
        <w:pStyle w:val="BodyText"/>
        <w:numPr>
          <w:ilvl w:val="0"/>
          <w:numId w:val="34"/>
        </w:numPr>
        <w:spacing w:before="124" w:line="360" w:lineRule="auto"/>
        <w:jc w:val="both"/>
        <w:rPr>
          <w:b w:val="0"/>
          <w:bCs w:val="0"/>
          <w:lang w:val="en-IN"/>
        </w:rPr>
      </w:pPr>
      <w:r w:rsidRPr="000B4416">
        <w:rPr>
          <w:b w:val="0"/>
          <w:bCs w:val="0"/>
          <w:lang w:val="en-IN"/>
        </w:rPr>
        <w:t>Dependent Variable: Invested (1 = Yes, 0 = No)</w:t>
      </w:r>
    </w:p>
    <w:p w14:paraId="1F0526D4" w14:textId="75EB82FF" w:rsidR="001A210B" w:rsidRPr="001A210B" w:rsidRDefault="000B4416" w:rsidP="001A210B">
      <w:pPr>
        <w:pStyle w:val="BodyText"/>
        <w:numPr>
          <w:ilvl w:val="0"/>
          <w:numId w:val="34"/>
        </w:numPr>
        <w:spacing w:before="124" w:line="360" w:lineRule="auto"/>
        <w:jc w:val="both"/>
        <w:rPr>
          <w:b w:val="0"/>
          <w:bCs w:val="0"/>
          <w:lang w:val="en-IN"/>
        </w:rPr>
      </w:pPr>
      <w:r w:rsidRPr="000B4416">
        <w:rPr>
          <w:b w:val="0"/>
          <w:bCs w:val="0"/>
          <w:lang w:val="en-IN"/>
        </w:rPr>
        <w:t>Sample Size: 101 (after cleaning)</w:t>
      </w:r>
    </w:p>
    <w:p w14:paraId="06C86510" w14:textId="77777777" w:rsidR="000B4416" w:rsidRPr="001A210B" w:rsidRDefault="000B4416" w:rsidP="000B4416">
      <w:pPr>
        <w:pStyle w:val="BodyText"/>
        <w:spacing w:before="124" w:line="360" w:lineRule="auto"/>
        <w:jc w:val="both"/>
        <w:rPr>
          <w:lang w:val="en-IN"/>
        </w:rPr>
      </w:pPr>
      <w:r w:rsidRPr="001A210B">
        <w:rPr>
          <w:lang w:val="en-IN"/>
        </w:rPr>
        <w:t> Regression Coefficients:</w:t>
      </w:r>
    </w:p>
    <w:tbl>
      <w:tblPr>
        <w:tblStyle w:val="TableGrid"/>
        <w:tblW w:w="0" w:type="auto"/>
        <w:tblLook w:val="04A0" w:firstRow="1" w:lastRow="0" w:firstColumn="1" w:lastColumn="0" w:noHBand="0" w:noVBand="1"/>
      </w:tblPr>
      <w:tblGrid>
        <w:gridCol w:w="1894"/>
        <w:gridCol w:w="1575"/>
        <w:gridCol w:w="1082"/>
        <w:gridCol w:w="927"/>
        <w:gridCol w:w="925"/>
        <w:gridCol w:w="2613"/>
      </w:tblGrid>
      <w:tr w:rsidR="000B4416" w:rsidRPr="000B4416" w14:paraId="108C99A4" w14:textId="77777777" w:rsidTr="00050FAF">
        <w:trPr>
          <w:trHeight w:val="770"/>
        </w:trPr>
        <w:tc>
          <w:tcPr>
            <w:tcW w:w="0" w:type="auto"/>
            <w:hideMark/>
          </w:tcPr>
          <w:p w14:paraId="50D9C292"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Predictor Variable</w:t>
            </w:r>
          </w:p>
        </w:tc>
        <w:tc>
          <w:tcPr>
            <w:tcW w:w="0" w:type="auto"/>
            <w:hideMark/>
          </w:tcPr>
          <w:p w14:paraId="4D0A37E0"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Coefficient (β)</w:t>
            </w:r>
          </w:p>
        </w:tc>
        <w:tc>
          <w:tcPr>
            <w:tcW w:w="0" w:type="auto"/>
            <w:hideMark/>
          </w:tcPr>
          <w:p w14:paraId="1C0E683D"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Std. Error</w:t>
            </w:r>
          </w:p>
        </w:tc>
        <w:tc>
          <w:tcPr>
            <w:tcW w:w="0" w:type="auto"/>
            <w:hideMark/>
          </w:tcPr>
          <w:p w14:paraId="6FC1BA28"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z-value</w:t>
            </w:r>
          </w:p>
        </w:tc>
        <w:tc>
          <w:tcPr>
            <w:tcW w:w="0" w:type="auto"/>
            <w:hideMark/>
          </w:tcPr>
          <w:p w14:paraId="760F941A"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p-value</w:t>
            </w:r>
          </w:p>
        </w:tc>
        <w:tc>
          <w:tcPr>
            <w:tcW w:w="0" w:type="auto"/>
            <w:hideMark/>
          </w:tcPr>
          <w:p w14:paraId="4EB1A826"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Statistical Significance</w:t>
            </w:r>
          </w:p>
        </w:tc>
      </w:tr>
      <w:tr w:rsidR="000B4416" w:rsidRPr="000B4416" w14:paraId="43A1D040" w14:textId="77777777" w:rsidTr="00050FAF">
        <w:trPr>
          <w:trHeight w:val="545"/>
        </w:trPr>
        <w:tc>
          <w:tcPr>
            <w:tcW w:w="0" w:type="auto"/>
            <w:hideMark/>
          </w:tcPr>
          <w:p w14:paraId="7CEEE844"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Intercept</w:t>
            </w:r>
          </w:p>
        </w:tc>
        <w:tc>
          <w:tcPr>
            <w:tcW w:w="0" w:type="auto"/>
            <w:hideMark/>
          </w:tcPr>
          <w:p w14:paraId="745161AD"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-2.10</w:t>
            </w:r>
          </w:p>
        </w:tc>
        <w:tc>
          <w:tcPr>
            <w:tcW w:w="0" w:type="auto"/>
            <w:hideMark/>
          </w:tcPr>
          <w:p w14:paraId="711D161E"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0.75</w:t>
            </w:r>
          </w:p>
        </w:tc>
        <w:tc>
          <w:tcPr>
            <w:tcW w:w="0" w:type="auto"/>
            <w:hideMark/>
          </w:tcPr>
          <w:p w14:paraId="03E668E0"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-2.80</w:t>
            </w:r>
          </w:p>
        </w:tc>
        <w:tc>
          <w:tcPr>
            <w:tcW w:w="0" w:type="auto"/>
            <w:hideMark/>
          </w:tcPr>
          <w:p w14:paraId="3952031C"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0.005</w:t>
            </w:r>
          </w:p>
        </w:tc>
        <w:tc>
          <w:tcPr>
            <w:tcW w:w="0" w:type="auto"/>
            <w:hideMark/>
          </w:tcPr>
          <w:p w14:paraId="1A4E29AF"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Significant</w:t>
            </w:r>
          </w:p>
        </w:tc>
      </w:tr>
      <w:tr w:rsidR="000B4416" w:rsidRPr="000B4416" w14:paraId="6B82AD9D" w14:textId="77777777" w:rsidTr="00050FAF">
        <w:trPr>
          <w:trHeight w:val="770"/>
        </w:trPr>
        <w:tc>
          <w:tcPr>
            <w:tcW w:w="0" w:type="auto"/>
            <w:hideMark/>
          </w:tcPr>
          <w:p w14:paraId="31BF1180"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Seen Increase</w:t>
            </w:r>
          </w:p>
        </w:tc>
        <w:tc>
          <w:tcPr>
            <w:tcW w:w="0" w:type="auto"/>
            <w:hideMark/>
          </w:tcPr>
          <w:p w14:paraId="0A0F24B5"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+0.36</w:t>
            </w:r>
          </w:p>
        </w:tc>
        <w:tc>
          <w:tcPr>
            <w:tcW w:w="0" w:type="auto"/>
            <w:hideMark/>
          </w:tcPr>
          <w:p w14:paraId="01FFF8FE"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0.18</w:t>
            </w:r>
          </w:p>
        </w:tc>
        <w:tc>
          <w:tcPr>
            <w:tcW w:w="0" w:type="auto"/>
            <w:hideMark/>
          </w:tcPr>
          <w:p w14:paraId="53FFD574"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+2.04</w:t>
            </w:r>
          </w:p>
        </w:tc>
        <w:tc>
          <w:tcPr>
            <w:tcW w:w="0" w:type="auto"/>
            <w:hideMark/>
          </w:tcPr>
          <w:p w14:paraId="18ACB14A"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0.041</w:t>
            </w:r>
          </w:p>
        </w:tc>
        <w:tc>
          <w:tcPr>
            <w:tcW w:w="0" w:type="auto"/>
            <w:hideMark/>
          </w:tcPr>
          <w:p w14:paraId="341A2ED0"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Significant</w:t>
            </w:r>
          </w:p>
        </w:tc>
      </w:tr>
      <w:tr w:rsidR="000B4416" w:rsidRPr="000B4416" w14:paraId="41CCFBB5" w14:textId="77777777" w:rsidTr="00050FAF">
        <w:trPr>
          <w:trHeight w:val="770"/>
        </w:trPr>
        <w:tc>
          <w:tcPr>
            <w:tcW w:w="0" w:type="auto"/>
            <w:hideMark/>
          </w:tcPr>
          <w:p w14:paraId="0F4B47E4"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Fund Performance</w:t>
            </w:r>
          </w:p>
        </w:tc>
        <w:tc>
          <w:tcPr>
            <w:tcW w:w="0" w:type="auto"/>
            <w:hideMark/>
          </w:tcPr>
          <w:p w14:paraId="5611A003"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+0.44</w:t>
            </w:r>
          </w:p>
        </w:tc>
        <w:tc>
          <w:tcPr>
            <w:tcW w:w="0" w:type="auto"/>
            <w:hideMark/>
          </w:tcPr>
          <w:p w14:paraId="7D34770A"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0.19</w:t>
            </w:r>
          </w:p>
        </w:tc>
        <w:tc>
          <w:tcPr>
            <w:tcW w:w="0" w:type="auto"/>
            <w:hideMark/>
          </w:tcPr>
          <w:p w14:paraId="60C7C6AC"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+2.37</w:t>
            </w:r>
          </w:p>
        </w:tc>
        <w:tc>
          <w:tcPr>
            <w:tcW w:w="0" w:type="auto"/>
            <w:hideMark/>
          </w:tcPr>
          <w:p w14:paraId="6B1DA10E"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0.018</w:t>
            </w:r>
          </w:p>
        </w:tc>
        <w:tc>
          <w:tcPr>
            <w:tcW w:w="0" w:type="auto"/>
            <w:hideMark/>
          </w:tcPr>
          <w:p w14:paraId="6AB8777E"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Significant</w:t>
            </w:r>
          </w:p>
        </w:tc>
      </w:tr>
      <w:tr w:rsidR="000B4416" w:rsidRPr="000B4416" w14:paraId="6A28815E" w14:textId="77777777" w:rsidTr="00050FAF">
        <w:trPr>
          <w:trHeight w:val="770"/>
        </w:trPr>
        <w:tc>
          <w:tcPr>
            <w:tcW w:w="0" w:type="auto"/>
            <w:hideMark/>
          </w:tcPr>
          <w:p w14:paraId="6FE12DE9"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Belief Long Term</w:t>
            </w:r>
          </w:p>
        </w:tc>
        <w:tc>
          <w:tcPr>
            <w:tcW w:w="0" w:type="auto"/>
            <w:hideMark/>
          </w:tcPr>
          <w:p w14:paraId="2CAB37B6"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+0.84</w:t>
            </w:r>
          </w:p>
        </w:tc>
        <w:tc>
          <w:tcPr>
            <w:tcW w:w="0" w:type="auto"/>
            <w:hideMark/>
          </w:tcPr>
          <w:p w14:paraId="3F850288"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0.26</w:t>
            </w:r>
          </w:p>
        </w:tc>
        <w:tc>
          <w:tcPr>
            <w:tcW w:w="0" w:type="auto"/>
            <w:hideMark/>
          </w:tcPr>
          <w:p w14:paraId="6CBEE4D5"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+3.16</w:t>
            </w:r>
          </w:p>
        </w:tc>
        <w:tc>
          <w:tcPr>
            <w:tcW w:w="0" w:type="auto"/>
            <w:hideMark/>
          </w:tcPr>
          <w:p w14:paraId="725DBFE1"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0.0016</w:t>
            </w:r>
          </w:p>
        </w:tc>
        <w:tc>
          <w:tcPr>
            <w:tcW w:w="0" w:type="auto"/>
            <w:hideMark/>
          </w:tcPr>
          <w:p w14:paraId="1197085D"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Highly Significant</w:t>
            </w:r>
          </w:p>
        </w:tc>
      </w:tr>
      <w:tr w:rsidR="000B4416" w:rsidRPr="000B4416" w14:paraId="3AA8340E" w14:textId="77777777" w:rsidTr="00050FAF">
        <w:trPr>
          <w:trHeight w:val="815"/>
        </w:trPr>
        <w:tc>
          <w:tcPr>
            <w:tcW w:w="0" w:type="auto"/>
            <w:hideMark/>
          </w:tcPr>
          <w:p w14:paraId="2EF7EC16"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Policy Encourage</w:t>
            </w:r>
          </w:p>
        </w:tc>
        <w:tc>
          <w:tcPr>
            <w:tcW w:w="0" w:type="auto"/>
            <w:hideMark/>
          </w:tcPr>
          <w:p w14:paraId="7828C1E9"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+0.34</w:t>
            </w:r>
          </w:p>
        </w:tc>
        <w:tc>
          <w:tcPr>
            <w:tcW w:w="0" w:type="auto"/>
            <w:hideMark/>
          </w:tcPr>
          <w:p w14:paraId="4EA3F125"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0.25</w:t>
            </w:r>
          </w:p>
        </w:tc>
        <w:tc>
          <w:tcPr>
            <w:tcW w:w="0" w:type="auto"/>
            <w:hideMark/>
          </w:tcPr>
          <w:p w14:paraId="0266E8B2"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 +1.34</w:t>
            </w:r>
          </w:p>
        </w:tc>
        <w:tc>
          <w:tcPr>
            <w:tcW w:w="0" w:type="auto"/>
            <w:hideMark/>
          </w:tcPr>
          <w:p w14:paraId="40F99662"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0.180</w:t>
            </w:r>
          </w:p>
        </w:tc>
        <w:tc>
          <w:tcPr>
            <w:tcW w:w="0" w:type="auto"/>
            <w:hideMark/>
          </w:tcPr>
          <w:p w14:paraId="420AFD67" w14:textId="77777777" w:rsidR="000B4416" w:rsidRPr="000B4416" w:rsidRDefault="000B4416" w:rsidP="00050FAF">
            <w:pPr>
              <w:pStyle w:val="BodyText"/>
              <w:spacing w:before="124" w:line="360" w:lineRule="auto"/>
              <w:jc w:val="both"/>
              <w:rPr>
                <w:b w:val="0"/>
                <w:bCs w:val="0"/>
                <w:lang w:val="en-IN"/>
              </w:rPr>
            </w:pPr>
            <w:r w:rsidRPr="000B4416">
              <w:rPr>
                <w:b w:val="0"/>
                <w:bCs w:val="0"/>
                <w:lang w:val="en-IN"/>
              </w:rPr>
              <w:t>Not Statistically Significant</w:t>
            </w:r>
          </w:p>
        </w:tc>
      </w:tr>
    </w:tbl>
    <w:p w14:paraId="30D6AA12" w14:textId="77777777" w:rsidR="000B4416" w:rsidRPr="001A210B" w:rsidRDefault="000B4416" w:rsidP="000B4416">
      <w:pPr>
        <w:pStyle w:val="BodyText"/>
        <w:spacing w:before="124" w:line="360" w:lineRule="auto"/>
        <w:jc w:val="both"/>
        <w:rPr>
          <w:lang w:val="en-IN"/>
        </w:rPr>
      </w:pPr>
      <w:r w:rsidRPr="001A210B">
        <w:rPr>
          <w:lang w:val="en-IN"/>
        </w:rPr>
        <w:t>Interpretation:</w:t>
      </w:r>
    </w:p>
    <w:p w14:paraId="36474BC2" w14:textId="77777777" w:rsidR="000B4416" w:rsidRPr="000B4416" w:rsidRDefault="000B4416" w:rsidP="000B4416">
      <w:pPr>
        <w:pStyle w:val="BodyText"/>
        <w:numPr>
          <w:ilvl w:val="0"/>
          <w:numId w:val="35"/>
        </w:numPr>
        <w:spacing w:before="124" w:line="360" w:lineRule="auto"/>
        <w:jc w:val="both"/>
        <w:rPr>
          <w:b w:val="0"/>
          <w:bCs w:val="0"/>
          <w:lang w:val="en-IN"/>
        </w:rPr>
      </w:pPr>
      <w:r w:rsidRPr="000B4416">
        <w:rPr>
          <w:b w:val="0"/>
          <w:bCs w:val="0"/>
          <w:lang w:val="en-IN"/>
        </w:rPr>
        <w:t>Belief in long-term returns has the strongest positive influence on investment decisions.</w:t>
      </w:r>
    </w:p>
    <w:p w14:paraId="6832156F" w14:textId="77777777" w:rsidR="000B4416" w:rsidRPr="000B4416" w:rsidRDefault="000B4416" w:rsidP="000B4416">
      <w:pPr>
        <w:pStyle w:val="BodyText"/>
        <w:numPr>
          <w:ilvl w:val="0"/>
          <w:numId w:val="35"/>
        </w:numPr>
        <w:spacing w:before="124" w:line="360" w:lineRule="auto"/>
        <w:jc w:val="both"/>
        <w:rPr>
          <w:b w:val="0"/>
          <w:bCs w:val="0"/>
          <w:lang w:val="en-IN"/>
        </w:rPr>
      </w:pPr>
      <w:r w:rsidRPr="000B4416">
        <w:rPr>
          <w:b w:val="0"/>
          <w:bCs w:val="0"/>
          <w:lang w:val="en-IN"/>
        </w:rPr>
        <w:t>Perceived rise in stock prices and better fund performance also significantly influence investments.</w:t>
      </w:r>
    </w:p>
    <w:p w14:paraId="4D519466" w14:textId="11B8520F" w:rsidR="000B4416" w:rsidRDefault="000B4416" w:rsidP="000B4416">
      <w:pPr>
        <w:pStyle w:val="BodyText"/>
        <w:numPr>
          <w:ilvl w:val="0"/>
          <w:numId w:val="35"/>
        </w:numPr>
        <w:spacing w:before="124" w:line="360" w:lineRule="auto"/>
        <w:jc w:val="both"/>
        <w:rPr>
          <w:b w:val="0"/>
          <w:bCs w:val="0"/>
          <w:lang w:val="en-IN"/>
        </w:rPr>
      </w:pPr>
      <w:r w:rsidRPr="000B4416">
        <w:rPr>
          <w:b w:val="0"/>
          <w:bCs w:val="0"/>
          <w:lang w:val="en-IN"/>
        </w:rPr>
        <w:t>Policy support, while positively associated, did not show strong statistical evidence of direct influence in this model.</w:t>
      </w:r>
    </w:p>
    <w:p w14:paraId="65103C3E" w14:textId="77777777" w:rsidR="000B4416" w:rsidRPr="001A210B" w:rsidRDefault="000B4416" w:rsidP="000B4416">
      <w:pPr>
        <w:pStyle w:val="BodyText"/>
        <w:spacing w:before="124" w:line="360" w:lineRule="auto"/>
        <w:jc w:val="both"/>
        <w:rPr>
          <w:lang w:val="en-IN"/>
        </w:rPr>
      </w:pPr>
      <w:r w:rsidRPr="001A210B">
        <w:rPr>
          <w:lang w:val="en-IN"/>
        </w:rPr>
        <w:t>Conclusion:</w:t>
      </w:r>
    </w:p>
    <w:p w14:paraId="367941F5" w14:textId="64E4127E" w:rsidR="001A210B" w:rsidRPr="001A210B" w:rsidRDefault="000B4416" w:rsidP="000B4416">
      <w:pPr>
        <w:spacing w:after="240" w:line="360" w:lineRule="auto"/>
        <w:jc w:val="both"/>
        <w:rPr>
          <w:sz w:val="24"/>
          <w:szCs w:val="24"/>
          <w:lang w:val="en-IN"/>
        </w:rPr>
      </w:pPr>
      <w:r w:rsidRPr="001A210B">
        <w:rPr>
          <w:sz w:val="24"/>
          <w:szCs w:val="24"/>
          <w:lang w:val="en-IN"/>
        </w:rPr>
        <w:t>The data supports the rejection of the null hypothesis. Retail investment behaviour is significantly influenced by market perceptions and performance indicators, supporting H₁.</w:t>
      </w:r>
    </w:p>
    <w:p w14:paraId="1F21DF7C" w14:textId="77777777" w:rsidR="000E1D4C" w:rsidRDefault="000E1D4C" w:rsidP="000B4416">
      <w:pPr>
        <w:spacing w:after="240" w:line="360" w:lineRule="auto"/>
        <w:jc w:val="both"/>
        <w:rPr>
          <w:sz w:val="24"/>
          <w:szCs w:val="24"/>
          <w:lang w:val="en-IN"/>
        </w:rPr>
      </w:pPr>
    </w:p>
    <w:p w14:paraId="49786D74" w14:textId="1EBE3157" w:rsidR="006523F6" w:rsidRDefault="006523F6" w:rsidP="000E1D4C">
      <w:pPr>
        <w:spacing w:before="52" w:line="360" w:lineRule="auto"/>
        <w:ind w:right="285"/>
        <w:jc w:val="both"/>
        <w:rPr>
          <w:sz w:val="24"/>
          <w:szCs w:val="24"/>
          <w:lang w:val="en-IN"/>
        </w:rPr>
      </w:pPr>
    </w:p>
    <w:p w14:paraId="06D165FA" w14:textId="77777777" w:rsidR="005322CD" w:rsidRDefault="005322CD" w:rsidP="000E1D4C">
      <w:pPr>
        <w:spacing w:before="52" w:line="360" w:lineRule="auto"/>
        <w:ind w:right="285"/>
        <w:jc w:val="both"/>
        <w:rPr>
          <w:sz w:val="24"/>
          <w:szCs w:val="24"/>
          <w:lang w:val="en-IN"/>
        </w:rPr>
      </w:pPr>
    </w:p>
    <w:p w14:paraId="4D525F89" w14:textId="27767774" w:rsidR="000E1D4C" w:rsidRDefault="000E1D4C" w:rsidP="000E1D4C">
      <w:pPr>
        <w:spacing w:before="52" w:line="360" w:lineRule="auto"/>
        <w:ind w:right="285"/>
        <w:jc w:val="both"/>
        <w:rPr>
          <w:b/>
          <w:bCs/>
          <w:sz w:val="24"/>
          <w:szCs w:val="24"/>
          <w:lang w:val="en-IN"/>
        </w:rPr>
      </w:pPr>
      <w:r w:rsidRPr="00AE63A9">
        <w:rPr>
          <w:b/>
          <w:bCs/>
          <w:sz w:val="24"/>
          <w:szCs w:val="24"/>
          <w:lang w:val="en-IN"/>
        </w:rPr>
        <w:lastRenderedPageBreak/>
        <w:t xml:space="preserve">2.2. Analysis and Findings </w:t>
      </w:r>
    </w:p>
    <w:p w14:paraId="69EE322A" w14:textId="386B2A88" w:rsidR="00AE63A9" w:rsidRPr="00AE63A9" w:rsidRDefault="00AE63A9" w:rsidP="00AE63A9">
      <w:pPr>
        <w:pStyle w:val="ListParagraph"/>
        <w:numPr>
          <w:ilvl w:val="0"/>
          <w:numId w:val="37"/>
        </w:numPr>
        <w:spacing w:before="52" w:line="360" w:lineRule="auto"/>
        <w:ind w:right="285"/>
        <w:jc w:val="both"/>
        <w:rPr>
          <w:sz w:val="24"/>
          <w:lang w:val="en-IN"/>
        </w:rPr>
      </w:pPr>
      <w:r w:rsidRPr="00AE63A9">
        <w:rPr>
          <w:sz w:val="24"/>
          <w:lang w:val="en-IN"/>
        </w:rPr>
        <w:t>Retail investors are largely driven by market perceptions and financial returns rather than policy support alone.</w:t>
      </w:r>
    </w:p>
    <w:p w14:paraId="720753D1" w14:textId="338E0954" w:rsidR="00AE63A9" w:rsidRPr="00AE63A9" w:rsidRDefault="00AE63A9" w:rsidP="00AE63A9">
      <w:pPr>
        <w:pStyle w:val="ListParagraph"/>
        <w:numPr>
          <w:ilvl w:val="0"/>
          <w:numId w:val="37"/>
        </w:numPr>
        <w:spacing w:before="52" w:line="360" w:lineRule="auto"/>
        <w:ind w:right="285"/>
        <w:jc w:val="both"/>
        <w:rPr>
          <w:sz w:val="24"/>
          <w:lang w:val="en-IN"/>
        </w:rPr>
      </w:pPr>
      <w:r w:rsidRPr="00AE63A9">
        <w:rPr>
          <w:sz w:val="24"/>
          <w:lang w:val="en-IN"/>
        </w:rPr>
        <w:t>Young and middle-income investors show strong participation, especially through mutual funds and stocks.</w:t>
      </w:r>
    </w:p>
    <w:p w14:paraId="1E275B9C" w14:textId="4BA886DA" w:rsidR="00AE63A9" w:rsidRPr="00AE63A9" w:rsidRDefault="00AE63A9" w:rsidP="00AE63A9">
      <w:pPr>
        <w:pStyle w:val="ListParagraph"/>
        <w:numPr>
          <w:ilvl w:val="0"/>
          <w:numId w:val="37"/>
        </w:numPr>
        <w:spacing w:before="52" w:line="360" w:lineRule="auto"/>
        <w:ind w:right="285"/>
        <w:jc w:val="both"/>
        <w:rPr>
          <w:sz w:val="24"/>
          <w:lang w:val="en-IN"/>
        </w:rPr>
      </w:pPr>
      <w:r w:rsidRPr="00AE63A9">
        <w:rPr>
          <w:sz w:val="24"/>
          <w:lang w:val="en-IN"/>
        </w:rPr>
        <w:t>Awareness and financial education gaps persist, limiting broader retail engagement.</w:t>
      </w:r>
    </w:p>
    <w:p w14:paraId="66F22BB0" w14:textId="22344E6D" w:rsidR="00AE63A9" w:rsidRPr="00AE63A9" w:rsidRDefault="00AE63A9" w:rsidP="00AE63A9">
      <w:pPr>
        <w:pStyle w:val="ListParagraph"/>
        <w:numPr>
          <w:ilvl w:val="0"/>
          <w:numId w:val="37"/>
        </w:numPr>
        <w:spacing w:before="52" w:line="360" w:lineRule="auto"/>
        <w:ind w:right="285"/>
        <w:jc w:val="both"/>
        <w:rPr>
          <w:sz w:val="24"/>
          <w:lang w:val="en-IN"/>
        </w:rPr>
      </w:pPr>
      <w:r w:rsidRPr="00AE63A9">
        <w:rPr>
          <w:sz w:val="24"/>
          <w:lang w:val="en-IN"/>
        </w:rPr>
        <w:t>Government incentives are appreciated but insufficient alone to drive investment decisions.</w:t>
      </w:r>
    </w:p>
    <w:p w14:paraId="7382EBBB" w14:textId="7F45192B" w:rsidR="00AE63A9" w:rsidRPr="00AE63A9" w:rsidRDefault="00AE63A9" w:rsidP="00AE63A9">
      <w:pPr>
        <w:pStyle w:val="ListParagraph"/>
        <w:numPr>
          <w:ilvl w:val="0"/>
          <w:numId w:val="37"/>
        </w:numPr>
        <w:spacing w:before="52" w:line="360" w:lineRule="auto"/>
        <w:ind w:right="285"/>
        <w:jc w:val="both"/>
        <w:rPr>
          <w:sz w:val="24"/>
          <w:lang w:val="en-IN"/>
        </w:rPr>
      </w:pPr>
      <w:r w:rsidRPr="00AE63A9">
        <w:rPr>
          <w:sz w:val="24"/>
          <w:lang w:val="en-IN"/>
        </w:rPr>
        <w:t>Perceived returns in the 10-20% range make renewable energy investments attractive to retail investors.</w:t>
      </w:r>
    </w:p>
    <w:p w14:paraId="009A5B40" w14:textId="0F4DF123" w:rsidR="00AE63A9" w:rsidRDefault="00AE63A9" w:rsidP="00AE63A9">
      <w:pPr>
        <w:pStyle w:val="ListParagraph"/>
        <w:numPr>
          <w:ilvl w:val="0"/>
          <w:numId w:val="37"/>
        </w:numPr>
        <w:spacing w:before="52" w:line="360" w:lineRule="auto"/>
        <w:ind w:right="285"/>
        <w:jc w:val="both"/>
        <w:rPr>
          <w:sz w:val="24"/>
          <w:lang w:val="en-IN"/>
        </w:rPr>
      </w:pPr>
      <w:r w:rsidRPr="00AE63A9">
        <w:rPr>
          <w:sz w:val="24"/>
          <w:lang w:val="en-IN"/>
        </w:rPr>
        <w:t>Financial performance and long-term potential are critical decision-making factors.</w:t>
      </w:r>
    </w:p>
    <w:p w14:paraId="091C042A" w14:textId="73C02C69" w:rsidR="005322CD" w:rsidRPr="00470BA6" w:rsidRDefault="001243E6" w:rsidP="005322CD">
      <w:pPr>
        <w:spacing w:before="52" w:line="360" w:lineRule="auto"/>
        <w:ind w:right="285"/>
        <w:jc w:val="both"/>
        <w:rPr>
          <w:b/>
          <w:bCs/>
          <w:sz w:val="28"/>
          <w:szCs w:val="28"/>
          <w:lang w:val="en-IN"/>
        </w:rPr>
      </w:pPr>
      <w:r>
        <w:rPr>
          <w:b/>
          <w:bCs/>
          <w:sz w:val="28"/>
          <w:szCs w:val="28"/>
          <w:lang w:val="en-IN"/>
        </w:rPr>
        <w:t>3</w:t>
      </w:r>
      <w:r w:rsidR="00470BA6" w:rsidRPr="00470BA6">
        <w:rPr>
          <w:b/>
          <w:bCs/>
          <w:sz w:val="28"/>
          <w:szCs w:val="28"/>
          <w:lang w:val="en-IN"/>
        </w:rPr>
        <w:t>-</w:t>
      </w:r>
      <w:r w:rsidR="00AE63A9" w:rsidRPr="00470BA6">
        <w:rPr>
          <w:b/>
          <w:bCs/>
          <w:sz w:val="28"/>
          <w:szCs w:val="28"/>
          <w:lang w:val="en-IN"/>
        </w:rPr>
        <w:t xml:space="preserve"> L</w:t>
      </w:r>
      <w:r w:rsidR="00470BA6">
        <w:rPr>
          <w:b/>
          <w:bCs/>
          <w:sz w:val="28"/>
          <w:szCs w:val="28"/>
          <w:lang w:val="en-IN"/>
        </w:rPr>
        <w:t>IMITATIONS</w:t>
      </w:r>
    </w:p>
    <w:p w14:paraId="439DDB4E" w14:textId="77777777" w:rsidR="005322CD" w:rsidRPr="005322CD" w:rsidRDefault="005322CD" w:rsidP="005322CD">
      <w:pPr>
        <w:pStyle w:val="ListParagraph"/>
        <w:numPr>
          <w:ilvl w:val="0"/>
          <w:numId w:val="39"/>
        </w:numPr>
        <w:spacing w:before="52" w:line="360" w:lineRule="auto"/>
        <w:ind w:right="285"/>
        <w:jc w:val="both"/>
        <w:rPr>
          <w:b/>
          <w:bCs/>
          <w:sz w:val="24"/>
          <w:lang w:val="en-IN"/>
        </w:rPr>
      </w:pPr>
      <w:r w:rsidRPr="005322CD">
        <w:rPr>
          <w:b/>
          <w:bCs/>
          <w:sz w:val="24"/>
          <w:szCs w:val="24"/>
          <w:lang w:val="en-IN" w:eastAsia="en-IN"/>
        </w:rPr>
        <w:t xml:space="preserve">Data Availability: </w:t>
      </w:r>
      <w:r w:rsidRPr="005322CD">
        <w:rPr>
          <w:sz w:val="24"/>
          <w:szCs w:val="24"/>
          <w:lang w:val="en-IN" w:eastAsia="en-IN"/>
        </w:rPr>
        <w:t>Access to detailed financial data on individual stocks or mutual funds may be restricted.</w:t>
      </w:r>
    </w:p>
    <w:p w14:paraId="46CC521A" w14:textId="77777777" w:rsidR="005322CD" w:rsidRPr="005322CD" w:rsidRDefault="005322CD" w:rsidP="005322CD">
      <w:pPr>
        <w:pStyle w:val="ListParagraph"/>
        <w:numPr>
          <w:ilvl w:val="0"/>
          <w:numId w:val="39"/>
        </w:numPr>
        <w:spacing w:before="52" w:line="360" w:lineRule="auto"/>
        <w:ind w:right="285"/>
        <w:jc w:val="both"/>
        <w:rPr>
          <w:b/>
          <w:bCs/>
          <w:sz w:val="24"/>
          <w:lang w:val="en-IN"/>
        </w:rPr>
      </w:pPr>
      <w:r w:rsidRPr="005322CD">
        <w:rPr>
          <w:b/>
          <w:bCs/>
          <w:sz w:val="24"/>
          <w:szCs w:val="24"/>
          <w:lang w:val="en-IN" w:eastAsia="en-IN"/>
        </w:rPr>
        <w:t xml:space="preserve">Consumer Bias: </w:t>
      </w:r>
      <w:r w:rsidRPr="005322CD">
        <w:rPr>
          <w:sz w:val="24"/>
          <w:szCs w:val="24"/>
          <w:lang w:val="en-IN" w:eastAsia="en-IN"/>
        </w:rPr>
        <w:t>Responses from retail investors may be influenced by personal preferences and levels of financial literacy.</w:t>
      </w:r>
    </w:p>
    <w:p w14:paraId="45DC032A" w14:textId="5CD086B2" w:rsidR="005322CD" w:rsidRPr="005322CD" w:rsidRDefault="005322CD" w:rsidP="005322CD">
      <w:pPr>
        <w:pStyle w:val="ListParagraph"/>
        <w:numPr>
          <w:ilvl w:val="0"/>
          <w:numId w:val="39"/>
        </w:numPr>
        <w:spacing w:before="52" w:line="360" w:lineRule="auto"/>
        <w:ind w:right="285"/>
        <w:jc w:val="both"/>
        <w:rPr>
          <w:b/>
          <w:bCs/>
          <w:sz w:val="24"/>
          <w:lang w:val="en-IN"/>
        </w:rPr>
      </w:pPr>
      <w:r w:rsidRPr="005322CD">
        <w:rPr>
          <w:b/>
          <w:bCs/>
          <w:sz w:val="24"/>
          <w:szCs w:val="24"/>
          <w:lang w:val="en-IN" w:eastAsia="en-IN"/>
        </w:rPr>
        <w:t xml:space="preserve">Market Dynamics: </w:t>
      </w:r>
      <w:r w:rsidRPr="005322CD">
        <w:rPr>
          <w:sz w:val="24"/>
          <w:szCs w:val="24"/>
          <w:lang w:val="en-IN" w:eastAsia="en-IN"/>
        </w:rPr>
        <w:t>The rapidly evolving nature of the renewable energy market in India may affect the consistency of findings over time.</w:t>
      </w:r>
    </w:p>
    <w:p w14:paraId="4B6C4685" w14:textId="4BD4627B" w:rsidR="005322CD" w:rsidRPr="00470BA6" w:rsidRDefault="001243E6" w:rsidP="005322CD">
      <w:pPr>
        <w:widowControl/>
        <w:tabs>
          <w:tab w:val="num" w:pos="1440"/>
        </w:tabs>
        <w:autoSpaceDE/>
        <w:autoSpaceDN/>
        <w:spacing w:before="100" w:beforeAutospacing="1" w:after="100" w:afterAutospacing="1" w:line="360" w:lineRule="auto"/>
        <w:jc w:val="both"/>
        <w:rPr>
          <w:b/>
          <w:bCs/>
          <w:sz w:val="28"/>
          <w:szCs w:val="28"/>
          <w:lang w:val="en-IN" w:eastAsia="en-IN"/>
        </w:rPr>
      </w:pPr>
      <w:r>
        <w:rPr>
          <w:b/>
          <w:bCs/>
          <w:sz w:val="28"/>
          <w:szCs w:val="28"/>
          <w:lang w:val="en-IN" w:eastAsia="en-IN"/>
        </w:rPr>
        <w:t>4</w:t>
      </w:r>
      <w:r w:rsidR="00470BA6" w:rsidRPr="00470BA6">
        <w:rPr>
          <w:b/>
          <w:bCs/>
          <w:sz w:val="28"/>
          <w:szCs w:val="28"/>
          <w:lang w:val="en-IN" w:eastAsia="en-IN"/>
        </w:rPr>
        <w:t>-</w:t>
      </w:r>
      <w:r w:rsidR="005322CD" w:rsidRPr="00470BA6">
        <w:rPr>
          <w:b/>
          <w:bCs/>
          <w:sz w:val="28"/>
          <w:szCs w:val="28"/>
          <w:lang w:val="en-IN" w:eastAsia="en-IN"/>
        </w:rPr>
        <w:t xml:space="preserve"> R</w:t>
      </w:r>
      <w:r w:rsidR="00470BA6">
        <w:rPr>
          <w:b/>
          <w:bCs/>
          <w:sz w:val="28"/>
          <w:szCs w:val="28"/>
          <w:lang w:val="en-IN" w:eastAsia="en-IN"/>
        </w:rPr>
        <w:t xml:space="preserve">ECOMMENDATIONS </w:t>
      </w:r>
    </w:p>
    <w:p w14:paraId="0CFC0159" w14:textId="77777777" w:rsidR="00470BA6" w:rsidRPr="00AB17CD" w:rsidRDefault="00470BA6" w:rsidP="00470BA6">
      <w:pPr>
        <w:numPr>
          <w:ilvl w:val="0"/>
          <w:numId w:val="40"/>
        </w:numPr>
        <w:spacing w:line="360" w:lineRule="auto"/>
        <w:jc w:val="both"/>
        <w:rPr>
          <w:sz w:val="24"/>
          <w:szCs w:val="24"/>
          <w:lang w:val="en-IN"/>
        </w:rPr>
      </w:pPr>
      <w:r w:rsidRPr="00AB17CD">
        <w:rPr>
          <w:sz w:val="24"/>
          <w:szCs w:val="24"/>
          <w:lang w:val="en-IN"/>
        </w:rPr>
        <w:t>Provide retail investors with easy access to transparent and reliable project performance data.</w:t>
      </w:r>
    </w:p>
    <w:p w14:paraId="3ACC6636" w14:textId="77777777" w:rsidR="00470BA6" w:rsidRPr="00AB17CD" w:rsidRDefault="00470BA6" w:rsidP="00470BA6">
      <w:pPr>
        <w:numPr>
          <w:ilvl w:val="0"/>
          <w:numId w:val="40"/>
        </w:numPr>
        <w:spacing w:line="360" w:lineRule="auto"/>
        <w:jc w:val="both"/>
        <w:rPr>
          <w:sz w:val="24"/>
          <w:szCs w:val="24"/>
          <w:lang w:val="en-IN"/>
        </w:rPr>
      </w:pPr>
      <w:r w:rsidRPr="00AB17CD">
        <w:rPr>
          <w:sz w:val="24"/>
          <w:szCs w:val="24"/>
        </w:rPr>
        <w:t>Lower transaction costs associated with investing in renewable energy assets to make it more appealing for small retail investors.</w:t>
      </w:r>
    </w:p>
    <w:p w14:paraId="4E79E5E8" w14:textId="77777777" w:rsidR="00470BA6" w:rsidRPr="00AB17CD" w:rsidRDefault="00470BA6" w:rsidP="00470BA6">
      <w:pPr>
        <w:numPr>
          <w:ilvl w:val="0"/>
          <w:numId w:val="40"/>
        </w:numPr>
        <w:spacing w:line="360" w:lineRule="auto"/>
        <w:jc w:val="both"/>
        <w:rPr>
          <w:sz w:val="24"/>
          <w:szCs w:val="24"/>
          <w:lang w:val="en-IN"/>
        </w:rPr>
      </w:pPr>
      <w:r w:rsidRPr="00AB17CD">
        <w:rPr>
          <w:sz w:val="24"/>
          <w:szCs w:val="24"/>
        </w:rPr>
        <w:t>Conduct targeted financial literacy programs to educate retail investors about renewable energy investments.</w:t>
      </w:r>
    </w:p>
    <w:p w14:paraId="52EACBBE" w14:textId="77777777" w:rsidR="00470BA6" w:rsidRPr="00AB17CD" w:rsidRDefault="00470BA6" w:rsidP="00470BA6">
      <w:pPr>
        <w:numPr>
          <w:ilvl w:val="0"/>
          <w:numId w:val="40"/>
        </w:numPr>
        <w:spacing w:line="360" w:lineRule="auto"/>
        <w:jc w:val="both"/>
        <w:rPr>
          <w:sz w:val="24"/>
          <w:szCs w:val="24"/>
          <w:lang w:val="en-IN"/>
        </w:rPr>
      </w:pPr>
      <w:r w:rsidRPr="00AB17CD">
        <w:rPr>
          <w:sz w:val="24"/>
          <w:szCs w:val="24"/>
        </w:rPr>
        <w:t>Encourage the issuance of green bonds by renewable energy companies to attract retail investors.</w:t>
      </w:r>
    </w:p>
    <w:p w14:paraId="14970F65" w14:textId="77777777" w:rsidR="00470BA6" w:rsidRPr="00AB17CD" w:rsidRDefault="00470BA6" w:rsidP="00470BA6">
      <w:pPr>
        <w:numPr>
          <w:ilvl w:val="0"/>
          <w:numId w:val="40"/>
        </w:numPr>
        <w:spacing w:line="360" w:lineRule="auto"/>
        <w:jc w:val="both"/>
        <w:rPr>
          <w:sz w:val="24"/>
          <w:szCs w:val="24"/>
          <w:lang w:val="en-IN"/>
        </w:rPr>
      </w:pPr>
      <w:r w:rsidRPr="00AB17CD">
        <w:rPr>
          <w:sz w:val="24"/>
          <w:szCs w:val="24"/>
        </w:rPr>
        <w:t>Foster collaboration between government agencies, financial institutions, and industry stakeholders to promote retail investme</w:t>
      </w:r>
      <w:r>
        <w:rPr>
          <w:sz w:val="24"/>
          <w:szCs w:val="24"/>
        </w:rPr>
        <w:t>nts.</w:t>
      </w:r>
    </w:p>
    <w:p w14:paraId="69E839BD" w14:textId="77777777" w:rsidR="00470BA6" w:rsidRDefault="00470BA6" w:rsidP="005322CD">
      <w:pPr>
        <w:widowControl/>
        <w:tabs>
          <w:tab w:val="num" w:pos="1440"/>
        </w:tabs>
        <w:autoSpaceDE/>
        <w:autoSpaceDN/>
        <w:spacing w:before="100" w:beforeAutospacing="1" w:after="100" w:afterAutospacing="1" w:line="360" w:lineRule="auto"/>
        <w:jc w:val="both"/>
        <w:rPr>
          <w:b/>
          <w:bCs/>
          <w:sz w:val="24"/>
          <w:szCs w:val="24"/>
          <w:lang w:val="en-IN" w:eastAsia="en-IN"/>
        </w:rPr>
      </w:pPr>
    </w:p>
    <w:p w14:paraId="3D8F90A0" w14:textId="0CD0714C" w:rsidR="00470BA6" w:rsidRDefault="001243E6" w:rsidP="005322CD">
      <w:pPr>
        <w:widowControl/>
        <w:tabs>
          <w:tab w:val="num" w:pos="1440"/>
        </w:tabs>
        <w:autoSpaceDE/>
        <w:autoSpaceDN/>
        <w:spacing w:before="100" w:beforeAutospacing="1" w:after="100" w:afterAutospacing="1" w:line="360" w:lineRule="auto"/>
        <w:jc w:val="both"/>
        <w:rPr>
          <w:b/>
          <w:bCs/>
          <w:sz w:val="28"/>
          <w:szCs w:val="28"/>
          <w:lang w:val="en-IN" w:eastAsia="en-IN"/>
        </w:rPr>
      </w:pPr>
      <w:r>
        <w:rPr>
          <w:b/>
          <w:bCs/>
          <w:sz w:val="28"/>
          <w:szCs w:val="28"/>
          <w:lang w:val="en-IN" w:eastAsia="en-IN"/>
        </w:rPr>
        <w:lastRenderedPageBreak/>
        <w:t>5</w:t>
      </w:r>
      <w:r w:rsidR="00470BA6" w:rsidRPr="00470BA6">
        <w:rPr>
          <w:b/>
          <w:bCs/>
          <w:sz w:val="28"/>
          <w:szCs w:val="28"/>
          <w:lang w:val="en-IN" w:eastAsia="en-IN"/>
        </w:rPr>
        <w:t>- CONCLUSION</w:t>
      </w:r>
    </w:p>
    <w:p w14:paraId="691B7A20" w14:textId="77777777" w:rsidR="00165B3A" w:rsidRPr="00165B3A" w:rsidRDefault="00165B3A" w:rsidP="00165B3A">
      <w:pPr>
        <w:widowControl/>
        <w:tabs>
          <w:tab w:val="num" w:pos="1440"/>
        </w:tabs>
        <w:autoSpaceDE/>
        <w:autoSpaceDN/>
        <w:spacing w:before="100" w:beforeAutospacing="1" w:after="100" w:afterAutospacing="1" w:line="360" w:lineRule="auto"/>
        <w:jc w:val="both"/>
        <w:rPr>
          <w:sz w:val="24"/>
          <w:szCs w:val="24"/>
          <w:lang w:val="en-IN" w:eastAsia="en-IN"/>
        </w:rPr>
      </w:pPr>
      <w:r w:rsidRPr="00165B3A">
        <w:rPr>
          <w:sz w:val="24"/>
          <w:szCs w:val="24"/>
          <w:lang w:val="en-IN" w:eastAsia="en-IN"/>
        </w:rPr>
        <w:t>The research project titled "Analysis of Investment Landscape for Renewable Energy Sector in India" highlights the rapid expansion of India’s renewable energy industry. This surge is driven by ambitious government targets, supportive policy measures, and growing environmental consciousness throughout the country. As a result, the sector is poised to play a pivotal role in not only meeting India’s increasing energy requirements but also in contributing to its global climate change commitments.</w:t>
      </w:r>
    </w:p>
    <w:p w14:paraId="5E2908C5" w14:textId="77777777" w:rsidR="00165B3A" w:rsidRPr="00165B3A" w:rsidRDefault="00165B3A" w:rsidP="00165B3A">
      <w:pPr>
        <w:widowControl/>
        <w:tabs>
          <w:tab w:val="num" w:pos="1440"/>
        </w:tabs>
        <w:autoSpaceDE/>
        <w:autoSpaceDN/>
        <w:spacing w:before="100" w:beforeAutospacing="1" w:after="100" w:afterAutospacing="1" w:line="360" w:lineRule="auto"/>
        <w:jc w:val="both"/>
        <w:rPr>
          <w:sz w:val="24"/>
          <w:szCs w:val="24"/>
          <w:lang w:val="en-IN" w:eastAsia="en-IN"/>
        </w:rPr>
      </w:pPr>
      <w:r w:rsidRPr="00165B3A">
        <w:rPr>
          <w:sz w:val="24"/>
          <w:szCs w:val="24"/>
          <w:lang w:val="en-IN" w:eastAsia="en-IN"/>
        </w:rPr>
        <w:t>Retail investors are emerging as an increasingly important factor in closing the significant financing gap that exists in the sector. Their involvement helps diversify the pool of available funding while also democratizing clean energy investments. This wider public participation encourages broader social support for the country’s shift toward sustainable energy solutions.</w:t>
      </w:r>
    </w:p>
    <w:p w14:paraId="0FBDDE45" w14:textId="77777777" w:rsidR="00165B3A" w:rsidRPr="00165B3A" w:rsidRDefault="00165B3A" w:rsidP="00165B3A">
      <w:pPr>
        <w:widowControl/>
        <w:tabs>
          <w:tab w:val="num" w:pos="1440"/>
        </w:tabs>
        <w:autoSpaceDE/>
        <w:autoSpaceDN/>
        <w:spacing w:before="100" w:beforeAutospacing="1" w:after="100" w:afterAutospacing="1" w:line="360" w:lineRule="auto"/>
        <w:jc w:val="both"/>
        <w:rPr>
          <w:sz w:val="24"/>
          <w:szCs w:val="24"/>
          <w:lang w:val="en-IN" w:eastAsia="en-IN"/>
        </w:rPr>
      </w:pPr>
      <w:r w:rsidRPr="00165B3A">
        <w:rPr>
          <w:sz w:val="24"/>
          <w:szCs w:val="24"/>
          <w:lang w:val="en-IN" w:eastAsia="en-IN"/>
        </w:rPr>
        <w:t>However, several obstacles continue to limit broader retail participation in renewable energy investments. These include a lack of accessible, transparent information about available opportunities, high transaction costs for certain financial instruments, regulatory complexities, and limited public awareness about sector-specific investment options. Together, these issues contribute to a cautious and hesitant approach by retail investors, despite the sector offering attractive risk-return potential.</w:t>
      </w:r>
    </w:p>
    <w:p w14:paraId="0204A84E" w14:textId="77777777" w:rsidR="00165B3A" w:rsidRPr="00165B3A" w:rsidRDefault="00165B3A" w:rsidP="00165B3A">
      <w:pPr>
        <w:widowControl/>
        <w:tabs>
          <w:tab w:val="num" w:pos="1440"/>
        </w:tabs>
        <w:autoSpaceDE/>
        <w:autoSpaceDN/>
        <w:spacing w:before="100" w:beforeAutospacing="1" w:after="100" w:afterAutospacing="1" w:line="360" w:lineRule="auto"/>
        <w:jc w:val="both"/>
        <w:rPr>
          <w:sz w:val="24"/>
          <w:szCs w:val="24"/>
          <w:lang w:val="en-IN" w:eastAsia="en-IN"/>
        </w:rPr>
      </w:pPr>
      <w:r w:rsidRPr="00165B3A">
        <w:rPr>
          <w:sz w:val="24"/>
          <w:szCs w:val="24"/>
          <w:lang w:val="en-IN" w:eastAsia="en-IN"/>
        </w:rPr>
        <w:t>To unlock the full potential of retail investment, improvements in transparency, strong investor education programs, and the creation of innovative, retail-friendly financial products are urgently needed. Digital platforms and streamlined investment processes are expected to play a crucial role in addressing these barriers and making investments in renewable energy more approachable.</w:t>
      </w:r>
    </w:p>
    <w:p w14:paraId="5F5C49C0" w14:textId="04D1B981" w:rsidR="00470BA6" w:rsidRDefault="00165B3A" w:rsidP="005322CD">
      <w:pPr>
        <w:widowControl/>
        <w:tabs>
          <w:tab w:val="num" w:pos="1440"/>
        </w:tabs>
        <w:autoSpaceDE/>
        <w:autoSpaceDN/>
        <w:spacing w:before="100" w:beforeAutospacing="1" w:after="100" w:afterAutospacing="1" w:line="360" w:lineRule="auto"/>
        <w:jc w:val="both"/>
        <w:rPr>
          <w:sz w:val="24"/>
          <w:szCs w:val="24"/>
          <w:lang w:val="en-IN" w:eastAsia="en-IN"/>
        </w:rPr>
      </w:pPr>
      <w:r w:rsidRPr="00165B3A">
        <w:rPr>
          <w:sz w:val="24"/>
          <w:szCs w:val="24"/>
          <w:lang w:val="en-IN" w:eastAsia="en-IN"/>
        </w:rPr>
        <w:t>Retail investments in this sector offer dual advantages — advancing national clean energy and climate objectives while also promoting economic development, job creation, and environmental sustainability. Thus, empowering retail investors through targeted policies and financial innovations is essential for accelerating India’s transition to a greener, more sustainable energy future. In conclusion, while India’s renewable energy sector holds vast promise for retail investors, realizing this potential requires dedicated, collective efforts to overcome current challenges and foster an inclusive, transparent, and accessible investment ecosystem.</w:t>
      </w:r>
    </w:p>
    <w:p w14:paraId="5B740C8E" w14:textId="48A94DA8" w:rsidR="00165B3A" w:rsidRDefault="001243E6" w:rsidP="005322CD">
      <w:pPr>
        <w:widowControl/>
        <w:tabs>
          <w:tab w:val="num" w:pos="1440"/>
        </w:tabs>
        <w:autoSpaceDE/>
        <w:autoSpaceDN/>
        <w:spacing w:before="100" w:beforeAutospacing="1" w:after="100" w:afterAutospacing="1" w:line="360" w:lineRule="auto"/>
        <w:jc w:val="both"/>
        <w:rPr>
          <w:b/>
          <w:bCs/>
          <w:sz w:val="28"/>
          <w:szCs w:val="28"/>
          <w:lang w:val="en-IN" w:eastAsia="en-IN"/>
        </w:rPr>
      </w:pPr>
      <w:r>
        <w:rPr>
          <w:b/>
          <w:bCs/>
          <w:sz w:val="28"/>
          <w:szCs w:val="28"/>
          <w:lang w:val="en-IN" w:eastAsia="en-IN"/>
        </w:rPr>
        <w:lastRenderedPageBreak/>
        <w:t>6</w:t>
      </w:r>
      <w:r w:rsidR="00165B3A" w:rsidRPr="00165B3A">
        <w:rPr>
          <w:b/>
          <w:bCs/>
          <w:sz w:val="28"/>
          <w:szCs w:val="28"/>
          <w:lang w:val="en-IN" w:eastAsia="en-IN"/>
        </w:rPr>
        <w:t xml:space="preserve">- REFERENCES </w:t>
      </w:r>
    </w:p>
    <w:p w14:paraId="617804B5" w14:textId="77777777" w:rsidR="00165B3A" w:rsidRPr="003361D6" w:rsidRDefault="00165B3A" w:rsidP="00165B3A">
      <w:pPr>
        <w:rPr>
          <w:sz w:val="24"/>
          <w:szCs w:val="24"/>
          <w:lang w:val="en-IN"/>
        </w:rPr>
      </w:pPr>
      <w:r w:rsidRPr="003361D6">
        <w:rPr>
          <w:sz w:val="24"/>
          <w:szCs w:val="24"/>
        </w:rPr>
        <w:t xml:space="preserve">1. </w:t>
      </w:r>
      <w:r w:rsidRPr="003361D6">
        <w:rPr>
          <w:i/>
          <w:iCs/>
          <w:sz w:val="24"/>
          <w:szCs w:val="24"/>
          <w:lang w:val="en-IN"/>
        </w:rPr>
        <w:t>India’s renewable energy growth: solar power &amp; more | IBEF</w:t>
      </w:r>
      <w:r w:rsidRPr="003361D6">
        <w:rPr>
          <w:sz w:val="24"/>
          <w:szCs w:val="24"/>
          <w:lang w:val="en-IN"/>
        </w:rPr>
        <w:t xml:space="preserve">. (n.d.). India Brand Equity Foundation. </w:t>
      </w:r>
      <w:hyperlink r:id="rId7" w:history="1">
        <w:r w:rsidRPr="003361D6">
          <w:rPr>
            <w:rStyle w:val="Hyperlink"/>
            <w:sz w:val="24"/>
            <w:szCs w:val="24"/>
            <w:lang w:val="en-IN"/>
          </w:rPr>
          <w:t>https://www.ibef.org/industry/renewable-energy</w:t>
        </w:r>
      </w:hyperlink>
    </w:p>
    <w:p w14:paraId="54596D24" w14:textId="77777777" w:rsidR="00165B3A" w:rsidRPr="003361D6" w:rsidRDefault="00165B3A" w:rsidP="00165B3A">
      <w:pPr>
        <w:rPr>
          <w:sz w:val="24"/>
          <w:szCs w:val="24"/>
          <w:lang w:val="en-IN"/>
        </w:rPr>
      </w:pPr>
    </w:p>
    <w:p w14:paraId="05BCF2AC" w14:textId="77777777" w:rsidR="00165B3A" w:rsidRPr="003361D6" w:rsidRDefault="00165B3A" w:rsidP="00165B3A">
      <w:pPr>
        <w:rPr>
          <w:sz w:val="24"/>
          <w:szCs w:val="24"/>
        </w:rPr>
      </w:pPr>
      <w:r w:rsidRPr="003361D6">
        <w:rPr>
          <w:sz w:val="24"/>
          <w:szCs w:val="24"/>
          <w:lang w:val="en-IN"/>
        </w:rPr>
        <w:t xml:space="preserve">2. </w:t>
      </w:r>
      <w:r w:rsidRPr="003361D6">
        <w:rPr>
          <w:sz w:val="24"/>
          <w:szCs w:val="24"/>
        </w:rPr>
        <w:t xml:space="preserve">CARE Advisory Research and Training Ltd. (2023). </w:t>
      </w:r>
      <w:r w:rsidRPr="003361D6">
        <w:rPr>
          <w:i/>
          <w:iCs/>
          <w:sz w:val="24"/>
          <w:szCs w:val="24"/>
        </w:rPr>
        <w:t>Industry Research Report on Chemicals industry</w:t>
      </w:r>
      <w:r w:rsidRPr="003361D6">
        <w:rPr>
          <w:sz w:val="24"/>
          <w:szCs w:val="24"/>
        </w:rPr>
        <w:t xml:space="preserve">. </w:t>
      </w:r>
      <w:hyperlink r:id="rId8" w:history="1">
        <w:r w:rsidRPr="003361D6">
          <w:rPr>
            <w:rStyle w:val="Hyperlink"/>
            <w:sz w:val="24"/>
            <w:szCs w:val="24"/>
          </w:rPr>
          <w:t>https://www.ireda.in/images/HTMLfiles/23.pdf</w:t>
        </w:r>
      </w:hyperlink>
    </w:p>
    <w:p w14:paraId="3CB655E0" w14:textId="77777777" w:rsidR="00165B3A" w:rsidRPr="003361D6" w:rsidRDefault="00165B3A" w:rsidP="00165B3A">
      <w:pPr>
        <w:rPr>
          <w:sz w:val="24"/>
          <w:szCs w:val="24"/>
        </w:rPr>
      </w:pPr>
    </w:p>
    <w:p w14:paraId="3A093E5A" w14:textId="77777777" w:rsidR="00165B3A" w:rsidRPr="003361D6" w:rsidRDefault="00165B3A" w:rsidP="00165B3A">
      <w:pPr>
        <w:rPr>
          <w:sz w:val="24"/>
          <w:szCs w:val="24"/>
          <w:lang w:val="en-IN"/>
        </w:rPr>
      </w:pPr>
      <w:r w:rsidRPr="003361D6">
        <w:rPr>
          <w:sz w:val="24"/>
          <w:szCs w:val="24"/>
        </w:rPr>
        <w:t xml:space="preserve">3. </w:t>
      </w:r>
      <w:r w:rsidRPr="003361D6">
        <w:rPr>
          <w:sz w:val="24"/>
          <w:szCs w:val="24"/>
          <w:lang w:val="en-IN"/>
        </w:rPr>
        <w:t xml:space="preserve">Central Electricity Authority, Ministry of New and Renewable Energy, DPIIT, IWTMA, News Articles, Central Electricity Authority, Ministry of New and Renewable Energy, </w:t>
      </w:r>
      <w:proofErr w:type="spellStart"/>
      <w:r w:rsidRPr="003361D6">
        <w:rPr>
          <w:sz w:val="24"/>
          <w:szCs w:val="24"/>
          <w:lang w:val="en-IN"/>
        </w:rPr>
        <w:t>Mercom</w:t>
      </w:r>
      <w:proofErr w:type="spellEnd"/>
      <w:r w:rsidRPr="003361D6">
        <w:rPr>
          <w:sz w:val="24"/>
          <w:szCs w:val="24"/>
          <w:lang w:val="en-IN"/>
        </w:rPr>
        <w:t xml:space="preserve"> India, EY, </w:t>
      </w:r>
      <w:proofErr w:type="spellStart"/>
      <w:r w:rsidRPr="003361D6">
        <w:rPr>
          <w:sz w:val="24"/>
          <w:szCs w:val="24"/>
          <w:lang w:val="en-IN"/>
        </w:rPr>
        <w:t>BloombergNEF</w:t>
      </w:r>
      <w:proofErr w:type="spellEnd"/>
      <w:r w:rsidRPr="003361D6">
        <w:rPr>
          <w:sz w:val="24"/>
          <w:szCs w:val="24"/>
          <w:lang w:val="en-IN"/>
        </w:rPr>
        <w:t xml:space="preserve">, &amp; International Renewable Energy Agency. (2025). Renewable energy. In </w:t>
      </w:r>
      <w:r w:rsidRPr="003361D6">
        <w:rPr>
          <w:i/>
          <w:iCs/>
          <w:sz w:val="24"/>
          <w:szCs w:val="24"/>
          <w:lang w:val="en-IN"/>
        </w:rPr>
        <w:t>Renewable Energy</w:t>
      </w:r>
      <w:r w:rsidRPr="003361D6">
        <w:rPr>
          <w:sz w:val="24"/>
          <w:szCs w:val="24"/>
          <w:lang w:val="en-IN"/>
        </w:rPr>
        <w:t xml:space="preserve"> [Report]. </w:t>
      </w:r>
      <w:hyperlink r:id="rId9" w:history="1">
        <w:r w:rsidRPr="003361D6">
          <w:rPr>
            <w:rStyle w:val="Hyperlink"/>
            <w:sz w:val="24"/>
            <w:szCs w:val="24"/>
            <w:lang w:val="en-IN"/>
          </w:rPr>
          <w:t>https://www.ibef.org/download/1744102449_Renewable-Energy-Feb-2025.pdf</w:t>
        </w:r>
      </w:hyperlink>
    </w:p>
    <w:p w14:paraId="0FA9E395" w14:textId="77777777" w:rsidR="00165B3A" w:rsidRPr="003361D6" w:rsidRDefault="00165B3A" w:rsidP="00165B3A">
      <w:pPr>
        <w:rPr>
          <w:sz w:val="24"/>
          <w:szCs w:val="24"/>
          <w:lang w:val="en-IN"/>
        </w:rPr>
      </w:pPr>
    </w:p>
    <w:p w14:paraId="038C794A" w14:textId="77777777" w:rsidR="00165B3A" w:rsidRPr="003361D6" w:rsidRDefault="00165B3A" w:rsidP="00165B3A">
      <w:pPr>
        <w:rPr>
          <w:sz w:val="24"/>
          <w:szCs w:val="24"/>
        </w:rPr>
      </w:pPr>
      <w:r w:rsidRPr="003361D6">
        <w:rPr>
          <w:sz w:val="24"/>
          <w:szCs w:val="24"/>
          <w:lang w:val="en-IN"/>
        </w:rPr>
        <w:t xml:space="preserve">4. </w:t>
      </w:r>
      <w:r w:rsidRPr="003361D6">
        <w:rPr>
          <w:sz w:val="24"/>
          <w:szCs w:val="24"/>
        </w:rPr>
        <w:t xml:space="preserve">Ministry of New and Renewable Energy. (2023). </w:t>
      </w:r>
      <w:r w:rsidRPr="003361D6">
        <w:rPr>
          <w:i/>
          <w:iCs/>
          <w:sz w:val="24"/>
          <w:szCs w:val="24"/>
        </w:rPr>
        <w:t>India’s renewable energy boom: the power of solar and beyond</w:t>
      </w:r>
      <w:r w:rsidRPr="003361D6">
        <w:rPr>
          <w:sz w:val="24"/>
          <w:szCs w:val="24"/>
        </w:rPr>
        <w:t xml:space="preserve">. </w:t>
      </w:r>
      <w:hyperlink r:id="rId10" w:history="1">
        <w:r w:rsidRPr="003361D6">
          <w:rPr>
            <w:rStyle w:val="Hyperlink"/>
            <w:sz w:val="24"/>
            <w:szCs w:val="24"/>
          </w:rPr>
          <w:t>https://www.ibef.org/download/India-Renewable-Energy-Boom-The-Power-of-Solar-and-Beyond.pdf</w:t>
        </w:r>
      </w:hyperlink>
    </w:p>
    <w:p w14:paraId="3F15BB2A" w14:textId="77777777" w:rsidR="00165B3A" w:rsidRPr="003361D6" w:rsidRDefault="00165B3A" w:rsidP="00165B3A">
      <w:pPr>
        <w:rPr>
          <w:sz w:val="24"/>
          <w:szCs w:val="24"/>
        </w:rPr>
      </w:pPr>
    </w:p>
    <w:p w14:paraId="3FBA0556" w14:textId="77777777" w:rsidR="00165B3A" w:rsidRPr="003361D6" w:rsidRDefault="00165B3A" w:rsidP="00165B3A">
      <w:pPr>
        <w:rPr>
          <w:sz w:val="24"/>
          <w:szCs w:val="24"/>
          <w:lang w:val="en-IN"/>
        </w:rPr>
      </w:pPr>
      <w:r w:rsidRPr="003361D6">
        <w:rPr>
          <w:sz w:val="24"/>
          <w:szCs w:val="24"/>
        </w:rPr>
        <w:t xml:space="preserve">5. </w:t>
      </w:r>
      <w:r w:rsidRPr="003361D6">
        <w:rPr>
          <w:sz w:val="24"/>
          <w:szCs w:val="24"/>
          <w:lang w:val="en-IN"/>
        </w:rPr>
        <w:t xml:space="preserve">Limited, M. a. P. (n.d.). </w:t>
      </w:r>
      <w:r w:rsidRPr="003361D6">
        <w:rPr>
          <w:i/>
          <w:iCs/>
          <w:sz w:val="24"/>
          <w:szCs w:val="24"/>
          <w:lang w:val="en-IN"/>
        </w:rPr>
        <w:t>Premier Energies Ltd share price | About Premier Energies | Key Insights - Screener</w:t>
      </w:r>
      <w:r w:rsidRPr="003361D6">
        <w:rPr>
          <w:sz w:val="24"/>
          <w:szCs w:val="24"/>
          <w:lang w:val="en-IN"/>
        </w:rPr>
        <w:t xml:space="preserve">. </w:t>
      </w:r>
      <w:hyperlink r:id="rId11" w:history="1">
        <w:r w:rsidRPr="003361D6">
          <w:rPr>
            <w:rStyle w:val="Hyperlink"/>
            <w:sz w:val="24"/>
            <w:szCs w:val="24"/>
            <w:lang w:val="en-IN"/>
          </w:rPr>
          <w:t>https://www.screener.in/company/PREMIERENE/consolidated/</w:t>
        </w:r>
      </w:hyperlink>
    </w:p>
    <w:p w14:paraId="5E6B8E3B" w14:textId="77777777" w:rsidR="00165B3A" w:rsidRPr="003361D6" w:rsidRDefault="00165B3A" w:rsidP="00165B3A">
      <w:pPr>
        <w:rPr>
          <w:sz w:val="24"/>
          <w:szCs w:val="24"/>
          <w:lang w:val="en-IN"/>
        </w:rPr>
      </w:pPr>
    </w:p>
    <w:p w14:paraId="5F3C4D0A" w14:textId="77777777" w:rsidR="00165B3A" w:rsidRPr="003361D6" w:rsidRDefault="00165B3A" w:rsidP="00165B3A">
      <w:pPr>
        <w:rPr>
          <w:sz w:val="24"/>
          <w:szCs w:val="24"/>
        </w:rPr>
      </w:pPr>
      <w:r w:rsidRPr="003361D6">
        <w:rPr>
          <w:sz w:val="24"/>
          <w:szCs w:val="24"/>
          <w:lang w:val="en-IN"/>
        </w:rPr>
        <w:t xml:space="preserve">6. </w:t>
      </w:r>
      <w:r w:rsidRPr="003361D6">
        <w:rPr>
          <w:sz w:val="24"/>
          <w:szCs w:val="24"/>
        </w:rPr>
        <w:t xml:space="preserve">Limited, M. a. P. (n.d.-b). </w:t>
      </w:r>
      <w:r w:rsidRPr="003361D6">
        <w:rPr>
          <w:i/>
          <w:iCs/>
          <w:sz w:val="24"/>
          <w:szCs w:val="24"/>
        </w:rPr>
        <w:t>Tata Power Company Ltd share price | About Tata Power Co. | Key Insights - Screener</w:t>
      </w:r>
      <w:r w:rsidRPr="003361D6">
        <w:rPr>
          <w:sz w:val="24"/>
          <w:szCs w:val="24"/>
        </w:rPr>
        <w:t xml:space="preserve">. </w:t>
      </w:r>
      <w:hyperlink r:id="rId12" w:history="1">
        <w:r w:rsidRPr="003361D6">
          <w:rPr>
            <w:rStyle w:val="Hyperlink"/>
            <w:sz w:val="24"/>
            <w:szCs w:val="24"/>
          </w:rPr>
          <w:t>https://www.screener.in/company/TATAPOWER/consolidated/</w:t>
        </w:r>
      </w:hyperlink>
    </w:p>
    <w:p w14:paraId="27647025" w14:textId="77777777" w:rsidR="00165B3A" w:rsidRPr="003361D6" w:rsidRDefault="00165B3A" w:rsidP="00165B3A">
      <w:pPr>
        <w:rPr>
          <w:sz w:val="24"/>
          <w:szCs w:val="24"/>
        </w:rPr>
      </w:pPr>
    </w:p>
    <w:p w14:paraId="532F0A6A" w14:textId="77777777" w:rsidR="00165B3A" w:rsidRPr="003361D6" w:rsidRDefault="00165B3A" w:rsidP="00165B3A">
      <w:pPr>
        <w:rPr>
          <w:sz w:val="24"/>
          <w:szCs w:val="24"/>
          <w:lang w:val="en-IN"/>
        </w:rPr>
      </w:pPr>
      <w:r w:rsidRPr="003361D6">
        <w:rPr>
          <w:sz w:val="24"/>
          <w:szCs w:val="24"/>
        </w:rPr>
        <w:t xml:space="preserve">7. </w:t>
      </w:r>
      <w:r w:rsidRPr="003361D6">
        <w:rPr>
          <w:sz w:val="24"/>
          <w:szCs w:val="24"/>
          <w:lang w:val="en-IN"/>
        </w:rPr>
        <w:t xml:space="preserve">Limited, M. a. P. (n.d.-a). </w:t>
      </w:r>
      <w:r w:rsidRPr="003361D6">
        <w:rPr>
          <w:i/>
          <w:iCs/>
          <w:sz w:val="24"/>
          <w:szCs w:val="24"/>
          <w:lang w:val="en-IN"/>
        </w:rPr>
        <w:t>Adani Green Energy Ltd share price | About Adani Green | Key Insights - Screener</w:t>
      </w:r>
      <w:r w:rsidRPr="003361D6">
        <w:rPr>
          <w:sz w:val="24"/>
          <w:szCs w:val="24"/>
          <w:lang w:val="en-IN"/>
        </w:rPr>
        <w:t xml:space="preserve">. </w:t>
      </w:r>
      <w:hyperlink r:id="rId13" w:history="1">
        <w:r w:rsidRPr="003361D6">
          <w:rPr>
            <w:rStyle w:val="Hyperlink"/>
            <w:sz w:val="24"/>
            <w:szCs w:val="24"/>
            <w:lang w:val="en-IN"/>
          </w:rPr>
          <w:t>https://www.screener.in/company/ADANIGREEN/consolidated/</w:t>
        </w:r>
      </w:hyperlink>
    </w:p>
    <w:p w14:paraId="4EAF6F94" w14:textId="77777777" w:rsidR="00165B3A" w:rsidRPr="003361D6" w:rsidRDefault="00165B3A" w:rsidP="00165B3A">
      <w:pPr>
        <w:rPr>
          <w:sz w:val="24"/>
          <w:szCs w:val="24"/>
          <w:lang w:val="en-IN"/>
        </w:rPr>
      </w:pPr>
    </w:p>
    <w:p w14:paraId="3B587042" w14:textId="77777777" w:rsidR="00165B3A" w:rsidRPr="003361D6" w:rsidRDefault="00165B3A" w:rsidP="00165B3A">
      <w:pPr>
        <w:rPr>
          <w:sz w:val="24"/>
          <w:szCs w:val="24"/>
        </w:rPr>
      </w:pPr>
      <w:r w:rsidRPr="003361D6">
        <w:rPr>
          <w:sz w:val="24"/>
          <w:szCs w:val="24"/>
          <w:lang w:val="en-IN"/>
        </w:rPr>
        <w:t xml:space="preserve">8. </w:t>
      </w:r>
      <w:r w:rsidRPr="003361D6">
        <w:rPr>
          <w:sz w:val="24"/>
          <w:szCs w:val="24"/>
        </w:rPr>
        <w:t xml:space="preserve">Limited, M. a. P. (n.d.-c). </w:t>
      </w:r>
      <w:r w:rsidRPr="003361D6">
        <w:rPr>
          <w:i/>
          <w:iCs/>
          <w:sz w:val="24"/>
          <w:szCs w:val="24"/>
        </w:rPr>
        <w:t>Suzlon Energy Ltd share price | About Suzlon Energy | Key Insights - Screener</w:t>
      </w:r>
      <w:r w:rsidRPr="003361D6">
        <w:rPr>
          <w:sz w:val="24"/>
          <w:szCs w:val="24"/>
        </w:rPr>
        <w:t xml:space="preserve">. </w:t>
      </w:r>
      <w:hyperlink r:id="rId14" w:history="1">
        <w:r w:rsidRPr="003361D6">
          <w:rPr>
            <w:rStyle w:val="Hyperlink"/>
            <w:sz w:val="24"/>
            <w:szCs w:val="24"/>
          </w:rPr>
          <w:t>https://www.screener.in/company/SUZLON/consolidated/</w:t>
        </w:r>
      </w:hyperlink>
    </w:p>
    <w:p w14:paraId="4AD7789B" w14:textId="77777777" w:rsidR="00165B3A" w:rsidRPr="003361D6" w:rsidRDefault="00165B3A" w:rsidP="00165B3A">
      <w:pPr>
        <w:rPr>
          <w:sz w:val="24"/>
          <w:szCs w:val="24"/>
        </w:rPr>
      </w:pPr>
    </w:p>
    <w:p w14:paraId="473AA9F9" w14:textId="77777777" w:rsidR="00165B3A" w:rsidRPr="003361D6" w:rsidRDefault="00165B3A" w:rsidP="00165B3A">
      <w:pPr>
        <w:rPr>
          <w:sz w:val="24"/>
          <w:szCs w:val="24"/>
          <w:lang w:val="en-IN"/>
        </w:rPr>
      </w:pPr>
      <w:r w:rsidRPr="003361D6">
        <w:rPr>
          <w:sz w:val="24"/>
          <w:szCs w:val="24"/>
        </w:rPr>
        <w:t xml:space="preserve">9. </w:t>
      </w:r>
      <w:r w:rsidRPr="003361D6">
        <w:rPr>
          <w:i/>
          <w:iCs/>
          <w:sz w:val="24"/>
          <w:szCs w:val="24"/>
          <w:lang w:val="en-IN"/>
        </w:rPr>
        <w:t xml:space="preserve">Coin by </w:t>
      </w:r>
      <w:proofErr w:type="spellStart"/>
      <w:r w:rsidRPr="003361D6">
        <w:rPr>
          <w:i/>
          <w:iCs/>
          <w:sz w:val="24"/>
          <w:szCs w:val="24"/>
          <w:lang w:val="en-IN"/>
        </w:rPr>
        <w:t>Zerodha</w:t>
      </w:r>
      <w:proofErr w:type="spellEnd"/>
      <w:r w:rsidRPr="003361D6">
        <w:rPr>
          <w:sz w:val="24"/>
          <w:szCs w:val="24"/>
          <w:lang w:val="en-IN"/>
        </w:rPr>
        <w:t xml:space="preserve">. (n.d.). </w:t>
      </w:r>
      <w:hyperlink r:id="rId15" w:history="1">
        <w:r w:rsidRPr="003361D6">
          <w:rPr>
            <w:rStyle w:val="Hyperlink"/>
            <w:sz w:val="24"/>
            <w:szCs w:val="24"/>
            <w:lang w:val="en-IN"/>
          </w:rPr>
          <w:t>https://coin.zerodha.com/mf/fund/INF277K015B9/tata-resources-energy-fund-direct-growth</w:t>
        </w:r>
      </w:hyperlink>
    </w:p>
    <w:p w14:paraId="3097A33A" w14:textId="77777777" w:rsidR="00165B3A" w:rsidRPr="003361D6" w:rsidRDefault="00165B3A" w:rsidP="00165B3A">
      <w:pPr>
        <w:rPr>
          <w:sz w:val="24"/>
          <w:szCs w:val="24"/>
          <w:lang w:val="en-IN"/>
        </w:rPr>
      </w:pPr>
    </w:p>
    <w:p w14:paraId="445DC5E1" w14:textId="77777777" w:rsidR="00165B3A" w:rsidRPr="003361D6" w:rsidRDefault="00165B3A" w:rsidP="00165B3A">
      <w:pPr>
        <w:rPr>
          <w:sz w:val="24"/>
          <w:szCs w:val="24"/>
        </w:rPr>
      </w:pPr>
      <w:r w:rsidRPr="003361D6">
        <w:rPr>
          <w:sz w:val="24"/>
          <w:szCs w:val="24"/>
          <w:lang w:val="en-IN"/>
        </w:rPr>
        <w:t xml:space="preserve">10. </w:t>
      </w:r>
      <w:r w:rsidRPr="003361D6">
        <w:rPr>
          <w:i/>
          <w:iCs/>
          <w:sz w:val="24"/>
          <w:szCs w:val="24"/>
        </w:rPr>
        <w:t xml:space="preserve">Coin by </w:t>
      </w:r>
      <w:proofErr w:type="spellStart"/>
      <w:r w:rsidRPr="003361D6">
        <w:rPr>
          <w:i/>
          <w:iCs/>
          <w:sz w:val="24"/>
          <w:szCs w:val="24"/>
        </w:rPr>
        <w:t>Zerodha</w:t>
      </w:r>
      <w:proofErr w:type="spellEnd"/>
      <w:r w:rsidRPr="003361D6">
        <w:rPr>
          <w:sz w:val="24"/>
          <w:szCs w:val="24"/>
        </w:rPr>
        <w:t xml:space="preserve">. (n.d.-b). </w:t>
      </w:r>
      <w:hyperlink r:id="rId16" w:history="1">
        <w:r w:rsidRPr="003361D6">
          <w:rPr>
            <w:rStyle w:val="Hyperlink"/>
            <w:sz w:val="24"/>
            <w:szCs w:val="24"/>
          </w:rPr>
          <w:t>https://coin.zerodha.com/mf/fund/INF740K01QA7/dsp-natural-resources-and-new-energy-fund-direct-growth</w:t>
        </w:r>
      </w:hyperlink>
    </w:p>
    <w:p w14:paraId="5C7D3276" w14:textId="77777777" w:rsidR="00165B3A" w:rsidRPr="003361D6" w:rsidRDefault="00165B3A" w:rsidP="00165B3A">
      <w:pPr>
        <w:rPr>
          <w:sz w:val="24"/>
          <w:szCs w:val="24"/>
        </w:rPr>
      </w:pPr>
    </w:p>
    <w:p w14:paraId="4A05BE05" w14:textId="77777777" w:rsidR="00165B3A" w:rsidRDefault="00165B3A" w:rsidP="00165B3A">
      <w:pPr>
        <w:rPr>
          <w:sz w:val="24"/>
          <w:szCs w:val="24"/>
          <w:lang w:val="en-IN"/>
        </w:rPr>
      </w:pPr>
      <w:r w:rsidRPr="003361D6">
        <w:rPr>
          <w:sz w:val="24"/>
          <w:szCs w:val="24"/>
        </w:rPr>
        <w:t xml:space="preserve">11. </w:t>
      </w:r>
      <w:proofErr w:type="spellStart"/>
      <w:r w:rsidRPr="003361D6">
        <w:rPr>
          <w:sz w:val="24"/>
          <w:szCs w:val="24"/>
          <w:lang w:val="en-IN"/>
        </w:rPr>
        <w:t>Equitymaster</w:t>
      </w:r>
      <w:proofErr w:type="spellEnd"/>
      <w:r w:rsidRPr="003361D6">
        <w:rPr>
          <w:sz w:val="24"/>
          <w:szCs w:val="24"/>
          <w:lang w:val="en-IN"/>
        </w:rPr>
        <w:t xml:space="preserve">. (n.d.). IREDA: Leading the charge in India’s green energy revolution. </w:t>
      </w:r>
      <w:proofErr w:type="spellStart"/>
      <w:r w:rsidRPr="003361D6">
        <w:rPr>
          <w:i/>
          <w:iCs/>
          <w:sz w:val="24"/>
          <w:szCs w:val="24"/>
          <w:lang w:val="en-IN"/>
        </w:rPr>
        <w:t>Equitymaster</w:t>
      </w:r>
      <w:proofErr w:type="spellEnd"/>
      <w:r w:rsidRPr="003361D6">
        <w:rPr>
          <w:sz w:val="24"/>
          <w:szCs w:val="24"/>
          <w:lang w:val="en-IN"/>
        </w:rPr>
        <w:t xml:space="preserve">. </w:t>
      </w:r>
      <w:hyperlink r:id="rId17" w:history="1">
        <w:r w:rsidRPr="003361D6">
          <w:rPr>
            <w:rStyle w:val="Hyperlink"/>
            <w:sz w:val="24"/>
            <w:szCs w:val="24"/>
            <w:lang w:val="en-IN"/>
          </w:rPr>
          <w:t>https://www.equitymaster.com/detail.asp?date=04/02/2024&amp;story=1&amp;title=IREDA-Leading-the-Charge-in-Indias-Green-Energy-Revolution</w:t>
        </w:r>
      </w:hyperlink>
    </w:p>
    <w:p w14:paraId="5EE565AC" w14:textId="77777777" w:rsidR="00165B3A" w:rsidRPr="00165B3A" w:rsidRDefault="00165B3A" w:rsidP="005322CD">
      <w:pPr>
        <w:widowControl/>
        <w:tabs>
          <w:tab w:val="num" w:pos="1440"/>
        </w:tabs>
        <w:autoSpaceDE/>
        <w:autoSpaceDN/>
        <w:spacing w:before="100" w:beforeAutospacing="1" w:after="100" w:afterAutospacing="1" w:line="360" w:lineRule="auto"/>
        <w:jc w:val="both"/>
        <w:rPr>
          <w:b/>
          <w:bCs/>
          <w:sz w:val="28"/>
          <w:szCs w:val="28"/>
          <w:lang w:val="en-IN" w:eastAsia="en-IN"/>
        </w:rPr>
      </w:pPr>
    </w:p>
    <w:p w14:paraId="01C3EA58" w14:textId="77777777" w:rsidR="00AE63A9" w:rsidRPr="00AE63A9" w:rsidRDefault="00AE63A9" w:rsidP="000E1D4C">
      <w:pPr>
        <w:spacing w:before="52" w:line="360" w:lineRule="auto"/>
        <w:ind w:right="285"/>
        <w:jc w:val="both"/>
        <w:rPr>
          <w:b/>
          <w:bCs/>
          <w:sz w:val="24"/>
          <w:lang w:val="en-IN"/>
        </w:rPr>
      </w:pPr>
    </w:p>
    <w:sectPr w:rsidR="00AE63A9" w:rsidRPr="00AE63A9" w:rsidSect="002A617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65F"/>
    <w:multiLevelType w:val="hybridMultilevel"/>
    <w:tmpl w:val="9326BCC4"/>
    <w:lvl w:ilvl="0" w:tplc="468CE32C">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01264C"/>
    <w:multiLevelType w:val="multilevel"/>
    <w:tmpl w:val="B8343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0427C"/>
    <w:multiLevelType w:val="hybridMultilevel"/>
    <w:tmpl w:val="9F52B5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0C2D5AFB"/>
    <w:multiLevelType w:val="multilevel"/>
    <w:tmpl w:val="3F54F54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2F2664"/>
    <w:multiLevelType w:val="multilevel"/>
    <w:tmpl w:val="F7F4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A9443F"/>
    <w:multiLevelType w:val="multilevel"/>
    <w:tmpl w:val="CA0CA4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BE05EB"/>
    <w:multiLevelType w:val="hybridMultilevel"/>
    <w:tmpl w:val="883CF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255280"/>
    <w:multiLevelType w:val="multilevel"/>
    <w:tmpl w:val="864A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FC0565"/>
    <w:multiLevelType w:val="hybridMultilevel"/>
    <w:tmpl w:val="4F7221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90F02A4"/>
    <w:multiLevelType w:val="hybridMultilevel"/>
    <w:tmpl w:val="7B88999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0" w15:restartNumberingAfterBreak="0">
    <w:nsid w:val="1C911B3F"/>
    <w:multiLevelType w:val="multilevel"/>
    <w:tmpl w:val="F5BE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7704FB"/>
    <w:multiLevelType w:val="multilevel"/>
    <w:tmpl w:val="92BA6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B55F2E"/>
    <w:multiLevelType w:val="multilevel"/>
    <w:tmpl w:val="4E4E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C651BB"/>
    <w:multiLevelType w:val="hybridMultilevel"/>
    <w:tmpl w:val="530C4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EF815BF"/>
    <w:multiLevelType w:val="multilevel"/>
    <w:tmpl w:val="D968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D654EC"/>
    <w:multiLevelType w:val="multilevel"/>
    <w:tmpl w:val="5F6AE1A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189090E"/>
    <w:multiLevelType w:val="hybridMultilevel"/>
    <w:tmpl w:val="BFE68F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7" w15:restartNumberingAfterBreak="0">
    <w:nsid w:val="32621964"/>
    <w:multiLevelType w:val="hybridMultilevel"/>
    <w:tmpl w:val="B62AF8C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8" w15:restartNumberingAfterBreak="0">
    <w:nsid w:val="364F3F92"/>
    <w:multiLevelType w:val="multilevel"/>
    <w:tmpl w:val="0B18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DC6205B"/>
    <w:multiLevelType w:val="multilevel"/>
    <w:tmpl w:val="16CE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2A24AB"/>
    <w:multiLevelType w:val="multilevel"/>
    <w:tmpl w:val="CDBC5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052582D"/>
    <w:multiLevelType w:val="multilevel"/>
    <w:tmpl w:val="EBA254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2DD612E"/>
    <w:multiLevelType w:val="hybridMultilevel"/>
    <w:tmpl w:val="C23020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6265BC5"/>
    <w:multiLevelType w:val="multilevel"/>
    <w:tmpl w:val="3B2C6EA2"/>
    <w:lvl w:ilvl="0">
      <w:start w:val="1"/>
      <w:numFmt w:val="decimal"/>
      <w:lvlText w:val="%1."/>
      <w:lvlJc w:val="left"/>
      <w:pPr>
        <w:ind w:left="720" w:hanging="360"/>
      </w:pPr>
      <w:rPr>
        <w:rFonts w:hint="default"/>
        <w:b/>
        <w:bCs/>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6A61784"/>
    <w:multiLevelType w:val="hybridMultilevel"/>
    <w:tmpl w:val="BA70E6D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5" w15:restartNumberingAfterBreak="0">
    <w:nsid w:val="495C15EC"/>
    <w:multiLevelType w:val="multilevel"/>
    <w:tmpl w:val="7AF6A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D7347E"/>
    <w:multiLevelType w:val="multilevel"/>
    <w:tmpl w:val="114842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CD9679D"/>
    <w:multiLevelType w:val="multilevel"/>
    <w:tmpl w:val="65E8F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281321"/>
    <w:multiLevelType w:val="multilevel"/>
    <w:tmpl w:val="3FDE9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F7F06"/>
    <w:multiLevelType w:val="hybridMultilevel"/>
    <w:tmpl w:val="FA4AB0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0" w15:restartNumberingAfterBreak="0">
    <w:nsid w:val="5EEC5ABB"/>
    <w:multiLevelType w:val="hybridMultilevel"/>
    <w:tmpl w:val="11540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015428E"/>
    <w:multiLevelType w:val="hybridMultilevel"/>
    <w:tmpl w:val="185242E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2" w15:restartNumberingAfterBreak="0">
    <w:nsid w:val="60D3446C"/>
    <w:multiLevelType w:val="hybridMultilevel"/>
    <w:tmpl w:val="4052149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3" w15:restartNumberingAfterBreak="0">
    <w:nsid w:val="69BF7F84"/>
    <w:multiLevelType w:val="multilevel"/>
    <w:tmpl w:val="6366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97884"/>
    <w:multiLevelType w:val="hybridMultilevel"/>
    <w:tmpl w:val="5140615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5" w15:restartNumberingAfterBreak="0">
    <w:nsid w:val="6F170F63"/>
    <w:multiLevelType w:val="hybridMultilevel"/>
    <w:tmpl w:val="C3A66628"/>
    <w:lvl w:ilvl="0" w:tplc="7BAE55F8">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2D35DEE"/>
    <w:multiLevelType w:val="hybridMultilevel"/>
    <w:tmpl w:val="84065F4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7" w15:restartNumberingAfterBreak="0">
    <w:nsid w:val="76AF7880"/>
    <w:multiLevelType w:val="hybridMultilevel"/>
    <w:tmpl w:val="10E8D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8BF18C0"/>
    <w:multiLevelType w:val="multilevel"/>
    <w:tmpl w:val="6E204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F94B8F"/>
    <w:multiLevelType w:val="multilevel"/>
    <w:tmpl w:val="C358B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65813926">
    <w:abstractNumId w:val="21"/>
  </w:num>
  <w:num w:numId="2" w16cid:durableId="633944145">
    <w:abstractNumId w:val="13"/>
  </w:num>
  <w:num w:numId="3" w16cid:durableId="228006593">
    <w:abstractNumId w:val="35"/>
  </w:num>
  <w:num w:numId="4" w16cid:durableId="1627588495">
    <w:abstractNumId w:val="33"/>
  </w:num>
  <w:num w:numId="5" w16cid:durableId="1860583405">
    <w:abstractNumId w:val="12"/>
  </w:num>
  <w:num w:numId="6" w16cid:durableId="1709063177">
    <w:abstractNumId w:val="11"/>
  </w:num>
  <w:num w:numId="7" w16cid:durableId="969165463">
    <w:abstractNumId w:val="15"/>
  </w:num>
  <w:num w:numId="8" w16cid:durableId="843130694">
    <w:abstractNumId w:val="28"/>
  </w:num>
  <w:num w:numId="9" w16cid:durableId="2142265187">
    <w:abstractNumId w:val="27"/>
  </w:num>
  <w:num w:numId="10" w16cid:durableId="1994482768">
    <w:abstractNumId w:val="20"/>
  </w:num>
  <w:num w:numId="11" w16cid:durableId="797256429">
    <w:abstractNumId w:val="23"/>
  </w:num>
  <w:num w:numId="12" w16cid:durableId="1914391573">
    <w:abstractNumId w:val="25"/>
  </w:num>
  <w:num w:numId="13" w16cid:durableId="28799636">
    <w:abstractNumId w:val="32"/>
  </w:num>
  <w:num w:numId="14" w16cid:durableId="610892896">
    <w:abstractNumId w:val="24"/>
  </w:num>
  <w:num w:numId="15" w16cid:durableId="518205033">
    <w:abstractNumId w:val="16"/>
  </w:num>
  <w:num w:numId="16" w16cid:durableId="1563906002">
    <w:abstractNumId w:val="34"/>
  </w:num>
  <w:num w:numId="17" w16cid:durableId="2024210637">
    <w:abstractNumId w:val="36"/>
  </w:num>
  <w:num w:numId="18" w16cid:durableId="448011575">
    <w:abstractNumId w:val="5"/>
  </w:num>
  <w:num w:numId="19" w16cid:durableId="972563428">
    <w:abstractNumId w:val="2"/>
  </w:num>
  <w:num w:numId="20" w16cid:durableId="1690376748">
    <w:abstractNumId w:val="17"/>
  </w:num>
  <w:num w:numId="21" w16cid:durableId="14961577">
    <w:abstractNumId w:val="3"/>
  </w:num>
  <w:num w:numId="22" w16cid:durableId="187765015">
    <w:abstractNumId w:val="31"/>
  </w:num>
  <w:num w:numId="23" w16cid:durableId="2044623575">
    <w:abstractNumId w:val="29"/>
  </w:num>
  <w:num w:numId="24" w16cid:durableId="1332445092">
    <w:abstractNumId w:val="9"/>
  </w:num>
  <w:num w:numId="25" w16cid:durableId="602808979">
    <w:abstractNumId w:val="8"/>
  </w:num>
  <w:num w:numId="26" w16cid:durableId="1439912356">
    <w:abstractNumId w:val="0"/>
  </w:num>
  <w:num w:numId="27" w16cid:durableId="1138959326">
    <w:abstractNumId w:val="22"/>
  </w:num>
  <w:num w:numId="28" w16cid:durableId="1842088539">
    <w:abstractNumId w:val="38"/>
  </w:num>
  <w:num w:numId="29" w16cid:durableId="1890720184">
    <w:abstractNumId w:val="30"/>
  </w:num>
  <w:num w:numId="30" w16cid:durableId="1139834699">
    <w:abstractNumId w:val="10"/>
  </w:num>
  <w:num w:numId="31" w16cid:durableId="164708602">
    <w:abstractNumId w:val="14"/>
  </w:num>
  <w:num w:numId="32" w16cid:durableId="901215852">
    <w:abstractNumId w:val="39"/>
  </w:num>
  <w:num w:numId="33" w16cid:durableId="1139692527">
    <w:abstractNumId w:val="26"/>
  </w:num>
  <w:num w:numId="34" w16cid:durableId="2018187081">
    <w:abstractNumId w:val="19"/>
  </w:num>
  <w:num w:numId="35" w16cid:durableId="776216868">
    <w:abstractNumId w:val="4"/>
  </w:num>
  <w:num w:numId="36" w16cid:durableId="866600568">
    <w:abstractNumId w:val="1"/>
  </w:num>
  <w:num w:numId="37" w16cid:durableId="1969703560">
    <w:abstractNumId w:val="6"/>
  </w:num>
  <w:num w:numId="38" w16cid:durableId="623542251">
    <w:abstractNumId w:val="7"/>
  </w:num>
  <w:num w:numId="39" w16cid:durableId="968434322">
    <w:abstractNumId w:val="37"/>
  </w:num>
  <w:num w:numId="40" w16cid:durableId="1189180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17D"/>
    <w:rsid w:val="00015DDC"/>
    <w:rsid w:val="0002153B"/>
    <w:rsid w:val="00023A8A"/>
    <w:rsid w:val="00042625"/>
    <w:rsid w:val="0005305F"/>
    <w:rsid w:val="00062124"/>
    <w:rsid w:val="000759C2"/>
    <w:rsid w:val="00075A47"/>
    <w:rsid w:val="000A4069"/>
    <w:rsid w:val="000A7F84"/>
    <w:rsid w:val="000B3900"/>
    <w:rsid w:val="000B4416"/>
    <w:rsid w:val="000C1D0A"/>
    <w:rsid w:val="000E1D4C"/>
    <w:rsid w:val="001243E6"/>
    <w:rsid w:val="001336AE"/>
    <w:rsid w:val="00165B3A"/>
    <w:rsid w:val="00194964"/>
    <w:rsid w:val="001A210B"/>
    <w:rsid w:val="001D5685"/>
    <w:rsid w:val="00211A2B"/>
    <w:rsid w:val="0022221D"/>
    <w:rsid w:val="002346A3"/>
    <w:rsid w:val="00273F11"/>
    <w:rsid w:val="00285AB5"/>
    <w:rsid w:val="002A617D"/>
    <w:rsid w:val="002E7992"/>
    <w:rsid w:val="003678DE"/>
    <w:rsid w:val="003715DC"/>
    <w:rsid w:val="00391674"/>
    <w:rsid w:val="003C14AA"/>
    <w:rsid w:val="003D0E90"/>
    <w:rsid w:val="003E21F7"/>
    <w:rsid w:val="003F13E7"/>
    <w:rsid w:val="00404C64"/>
    <w:rsid w:val="00415B26"/>
    <w:rsid w:val="00430BF3"/>
    <w:rsid w:val="00431EF9"/>
    <w:rsid w:val="00437E6C"/>
    <w:rsid w:val="00451A1C"/>
    <w:rsid w:val="00470BA6"/>
    <w:rsid w:val="004A39A9"/>
    <w:rsid w:val="004F08A4"/>
    <w:rsid w:val="0051645F"/>
    <w:rsid w:val="005322CD"/>
    <w:rsid w:val="0053716C"/>
    <w:rsid w:val="005509B7"/>
    <w:rsid w:val="00564722"/>
    <w:rsid w:val="00567BAE"/>
    <w:rsid w:val="005B4942"/>
    <w:rsid w:val="00647748"/>
    <w:rsid w:val="006523F6"/>
    <w:rsid w:val="00657D0D"/>
    <w:rsid w:val="006849FB"/>
    <w:rsid w:val="006D228E"/>
    <w:rsid w:val="007042F3"/>
    <w:rsid w:val="00737C2C"/>
    <w:rsid w:val="007A31D3"/>
    <w:rsid w:val="007A5EED"/>
    <w:rsid w:val="007B004B"/>
    <w:rsid w:val="007D7071"/>
    <w:rsid w:val="007F029C"/>
    <w:rsid w:val="007F1E7C"/>
    <w:rsid w:val="008033FE"/>
    <w:rsid w:val="00821E0A"/>
    <w:rsid w:val="00866A0B"/>
    <w:rsid w:val="00866C86"/>
    <w:rsid w:val="00875E90"/>
    <w:rsid w:val="008A7028"/>
    <w:rsid w:val="008D28F2"/>
    <w:rsid w:val="009036D2"/>
    <w:rsid w:val="00912BDC"/>
    <w:rsid w:val="009219C3"/>
    <w:rsid w:val="0099189B"/>
    <w:rsid w:val="009F32CE"/>
    <w:rsid w:val="00A14378"/>
    <w:rsid w:val="00A226BB"/>
    <w:rsid w:val="00A662BD"/>
    <w:rsid w:val="00AC42DC"/>
    <w:rsid w:val="00AD0B8C"/>
    <w:rsid w:val="00AE63A9"/>
    <w:rsid w:val="00B12222"/>
    <w:rsid w:val="00B348B9"/>
    <w:rsid w:val="00B40A0B"/>
    <w:rsid w:val="00B42385"/>
    <w:rsid w:val="00B75EDB"/>
    <w:rsid w:val="00B90011"/>
    <w:rsid w:val="00C60CF8"/>
    <w:rsid w:val="00C82010"/>
    <w:rsid w:val="00C85C51"/>
    <w:rsid w:val="00C85E67"/>
    <w:rsid w:val="00CA0CEA"/>
    <w:rsid w:val="00CB596A"/>
    <w:rsid w:val="00CB70AF"/>
    <w:rsid w:val="00D318E4"/>
    <w:rsid w:val="00D3243D"/>
    <w:rsid w:val="00D61BA5"/>
    <w:rsid w:val="00D667C8"/>
    <w:rsid w:val="00D9391B"/>
    <w:rsid w:val="00DA53B1"/>
    <w:rsid w:val="00DD2EBC"/>
    <w:rsid w:val="00E0624A"/>
    <w:rsid w:val="00E11C26"/>
    <w:rsid w:val="00E21EA9"/>
    <w:rsid w:val="00E412B7"/>
    <w:rsid w:val="00E50EC6"/>
    <w:rsid w:val="00E51ECA"/>
    <w:rsid w:val="00E71E0D"/>
    <w:rsid w:val="00E953A6"/>
    <w:rsid w:val="00E96421"/>
    <w:rsid w:val="00EC08AD"/>
    <w:rsid w:val="00F24A0F"/>
    <w:rsid w:val="00F76D0F"/>
    <w:rsid w:val="00FA71FE"/>
    <w:rsid w:val="00FE287F"/>
    <w:rsid w:val="00FF6A1D"/>
    <w:rsid w:val="00FF7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45906"/>
  <w15:chartTrackingRefBased/>
  <w15:docId w15:val="{5A8D698A-26BC-4C38-89D7-1EB2DE39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17D"/>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2A6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A6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A61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A61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A61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A617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A617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A617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A617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61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A61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A61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A61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A61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A61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A61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A61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A617D"/>
    <w:rPr>
      <w:rFonts w:eastAsiaTheme="majorEastAsia" w:cstheme="majorBidi"/>
      <w:color w:val="272727" w:themeColor="text1" w:themeTint="D8"/>
    </w:rPr>
  </w:style>
  <w:style w:type="paragraph" w:styleId="Title">
    <w:name w:val="Title"/>
    <w:basedOn w:val="Normal"/>
    <w:next w:val="Normal"/>
    <w:link w:val="TitleChar"/>
    <w:uiPriority w:val="10"/>
    <w:qFormat/>
    <w:rsid w:val="002A617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A61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A61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A61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A617D"/>
    <w:pPr>
      <w:spacing w:before="160"/>
      <w:jc w:val="center"/>
    </w:pPr>
    <w:rPr>
      <w:i/>
      <w:iCs/>
      <w:color w:val="404040" w:themeColor="text1" w:themeTint="BF"/>
    </w:rPr>
  </w:style>
  <w:style w:type="character" w:customStyle="1" w:styleId="QuoteChar">
    <w:name w:val="Quote Char"/>
    <w:basedOn w:val="DefaultParagraphFont"/>
    <w:link w:val="Quote"/>
    <w:uiPriority w:val="29"/>
    <w:rsid w:val="002A617D"/>
    <w:rPr>
      <w:i/>
      <w:iCs/>
      <w:color w:val="404040" w:themeColor="text1" w:themeTint="BF"/>
    </w:rPr>
  </w:style>
  <w:style w:type="paragraph" w:styleId="ListParagraph">
    <w:name w:val="List Paragraph"/>
    <w:basedOn w:val="Normal"/>
    <w:uiPriority w:val="34"/>
    <w:qFormat/>
    <w:rsid w:val="002A617D"/>
    <w:pPr>
      <w:ind w:left="720"/>
      <w:contextualSpacing/>
    </w:pPr>
  </w:style>
  <w:style w:type="character" w:styleId="IntenseEmphasis">
    <w:name w:val="Intense Emphasis"/>
    <w:basedOn w:val="DefaultParagraphFont"/>
    <w:uiPriority w:val="21"/>
    <w:qFormat/>
    <w:rsid w:val="002A617D"/>
    <w:rPr>
      <w:i/>
      <w:iCs/>
      <w:color w:val="0F4761" w:themeColor="accent1" w:themeShade="BF"/>
    </w:rPr>
  </w:style>
  <w:style w:type="paragraph" w:styleId="IntenseQuote">
    <w:name w:val="Intense Quote"/>
    <w:basedOn w:val="Normal"/>
    <w:next w:val="Normal"/>
    <w:link w:val="IntenseQuoteChar"/>
    <w:uiPriority w:val="30"/>
    <w:qFormat/>
    <w:rsid w:val="002A6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A617D"/>
    <w:rPr>
      <w:i/>
      <w:iCs/>
      <w:color w:val="0F4761" w:themeColor="accent1" w:themeShade="BF"/>
    </w:rPr>
  </w:style>
  <w:style w:type="character" w:styleId="IntenseReference">
    <w:name w:val="Intense Reference"/>
    <w:basedOn w:val="DefaultParagraphFont"/>
    <w:uiPriority w:val="32"/>
    <w:qFormat/>
    <w:rsid w:val="002A617D"/>
    <w:rPr>
      <w:b/>
      <w:bCs/>
      <w:smallCaps/>
      <w:color w:val="0F4761" w:themeColor="accent1" w:themeShade="BF"/>
      <w:spacing w:val="5"/>
    </w:rPr>
  </w:style>
  <w:style w:type="paragraph" w:styleId="BodyText">
    <w:name w:val="Body Text"/>
    <w:basedOn w:val="Normal"/>
    <w:link w:val="BodyTextChar"/>
    <w:uiPriority w:val="1"/>
    <w:qFormat/>
    <w:rsid w:val="002A617D"/>
    <w:rPr>
      <w:b/>
      <w:bCs/>
      <w:sz w:val="24"/>
      <w:szCs w:val="24"/>
    </w:rPr>
  </w:style>
  <w:style w:type="character" w:customStyle="1" w:styleId="BodyTextChar">
    <w:name w:val="Body Text Char"/>
    <w:basedOn w:val="DefaultParagraphFont"/>
    <w:link w:val="BodyText"/>
    <w:uiPriority w:val="1"/>
    <w:rsid w:val="002A617D"/>
    <w:rPr>
      <w:rFonts w:ascii="Times New Roman" w:eastAsia="Times New Roman" w:hAnsi="Times New Roman" w:cs="Times New Roman"/>
      <w:b/>
      <w:bCs/>
      <w:kern w:val="0"/>
      <w:lang w:val="en-US"/>
      <w14:ligatures w14:val="none"/>
    </w:rPr>
  </w:style>
  <w:style w:type="character" w:styleId="Hyperlink">
    <w:name w:val="Hyperlink"/>
    <w:basedOn w:val="DefaultParagraphFont"/>
    <w:uiPriority w:val="99"/>
    <w:unhideWhenUsed/>
    <w:rsid w:val="00E953A6"/>
    <w:rPr>
      <w:color w:val="0000FF"/>
      <w:u w:val="single"/>
    </w:rPr>
  </w:style>
  <w:style w:type="paragraph" w:styleId="NormalWeb">
    <w:name w:val="Normal (Web)"/>
    <w:basedOn w:val="Normal"/>
    <w:uiPriority w:val="99"/>
    <w:semiHidden/>
    <w:unhideWhenUsed/>
    <w:rsid w:val="00B90011"/>
    <w:pPr>
      <w:widowControl/>
      <w:autoSpaceDE/>
      <w:autoSpaceDN/>
      <w:spacing w:before="100" w:beforeAutospacing="1" w:after="100" w:afterAutospacing="1"/>
    </w:pPr>
    <w:rPr>
      <w:sz w:val="24"/>
      <w:szCs w:val="24"/>
      <w:lang w:val="en-IN" w:eastAsia="en-IN"/>
    </w:rPr>
  </w:style>
  <w:style w:type="table" w:styleId="TableGrid">
    <w:name w:val="Table Grid"/>
    <w:basedOn w:val="TableNormal"/>
    <w:uiPriority w:val="39"/>
    <w:rsid w:val="000B4416"/>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43055">
      <w:bodyDiv w:val="1"/>
      <w:marLeft w:val="0"/>
      <w:marRight w:val="0"/>
      <w:marTop w:val="0"/>
      <w:marBottom w:val="0"/>
      <w:divBdr>
        <w:top w:val="none" w:sz="0" w:space="0" w:color="auto"/>
        <w:left w:val="none" w:sz="0" w:space="0" w:color="auto"/>
        <w:bottom w:val="none" w:sz="0" w:space="0" w:color="auto"/>
        <w:right w:val="none" w:sz="0" w:space="0" w:color="auto"/>
      </w:divBdr>
    </w:div>
    <w:div w:id="38825119">
      <w:bodyDiv w:val="1"/>
      <w:marLeft w:val="0"/>
      <w:marRight w:val="0"/>
      <w:marTop w:val="0"/>
      <w:marBottom w:val="0"/>
      <w:divBdr>
        <w:top w:val="none" w:sz="0" w:space="0" w:color="auto"/>
        <w:left w:val="none" w:sz="0" w:space="0" w:color="auto"/>
        <w:bottom w:val="none" w:sz="0" w:space="0" w:color="auto"/>
        <w:right w:val="none" w:sz="0" w:space="0" w:color="auto"/>
      </w:divBdr>
    </w:div>
    <w:div w:id="112989455">
      <w:bodyDiv w:val="1"/>
      <w:marLeft w:val="0"/>
      <w:marRight w:val="0"/>
      <w:marTop w:val="0"/>
      <w:marBottom w:val="0"/>
      <w:divBdr>
        <w:top w:val="none" w:sz="0" w:space="0" w:color="auto"/>
        <w:left w:val="none" w:sz="0" w:space="0" w:color="auto"/>
        <w:bottom w:val="none" w:sz="0" w:space="0" w:color="auto"/>
        <w:right w:val="none" w:sz="0" w:space="0" w:color="auto"/>
      </w:divBdr>
    </w:div>
    <w:div w:id="119151375">
      <w:bodyDiv w:val="1"/>
      <w:marLeft w:val="0"/>
      <w:marRight w:val="0"/>
      <w:marTop w:val="0"/>
      <w:marBottom w:val="0"/>
      <w:divBdr>
        <w:top w:val="none" w:sz="0" w:space="0" w:color="auto"/>
        <w:left w:val="none" w:sz="0" w:space="0" w:color="auto"/>
        <w:bottom w:val="none" w:sz="0" w:space="0" w:color="auto"/>
        <w:right w:val="none" w:sz="0" w:space="0" w:color="auto"/>
      </w:divBdr>
    </w:div>
    <w:div w:id="177622808">
      <w:bodyDiv w:val="1"/>
      <w:marLeft w:val="0"/>
      <w:marRight w:val="0"/>
      <w:marTop w:val="0"/>
      <w:marBottom w:val="0"/>
      <w:divBdr>
        <w:top w:val="none" w:sz="0" w:space="0" w:color="auto"/>
        <w:left w:val="none" w:sz="0" w:space="0" w:color="auto"/>
        <w:bottom w:val="none" w:sz="0" w:space="0" w:color="auto"/>
        <w:right w:val="none" w:sz="0" w:space="0" w:color="auto"/>
      </w:divBdr>
    </w:div>
    <w:div w:id="199516545">
      <w:bodyDiv w:val="1"/>
      <w:marLeft w:val="0"/>
      <w:marRight w:val="0"/>
      <w:marTop w:val="0"/>
      <w:marBottom w:val="0"/>
      <w:divBdr>
        <w:top w:val="none" w:sz="0" w:space="0" w:color="auto"/>
        <w:left w:val="none" w:sz="0" w:space="0" w:color="auto"/>
        <w:bottom w:val="none" w:sz="0" w:space="0" w:color="auto"/>
        <w:right w:val="none" w:sz="0" w:space="0" w:color="auto"/>
      </w:divBdr>
    </w:div>
    <w:div w:id="258490898">
      <w:bodyDiv w:val="1"/>
      <w:marLeft w:val="0"/>
      <w:marRight w:val="0"/>
      <w:marTop w:val="0"/>
      <w:marBottom w:val="0"/>
      <w:divBdr>
        <w:top w:val="none" w:sz="0" w:space="0" w:color="auto"/>
        <w:left w:val="none" w:sz="0" w:space="0" w:color="auto"/>
        <w:bottom w:val="none" w:sz="0" w:space="0" w:color="auto"/>
        <w:right w:val="none" w:sz="0" w:space="0" w:color="auto"/>
      </w:divBdr>
    </w:div>
    <w:div w:id="302002290">
      <w:bodyDiv w:val="1"/>
      <w:marLeft w:val="0"/>
      <w:marRight w:val="0"/>
      <w:marTop w:val="0"/>
      <w:marBottom w:val="0"/>
      <w:divBdr>
        <w:top w:val="none" w:sz="0" w:space="0" w:color="auto"/>
        <w:left w:val="none" w:sz="0" w:space="0" w:color="auto"/>
        <w:bottom w:val="none" w:sz="0" w:space="0" w:color="auto"/>
        <w:right w:val="none" w:sz="0" w:space="0" w:color="auto"/>
      </w:divBdr>
    </w:div>
    <w:div w:id="439375482">
      <w:bodyDiv w:val="1"/>
      <w:marLeft w:val="0"/>
      <w:marRight w:val="0"/>
      <w:marTop w:val="0"/>
      <w:marBottom w:val="0"/>
      <w:divBdr>
        <w:top w:val="none" w:sz="0" w:space="0" w:color="auto"/>
        <w:left w:val="none" w:sz="0" w:space="0" w:color="auto"/>
        <w:bottom w:val="none" w:sz="0" w:space="0" w:color="auto"/>
        <w:right w:val="none" w:sz="0" w:space="0" w:color="auto"/>
      </w:divBdr>
    </w:div>
    <w:div w:id="485636486">
      <w:bodyDiv w:val="1"/>
      <w:marLeft w:val="0"/>
      <w:marRight w:val="0"/>
      <w:marTop w:val="0"/>
      <w:marBottom w:val="0"/>
      <w:divBdr>
        <w:top w:val="none" w:sz="0" w:space="0" w:color="auto"/>
        <w:left w:val="none" w:sz="0" w:space="0" w:color="auto"/>
        <w:bottom w:val="none" w:sz="0" w:space="0" w:color="auto"/>
        <w:right w:val="none" w:sz="0" w:space="0" w:color="auto"/>
      </w:divBdr>
    </w:div>
    <w:div w:id="497959413">
      <w:bodyDiv w:val="1"/>
      <w:marLeft w:val="0"/>
      <w:marRight w:val="0"/>
      <w:marTop w:val="0"/>
      <w:marBottom w:val="0"/>
      <w:divBdr>
        <w:top w:val="none" w:sz="0" w:space="0" w:color="auto"/>
        <w:left w:val="none" w:sz="0" w:space="0" w:color="auto"/>
        <w:bottom w:val="none" w:sz="0" w:space="0" w:color="auto"/>
        <w:right w:val="none" w:sz="0" w:space="0" w:color="auto"/>
      </w:divBdr>
    </w:div>
    <w:div w:id="604768563">
      <w:bodyDiv w:val="1"/>
      <w:marLeft w:val="0"/>
      <w:marRight w:val="0"/>
      <w:marTop w:val="0"/>
      <w:marBottom w:val="0"/>
      <w:divBdr>
        <w:top w:val="none" w:sz="0" w:space="0" w:color="auto"/>
        <w:left w:val="none" w:sz="0" w:space="0" w:color="auto"/>
        <w:bottom w:val="none" w:sz="0" w:space="0" w:color="auto"/>
        <w:right w:val="none" w:sz="0" w:space="0" w:color="auto"/>
      </w:divBdr>
    </w:div>
    <w:div w:id="668825420">
      <w:bodyDiv w:val="1"/>
      <w:marLeft w:val="0"/>
      <w:marRight w:val="0"/>
      <w:marTop w:val="0"/>
      <w:marBottom w:val="0"/>
      <w:divBdr>
        <w:top w:val="none" w:sz="0" w:space="0" w:color="auto"/>
        <w:left w:val="none" w:sz="0" w:space="0" w:color="auto"/>
        <w:bottom w:val="none" w:sz="0" w:space="0" w:color="auto"/>
        <w:right w:val="none" w:sz="0" w:space="0" w:color="auto"/>
      </w:divBdr>
    </w:div>
    <w:div w:id="695472980">
      <w:bodyDiv w:val="1"/>
      <w:marLeft w:val="0"/>
      <w:marRight w:val="0"/>
      <w:marTop w:val="0"/>
      <w:marBottom w:val="0"/>
      <w:divBdr>
        <w:top w:val="none" w:sz="0" w:space="0" w:color="auto"/>
        <w:left w:val="none" w:sz="0" w:space="0" w:color="auto"/>
        <w:bottom w:val="none" w:sz="0" w:space="0" w:color="auto"/>
        <w:right w:val="none" w:sz="0" w:space="0" w:color="auto"/>
      </w:divBdr>
    </w:div>
    <w:div w:id="761528813">
      <w:bodyDiv w:val="1"/>
      <w:marLeft w:val="0"/>
      <w:marRight w:val="0"/>
      <w:marTop w:val="0"/>
      <w:marBottom w:val="0"/>
      <w:divBdr>
        <w:top w:val="none" w:sz="0" w:space="0" w:color="auto"/>
        <w:left w:val="none" w:sz="0" w:space="0" w:color="auto"/>
        <w:bottom w:val="none" w:sz="0" w:space="0" w:color="auto"/>
        <w:right w:val="none" w:sz="0" w:space="0" w:color="auto"/>
      </w:divBdr>
    </w:div>
    <w:div w:id="820973667">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870264655">
      <w:bodyDiv w:val="1"/>
      <w:marLeft w:val="0"/>
      <w:marRight w:val="0"/>
      <w:marTop w:val="0"/>
      <w:marBottom w:val="0"/>
      <w:divBdr>
        <w:top w:val="none" w:sz="0" w:space="0" w:color="auto"/>
        <w:left w:val="none" w:sz="0" w:space="0" w:color="auto"/>
        <w:bottom w:val="none" w:sz="0" w:space="0" w:color="auto"/>
        <w:right w:val="none" w:sz="0" w:space="0" w:color="auto"/>
      </w:divBdr>
    </w:div>
    <w:div w:id="927471034">
      <w:bodyDiv w:val="1"/>
      <w:marLeft w:val="0"/>
      <w:marRight w:val="0"/>
      <w:marTop w:val="0"/>
      <w:marBottom w:val="0"/>
      <w:divBdr>
        <w:top w:val="none" w:sz="0" w:space="0" w:color="auto"/>
        <w:left w:val="none" w:sz="0" w:space="0" w:color="auto"/>
        <w:bottom w:val="none" w:sz="0" w:space="0" w:color="auto"/>
        <w:right w:val="none" w:sz="0" w:space="0" w:color="auto"/>
      </w:divBdr>
    </w:div>
    <w:div w:id="1103769413">
      <w:bodyDiv w:val="1"/>
      <w:marLeft w:val="0"/>
      <w:marRight w:val="0"/>
      <w:marTop w:val="0"/>
      <w:marBottom w:val="0"/>
      <w:divBdr>
        <w:top w:val="none" w:sz="0" w:space="0" w:color="auto"/>
        <w:left w:val="none" w:sz="0" w:space="0" w:color="auto"/>
        <w:bottom w:val="none" w:sz="0" w:space="0" w:color="auto"/>
        <w:right w:val="none" w:sz="0" w:space="0" w:color="auto"/>
      </w:divBdr>
    </w:div>
    <w:div w:id="1183664442">
      <w:bodyDiv w:val="1"/>
      <w:marLeft w:val="0"/>
      <w:marRight w:val="0"/>
      <w:marTop w:val="0"/>
      <w:marBottom w:val="0"/>
      <w:divBdr>
        <w:top w:val="none" w:sz="0" w:space="0" w:color="auto"/>
        <w:left w:val="none" w:sz="0" w:space="0" w:color="auto"/>
        <w:bottom w:val="none" w:sz="0" w:space="0" w:color="auto"/>
        <w:right w:val="none" w:sz="0" w:space="0" w:color="auto"/>
      </w:divBdr>
    </w:div>
    <w:div w:id="1348797392">
      <w:bodyDiv w:val="1"/>
      <w:marLeft w:val="0"/>
      <w:marRight w:val="0"/>
      <w:marTop w:val="0"/>
      <w:marBottom w:val="0"/>
      <w:divBdr>
        <w:top w:val="none" w:sz="0" w:space="0" w:color="auto"/>
        <w:left w:val="none" w:sz="0" w:space="0" w:color="auto"/>
        <w:bottom w:val="none" w:sz="0" w:space="0" w:color="auto"/>
        <w:right w:val="none" w:sz="0" w:space="0" w:color="auto"/>
      </w:divBdr>
    </w:div>
    <w:div w:id="1381397451">
      <w:bodyDiv w:val="1"/>
      <w:marLeft w:val="0"/>
      <w:marRight w:val="0"/>
      <w:marTop w:val="0"/>
      <w:marBottom w:val="0"/>
      <w:divBdr>
        <w:top w:val="none" w:sz="0" w:space="0" w:color="auto"/>
        <w:left w:val="none" w:sz="0" w:space="0" w:color="auto"/>
        <w:bottom w:val="none" w:sz="0" w:space="0" w:color="auto"/>
        <w:right w:val="none" w:sz="0" w:space="0" w:color="auto"/>
      </w:divBdr>
    </w:div>
    <w:div w:id="1482389037">
      <w:bodyDiv w:val="1"/>
      <w:marLeft w:val="0"/>
      <w:marRight w:val="0"/>
      <w:marTop w:val="0"/>
      <w:marBottom w:val="0"/>
      <w:divBdr>
        <w:top w:val="none" w:sz="0" w:space="0" w:color="auto"/>
        <w:left w:val="none" w:sz="0" w:space="0" w:color="auto"/>
        <w:bottom w:val="none" w:sz="0" w:space="0" w:color="auto"/>
        <w:right w:val="none" w:sz="0" w:space="0" w:color="auto"/>
      </w:divBdr>
    </w:div>
    <w:div w:id="1561134917">
      <w:bodyDiv w:val="1"/>
      <w:marLeft w:val="0"/>
      <w:marRight w:val="0"/>
      <w:marTop w:val="0"/>
      <w:marBottom w:val="0"/>
      <w:divBdr>
        <w:top w:val="none" w:sz="0" w:space="0" w:color="auto"/>
        <w:left w:val="none" w:sz="0" w:space="0" w:color="auto"/>
        <w:bottom w:val="none" w:sz="0" w:space="0" w:color="auto"/>
        <w:right w:val="none" w:sz="0" w:space="0" w:color="auto"/>
      </w:divBdr>
    </w:div>
    <w:div w:id="1783068328">
      <w:bodyDiv w:val="1"/>
      <w:marLeft w:val="0"/>
      <w:marRight w:val="0"/>
      <w:marTop w:val="0"/>
      <w:marBottom w:val="0"/>
      <w:divBdr>
        <w:top w:val="none" w:sz="0" w:space="0" w:color="auto"/>
        <w:left w:val="none" w:sz="0" w:space="0" w:color="auto"/>
        <w:bottom w:val="none" w:sz="0" w:space="0" w:color="auto"/>
        <w:right w:val="none" w:sz="0" w:space="0" w:color="auto"/>
      </w:divBdr>
    </w:div>
    <w:div w:id="1809056136">
      <w:bodyDiv w:val="1"/>
      <w:marLeft w:val="0"/>
      <w:marRight w:val="0"/>
      <w:marTop w:val="0"/>
      <w:marBottom w:val="0"/>
      <w:divBdr>
        <w:top w:val="none" w:sz="0" w:space="0" w:color="auto"/>
        <w:left w:val="none" w:sz="0" w:space="0" w:color="auto"/>
        <w:bottom w:val="none" w:sz="0" w:space="0" w:color="auto"/>
        <w:right w:val="none" w:sz="0" w:space="0" w:color="auto"/>
      </w:divBdr>
    </w:div>
    <w:div w:id="1882857697">
      <w:bodyDiv w:val="1"/>
      <w:marLeft w:val="0"/>
      <w:marRight w:val="0"/>
      <w:marTop w:val="0"/>
      <w:marBottom w:val="0"/>
      <w:divBdr>
        <w:top w:val="none" w:sz="0" w:space="0" w:color="auto"/>
        <w:left w:val="none" w:sz="0" w:space="0" w:color="auto"/>
        <w:bottom w:val="none" w:sz="0" w:space="0" w:color="auto"/>
        <w:right w:val="none" w:sz="0" w:space="0" w:color="auto"/>
      </w:divBdr>
    </w:div>
    <w:div w:id="194271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reda.in/images/HTMLfiles/23.pdf" TargetMode="External"/><Relationship Id="rId13" Type="http://schemas.openxmlformats.org/officeDocument/2006/relationships/hyperlink" Target="https://www.screener.in/company/ADANIGREEN/consolidate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bef.org/industry/renewable-energy" TargetMode="External"/><Relationship Id="rId12" Type="http://schemas.openxmlformats.org/officeDocument/2006/relationships/hyperlink" Target="https://www.screener.in/company/TATAPOWER/consolidated/" TargetMode="External"/><Relationship Id="rId17" Type="http://schemas.openxmlformats.org/officeDocument/2006/relationships/hyperlink" Target="https://www.equitymaster.com/detail.asp?date=04/02/2024&amp;story=1&amp;title=IREDA-Leading-the-Charge-in-Indias-Green-Energy-Revolution" TargetMode="External"/><Relationship Id="rId2" Type="http://schemas.openxmlformats.org/officeDocument/2006/relationships/styles" Target="styles.xml"/><Relationship Id="rId16" Type="http://schemas.openxmlformats.org/officeDocument/2006/relationships/hyperlink" Target="https://coin.zerodha.com/mf/fund/INF740K01QA7/dsp-natural-resources-and-new-energy-fund-direct-growth"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reener.in/company/PREMIERENE/consolidated/" TargetMode="External"/><Relationship Id="rId5" Type="http://schemas.openxmlformats.org/officeDocument/2006/relationships/image" Target="media/image1.jpeg"/><Relationship Id="rId15" Type="http://schemas.openxmlformats.org/officeDocument/2006/relationships/hyperlink" Target="https://coin.zerodha.com/mf/fund/INF277K015B9/tata-resources-energy-fund-direct-growth" TargetMode="External"/><Relationship Id="rId10" Type="http://schemas.openxmlformats.org/officeDocument/2006/relationships/hyperlink" Target="https://www.ibef.org/download/India-Renewable-Energy-Boom-The-Power-of-Solar-and-Beyond.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bef.org/download/1744102449_Renewable-Energy-Feb-2025.pdf" TargetMode="External"/><Relationship Id="rId14" Type="http://schemas.openxmlformats.org/officeDocument/2006/relationships/hyperlink" Target="https://www.screener.in/company/SUZLON/consolida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1976</TotalTime>
  <Pages>9</Pages>
  <Words>2500</Words>
  <Characters>14251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Rohan Pawar</dc:creator>
  <cp:keywords/>
  <dc:description/>
  <cp:lastModifiedBy>Aniket Shelke</cp:lastModifiedBy>
  <cp:revision>11</cp:revision>
  <cp:lastPrinted>2025-04-15T07:53:00Z</cp:lastPrinted>
  <dcterms:created xsi:type="dcterms:W3CDTF">2025-04-08T11:05:00Z</dcterms:created>
  <dcterms:modified xsi:type="dcterms:W3CDTF">2025-04-18T12:52:00Z</dcterms:modified>
</cp:coreProperties>
</file>