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F2AFD" w:rsidRDefault="00CE5ADA" w:rsidP="006A6D41">
      <w:pPr>
        <w:spacing w:line="360" w:lineRule="auto"/>
        <w:jc w:val="center"/>
        <w:rPr>
          <w:rFonts w:ascii="Times New Roman" w:hAnsi="Times New Roman" w:cs="Times New Roman"/>
          <w:b/>
          <w:bCs/>
          <w:sz w:val="36"/>
          <w:szCs w:val="36"/>
        </w:rPr>
      </w:pPr>
      <w:r w:rsidRPr="006A6D41">
        <w:rPr>
          <w:rFonts w:ascii="Times New Roman" w:hAnsi="Times New Roman" w:cs="Times New Roman"/>
          <w:b/>
          <w:bCs/>
          <w:sz w:val="36"/>
          <w:szCs w:val="36"/>
        </w:rPr>
        <w:t>Data Governance in Life Sciences: Best Practices and Gen AI-Driven Strategies for Highly Regulated Industries</w:t>
      </w:r>
    </w:p>
    <w:p w:rsidR="001B78B0" w:rsidRPr="000D6FED" w:rsidRDefault="001B78B0" w:rsidP="001B78B0">
      <w:pPr>
        <w:spacing w:after="0" w:line="240" w:lineRule="auto"/>
        <w:jc w:val="center"/>
        <w:rPr>
          <w:rFonts w:ascii="Times New Roman" w:hAnsi="Times New Roman" w:cs="Times New Roman"/>
          <w:b/>
          <w:bCs/>
          <w:sz w:val="20"/>
          <w:szCs w:val="20"/>
        </w:rPr>
      </w:pPr>
      <w:r w:rsidRPr="000D6FED">
        <w:rPr>
          <w:rFonts w:ascii="Times New Roman" w:hAnsi="Times New Roman" w:cs="Times New Roman"/>
          <w:b/>
          <w:bCs/>
          <w:sz w:val="20"/>
          <w:szCs w:val="20"/>
        </w:rPr>
        <w:t>Jay Shah</w:t>
      </w:r>
    </w:p>
    <w:p w:rsidR="002D3AC5" w:rsidRDefault="001B78B0" w:rsidP="002D3AC5">
      <w:pPr>
        <w:spacing w:after="0" w:line="240" w:lineRule="auto"/>
        <w:jc w:val="center"/>
        <w:rPr>
          <w:rFonts w:ascii="Times New Roman" w:hAnsi="Times New Roman" w:cs="Times New Roman"/>
          <w:sz w:val="20"/>
          <w:szCs w:val="20"/>
        </w:rPr>
      </w:pPr>
      <w:r w:rsidRPr="001B78B0">
        <w:rPr>
          <w:rFonts w:ascii="Times New Roman" w:hAnsi="Times New Roman" w:cs="Times New Roman"/>
          <w:sz w:val="20"/>
          <w:szCs w:val="20"/>
        </w:rPr>
        <w:t xml:space="preserve"> </w:t>
      </w:r>
      <w:r w:rsidR="002D3AC5" w:rsidRPr="002D3AC5">
        <w:rPr>
          <w:rFonts w:ascii="Times New Roman" w:hAnsi="Times New Roman" w:cs="Times New Roman"/>
          <w:sz w:val="20"/>
          <w:szCs w:val="20"/>
        </w:rPr>
        <w:t xml:space="preserve">Independent Researcher, </w:t>
      </w:r>
    </w:p>
    <w:p w:rsidR="002D3AC5" w:rsidRDefault="002D3AC5" w:rsidP="002D3AC5">
      <w:pPr>
        <w:spacing w:after="0" w:line="240" w:lineRule="auto"/>
        <w:jc w:val="center"/>
        <w:rPr>
          <w:rFonts w:ascii="Times New Roman" w:hAnsi="Times New Roman" w:cs="Times New Roman"/>
          <w:sz w:val="20"/>
          <w:szCs w:val="20"/>
        </w:rPr>
      </w:pPr>
      <w:r w:rsidRPr="002D3AC5">
        <w:rPr>
          <w:rFonts w:ascii="Times New Roman" w:hAnsi="Times New Roman" w:cs="Times New Roman"/>
          <w:sz w:val="20"/>
          <w:szCs w:val="20"/>
        </w:rPr>
        <w:t>West Bengal, Kolkata 700033</w:t>
      </w:r>
    </w:p>
    <w:p w:rsidR="001B78B0" w:rsidRDefault="002D3AC5" w:rsidP="002D3AC5">
      <w:pPr>
        <w:spacing w:after="0" w:line="240" w:lineRule="auto"/>
        <w:jc w:val="center"/>
        <w:rPr>
          <w:rFonts w:ascii="Times New Roman" w:hAnsi="Times New Roman" w:cs="Times New Roman"/>
          <w:sz w:val="20"/>
          <w:szCs w:val="20"/>
        </w:rPr>
      </w:pPr>
      <w:hyperlink r:id="rId5" w:history="1">
        <w:r w:rsidRPr="006A2FBE">
          <w:rPr>
            <w:rStyle w:val="Hyperlink"/>
            <w:rFonts w:ascii="Times New Roman" w:hAnsi="Times New Roman" w:cs="Times New Roman"/>
            <w:sz w:val="20"/>
            <w:szCs w:val="20"/>
          </w:rPr>
          <w:t>jaydshah2@gmail.com</w:t>
        </w:r>
      </w:hyperlink>
      <w:r w:rsidR="001B78B0" w:rsidRPr="001B78B0">
        <w:rPr>
          <w:rFonts w:ascii="Times New Roman" w:hAnsi="Times New Roman" w:cs="Times New Roman"/>
          <w:sz w:val="20"/>
          <w:szCs w:val="20"/>
        </w:rPr>
        <w:t xml:space="preserve"> </w:t>
      </w:r>
    </w:p>
    <w:p w:rsidR="001B78B0" w:rsidRPr="001B78B0" w:rsidRDefault="001B78B0" w:rsidP="001B78B0">
      <w:pPr>
        <w:spacing w:after="0" w:line="240" w:lineRule="auto"/>
        <w:jc w:val="center"/>
        <w:rPr>
          <w:rFonts w:ascii="Times New Roman" w:hAnsi="Times New Roman" w:cs="Times New Roman"/>
          <w:sz w:val="20"/>
          <w:szCs w:val="20"/>
        </w:rPr>
      </w:pPr>
      <w:r w:rsidRPr="001B78B0">
        <w:rPr>
          <w:rFonts w:ascii="Times New Roman" w:hAnsi="Times New Roman" w:cs="Times New Roman"/>
          <w:sz w:val="20"/>
          <w:szCs w:val="20"/>
        </w:rPr>
        <w:t xml:space="preserve"> </w:t>
      </w:r>
    </w:p>
    <w:p w:rsidR="006A6D41" w:rsidRDefault="001B78B0" w:rsidP="001B78B0">
      <w:pPr>
        <w:spacing w:after="0" w:line="240" w:lineRule="auto"/>
        <w:jc w:val="center"/>
        <w:rPr>
          <w:rFonts w:ascii="Times New Roman" w:hAnsi="Times New Roman" w:cs="Times New Roman"/>
          <w:sz w:val="20"/>
          <w:szCs w:val="20"/>
        </w:rPr>
      </w:pPr>
      <w:r w:rsidRPr="000D6FED">
        <w:rPr>
          <w:rFonts w:ascii="Times New Roman" w:hAnsi="Times New Roman" w:cs="Times New Roman"/>
          <w:b/>
          <w:bCs/>
          <w:sz w:val="20"/>
          <w:szCs w:val="20"/>
        </w:rPr>
        <w:t>Dr T. Aswini</w:t>
      </w:r>
      <w:r w:rsidRPr="001B78B0">
        <w:rPr>
          <w:rFonts w:ascii="Times New Roman" w:hAnsi="Times New Roman" w:cs="Times New Roman"/>
          <w:sz w:val="20"/>
          <w:szCs w:val="20"/>
        </w:rPr>
        <w:br/>
        <w:t xml:space="preserve">Koneru Lakshmaiah Education Foundation </w:t>
      </w:r>
      <w:r w:rsidRPr="001B78B0">
        <w:rPr>
          <w:rFonts w:ascii="Times New Roman" w:hAnsi="Times New Roman" w:cs="Times New Roman"/>
          <w:sz w:val="20"/>
          <w:szCs w:val="20"/>
        </w:rPr>
        <w:br/>
        <w:t xml:space="preserve">Vadeshawaram, A.P., India </w:t>
      </w:r>
      <w:r w:rsidRPr="001B78B0">
        <w:rPr>
          <w:rFonts w:ascii="Times New Roman" w:hAnsi="Times New Roman" w:cs="Times New Roman"/>
          <w:sz w:val="20"/>
          <w:szCs w:val="20"/>
        </w:rPr>
        <w:br/>
      </w:r>
      <w:hyperlink r:id="rId6" w:history="1">
        <w:r w:rsidRPr="001B78B0">
          <w:rPr>
            <w:rStyle w:val="Hyperlink"/>
            <w:rFonts w:ascii="Times New Roman" w:hAnsi="Times New Roman" w:cs="Times New Roman"/>
            <w:sz w:val="20"/>
            <w:szCs w:val="20"/>
          </w:rPr>
          <w:t>aswini.oleti@gmail.com</w:t>
        </w:r>
      </w:hyperlink>
      <w:r w:rsidRPr="001B78B0">
        <w:rPr>
          <w:rFonts w:ascii="Times New Roman" w:hAnsi="Times New Roman" w:cs="Times New Roman"/>
          <w:sz w:val="20"/>
          <w:szCs w:val="20"/>
        </w:rPr>
        <w:t xml:space="preserve"> </w:t>
      </w:r>
    </w:p>
    <w:p w:rsidR="008A3330" w:rsidRDefault="008A3330" w:rsidP="001B78B0">
      <w:pPr>
        <w:spacing w:after="0" w:line="240" w:lineRule="auto"/>
        <w:jc w:val="center"/>
        <w:rPr>
          <w:rFonts w:ascii="Times New Roman" w:hAnsi="Times New Roman" w:cs="Times New Roman"/>
          <w:sz w:val="20"/>
          <w:szCs w:val="20"/>
        </w:rPr>
      </w:pPr>
    </w:p>
    <w:p w:rsidR="008A3330" w:rsidRPr="001B78B0" w:rsidRDefault="008A3330" w:rsidP="001B78B0">
      <w:pPr>
        <w:spacing w:after="0" w:line="240" w:lineRule="auto"/>
        <w:jc w:val="center"/>
        <w:rPr>
          <w:rFonts w:ascii="Times New Roman" w:hAnsi="Times New Roman" w:cs="Times New Roman"/>
          <w:b/>
          <w:bCs/>
          <w:sz w:val="36"/>
          <w:szCs w:val="36"/>
        </w:rPr>
        <w:sectPr w:rsidR="008A3330" w:rsidRPr="001B78B0" w:rsidSect="006A6D41">
          <w:pgSz w:w="11906" w:h="16838"/>
          <w:pgMar w:top="720" w:right="720" w:bottom="720" w:left="720" w:header="708" w:footer="708" w:gutter="0"/>
          <w:cols w:space="708"/>
          <w:docGrid w:linePitch="360"/>
        </w:sectPr>
      </w:pPr>
    </w:p>
    <w:p w:rsidR="00E74A4E" w:rsidRPr="00016635" w:rsidRDefault="00E74A4E" w:rsidP="00E74A4E">
      <w:pPr>
        <w:spacing w:before="100" w:beforeAutospacing="1" w:after="100" w:afterAutospacing="1" w:line="360" w:lineRule="auto"/>
        <w:jc w:val="both"/>
        <w:outlineLvl w:val="2"/>
        <w:rPr>
          <w:rFonts w:ascii="Times New Roman" w:eastAsia="Times New Roman" w:hAnsi="Times New Roman" w:cs="Times New Roman"/>
          <w:b/>
          <w:bCs/>
          <w:i/>
          <w:iCs/>
          <w:kern w:val="0"/>
          <w:sz w:val="20"/>
          <w:szCs w:val="20"/>
          <w:lang w:eastAsia="en-IN"/>
          <w14:ligatures w14:val="none"/>
        </w:rPr>
      </w:pPr>
      <w:r w:rsidRPr="00016635">
        <w:rPr>
          <w:rFonts w:ascii="Times New Roman" w:eastAsia="Times New Roman" w:hAnsi="Times New Roman" w:cs="Times New Roman"/>
          <w:b/>
          <w:bCs/>
          <w:i/>
          <w:iCs/>
          <w:caps/>
          <w:kern w:val="0"/>
          <w:szCs w:val="24"/>
          <w:lang w:eastAsia="en-IN"/>
          <w14:ligatures w14:val="none"/>
        </w:rPr>
        <w:t>Abstract</w:t>
      </w:r>
    </w:p>
    <w:p w:rsidR="00E74A4E" w:rsidRPr="00016635" w:rsidRDefault="00E74A4E" w:rsidP="00E74A4E">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016635">
        <w:rPr>
          <w:rFonts w:ascii="Times New Roman" w:eastAsia="Times New Roman" w:hAnsi="Times New Roman" w:cs="Times New Roman"/>
          <w:b/>
          <w:bCs/>
          <w:i/>
          <w:iCs/>
          <w:kern w:val="0"/>
          <w:sz w:val="20"/>
          <w:szCs w:val="20"/>
          <w:lang w:eastAsia="en-IN"/>
          <w14:ligatures w14:val="none"/>
        </w:rPr>
        <w:t>Data governance in life sciences is critical due to the highly regulated nature of the industry, where data integrity, security, and compliance are paramount. As life sciences organizations generate vast amounts of sensitive data, establishing robust governance frameworks ensures that data is accessible, accurate, and protected. This paper explores the best practices in data governance for life sciences, with a focus on strategies that align with industry regulations such as FDA, HIPAA, and GxP standards. Additionally, the role of Generative AI (Gen AI) is discussed as an emerging tool to enhance governance efforts by automating data quality checks, ensuring compliance, and identifying data anomalies. The integration of AI-driven solutions within the governance framework provides organizations with an agile, scalable approach to manage complex datasets while mitigating risks of non-compliance. Furthermore, the paper examines case studies of successful implementation in research and clinical settings, highlighting the impact of AI-powered governance strategies on operational efficiency and regulatory adherence. By combining best practices in traditional governance with the advanced capabilities of Gen AI, life sciences companies can drive data transparency, trust, and security while optimizing processes in a highly regulated environment.</w:t>
      </w:r>
    </w:p>
    <w:p w:rsidR="00E74A4E" w:rsidRPr="00016635" w:rsidRDefault="00E74A4E" w:rsidP="00E74A4E">
      <w:pPr>
        <w:spacing w:before="100" w:beforeAutospacing="1" w:after="100" w:afterAutospacing="1" w:line="360" w:lineRule="auto"/>
        <w:jc w:val="both"/>
        <w:outlineLvl w:val="2"/>
        <w:rPr>
          <w:rFonts w:ascii="Times New Roman" w:eastAsia="Times New Roman" w:hAnsi="Times New Roman" w:cs="Times New Roman"/>
          <w:b/>
          <w:bCs/>
          <w:i/>
          <w:iCs/>
          <w:kern w:val="0"/>
          <w:sz w:val="20"/>
          <w:szCs w:val="20"/>
          <w:lang w:eastAsia="en-IN"/>
          <w14:ligatures w14:val="none"/>
        </w:rPr>
      </w:pPr>
      <w:r w:rsidRPr="00016635">
        <w:rPr>
          <w:rFonts w:ascii="Times New Roman" w:eastAsia="Times New Roman" w:hAnsi="Times New Roman" w:cs="Times New Roman"/>
          <w:b/>
          <w:bCs/>
          <w:i/>
          <w:iCs/>
          <w:caps/>
          <w:kern w:val="0"/>
          <w:szCs w:val="24"/>
          <w:lang w:eastAsia="en-IN"/>
          <w14:ligatures w14:val="none"/>
        </w:rPr>
        <w:t>Keywords</w:t>
      </w:r>
    </w:p>
    <w:p w:rsidR="00E74A4E" w:rsidRPr="00016635" w:rsidRDefault="00E74A4E" w:rsidP="00E74A4E">
      <w:pPr>
        <w:spacing w:before="100" w:beforeAutospacing="1" w:after="100" w:afterAutospacing="1" w:line="360" w:lineRule="auto"/>
        <w:jc w:val="both"/>
        <w:rPr>
          <w:rFonts w:ascii="Times New Roman" w:eastAsia="Times New Roman" w:hAnsi="Times New Roman" w:cs="Times New Roman"/>
          <w:b/>
          <w:bCs/>
          <w:i/>
          <w:iCs/>
          <w:kern w:val="0"/>
          <w:sz w:val="20"/>
          <w:szCs w:val="20"/>
          <w:lang w:eastAsia="en-IN"/>
          <w14:ligatures w14:val="none"/>
        </w:rPr>
      </w:pPr>
      <w:r w:rsidRPr="00016635">
        <w:rPr>
          <w:rFonts w:ascii="Times New Roman" w:eastAsia="Times New Roman" w:hAnsi="Times New Roman" w:cs="Times New Roman"/>
          <w:b/>
          <w:bCs/>
          <w:i/>
          <w:iCs/>
          <w:kern w:val="0"/>
          <w:sz w:val="20"/>
          <w:szCs w:val="20"/>
          <w:lang w:eastAsia="en-IN"/>
          <w14:ligatures w14:val="none"/>
        </w:rPr>
        <w:t>Data governance, life sciences, regulatory compliance, data integrity, generative AI, FDA, HIPAA, GxP, data security, compliance automation, AI-driven strategies.</w:t>
      </w:r>
    </w:p>
    <w:p w:rsidR="00E74A4E" w:rsidRPr="00016635" w:rsidRDefault="00E74A4E" w:rsidP="00E74A4E">
      <w:pPr>
        <w:spacing w:before="100" w:beforeAutospacing="1" w:after="100" w:afterAutospacing="1" w:line="360" w:lineRule="auto"/>
        <w:jc w:val="both"/>
        <w:outlineLvl w:val="2"/>
        <w:rPr>
          <w:rFonts w:ascii="Times New Roman" w:eastAsia="Times New Roman" w:hAnsi="Times New Roman" w:cs="Times New Roman"/>
          <w:b/>
          <w:bCs/>
          <w:caps/>
          <w:kern w:val="0"/>
          <w:sz w:val="20"/>
          <w:szCs w:val="20"/>
          <w:lang w:eastAsia="en-IN"/>
          <w14:ligatures w14:val="none"/>
        </w:rPr>
      </w:pPr>
      <w:r w:rsidRPr="00016635">
        <w:rPr>
          <w:rFonts w:ascii="Times New Roman" w:eastAsia="Times New Roman" w:hAnsi="Times New Roman" w:cs="Times New Roman"/>
          <w:b/>
          <w:bCs/>
          <w:caps/>
          <w:kern w:val="0"/>
          <w:szCs w:val="24"/>
          <w:lang w:eastAsia="en-IN"/>
          <w14:ligatures w14:val="none"/>
        </w:rPr>
        <w:t>Introduction</w:t>
      </w:r>
    </w:p>
    <w:p w:rsid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In the life sciences sector, managing data efficiently and securely is of utmost importance due to the sensitive nature of the information involved, including patient health records, clinical trial data, and regulatory submissions. Strict industry regulations such as those enforced by the Food and Drug Administration (FDA), the Health Insurance Portability and Accountability Act (HIPAA), and Good Clinical Practice (GxP) ensure that organizations must maintain high standards of data governance. The complexities of these regulations often necessitate comprehensive frameworks that encompass data management, quality control, and compliance monitoring. In recent years, the emergence of Generative AI (Gen AI) has introduced innovative solutions to enhance these frameworks, enabling automated data governance processes, improving accuracy in regulatory compliance, and enhancing data security protocols. This paper aims to explore the best practices in data governance within the life sciences industry and how AI-driven strategies are transforming traditional governance models. By leveraging Gen AI, organizations can enhance efficiency in data management, automate tedious compliance tasks, and quickly respond to regulatory changes. Through a combination of traditional best practices and cutting-edge technology, life sciences companies can not only ensure regulatory adherence but also improve operational effectiveness, fostering trust in their data and ultimately advancing patient care and scientific discovery.</w:t>
      </w:r>
    </w:p>
    <w:p w:rsidR="002F654A" w:rsidRDefault="002F654A"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lastRenderedPageBreak/>
        <w:drawing>
          <wp:inline distT="0" distB="0" distL="0" distR="0">
            <wp:extent cx="3098165" cy="3044190"/>
            <wp:effectExtent l="0" t="0" r="6985" b="3810"/>
            <wp:docPr id="744804540" name="Picture 1" descr="Re-Thinking Data Strategy and Integration for Artificial Intelligence:  Concepts, Opportunities, and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Re-Thinking Data Strategy and Integration for Artificial Intelligence:  Concepts, Opportunities, and Challeng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8165" cy="3044190"/>
                    </a:xfrm>
                    <a:prstGeom prst="rect">
                      <a:avLst/>
                    </a:prstGeom>
                    <a:noFill/>
                    <a:ln>
                      <a:noFill/>
                    </a:ln>
                  </pic:spPr>
                </pic:pic>
              </a:graphicData>
            </a:graphic>
          </wp:inline>
        </w:drawing>
      </w:r>
    </w:p>
    <w:p w:rsidR="002F654A" w:rsidRPr="002F654A" w:rsidRDefault="002F654A" w:rsidP="002F654A">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 xml:space="preserve">Source: </w:t>
      </w:r>
      <w:hyperlink r:id="rId8" w:history="1">
        <w:r w:rsidRPr="002F654A">
          <w:rPr>
            <w:rStyle w:val="Hyperlink"/>
            <w:rFonts w:ascii="Times New Roman" w:eastAsia="Times New Roman" w:hAnsi="Times New Roman" w:cs="Times New Roman"/>
            <w:i/>
            <w:iCs/>
            <w:kern w:val="0"/>
            <w:sz w:val="16"/>
            <w:szCs w:val="16"/>
            <w:lang w:eastAsia="en-IN"/>
            <w14:ligatures w14:val="none"/>
          </w:rPr>
          <w:t>https://www.mdpi.com/2076-3417/13/12/7082</w:t>
        </w:r>
      </w:hyperlink>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1. Background and Context</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The life sciences industry deals with vast amounts of sensitive information—from patient records and clinical trial data to genomic sequences. Ensuring that this data is managed, secured, and utilized appropriately is fundamental for research integrity, patient safety, and regulatory compliance.</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2. Importance of Data Governance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Data governance encompasses the policies, procedures, and technologies used to manage data quality, security, and accessibility. In the highly regulated life sciences environment, robust data governance frameworks not only protect sensitive information but also enable efficient decision-making and innovation.</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3. Regulatory Landscape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Compliance with regulatory standards such as FDA guidelines, HIPAA requirements, and GxP protocols is mandatory. These standards require that life sciences organizations maintain strict data management protocols, making data governance an essential component of operational strategy.</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4. Emergence of Generative AI in Data Governance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Recent advancements in Generative AI (Gen AI) have introduced novel approaches to automating data quality assessments, anomaly detection, and compliance reporting. Gen AI-driven strategies can reduce manual intervention and accelerate the processing of complex datasets while enhancing security and compliance.</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5. Objectives of the Study</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This study aims to explore best practices in data governance within the life sciences sector and examine how emerging Gen AI technologies are being integrated into these frameworks. By assessing both traditional and innovative strategies, the research intends to provide insights into achieving effective, scalable, and compliant data governance in a rapidly evolving regulatory environment.</w:t>
      </w:r>
    </w:p>
    <w:p w:rsidR="00E74A4E" w:rsidRPr="00E74A4E" w:rsidRDefault="002F654A"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CASE STUDIES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Overview</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The literature from 2015 to 2024 shows a progressive evolution in data governance practices within life sciences. Early works established foundational frameworks focused on compliance and data integrity, while more recent studies highlight the integration of AI-driven technologies.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1. Early Developments (2015–2017)</w:t>
      </w:r>
    </w:p>
    <w:p w:rsidR="00E74A4E" w:rsidRPr="00E74A4E" w:rsidRDefault="00E74A4E" w:rsidP="00E74A4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Focus on Compliance and Risk Management:</w:t>
      </w:r>
      <w:r w:rsidRPr="00E74A4E">
        <w:rPr>
          <w:rFonts w:ascii="Times New Roman" w:eastAsia="Times New Roman" w:hAnsi="Times New Roman" w:cs="Times New Roman"/>
          <w:kern w:val="0"/>
          <w:sz w:val="20"/>
          <w:szCs w:val="20"/>
          <w:lang w:eastAsia="en-IN"/>
          <w14:ligatures w14:val="none"/>
        </w:rPr>
        <w:br/>
        <w:t>Initial research during this period concentrated on establishing robust data governance frameworks that ensured compliance with regulatory standards. Studies emphasized data stewardship, risk management, and the establishment of clear data policies to mitigate risks associated with data breaches and non-compliance.</w:t>
      </w:r>
    </w:p>
    <w:p w:rsidR="00E74A4E" w:rsidRPr="00E74A4E" w:rsidRDefault="00E74A4E" w:rsidP="00E74A4E">
      <w:pPr>
        <w:numPr>
          <w:ilvl w:val="0"/>
          <w:numId w:val="1"/>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Traditional Data Governance Models:</w:t>
      </w:r>
      <w:r w:rsidRPr="00E74A4E">
        <w:rPr>
          <w:rFonts w:ascii="Times New Roman" w:eastAsia="Times New Roman" w:hAnsi="Times New Roman" w:cs="Times New Roman"/>
          <w:kern w:val="0"/>
          <w:sz w:val="20"/>
          <w:szCs w:val="20"/>
          <w:lang w:eastAsia="en-IN"/>
          <w14:ligatures w14:val="none"/>
        </w:rPr>
        <w:br/>
        <w:t>Literature from this time often discussed centralized data management systems that provided oversight and standardization across disparate data sources, ensuring data consistency and traceability.</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2. Transitional Phase (2018–2020)</w:t>
      </w:r>
    </w:p>
    <w:p w:rsidR="00E74A4E" w:rsidRPr="00E74A4E" w:rsidRDefault="00E74A4E" w:rsidP="00E74A4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Incorporation of Advanced Analytics:</w:t>
      </w:r>
      <w:r w:rsidRPr="00E74A4E">
        <w:rPr>
          <w:rFonts w:ascii="Times New Roman" w:eastAsia="Times New Roman" w:hAnsi="Times New Roman" w:cs="Times New Roman"/>
          <w:kern w:val="0"/>
          <w:sz w:val="20"/>
          <w:szCs w:val="20"/>
          <w:lang w:eastAsia="en-IN"/>
          <w14:ligatures w14:val="none"/>
        </w:rPr>
        <w:br/>
        <w:t xml:space="preserve">As the volume and complexity of life sciences data </w:t>
      </w:r>
      <w:r w:rsidRPr="00E74A4E">
        <w:rPr>
          <w:rFonts w:ascii="Times New Roman" w:eastAsia="Times New Roman" w:hAnsi="Times New Roman" w:cs="Times New Roman"/>
          <w:kern w:val="0"/>
          <w:sz w:val="20"/>
          <w:szCs w:val="20"/>
          <w:lang w:eastAsia="en-IN"/>
          <w14:ligatures w14:val="none"/>
        </w:rPr>
        <w:lastRenderedPageBreak/>
        <w:t>increased, researchers began exploring how advanced analytics could support traditional governance models. Studies noted that data quality, security, and compliance could be significantly improved through the adoption of machine learning and automated monitoring systems.</w:t>
      </w:r>
    </w:p>
    <w:p w:rsidR="00E74A4E" w:rsidRPr="00E74A4E" w:rsidRDefault="00E74A4E" w:rsidP="00E74A4E">
      <w:pPr>
        <w:numPr>
          <w:ilvl w:val="0"/>
          <w:numId w:val="2"/>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Case Studies on Improved Data Practices:</w:t>
      </w:r>
      <w:r w:rsidRPr="00E74A4E">
        <w:rPr>
          <w:rFonts w:ascii="Times New Roman" w:eastAsia="Times New Roman" w:hAnsi="Times New Roman" w:cs="Times New Roman"/>
          <w:kern w:val="0"/>
          <w:sz w:val="20"/>
          <w:szCs w:val="20"/>
          <w:lang w:eastAsia="en-IN"/>
          <w14:ligatures w14:val="none"/>
        </w:rPr>
        <w:br/>
        <w:t>Several case studies illustrated how life sciences organizations had successfully implemented enhanced data governance practices, leading to improved operational efficiency and reduced regulatory risk. These works laid the groundwork for integrating more sophisticated AI solutions.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3. Recent Innovations (2021–2024)</w:t>
      </w:r>
    </w:p>
    <w:p w:rsidR="00E74A4E" w:rsidRPr="00E74A4E" w:rsidRDefault="00E74A4E" w:rsidP="00E74A4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Adoption of Generative AI:</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Recent literature emphasizes the role of Gen AI in transforming data governance. Researchers highlight how AI-driven strategies automate routine tasks such as data curation, anomaly detection, and compliance reporting, thereby reducing human error and operational costs.</w:t>
      </w:r>
    </w:p>
    <w:p w:rsidR="00E74A4E" w:rsidRPr="00E74A4E" w:rsidRDefault="00E74A4E" w:rsidP="00E74A4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Impact on Regulatory Compliance and Data Security:</w:t>
      </w:r>
      <w:r w:rsidRPr="00E74A4E">
        <w:rPr>
          <w:rFonts w:ascii="Times New Roman" w:eastAsia="Times New Roman" w:hAnsi="Times New Roman" w:cs="Times New Roman"/>
          <w:kern w:val="0"/>
          <w:sz w:val="20"/>
          <w:szCs w:val="20"/>
          <w:lang w:eastAsia="en-IN"/>
          <w14:ligatures w14:val="none"/>
        </w:rPr>
        <w:br/>
        <w:t>Studies from this period demonstrate that AI-enabled governance frameworks can adapt rapidly to evolving regulatory requirements. Findings indicate that organizations employing Gen AI strategies experience enhanced data transparency, faster decision-making, and greater resilience against data breaches.</w:t>
      </w:r>
    </w:p>
    <w:p w:rsidR="00E74A4E" w:rsidRPr="00E74A4E" w:rsidRDefault="00E74A4E" w:rsidP="00E74A4E">
      <w:pPr>
        <w:numPr>
          <w:ilvl w:val="0"/>
          <w:numId w:val="3"/>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Future Directions:</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Emerging research is exploring the integration of blockchain and distributed ledger technologies with AI-driven data governance to further enhance security and auditability. This hybrid approach may offer unprecedented levels of data integrity and regulatory confidence.</w:t>
      </w:r>
    </w:p>
    <w:p w:rsidR="00E74A4E" w:rsidRPr="00E74A4E" w:rsidRDefault="00E74A4E" w:rsidP="002F654A">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F654A">
        <w:rPr>
          <w:rFonts w:ascii="Times New Roman" w:eastAsia="Times New Roman" w:hAnsi="Times New Roman" w:cs="Times New Roman"/>
          <w:b/>
          <w:bCs/>
          <w:caps/>
          <w:kern w:val="0"/>
          <w:sz w:val="20"/>
          <w:szCs w:val="20"/>
          <w:lang w:eastAsia="en-IN"/>
          <w14:ligatures w14:val="none"/>
        </w:rPr>
        <w:t>detailed literature reviews</w:t>
      </w:r>
      <w:r w:rsidRPr="00E74A4E">
        <w:rPr>
          <w:rFonts w:ascii="Times New Roman" w:eastAsia="Times New Roman" w:hAnsi="Times New Roman" w:cs="Times New Roman"/>
          <w:kern w:val="0"/>
          <w:sz w:val="20"/>
          <w:szCs w:val="20"/>
          <w:lang w:eastAsia="en-IN"/>
          <w14:ligatures w14:val="none"/>
        </w:rPr>
        <w:t>.</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1 (2015) – Establishing Foundational Frameworks</w:t>
      </w:r>
    </w:p>
    <w:p w:rsidR="00E74A4E" w:rsidRPr="00E74A4E" w:rsidRDefault="00E74A4E" w:rsidP="002F654A">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 xml:space="preserve">A seminal study in 2015 focused on building comprehensive data governance frameworks specifically for clinical trials. The research emphasized the need for clear policies, robust </w:t>
      </w:r>
      <w:r w:rsidRPr="00E74A4E">
        <w:rPr>
          <w:rFonts w:ascii="Times New Roman" w:eastAsia="Times New Roman" w:hAnsi="Times New Roman" w:cs="Times New Roman"/>
          <w:kern w:val="0"/>
          <w:sz w:val="20"/>
          <w:szCs w:val="20"/>
          <w:lang w:eastAsia="en-IN"/>
          <w14:ligatures w14:val="none"/>
        </w:rPr>
        <w:t>metadata management, and strict access controls to ensure data integrity. It proposed a model that integrates data stewardship roles with regulatory checkpoints, which laid the groundwork for subsequent studies addressing compliance challenges in life sciences.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2 (2016) – Risk Management and Regulatory Compliance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In 2016, research concentrated on the intersection of risk management and data governance in life sciences. The study identified key vulnerabilities in data handling practices and proposed risk mitigation strategies tailored to meet FDA, HIPAA, and GxP requirements. Findings underscored the importance of real-time monitoring systems and the role of governance in preempting compliance issues before they impact clinical outcomes.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3 (2017) – Transitioning to Automated Processes</w:t>
      </w:r>
    </w:p>
    <w:p w:rsid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A 2017 paper explored the early integration of automation within data governance frameworks. This work investigated how rule-based systems could streamline data validation and audit processes. It provided evidence that automating routine checks not only improved efficiency but also reduced human error, setting a precedent for later research on AI applications in the field.</w:t>
      </w:r>
    </w:p>
    <w:p w:rsidR="000309CE" w:rsidRDefault="000309C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Pr>
          <w:noProof/>
        </w:rPr>
        <w:drawing>
          <wp:inline distT="0" distB="0" distL="0" distR="0">
            <wp:extent cx="3098165" cy="3098165"/>
            <wp:effectExtent l="0" t="0" r="6985" b="6985"/>
            <wp:docPr id="25823790" name="Picture 3" descr="Data and AI Governance: Evolving Traditional Data Governance in the Age of Artificial  Intelligence | Facts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ata and AI Governance: Evolving Traditional Data Governance in the Age of Artificial  Intelligence | Factspa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98165" cy="3098165"/>
                    </a:xfrm>
                    <a:prstGeom prst="rect">
                      <a:avLst/>
                    </a:prstGeom>
                    <a:noFill/>
                    <a:ln>
                      <a:noFill/>
                    </a:ln>
                  </pic:spPr>
                </pic:pic>
              </a:graphicData>
            </a:graphic>
          </wp:inline>
        </w:drawing>
      </w:r>
    </w:p>
    <w:p w:rsidR="000309CE" w:rsidRPr="000309CE" w:rsidRDefault="000309CE" w:rsidP="000309CE">
      <w:pPr>
        <w:spacing w:before="100" w:beforeAutospacing="1" w:after="100" w:afterAutospacing="1" w:line="360" w:lineRule="auto"/>
        <w:jc w:val="center"/>
        <w:rPr>
          <w:rFonts w:ascii="Times New Roman" w:eastAsia="Times New Roman" w:hAnsi="Times New Roman" w:cs="Times New Roman"/>
          <w:i/>
          <w:iCs/>
          <w:kern w:val="0"/>
          <w:sz w:val="20"/>
          <w:szCs w:val="20"/>
          <w:lang w:eastAsia="en-IN"/>
          <w14:ligatures w14:val="none"/>
        </w:rPr>
      </w:pPr>
      <w:r w:rsidRPr="000309CE">
        <w:rPr>
          <w:rFonts w:ascii="Times New Roman" w:eastAsia="Times New Roman" w:hAnsi="Times New Roman" w:cs="Times New Roman"/>
          <w:i/>
          <w:iCs/>
          <w:kern w:val="0"/>
          <w:sz w:val="16"/>
          <w:szCs w:val="16"/>
          <w:lang w:eastAsia="en-IN"/>
          <w14:ligatures w14:val="none"/>
        </w:rPr>
        <w:t xml:space="preserve">Source: </w:t>
      </w:r>
      <w:hyperlink r:id="rId10" w:history="1">
        <w:r w:rsidRPr="000309CE">
          <w:rPr>
            <w:rStyle w:val="Hyperlink"/>
            <w:rFonts w:ascii="Times New Roman" w:eastAsia="Times New Roman" w:hAnsi="Times New Roman" w:cs="Times New Roman"/>
            <w:i/>
            <w:iCs/>
            <w:kern w:val="0"/>
            <w:sz w:val="16"/>
            <w:szCs w:val="16"/>
            <w:lang w:eastAsia="en-IN"/>
            <w14:ligatures w14:val="none"/>
          </w:rPr>
          <w:t>https://www.factspan.com/blogs/data-and-ai-governance-evolving-traditional-data-governance-in-the-age-of-artificial-intelligence/</w:t>
        </w:r>
      </w:hyperlink>
      <w:r w:rsidRPr="000309CE">
        <w:rPr>
          <w:rFonts w:ascii="Times New Roman" w:eastAsia="Times New Roman" w:hAnsi="Times New Roman" w:cs="Times New Roman"/>
          <w:i/>
          <w:iCs/>
          <w:kern w:val="0"/>
          <w:sz w:val="20"/>
          <w:szCs w:val="20"/>
          <w:lang w:eastAsia="en-IN"/>
          <w14:ligatures w14:val="none"/>
        </w:rPr>
        <w:t xml:space="preserve"> </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4 (2018) – Incorporating Advanced Analytics</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lastRenderedPageBreak/>
        <w:t>Research in 2018 expanded on earlier frameworks by incorporating advanced analytics. This study demonstrated that leveraging machine learning algorithms for data classification and anomaly detection significantly enhanced governance quality. The approach allowed organizations to identify data irregularities more swiftly, thereby reinforcing compliance in an increasingly data-intensive environment.</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5 (2019) – Enhancing Data Quality through Automation</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A 2019 investigation delved deeper into automated data quality management. It assessed various tools and methodologies for continuous data validation, highlighting how automation could reduce latency in error detection and improve overall data reliability. The study provided a comparative analysis of traditional versus automated governance systems in maintaining high data quality standards.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6 (2020) – Blockchain and AI Convergence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In 2020, emerging technologies like blockchain began to merge with AI-driven governance strategies. This review presented a hybrid model where blockchain ensured immutable audit trails while AI algorithms provided dynamic monitoring. The integration was shown to enhance transparency and trust, particularly in multi-site clinical research scenarios where data provenance was critical.</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7 (2021) – Generative AI for Anomaly Detection</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By 2021, the focus had shifted towards generative AI applications in data governance. This study explored how Gen AI could simulate data scenarios to predict and identify potential anomalies in real time. The findings revealed that AI-driven simulations reduced the time required for compliance reporting and improved the detection of subtle data inconsistencies that traditional methods often missed.</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8 (2022) – Adaptive Governance in a Dynamic Regulatory Landscape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 xml:space="preserve">A 2022 study investigated adaptive data governance strategies capable of responding to rapidly changing regulatory standards. It emphasized the need for governance systems to be flexible and continuously updated. The research </w:t>
      </w:r>
      <w:r w:rsidRPr="00E74A4E">
        <w:rPr>
          <w:rFonts w:ascii="Times New Roman" w:eastAsia="Times New Roman" w:hAnsi="Times New Roman" w:cs="Times New Roman"/>
          <w:kern w:val="0"/>
          <w:sz w:val="20"/>
          <w:szCs w:val="20"/>
          <w:lang w:eastAsia="en-IN"/>
          <w14:ligatures w14:val="none"/>
        </w:rPr>
        <w:t>highlighted AI’s role in dynamically adjusting data management protocols, thereby ensuring that organizations remain compliant as regulations evolve.</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9 (2023) – Scalable Architectures for Complex Data Ecosystems</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In 2023, the literature addressed scalability challenges in data governance frameworks within large, data-rich life sciences organizations. This research proposed modular, scalable architectures that leverage cloud technologies and AI-driven analytics to manage diverse datasets. The study demonstrated that scalable systems could support growth without compromising on data security or compliance integrity.</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 xml:space="preserve"> 10 (2024) – Future Prospects of AI-Driven Governance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The most recent research from 2024 explores forward-looking strategies for data governance. It projects that the integration of advanced Gen AI with emerging technologies such as IoT and real-time analytics will revolutionize governance practices. The study forecasts a future where AI not only manages data quality and compliance but also provides predictive insights to preempt regulatory challenges, ultimately driving innovation in patient care and research.</w:t>
      </w:r>
    </w:p>
    <w:p w:rsidR="00E74A4E" w:rsidRPr="00E74A4E" w:rsidRDefault="00E74A4E"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Problem Statement</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In the life sciences sector, the exponential growth of sensitive data—from patient health records and genomic data to clinical trial results—necessitates robust data governance frameworks to ensure data quality, security, and regulatory compliance. Traditional data governance models, while effective in maintaining basic data integrity and compliance, are increasingly challenged by the complexity and volume of modern data environments. Additionally, evolving regulatory demands imposed by authorities such as the FDA, HIPAA, and GxP require more agile and adaptive approaches. The emergence of Generative AI (Gen AI) offers promising avenues to automate and enhance data governance processes, yet its integration raises concerns regarding transparency, data bias, and adherence to strict regulatory guidelines. This creates a critical need to explore and validate best practices that combine traditional governance frameworks with AI-driven strategies to ensure comprehensive, scalable, and compliant data management in the life sciences industry.</w:t>
      </w:r>
    </w:p>
    <w:p w:rsidR="00E74A4E" w:rsidRPr="002F654A" w:rsidRDefault="00E74A4E" w:rsidP="00E74A4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2F654A">
        <w:rPr>
          <w:rFonts w:ascii="Times New Roman" w:eastAsia="Times New Roman" w:hAnsi="Times New Roman" w:cs="Times New Roman"/>
          <w:b/>
          <w:bCs/>
          <w:caps/>
          <w:kern w:val="0"/>
          <w:szCs w:val="24"/>
          <w:lang w:eastAsia="en-IN"/>
          <w14:ligatures w14:val="none"/>
        </w:rPr>
        <w:lastRenderedPageBreak/>
        <w:t>Research Questions</w:t>
      </w:r>
    </w:p>
    <w:p w:rsidR="00E74A4E" w:rsidRPr="00E74A4E" w:rsidRDefault="00E74A4E" w:rsidP="00E74A4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How effective are traditional data governance models in managing the complexities of modern life sciences data?</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What are the limitations of current frameworks in ensuring data quality and regulatory compliance?</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How do these models address challenges related to data volume and heterogeneity?</w:t>
      </w:r>
    </w:p>
    <w:p w:rsidR="00E74A4E" w:rsidRPr="00E74A4E" w:rsidRDefault="00E74A4E" w:rsidP="00E74A4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In what ways can Generative AI enhance existing data governance frameworks within highly regulated life sciences environments?</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Which AI-driven techniques (e.g., anomaly detection, predictive analytics) are most beneficial in improving data governance processes?</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How does the application of Gen AI impact compliance monitoring and reporting in regulated settings?</w:t>
      </w:r>
    </w:p>
    <w:p w:rsidR="00E74A4E" w:rsidRPr="00E74A4E" w:rsidRDefault="00E74A4E" w:rsidP="00E74A4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What are the potential risks and challenges associated with integrating Gen AI into data governance strategies?</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How can issues such as data bias, algorithmic transparency, and ethical considerations be mitigated?</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What regulatory and operational barriers exist in adopting AI-driven governance solutions?</w:t>
      </w:r>
    </w:p>
    <w:p w:rsidR="00E74A4E" w:rsidRPr="00E74A4E" w:rsidRDefault="00E74A4E" w:rsidP="00E74A4E">
      <w:pPr>
        <w:numPr>
          <w:ilvl w:val="0"/>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How can a hybrid approach that combines traditional governance practices with AI-driven strategies be designed to ensure scalability and adaptability in the life sciences sector?</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What architectural models support the seamless integration of AI tools with conventional data management systems?</w:t>
      </w:r>
    </w:p>
    <w:p w:rsidR="00E74A4E" w:rsidRPr="00E74A4E" w:rsidRDefault="00E74A4E" w:rsidP="00E74A4E">
      <w:pPr>
        <w:numPr>
          <w:ilvl w:val="1"/>
          <w:numId w:val="4"/>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How can such a hybrid framework dynamically adjust to evolving regulatory requirements and technological advancements?</w:t>
      </w:r>
    </w:p>
    <w:p w:rsidR="00E74A4E" w:rsidRPr="002F654A" w:rsidRDefault="00E74A4E" w:rsidP="00E74A4E">
      <w:pPr>
        <w:spacing w:before="100" w:beforeAutospacing="1" w:after="100" w:afterAutospacing="1" w:line="360" w:lineRule="auto"/>
        <w:jc w:val="both"/>
        <w:outlineLvl w:val="1"/>
        <w:rPr>
          <w:rFonts w:ascii="Times New Roman" w:eastAsia="Times New Roman" w:hAnsi="Times New Roman" w:cs="Times New Roman"/>
          <w:b/>
          <w:bCs/>
          <w:caps/>
          <w:kern w:val="0"/>
          <w:szCs w:val="24"/>
          <w:lang w:eastAsia="en-IN"/>
          <w14:ligatures w14:val="none"/>
        </w:rPr>
      </w:pPr>
      <w:r w:rsidRPr="002F654A">
        <w:rPr>
          <w:rFonts w:ascii="Times New Roman" w:eastAsia="Times New Roman" w:hAnsi="Times New Roman" w:cs="Times New Roman"/>
          <w:b/>
          <w:bCs/>
          <w:caps/>
          <w:kern w:val="0"/>
          <w:szCs w:val="24"/>
          <w:lang w:eastAsia="en-IN"/>
          <w14:ligatures w14:val="none"/>
        </w:rPr>
        <w:t>Research Methodologies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1. Mixed-Methods Approach</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A mixed-methods approach combines qualitative and quantitative techniques to provide a comprehensive understanding of how traditional and AI-driven data governance models operate in life sciences. This approach allows researchers to validate findings across different data sources and perspectives.</w:t>
      </w:r>
    </w:p>
    <w:p w:rsidR="00E74A4E" w:rsidRPr="00E74A4E" w:rsidRDefault="00E74A4E" w:rsidP="00E74A4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Qualitative Methods:</w:t>
      </w:r>
    </w:p>
    <w:p w:rsidR="00E74A4E" w:rsidRPr="00E74A4E" w:rsidRDefault="00E74A4E" w:rsidP="00E74A4E">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Case Studies:</w:t>
      </w:r>
      <w:r w:rsidRPr="00E74A4E">
        <w:rPr>
          <w:rFonts w:ascii="Times New Roman" w:eastAsia="Times New Roman" w:hAnsi="Times New Roman" w:cs="Times New Roman"/>
          <w:kern w:val="0"/>
          <w:sz w:val="20"/>
          <w:szCs w:val="20"/>
          <w:lang w:eastAsia="en-IN"/>
          <w14:ligatures w14:val="none"/>
        </w:rPr>
        <w:t xml:space="preserve"> Detailed examinations of organizations that have implemented both traditional and AI-enhanced data governance frameworks. This will help uncover context-specific challenges, best practices, and lessons learned.</w:t>
      </w:r>
    </w:p>
    <w:p w:rsidR="00E74A4E" w:rsidRPr="00E74A4E" w:rsidRDefault="00E74A4E" w:rsidP="00E74A4E">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Interviews and Focus Groups:</w:t>
      </w:r>
      <w:r w:rsidRPr="00E74A4E">
        <w:rPr>
          <w:rFonts w:ascii="Times New Roman" w:eastAsia="Times New Roman" w:hAnsi="Times New Roman" w:cs="Times New Roman"/>
          <w:kern w:val="0"/>
          <w:sz w:val="20"/>
          <w:szCs w:val="20"/>
          <w:lang w:eastAsia="en-IN"/>
          <w14:ligatures w14:val="none"/>
        </w:rPr>
        <w:t xml:space="preserve"> Engaging with data governance professionals, regulatory experts, and AI technologists to gain in-depth insights into practical challenges and benefits.</w:t>
      </w:r>
    </w:p>
    <w:p w:rsidR="00E74A4E" w:rsidRPr="00E74A4E" w:rsidRDefault="00E74A4E" w:rsidP="00E74A4E">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Document Analysis:</w:t>
      </w:r>
      <w:r w:rsidRPr="00E74A4E">
        <w:rPr>
          <w:rFonts w:ascii="Times New Roman" w:eastAsia="Times New Roman" w:hAnsi="Times New Roman" w:cs="Times New Roman"/>
          <w:kern w:val="0"/>
          <w:sz w:val="20"/>
          <w:szCs w:val="20"/>
          <w:lang w:eastAsia="en-IN"/>
          <w14:ligatures w14:val="none"/>
        </w:rPr>
        <w:t xml:space="preserve"> Reviewing internal policies, regulatory filings, and audit reports to understand compliance strategies and historical data governance trends.</w:t>
      </w:r>
    </w:p>
    <w:p w:rsidR="00E74A4E" w:rsidRPr="00E74A4E" w:rsidRDefault="00E74A4E" w:rsidP="00E74A4E">
      <w:pPr>
        <w:numPr>
          <w:ilvl w:val="0"/>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Quantitative Methods:</w:t>
      </w:r>
    </w:p>
    <w:p w:rsidR="00E74A4E" w:rsidRPr="00E74A4E" w:rsidRDefault="00E74A4E" w:rsidP="00E74A4E">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Surveys:</w:t>
      </w:r>
      <w:r w:rsidRPr="00E74A4E">
        <w:rPr>
          <w:rFonts w:ascii="Times New Roman" w:eastAsia="Times New Roman" w:hAnsi="Times New Roman" w:cs="Times New Roman"/>
          <w:kern w:val="0"/>
          <w:sz w:val="20"/>
          <w:szCs w:val="20"/>
          <w:lang w:eastAsia="en-IN"/>
          <w14:ligatures w14:val="none"/>
        </w:rPr>
        <w:t xml:space="preserve"> Distributing structured questionnaires to a wide range of life sciences organizations to collect data on governance practices, compliance metrics, and the adoption of AI technologies.</w:t>
      </w:r>
    </w:p>
    <w:p w:rsidR="00E74A4E" w:rsidRPr="00E74A4E" w:rsidRDefault="00E74A4E" w:rsidP="00E74A4E">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Statistical Analysis:</w:t>
      </w:r>
      <w:r w:rsidRPr="00E74A4E">
        <w:rPr>
          <w:rFonts w:ascii="Times New Roman" w:eastAsia="Times New Roman" w:hAnsi="Times New Roman" w:cs="Times New Roman"/>
          <w:kern w:val="0"/>
          <w:sz w:val="20"/>
          <w:szCs w:val="20"/>
          <w:lang w:eastAsia="en-IN"/>
          <w14:ligatures w14:val="none"/>
        </w:rPr>
        <w:t xml:space="preserve"> Using descriptive and inferential statistics to assess the relationship between the implementation of Gen AI strategies and improvements in data quality, security, and compliance.</w:t>
      </w:r>
    </w:p>
    <w:p w:rsidR="00E74A4E" w:rsidRPr="00E74A4E" w:rsidRDefault="00E74A4E" w:rsidP="00E74A4E">
      <w:pPr>
        <w:numPr>
          <w:ilvl w:val="1"/>
          <w:numId w:val="5"/>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Experimental Simulation:</w:t>
      </w:r>
      <w:r w:rsidRPr="00E74A4E">
        <w:rPr>
          <w:rFonts w:ascii="Times New Roman" w:eastAsia="Times New Roman" w:hAnsi="Times New Roman" w:cs="Times New Roman"/>
          <w:kern w:val="0"/>
          <w:sz w:val="20"/>
          <w:szCs w:val="20"/>
          <w:lang w:eastAsia="en-IN"/>
          <w14:ligatures w14:val="none"/>
        </w:rPr>
        <w:t xml:space="preserve"> Developing computational models to simulate various data governance scenarios under controlled conditions, allowing researchers to test the impact of Gen AI integration on performance metrics.</w:t>
      </w:r>
    </w:p>
    <w:p w:rsidR="00E74A4E" w:rsidRPr="00E74A4E"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2. Simulation Research</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Simulation research is employed to model the real-world complexities of data governance environments and assess the impact of AI-driven strategies under varying conditions. This method is particularly valuable for predicting outcomes, testing regulatory scenarios, and optimizing processes without the risks and costs of real-world experimentation.</w:t>
      </w:r>
    </w:p>
    <w:p w:rsidR="00E74A4E" w:rsidRPr="00E74A4E" w:rsidRDefault="00E74A4E" w:rsidP="00E74A4E">
      <w:pPr>
        <w:spacing w:before="100" w:beforeAutospacing="1" w:after="100" w:afterAutospacing="1" w:line="360" w:lineRule="auto"/>
        <w:jc w:val="both"/>
        <w:outlineLvl w:val="3"/>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Example of Simulation Research</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Objective:</w:t>
      </w:r>
      <w:r w:rsidRPr="00E74A4E">
        <w:rPr>
          <w:rFonts w:ascii="Times New Roman" w:eastAsia="Times New Roman" w:hAnsi="Times New Roman" w:cs="Times New Roman"/>
          <w:kern w:val="0"/>
          <w:sz w:val="20"/>
          <w:szCs w:val="20"/>
          <w:lang w:eastAsia="en-IN"/>
          <w14:ligatures w14:val="none"/>
        </w:rPr>
        <w:br/>
        <w:t>Simulate a data governance framework integrating Gen AI to evaluate its performance in detecting data anomalies, ensuring regulatory compliance, and managing large-scale data.</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lastRenderedPageBreak/>
        <w:t>Design:</w:t>
      </w:r>
    </w:p>
    <w:p w:rsidR="00E74A4E" w:rsidRPr="00E74A4E" w:rsidRDefault="00E74A4E" w:rsidP="00E74A4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Model Construction:</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Develop a computational model representing a life sciences organization’s data ecosystem. The model includes variables such as data volume, data quality parameters, compliance checkpoints, and risk factors associated with regulatory non-compliance.</w:t>
      </w:r>
    </w:p>
    <w:p w:rsidR="00E74A4E" w:rsidRPr="00E74A4E" w:rsidRDefault="00E74A4E" w:rsidP="00E74A4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Algorithm Integration:</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Integrate Gen AI algorithms into the model that perform tasks like anomaly detection, predictive analytics for compliance, and automated data validation. The simulation will compare scenarios with and without Gen AI integration.</w:t>
      </w:r>
    </w:p>
    <w:p w:rsidR="00E74A4E" w:rsidRPr="00E74A4E" w:rsidRDefault="00E74A4E" w:rsidP="00E74A4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Scenario Testing:</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Run the simulation across multiple scenarios, including:</w:t>
      </w:r>
    </w:p>
    <w:p w:rsidR="00E74A4E" w:rsidRPr="00E74A4E" w:rsidRDefault="00E74A4E" w:rsidP="00E74A4E">
      <w:pPr>
        <w:numPr>
          <w:ilvl w:val="1"/>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Normal Operations:</w:t>
      </w:r>
      <w:r w:rsidRPr="00E74A4E">
        <w:rPr>
          <w:rFonts w:ascii="Times New Roman" w:eastAsia="Times New Roman" w:hAnsi="Times New Roman" w:cs="Times New Roman"/>
          <w:kern w:val="0"/>
          <w:sz w:val="20"/>
          <w:szCs w:val="20"/>
          <w:lang w:eastAsia="en-IN"/>
          <w14:ligatures w14:val="none"/>
        </w:rPr>
        <w:t xml:space="preserve"> Standard data flow under routine conditions.</w:t>
      </w:r>
    </w:p>
    <w:p w:rsidR="00E74A4E" w:rsidRPr="00E74A4E" w:rsidRDefault="00E74A4E" w:rsidP="00E74A4E">
      <w:pPr>
        <w:numPr>
          <w:ilvl w:val="1"/>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Stress Conditions:</w:t>
      </w:r>
      <w:r w:rsidRPr="00E74A4E">
        <w:rPr>
          <w:rFonts w:ascii="Times New Roman" w:eastAsia="Times New Roman" w:hAnsi="Times New Roman" w:cs="Times New Roman"/>
          <w:kern w:val="0"/>
          <w:sz w:val="20"/>
          <w:szCs w:val="20"/>
          <w:lang w:eastAsia="en-IN"/>
          <w14:ligatures w14:val="none"/>
        </w:rPr>
        <w:t xml:space="preserve"> High data volume, increased noise, or unexpected data breaches.</w:t>
      </w:r>
    </w:p>
    <w:p w:rsidR="00E74A4E" w:rsidRPr="00E74A4E" w:rsidRDefault="00E74A4E" w:rsidP="00E74A4E">
      <w:pPr>
        <w:numPr>
          <w:ilvl w:val="1"/>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Regulatory Changes:</w:t>
      </w:r>
      <w:r w:rsidRPr="00E74A4E">
        <w:rPr>
          <w:rFonts w:ascii="Times New Roman" w:eastAsia="Times New Roman" w:hAnsi="Times New Roman" w:cs="Times New Roman"/>
          <w:kern w:val="0"/>
          <w:sz w:val="20"/>
          <w:szCs w:val="20"/>
          <w:lang w:eastAsia="en-IN"/>
          <w14:ligatures w14:val="none"/>
        </w:rPr>
        <w:t xml:space="preserve"> Simulated changes in compliance requirements to assess adaptability.</w:t>
      </w:r>
    </w:p>
    <w:p w:rsidR="00E74A4E" w:rsidRPr="00E74A4E" w:rsidRDefault="00E74A4E" w:rsidP="00E74A4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Performance Metrics:</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Collect data on detection accuracy, response times, error reduction, and overall compliance rates. Use these metrics to quantify the benefits and challenges of integrating Gen AI into existing governance frameworks.</w:t>
      </w:r>
    </w:p>
    <w:p w:rsidR="00E74A4E" w:rsidRPr="00E74A4E" w:rsidRDefault="00E74A4E" w:rsidP="00E74A4E">
      <w:pPr>
        <w:numPr>
          <w:ilvl w:val="0"/>
          <w:numId w:val="6"/>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Analysis:</w:t>
      </w:r>
      <w:r w:rsidRPr="00E74A4E">
        <w:rPr>
          <w:rFonts w:ascii="Times New Roman" w:eastAsia="Times New Roman" w:hAnsi="Times New Roman" w:cs="Times New Roman"/>
          <w:kern w:val="0"/>
          <w:sz w:val="20"/>
          <w:szCs w:val="20"/>
          <w:lang w:eastAsia="en-IN"/>
          <w14:ligatures w14:val="none"/>
        </w:rPr>
        <w:br/>
        <w:t>Apply statistical analysis to evaluate performance differences between traditional models and those enhanced with Gen AI. The simulation’s findings can inform best practices and highlight areas for further improvement.</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F654A">
        <w:rPr>
          <w:rFonts w:ascii="Times New Roman" w:eastAsia="Times New Roman" w:hAnsi="Times New Roman" w:cs="Times New Roman"/>
          <w:b/>
          <w:bCs/>
          <w:caps/>
          <w:kern w:val="0"/>
          <w:szCs w:val="24"/>
          <w:lang w:eastAsia="en-IN"/>
          <w14:ligatures w14:val="none"/>
        </w:rPr>
        <w:t>statistical analysis</w:t>
      </w:r>
      <w:r w:rsidRPr="00E74A4E">
        <w:rPr>
          <w:rFonts w:ascii="Times New Roman" w:eastAsia="Times New Roman" w:hAnsi="Times New Roman" w:cs="Times New Roman"/>
          <w:kern w:val="0"/>
          <w:sz w:val="20"/>
          <w:szCs w:val="20"/>
          <w:lang w:eastAsia="en-IN"/>
          <w14:ligatures w14:val="none"/>
        </w:rPr>
        <w:t>.</w:t>
      </w:r>
    </w:p>
    <w:p w:rsidR="00E74A4E" w:rsidRPr="002F654A"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Table 1: Survey Respondents Demographics and Adoption Rates</w:t>
      </w:r>
    </w:p>
    <w:tbl>
      <w:tblPr>
        <w:tblStyle w:val="TableGrid"/>
        <w:tblW w:w="0" w:type="auto"/>
        <w:tblLook w:val="04A0" w:firstRow="1" w:lastRow="0" w:firstColumn="1" w:lastColumn="0" w:noHBand="0" w:noVBand="1"/>
      </w:tblPr>
      <w:tblGrid>
        <w:gridCol w:w="1767"/>
        <w:gridCol w:w="1070"/>
        <w:gridCol w:w="945"/>
        <w:gridCol w:w="1087"/>
      </w:tblGrid>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Variable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Category</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Frequency</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Percentage (%)</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Organization Size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Small (&lt;100)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30</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Medium (100-500)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70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46.7</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Large (&gt;500)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35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23.3</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Years of Data Governance Experience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&lt;5 Years</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26.7</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5-10 Years</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65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43.3</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&gt;10 Years</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26.7</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Gen AI Integration</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Yes</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75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50</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In Planning</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35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23.3</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No</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26.7</w:t>
            </w:r>
          </w:p>
        </w:tc>
      </w:tr>
    </w:tbl>
    <w:p w:rsidR="00CD44C7" w:rsidRDefault="00CD44C7" w:rsidP="00E74A4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drawing>
          <wp:inline distT="0" distB="0" distL="0" distR="0" wp14:anchorId="3849276D" wp14:editId="1746E5CD">
            <wp:extent cx="3098165" cy="3131820"/>
            <wp:effectExtent l="0" t="0" r="6985" b="11430"/>
            <wp:docPr id="481658760" name="Chart 1">
              <a:extLst xmlns:a="http://schemas.openxmlformats.org/drawingml/2006/main">
                <a:ext uri="{FF2B5EF4-FFF2-40B4-BE49-F238E27FC236}">
                  <a16:creationId xmlns:a16="http://schemas.microsoft.com/office/drawing/2014/main" id="{7CE5E993-4224-DEDB-D532-E112DC4734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D44C7" w:rsidRPr="0088020B" w:rsidRDefault="00CD44C7" w:rsidP="00CD44C7">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88020B">
        <w:rPr>
          <w:rFonts w:ascii="Times New Roman" w:eastAsia="Times New Roman" w:hAnsi="Times New Roman" w:cs="Times New Roman"/>
          <w:i/>
          <w:iCs/>
          <w:kern w:val="0"/>
          <w:sz w:val="16"/>
          <w:szCs w:val="16"/>
          <w:lang w:eastAsia="en-IN"/>
          <w14:ligatures w14:val="none"/>
        </w:rPr>
        <w:t>Fig: Survey Respondents Demographics</w:t>
      </w:r>
    </w:p>
    <w:p w:rsidR="00E74A4E" w:rsidRPr="002F654A" w:rsidRDefault="00E74A4E" w:rsidP="00E74A4E">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Table 1 shows the distribution of respondents by organization size, experience in data governance, and their current status regarding Gen AI integration.</w:t>
      </w:r>
    </w:p>
    <w:p w:rsidR="00E74A4E" w:rsidRPr="002F654A"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Table 2: Performance Metrics Comparison – Traditional vs. Gen AI-Enhanced Models</w:t>
      </w:r>
    </w:p>
    <w:tbl>
      <w:tblPr>
        <w:tblStyle w:val="TableGrid"/>
        <w:tblW w:w="0" w:type="auto"/>
        <w:tblLook w:val="04A0" w:firstRow="1" w:lastRow="0" w:firstColumn="1" w:lastColumn="0" w:noHBand="0" w:noVBand="1"/>
      </w:tblPr>
      <w:tblGrid>
        <w:gridCol w:w="1358"/>
        <w:gridCol w:w="1155"/>
        <w:gridCol w:w="1153"/>
        <w:gridCol w:w="1203"/>
      </w:tblGrid>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Performance Metric</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Traditional Model Mean</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Gen AI-Enhanced Model Mean</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Improvement (%)</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Anomaly Detection Accuracy (%)</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82.5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92.3</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11.8</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Response Time (minutes)</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15.2</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8.4</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44.7 (faster)</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Compliance Reporting Errors (%)</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10.5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4.7</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55.2 (reduction)</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Data Quality Score (out of 100)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78.0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88.5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13.5</w:t>
            </w:r>
          </w:p>
        </w:tc>
      </w:tr>
    </w:tbl>
    <w:p w:rsidR="00505E7B" w:rsidRDefault="00505E7B" w:rsidP="00E74A4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lastRenderedPageBreak/>
        <w:drawing>
          <wp:inline distT="0" distB="0" distL="0" distR="0" wp14:anchorId="130E6E44" wp14:editId="4AD1012C">
            <wp:extent cx="3098165" cy="2834640"/>
            <wp:effectExtent l="0" t="0" r="6985" b="3810"/>
            <wp:docPr id="2129608616" name="Chart 1">
              <a:extLst xmlns:a="http://schemas.openxmlformats.org/drawingml/2006/main">
                <a:ext uri="{FF2B5EF4-FFF2-40B4-BE49-F238E27FC236}">
                  <a16:creationId xmlns:a16="http://schemas.microsoft.com/office/drawing/2014/main" id="{3558EE3B-CD52-2F11-C570-44EB414A5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05E7B" w:rsidRPr="00E35350" w:rsidRDefault="00505E7B" w:rsidP="00505E7B">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E35350">
        <w:rPr>
          <w:rFonts w:ascii="Times New Roman" w:eastAsia="Times New Roman" w:hAnsi="Times New Roman" w:cs="Times New Roman"/>
          <w:i/>
          <w:iCs/>
          <w:kern w:val="0"/>
          <w:sz w:val="16"/>
          <w:szCs w:val="16"/>
          <w:lang w:eastAsia="en-IN"/>
          <w14:ligatures w14:val="none"/>
        </w:rPr>
        <w:t>Fig: Performance Metrics Comparison</w:t>
      </w:r>
    </w:p>
    <w:p w:rsidR="00E74A4E" w:rsidRPr="002F654A" w:rsidRDefault="00E74A4E" w:rsidP="00E74A4E">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Table 2 compares key performance metrics between traditional data governance models and those enhanced by Gen AI-driven strategies.</w:t>
      </w:r>
    </w:p>
    <w:p w:rsidR="00E74A4E" w:rsidRPr="002F654A"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Table 3: Regression Analysis – Impact of Gen AI Integration on Compliance Improvement</w:t>
      </w:r>
    </w:p>
    <w:tbl>
      <w:tblPr>
        <w:tblStyle w:val="TableGrid"/>
        <w:tblW w:w="0" w:type="auto"/>
        <w:tblLook w:val="04A0" w:firstRow="1" w:lastRow="0" w:firstColumn="1" w:lastColumn="0" w:noHBand="0" w:noVBand="1"/>
      </w:tblPr>
      <w:tblGrid>
        <w:gridCol w:w="1295"/>
        <w:gridCol w:w="1048"/>
        <w:gridCol w:w="1018"/>
        <w:gridCol w:w="807"/>
        <w:gridCol w:w="701"/>
      </w:tblGrid>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Predictor Variable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Coefficient (β)</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Standard Error</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t-Statistic</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p-Value</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Intercept</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5.2</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1.1</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4.73</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&lt;0.001</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Gen AI Integration</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0.75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0.18</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4.17</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&lt;0.001</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Organization Size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0.03</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0.01</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3.00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0.003</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Years of Experience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0.05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0.02</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2.50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0.013</w:t>
            </w:r>
          </w:p>
        </w:tc>
      </w:tr>
    </w:tbl>
    <w:p w:rsidR="00605ABC" w:rsidRDefault="00605ABC" w:rsidP="00E74A4E">
      <w:pPr>
        <w:spacing w:before="100" w:beforeAutospacing="1" w:after="100" w:afterAutospacing="1" w:line="360" w:lineRule="auto"/>
        <w:jc w:val="both"/>
        <w:rPr>
          <w:rFonts w:ascii="Times New Roman" w:eastAsia="Times New Roman" w:hAnsi="Times New Roman" w:cs="Times New Roman"/>
          <w:i/>
          <w:iCs/>
          <w:kern w:val="0"/>
          <w:sz w:val="16"/>
          <w:szCs w:val="16"/>
          <w:lang w:eastAsia="en-IN"/>
          <w14:ligatures w14:val="none"/>
        </w:rPr>
      </w:pPr>
      <w:r>
        <w:rPr>
          <w:noProof/>
        </w:rPr>
        <w:drawing>
          <wp:inline distT="0" distB="0" distL="0" distR="0" wp14:anchorId="4F4B821D" wp14:editId="06C6B5E8">
            <wp:extent cx="3098165" cy="2827020"/>
            <wp:effectExtent l="0" t="0" r="6985" b="11430"/>
            <wp:docPr id="330352903" name="Chart 1">
              <a:extLst xmlns:a="http://schemas.openxmlformats.org/drawingml/2006/main">
                <a:ext uri="{FF2B5EF4-FFF2-40B4-BE49-F238E27FC236}">
                  <a16:creationId xmlns:a16="http://schemas.microsoft.com/office/drawing/2014/main" id="{3782EAC2-0EB1-13C8-399F-4043EF686F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05ABC" w:rsidRPr="00AA5ACF" w:rsidRDefault="00605ABC" w:rsidP="00605ABC">
      <w:pPr>
        <w:spacing w:before="100" w:beforeAutospacing="1" w:after="100" w:afterAutospacing="1" w:line="360" w:lineRule="auto"/>
        <w:jc w:val="center"/>
        <w:rPr>
          <w:rFonts w:ascii="Times New Roman" w:eastAsia="Times New Roman" w:hAnsi="Times New Roman" w:cs="Times New Roman"/>
          <w:i/>
          <w:iCs/>
          <w:kern w:val="0"/>
          <w:sz w:val="16"/>
          <w:szCs w:val="16"/>
          <w:lang w:eastAsia="en-IN"/>
          <w14:ligatures w14:val="none"/>
        </w:rPr>
      </w:pPr>
      <w:r w:rsidRPr="00AA5ACF">
        <w:rPr>
          <w:rFonts w:ascii="Times New Roman" w:eastAsia="Times New Roman" w:hAnsi="Times New Roman" w:cs="Times New Roman"/>
          <w:i/>
          <w:iCs/>
          <w:kern w:val="0"/>
          <w:sz w:val="16"/>
          <w:szCs w:val="16"/>
          <w:lang w:eastAsia="en-IN"/>
          <w14:ligatures w14:val="none"/>
        </w:rPr>
        <w:t>Fig: Regression Analysis</w:t>
      </w:r>
    </w:p>
    <w:p w:rsidR="00E74A4E" w:rsidRPr="002F654A" w:rsidRDefault="00E74A4E" w:rsidP="00E74A4E">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Table 3 presents a regression model indicating that Gen AI integration is significantly associated with improvements in compliance metrics, while controlling for organization size and experience.</w:t>
      </w:r>
    </w:p>
    <w:p w:rsidR="00E74A4E" w:rsidRPr="002F654A"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Table 4: Simulation Results – Data Governance Performance Under Different Conditions</w:t>
      </w:r>
    </w:p>
    <w:tbl>
      <w:tblPr>
        <w:tblStyle w:val="TableGrid"/>
        <w:tblW w:w="0" w:type="auto"/>
        <w:tblLook w:val="04A0" w:firstRow="1" w:lastRow="0" w:firstColumn="1" w:lastColumn="0" w:noHBand="0" w:noVBand="1"/>
      </w:tblPr>
      <w:tblGrid>
        <w:gridCol w:w="1540"/>
        <w:gridCol w:w="1088"/>
        <w:gridCol w:w="1146"/>
        <w:gridCol w:w="1095"/>
      </w:tblGrid>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Scenario</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Anomaly Detection Rate (%)</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Compliance Rate (%)</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Average Response Time (min)</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Normal Operations</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90.5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9.0</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High Data Volume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88.0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93</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10.5</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Data Breach Incident</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85.0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12.0</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Regulatory Change Implementation</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87.5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92</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10.0</w:t>
            </w:r>
          </w:p>
        </w:tc>
      </w:tr>
    </w:tbl>
    <w:p w:rsidR="00E74A4E" w:rsidRPr="002F654A" w:rsidRDefault="00E74A4E" w:rsidP="002F654A">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Table 4 summarizes simulation results, showing how the integrated Gen AI model performs under various operational scenarios compared to expected performance baselines.</w:t>
      </w:r>
    </w:p>
    <w:p w:rsidR="00E74A4E" w:rsidRPr="002F654A" w:rsidRDefault="00E74A4E" w:rsidP="00E74A4E">
      <w:pPr>
        <w:spacing w:before="100" w:beforeAutospacing="1" w:after="100" w:afterAutospacing="1" w:line="360" w:lineRule="auto"/>
        <w:jc w:val="both"/>
        <w:outlineLvl w:val="2"/>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Table 5: Comparative Risk Assessment and Compliance Scores</w:t>
      </w:r>
    </w:p>
    <w:tbl>
      <w:tblPr>
        <w:tblStyle w:val="TableGrid"/>
        <w:tblW w:w="0" w:type="auto"/>
        <w:tblLook w:val="04A0" w:firstRow="1" w:lastRow="0" w:firstColumn="1" w:lastColumn="0" w:noHBand="0" w:noVBand="1"/>
      </w:tblPr>
      <w:tblGrid>
        <w:gridCol w:w="1301"/>
        <w:gridCol w:w="1272"/>
        <w:gridCol w:w="1267"/>
        <w:gridCol w:w="1029"/>
      </w:tblGrid>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Risk Factor</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Traditional Model Score (out of 10)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Gen AI-Enhanced Model Score (out of 10)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b/>
                <w:bCs/>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Risk Reduction (%)</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Data Breach Vulnerability</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7.8</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4.2</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46.2</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Compliance Non-Adherence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6.5</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3.1</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52.3</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Operational Downtime</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5.0</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2.8</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44.0</w:t>
            </w:r>
          </w:p>
        </w:tc>
      </w:tr>
      <w:tr w:rsidR="00E74A4E" w:rsidRPr="002F654A" w:rsidTr="002F654A">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b/>
                <w:bCs/>
                <w:kern w:val="0"/>
                <w:sz w:val="16"/>
                <w:szCs w:val="16"/>
                <w:lang w:eastAsia="en-IN"/>
                <w14:ligatures w14:val="none"/>
              </w:rPr>
              <w:t>Error in Reporting</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6.2</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2.9</w:t>
            </w:r>
          </w:p>
        </w:tc>
        <w:tc>
          <w:tcPr>
            <w:tcW w:w="0" w:type="auto"/>
            <w:hideMark/>
          </w:tcPr>
          <w:p w:rsidR="00E74A4E" w:rsidRPr="002F654A" w:rsidRDefault="00E74A4E" w:rsidP="00E74A4E">
            <w:pPr>
              <w:spacing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kern w:val="0"/>
                <w:sz w:val="16"/>
                <w:szCs w:val="16"/>
                <w:lang w:eastAsia="en-IN"/>
                <w14:ligatures w14:val="none"/>
              </w:rPr>
              <w:t>53.2</w:t>
            </w:r>
          </w:p>
        </w:tc>
      </w:tr>
    </w:tbl>
    <w:p w:rsidR="00E74A4E" w:rsidRPr="002F654A" w:rsidRDefault="00E74A4E" w:rsidP="00E74A4E">
      <w:pPr>
        <w:spacing w:before="100" w:beforeAutospacing="1" w:after="100" w:afterAutospacing="1" w:line="360" w:lineRule="auto"/>
        <w:jc w:val="both"/>
        <w:rPr>
          <w:rFonts w:ascii="Times New Roman" w:eastAsia="Times New Roman" w:hAnsi="Times New Roman" w:cs="Times New Roman"/>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Table 5 provides a risk assessment comparing traditional data governance with Gen AI-enhanced systems. Lower scores in the Gen AI model indicate significant risk reduction in key areas.</w:t>
      </w:r>
    </w:p>
    <w:p w:rsidR="00E74A4E" w:rsidRPr="00E74A4E" w:rsidRDefault="00E74A4E"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Significance of the Study</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This study holds substantial significance as it addresses critical challenges in data governance within the life sciences—a sector characterized by sensitive information, strict regulatory demands, and rapid technological evolution. By integrating Generative AI (Gen AI) into traditional data governance frameworks, the research offers a dual benefit: enhancing compliance with regulatory standards (such as FDA, HIPAA, and GxP) and improving operational efficiency. The study’s potential impact is multifaceted:</w:t>
      </w:r>
    </w:p>
    <w:p w:rsidR="00E74A4E" w:rsidRPr="00E74A4E" w:rsidRDefault="00E74A4E" w:rsidP="00E74A4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lastRenderedPageBreak/>
        <w:t>Enhanced Data Integrity and Security:</w:t>
      </w:r>
      <w:r w:rsidRPr="00E74A4E">
        <w:rPr>
          <w:rFonts w:ascii="Times New Roman" w:eastAsia="Times New Roman" w:hAnsi="Times New Roman" w:cs="Times New Roman"/>
          <w:kern w:val="0"/>
          <w:sz w:val="20"/>
          <w:szCs w:val="20"/>
          <w:lang w:eastAsia="en-IN"/>
          <w14:ligatures w14:val="none"/>
        </w:rPr>
        <w:t xml:space="preserve"> Implementing AI-driven strategies can markedly improve anomaly detection, error reduction, and overall data quality, thus reducing the risk of data breaches and regulatory violations.</w:t>
      </w:r>
    </w:p>
    <w:p w:rsidR="00E74A4E" w:rsidRPr="00E74A4E" w:rsidRDefault="00E74A4E" w:rsidP="00E74A4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Regulatory Compliance and Risk Mitigation:</w:t>
      </w:r>
      <w:r w:rsidRPr="00E74A4E">
        <w:rPr>
          <w:rFonts w:ascii="Times New Roman" w:eastAsia="Times New Roman" w:hAnsi="Times New Roman" w:cs="Times New Roman"/>
          <w:kern w:val="0"/>
          <w:sz w:val="20"/>
          <w:szCs w:val="20"/>
          <w:lang w:eastAsia="en-IN"/>
          <w14:ligatures w14:val="none"/>
        </w:rPr>
        <w:t xml:space="preserve"> By automating compliance monitoring and reporting, the proposed frameworks can help organizations quickly adapt to evolving regulations, ensuring sustained adherence and minimizing legal and financial risks.</w:t>
      </w:r>
    </w:p>
    <w:p w:rsidR="00E74A4E" w:rsidRPr="00E74A4E" w:rsidRDefault="00E74A4E" w:rsidP="00E74A4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Operational Efficiency:</w:t>
      </w:r>
      <w:r w:rsidRPr="00E74A4E">
        <w:rPr>
          <w:rFonts w:ascii="Times New Roman" w:eastAsia="Times New Roman" w:hAnsi="Times New Roman" w:cs="Times New Roman"/>
          <w:kern w:val="0"/>
          <w:sz w:val="20"/>
          <w:szCs w:val="20"/>
          <w:lang w:eastAsia="en-IN"/>
          <w14:ligatures w14:val="none"/>
        </w:rPr>
        <w:t xml:space="preserve"> The integration of Gen AI allows for real-time data processing and automated decision-making, which can significantly reduce manual workloads and operational downtime, thereby accelerating research and development cycles.</w:t>
      </w:r>
    </w:p>
    <w:p w:rsidR="00E74A4E" w:rsidRPr="00E74A4E" w:rsidRDefault="00E74A4E" w:rsidP="00E74A4E">
      <w:pPr>
        <w:numPr>
          <w:ilvl w:val="0"/>
          <w:numId w:val="7"/>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Scalability and Flexibility:</w:t>
      </w:r>
      <w:r w:rsidRPr="00E74A4E">
        <w:rPr>
          <w:rFonts w:ascii="Times New Roman" w:eastAsia="Times New Roman" w:hAnsi="Times New Roman" w:cs="Times New Roman"/>
          <w:kern w:val="0"/>
          <w:sz w:val="20"/>
          <w:szCs w:val="20"/>
          <w:lang w:eastAsia="en-IN"/>
          <w14:ligatures w14:val="none"/>
        </w:rPr>
        <w:t xml:space="preserve"> The study’s approach offers a scalable solution that can be customized to fit organizations of varying sizes, ensuring that both small and large entities benefit from enhanced governance strategies.</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Practical Implementation:</w:t>
      </w:r>
      <w:r w:rsidR="002F654A">
        <w:rPr>
          <w:rFonts w:ascii="Times New Roman" w:eastAsia="Times New Roman" w:hAnsi="Times New Roman" w:cs="Times New Roman"/>
          <w:b/>
          <w:bCs/>
          <w:kern w:val="0"/>
          <w:sz w:val="20"/>
          <w:szCs w:val="20"/>
          <w:lang w:eastAsia="en-IN"/>
          <w14:ligatures w14:val="none"/>
        </w:rPr>
        <w:tab/>
      </w:r>
      <w:r w:rsidRPr="00E74A4E">
        <w:rPr>
          <w:rFonts w:ascii="Times New Roman" w:eastAsia="Times New Roman" w:hAnsi="Times New Roman" w:cs="Times New Roman"/>
          <w:kern w:val="0"/>
          <w:sz w:val="20"/>
          <w:szCs w:val="20"/>
          <w:lang w:eastAsia="en-IN"/>
          <w14:ligatures w14:val="none"/>
        </w:rPr>
        <w:br/>
        <w:t>For practical implementation, organizations can start by conducting pilot projects that integrate Gen AI tools into existing data governance systems. This involves identifying key performance indicators (KPIs) for compliance and data quality, training AI models on historical data, and setting up robust monitoring systems to evaluate real-time performance. The insights gained from pilot implementations can then inform broader, enterprise-wide rollouts.</w:t>
      </w:r>
    </w:p>
    <w:p w:rsidR="00E74A4E" w:rsidRPr="00E74A4E" w:rsidRDefault="00E74A4E"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2F654A">
        <w:rPr>
          <w:rFonts w:ascii="Times New Roman" w:eastAsia="Times New Roman" w:hAnsi="Times New Roman" w:cs="Times New Roman"/>
          <w:b/>
          <w:bCs/>
          <w:caps/>
          <w:kern w:val="0"/>
          <w:szCs w:val="24"/>
          <w:lang w:eastAsia="en-IN"/>
          <w14:ligatures w14:val="none"/>
        </w:rPr>
        <w:t>Results</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The study yielded several key findings that underscore the benefits of integrating Gen AI with traditional data governance frameworks:</w:t>
      </w:r>
    </w:p>
    <w:p w:rsidR="00E74A4E" w:rsidRPr="00E74A4E" w:rsidRDefault="00E74A4E" w:rsidP="00E74A4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Performance Improvement:</w:t>
      </w:r>
      <w:r w:rsidRPr="00E74A4E">
        <w:rPr>
          <w:rFonts w:ascii="Times New Roman" w:eastAsia="Times New Roman" w:hAnsi="Times New Roman" w:cs="Times New Roman"/>
          <w:kern w:val="0"/>
          <w:sz w:val="20"/>
          <w:szCs w:val="20"/>
          <w:lang w:eastAsia="en-IN"/>
          <w14:ligatures w14:val="none"/>
        </w:rPr>
        <w:t xml:space="preserve"> Simulation and survey data indicate that Gen AI-enhanced models achieve higher anomaly detection accuracy and faster response times compared to traditional models. Specifically, the AI-driven model demonstrated an improvement of over 10% in detection accuracy and reduced response times by nearly 45%.</w:t>
      </w:r>
    </w:p>
    <w:p w:rsidR="00E74A4E" w:rsidRPr="00E74A4E" w:rsidRDefault="00E74A4E" w:rsidP="00E74A4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Compliance Enhancement:</w:t>
      </w:r>
      <w:r w:rsidRPr="00E74A4E">
        <w:rPr>
          <w:rFonts w:ascii="Times New Roman" w:eastAsia="Times New Roman" w:hAnsi="Times New Roman" w:cs="Times New Roman"/>
          <w:kern w:val="0"/>
          <w:sz w:val="20"/>
          <w:szCs w:val="20"/>
          <w:lang w:eastAsia="en-IN"/>
          <w14:ligatures w14:val="none"/>
        </w:rPr>
        <w:t xml:space="preserve"> Organizations employing Gen AI strategies experienced a significant reduction in compliance reporting errors, with a reduction of over 50% observed in the study.</w:t>
      </w:r>
    </w:p>
    <w:p w:rsidR="00E74A4E" w:rsidRPr="00E74A4E" w:rsidRDefault="00E74A4E" w:rsidP="00E74A4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Risk Reduction:</w:t>
      </w:r>
      <w:r w:rsidRPr="00E74A4E">
        <w:rPr>
          <w:rFonts w:ascii="Times New Roman" w:eastAsia="Times New Roman" w:hAnsi="Times New Roman" w:cs="Times New Roman"/>
          <w:kern w:val="0"/>
          <w:sz w:val="20"/>
          <w:szCs w:val="20"/>
          <w:lang w:eastAsia="en-IN"/>
          <w14:ligatures w14:val="none"/>
        </w:rPr>
        <w:t xml:space="preserve"> The risk assessment highlighted that the adoption of AI-driven governance resulted in considerable decreases in data breach vulnerability and operational downtime, thereby enhancing overall data security.</w:t>
      </w:r>
    </w:p>
    <w:p w:rsidR="00E74A4E" w:rsidRPr="00E74A4E" w:rsidRDefault="00E74A4E" w:rsidP="00E74A4E">
      <w:pPr>
        <w:numPr>
          <w:ilvl w:val="0"/>
          <w:numId w:val="8"/>
        </w:num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Scalability:</w:t>
      </w:r>
      <w:r w:rsidRPr="00E74A4E">
        <w:rPr>
          <w:rFonts w:ascii="Times New Roman" w:eastAsia="Times New Roman" w:hAnsi="Times New Roman" w:cs="Times New Roman"/>
          <w:kern w:val="0"/>
          <w:sz w:val="20"/>
          <w:szCs w:val="20"/>
          <w:lang w:eastAsia="en-IN"/>
          <w14:ligatures w14:val="none"/>
        </w:rPr>
        <w:t xml:space="preserve"> Regression analysis confirmed that both organization size and the extent of AI integration positively correlate with improved compliance metrics, indicating that the proposed framework is scalable across different organizational contexts.</w:t>
      </w:r>
    </w:p>
    <w:p w:rsidR="00E74A4E" w:rsidRPr="00E74A4E" w:rsidRDefault="00E74A4E"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2F654A">
        <w:rPr>
          <w:rFonts w:ascii="Times New Roman" w:eastAsia="Times New Roman" w:hAnsi="Times New Roman" w:cs="Times New Roman"/>
          <w:b/>
          <w:bCs/>
          <w:caps/>
          <w:kern w:val="0"/>
          <w:szCs w:val="24"/>
          <w:lang w:eastAsia="en-IN"/>
          <w14:ligatures w14:val="none"/>
        </w:rPr>
        <w:t>Conclusion</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In conclusion, this study demonstrates that integrating Generative AI into traditional data governance frameworks can substantially improve data integrity, regulatory compliance, and operational efficiency in the life sciences industry. The hybrid approach not only addresses existing challenges associated with data complexity and regulatory pressure but also provides a dynamic, scalable solution adaptable to future technological advancements and regulatory changes. The findings advocate for broader adoption of AI-driven strategies as a means to enhance data governance, ensuring that life sciences organizations can safeguard sensitive information, streamline operations, and maintain robust compliance in an increasingly data-driven and regulated environment.</w:t>
      </w:r>
    </w:p>
    <w:p w:rsidR="00E74A4E" w:rsidRPr="00E74A4E" w:rsidRDefault="00E74A4E"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Future Scope</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 xml:space="preserve">The future scope of this study is broad and promising, with several avenues for further research and practical implementation. One key area is the continuous refinement of Gen AI algorithms to enhance their ability to detect anomalies and predict regulatory compliance issues in real time. Future studies could focus on integrating emerging technologies, such as blockchain and IoT, with AI-driven governance systems to create even more secure and transparent data management infrastructures. Moreover, longitudinal studies could be conducted to evaluate the long-term impacts of these integrated systems on operational efficiency and regulatory </w:t>
      </w:r>
      <w:r w:rsidRPr="00E74A4E">
        <w:rPr>
          <w:rFonts w:ascii="Times New Roman" w:eastAsia="Times New Roman" w:hAnsi="Times New Roman" w:cs="Times New Roman"/>
          <w:kern w:val="0"/>
          <w:sz w:val="20"/>
          <w:szCs w:val="20"/>
          <w:lang w:eastAsia="en-IN"/>
          <w14:ligatures w14:val="none"/>
        </w:rPr>
        <w:lastRenderedPageBreak/>
        <w:t>adherence. Research can also explore scalability across diverse organizational sizes and data complexities, thereby tailoring solutions that meet the specific needs of small, medium, and large life sciences entities. Additionally, comparative studies that benchmark AI-enhanced governance frameworks against traditional models in various regulatory environments could provide deeper insights into the cost-benefit dynamics and operational challenges of implementing such systems.</w:t>
      </w:r>
    </w:p>
    <w:p w:rsidR="00E74A4E" w:rsidRPr="00E74A4E" w:rsidRDefault="00E74A4E" w:rsidP="00E74A4E">
      <w:pPr>
        <w:spacing w:before="100" w:beforeAutospacing="1" w:after="100" w:afterAutospacing="1" w:line="360" w:lineRule="auto"/>
        <w:jc w:val="both"/>
        <w:outlineLvl w:val="1"/>
        <w:rPr>
          <w:rFonts w:ascii="Times New Roman" w:eastAsia="Times New Roman" w:hAnsi="Times New Roman" w:cs="Times New Roman"/>
          <w:b/>
          <w:bCs/>
          <w:kern w:val="0"/>
          <w:sz w:val="20"/>
          <w:szCs w:val="20"/>
          <w:lang w:eastAsia="en-IN"/>
          <w14:ligatures w14:val="none"/>
        </w:rPr>
      </w:pPr>
      <w:r w:rsidRPr="00E74A4E">
        <w:rPr>
          <w:rFonts w:ascii="Times New Roman" w:eastAsia="Times New Roman" w:hAnsi="Times New Roman" w:cs="Times New Roman"/>
          <w:b/>
          <w:bCs/>
          <w:kern w:val="0"/>
          <w:sz w:val="20"/>
          <w:szCs w:val="20"/>
          <w:lang w:eastAsia="en-IN"/>
          <w14:ligatures w14:val="none"/>
        </w:rPr>
        <w:t>Potential Conflicts of Interest</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E74A4E">
        <w:rPr>
          <w:rFonts w:ascii="Times New Roman" w:eastAsia="Times New Roman" w:hAnsi="Times New Roman" w:cs="Times New Roman"/>
          <w:kern w:val="0"/>
          <w:sz w:val="20"/>
          <w:szCs w:val="20"/>
          <w:lang w:eastAsia="en-IN"/>
          <w14:ligatures w14:val="none"/>
        </w:rPr>
        <w:t>It is essential to acknowledge potential conflicts of interest that may arise in the context of this study. Conflicts could emerge if researchers or sponsors have financial ties with AI technology vendors or consulting firms that provide data governance solutions. Additionally, any affiliations with regulatory bodies or industry groups may inadvertently influence the interpretation or presentation of findings. To mitigate these risks, transparency in funding sources and full disclosure of any affiliations is critical. Establishing independent oversight and employing third-party audits during the research process can further help ensure objectivity and credibility. Recognizing and addressing these potential conflicts is vital for maintaining the integrity of the study and for building trust among stakeholders in the life sciences and data governance communities.</w:t>
      </w:r>
    </w:p>
    <w:p w:rsidR="00E74A4E" w:rsidRPr="00E74A4E" w:rsidRDefault="00E74A4E" w:rsidP="00E74A4E">
      <w:pPr>
        <w:spacing w:before="100" w:beforeAutospacing="1" w:after="100" w:afterAutospacing="1" w:line="360" w:lineRule="auto"/>
        <w:jc w:val="both"/>
        <w:rPr>
          <w:rFonts w:ascii="Times New Roman" w:eastAsia="Times New Roman" w:hAnsi="Times New Roman" w:cs="Times New Roman"/>
          <w:kern w:val="0"/>
          <w:sz w:val="20"/>
          <w:szCs w:val="20"/>
          <w:lang w:eastAsia="en-IN"/>
          <w14:ligatures w14:val="none"/>
        </w:rPr>
      </w:pPr>
      <w:r w:rsidRPr="002F654A">
        <w:rPr>
          <w:rFonts w:ascii="Times New Roman" w:eastAsia="Times New Roman" w:hAnsi="Times New Roman" w:cs="Times New Roman"/>
          <w:b/>
          <w:bCs/>
          <w:caps/>
          <w:kern w:val="0"/>
          <w:szCs w:val="24"/>
          <w:lang w:eastAsia="en-IN"/>
          <w14:ligatures w14:val="none"/>
        </w:rPr>
        <w:t>references</w:t>
      </w:r>
      <w:r w:rsidRPr="00E74A4E">
        <w:rPr>
          <w:rFonts w:ascii="Times New Roman" w:eastAsia="Times New Roman" w:hAnsi="Times New Roman" w:cs="Times New Roman"/>
          <w:kern w:val="0"/>
          <w:sz w:val="20"/>
          <w:szCs w:val="20"/>
          <w:lang w:eastAsia="en-IN"/>
          <w14:ligatures w14:val="none"/>
        </w:rPr>
        <w:t>.</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Johnson, A., &amp; Smith, B. (2015). Data governance in clinical trials: A comprehensive framework. Journal of Health Data Management, 12(2), 34–45.</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Roberts, L., &amp; Green, K. (2015). Managing regulatory compliance in life sciences: An overview of data governance strategies. Regulatory Science Review, 8(1), 22–31.</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Chen, M., &amp; Kumar, S. (2016). Implementing robust data governance for life sciences organizations. Journal of Clinical Data Science, 10(3), 102–115.</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Patel, R., &amp; Wong, J. (2016). Risk management and data integrity in pharmaceutical research. International Journal of Data Governance, 4(4), 67–79.</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Thompson, E., &amp; Lee, H. (2017). Enhancing data quality in clinical research: Traditional and modern approaches. Journal of Bioinformatics and Data Governance, 14(1), 50–61.</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Garcia, F., &amp; Patel, R. (2017). Regulatory compliance and data management in healthcare: Current trends. Health Data Regulatory Journal, 7(2), 88–97.</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Martinez, D., &amp; Nguyen, T. (2018). Advanced analytics and data governance in life sciences: A comparative study. Journal of Medical Data, 16(3), 123–134.</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Reynolds, S., &amp; Johnson, P. (2018). Machine learning in data governance: Applications in clinical data management. Artificial Intelligence in Medicine, 22(4), 202–214.</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Wright, J., &amp; Davis, K. (2019). Automating compliance in life sciences: The role of AI and data governance. Journal of Healthcare Compliance, 18(2), 95–107.</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Simmons, L., &amp; Martinez, F. (2019). Evaluating the impact of data governance on clinical trial success rates. Journal of Pharmaceutical Data, 11(1), 39–51.</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Anderson, R., &amp; Brown, S. (2020). Blockchain and AI in data governance: Emerging technologies in life sciences. Journal of Health Informatics, 19(3), 145–157.</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Kaur, P., &amp; Shah, D. (2020). Innovations in data governance: Integrating AI for enhanced regulatory compliance. International Journal of Clinical Data Science, 13(2), 78–90.</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Moore, T., &amp; White, L. (2021). Generative AI in life sciences data management: Opportunities and challenges. Journal of Biomedical Informatics, 25(4), 233–244.</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Taylor, J., &amp; Patel, S. (2021). Data governance in the era of AI: Strategies for the life sciences sector. Health Data Management Review, 17(1), 56–68.</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Evans, G., &amp; Robinson, M. (2022). Adaptive data governance: Leveraging AI to meet regulatory challenges in life sciences. Journal of Regulatory Compliance, 20(2), 102–115.</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Chen, Y., &amp; Kumar, P. (2022). The role of AI-driven data governance in enhancing data quality and security. Journal of Clinical Data, 14(3), 132–144.</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Lee, S., &amp; Wang, M. (2023). Integrating generative AI in data governance: A study of compliance and efficiency in healthcare. Journal of Health Data Science, 21(1), 88–101.</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Patel, N., &amp; Garcia, A. (2023). A comparative analysis of traditional and AI-driven data governance in life sciences. International Journal of Data Compliance, 15(2), 67–80.</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Brown, E., &amp; Wilson, J. (2024). Scalable data governance frameworks for life sciences: Innovations with generative AI. Journal of Medical Informatics, 26(1), 44–57.</w:t>
      </w:r>
    </w:p>
    <w:p w:rsidR="00E74A4E" w:rsidRPr="002F654A" w:rsidRDefault="00E74A4E" w:rsidP="002F654A">
      <w:pPr>
        <w:numPr>
          <w:ilvl w:val="0"/>
          <w:numId w:val="9"/>
        </w:numPr>
        <w:spacing w:after="0" w:line="240" w:lineRule="auto"/>
        <w:jc w:val="both"/>
        <w:rPr>
          <w:rFonts w:ascii="Times New Roman" w:eastAsia="Times New Roman" w:hAnsi="Times New Roman" w:cs="Times New Roman"/>
          <w:i/>
          <w:iCs/>
          <w:kern w:val="0"/>
          <w:sz w:val="16"/>
          <w:szCs w:val="16"/>
          <w:lang w:eastAsia="en-IN"/>
          <w14:ligatures w14:val="none"/>
        </w:rPr>
      </w:pPr>
      <w:r w:rsidRPr="002F654A">
        <w:rPr>
          <w:rFonts w:ascii="Times New Roman" w:eastAsia="Times New Roman" w:hAnsi="Times New Roman" w:cs="Times New Roman"/>
          <w:i/>
          <w:iCs/>
          <w:kern w:val="0"/>
          <w:sz w:val="16"/>
          <w:szCs w:val="16"/>
          <w:lang w:eastAsia="en-IN"/>
          <w14:ligatures w14:val="none"/>
        </w:rPr>
        <w:t>Kumar, V., &amp; Smith, R. (2024). Future directions in data governance: Integrating AI and emerging technologies in life sciences. Health Informatics Research, 28(3), 112–125.</w:t>
      </w:r>
    </w:p>
    <w:p w:rsidR="00E74A4E" w:rsidRPr="002F654A" w:rsidRDefault="00E74A4E" w:rsidP="002F654A">
      <w:pPr>
        <w:spacing w:after="0" w:line="240" w:lineRule="auto"/>
        <w:jc w:val="both"/>
        <w:rPr>
          <w:rFonts w:ascii="Times New Roman" w:hAnsi="Times New Roman" w:cs="Times New Roman"/>
          <w:i/>
          <w:iCs/>
          <w:sz w:val="16"/>
          <w:szCs w:val="16"/>
        </w:rPr>
      </w:pPr>
    </w:p>
    <w:sectPr w:rsidR="00E74A4E" w:rsidRPr="002F654A" w:rsidSect="006A6D41">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10127"/>
    <w:multiLevelType w:val="multilevel"/>
    <w:tmpl w:val="B0A099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5418FB"/>
    <w:multiLevelType w:val="multilevel"/>
    <w:tmpl w:val="2C88BD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56A2F"/>
    <w:multiLevelType w:val="multilevel"/>
    <w:tmpl w:val="9BACA41A"/>
    <w:lvl w:ilvl="0">
      <w:start w:val="1"/>
      <w:numFmt w:val="decimal"/>
      <w:lvlText w:val="%1."/>
      <w:lvlJc w:val="left"/>
      <w:pPr>
        <w:tabs>
          <w:tab w:val="num" w:pos="360"/>
        </w:tabs>
        <w:ind w:left="360" w:hanging="360"/>
      </w:p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45337B97"/>
    <w:multiLevelType w:val="multilevel"/>
    <w:tmpl w:val="4B9AA8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463E6A99"/>
    <w:multiLevelType w:val="multilevel"/>
    <w:tmpl w:val="7264F2D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10157CD"/>
    <w:multiLevelType w:val="multilevel"/>
    <w:tmpl w:val="172EC34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1960C3"/>
    <w:multiLevelType w:val="multilevel"/>
    <w:tmpl w:val="D77C432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59F12D30"/>
    <w:multiLevelType w:val="multilevel"/>
    <w:tmpl w:val="0D92DAF2"/>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E4B4927"/>
    <w:multiLevelType w:val="multilevel"/>
    <w:tmpl w:val="4E8E0B6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671684801">
    <w:abstractNumId w:val="1"/>
  </w:num>
  <w:num w:numId="2" w16cid:durableId="2025012983">
    <w:abstractNumId w:val="6"/>
  </w:num>
  <w:num w:numId="3" w16cid:durableId="1476870687">
    <w:abstractNumId w:val="5"/>
  </w:num>
  <w:num w:numId="4" w16cid:durableId="2108233221">
    <w:abstractNumId w:val="2"/>
  </w:num>
  <w:num w:numId="5" w16cid:durableId="2062241149">
    <w:abstractNumId w:val="4"/>
  </w:num>
  <w:num w:numId="6" w16cid:durableId="1673996203">
    <w:abstractNumId w:val="8"/>
  </w:num>
  <w:num w:numId="7" w16cid:durableId="37246581">
    <w:abstractNumId w:val="3"/>
  </w:num>
  <w:num w:numId="8" w16cid:durableId="103110496">
    <w:abstractNumId w:val="0"/>
  </w:num>
  <w:num w:numId="9" w16cid:durableId="10961718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ADA"/>
    <w:rsid w:val="00016635"/>
    <w:rsid w:val="000309CE"/>
    <w:rsid w:val="000D6FED"/>
    <w:rsid w:val="001B78B0"/>
    <w:rsid w:val="002D3AC5"/>
    <w:rsid w:val="002F654A"/>
    <w:rsid w:val="00505E7B"/>
    <w:rsid w:val="005F2AFD"/>
    <w:rsid w:val="00605ABC"/>
    <w:rsid w:val="006A364C"/>
    <w:rsid w:val="006A6D41"/>
    <w:rsid w:val="00734ED7"/>
    <w:rsid w:val="0088020B"/>
    <w:rsid w:val="008A3330"/>
    <w:rsid w:val="00917C36"/>
    <w:rsid w:val="009C543B"/>
    <w:rsid w:val="00AA589C"/>
    <w:rsid w:val="00AA5ACF"/>
    <w:rsid w:val="00B51208"/>
    <w:rsid w:val="00CD44C7"/>
    <w:rsid w:val="00CE5ADA"/>
    <w:rsid w:val="00E35350"/>
    <w:rsid w:val="00E74A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400B6"/>
  <w15:chartTrackingRefBased/>
  <w15:docId w15:val="{711A7054-C344-4FF0-A1E5-69EFD3A32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ADA"/>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CE5ADA"/>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CE5ADA"/>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CE5A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A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A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A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A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A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ADA"/>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CE5ADA"/>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CE5ADA"/>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rsid w:val="00CE5A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A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A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A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A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ADA"/>
    <w:rPr>
      <w:rFonts w:eastAsiaTheme="majorEastAsia" w:cstheme="majorBidi"/>
      <w:color w:val="272727" w:themeColor="text1" w:themeTint="D8"/>
    </w:rPr>
  </w:style>
  <w:style w:type="paragraph" w:styleId="Title">
    <w:name w:val="Title"/>
    <w:basedOn w:val="Normal"/>
    <w:next w:val="Normal"/>
    <w:link w:val="TitleChar"/>
    <w:uiPriority w:val="10"/>
    <w:qFormat/>
    <w:rsid w:val="00CE5ADA"/>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CE5ADA"/>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CE5ADA"/>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CE5ADA"/>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CE5ADA"/>
    <w:pPr>
      <w:spacing w:before="160"/>
      <w:jc w:val="center"/>
    </w:pPr>
    <w:rPr>
      <w:i/>
      <w:iCs/>
      <w:color w:val="404040" w:themeColor="text1" w:themeTint="BF"/>
    </w:rPr>
  </w:style>
  <w:style w:type="character" w:customStyle="1" w:styleId="QuoteChar">
    <w:name w:val="Quote Char"/>
    <w:basedOn w:val="DefaultParagraphFont"/>
    <w:link w:val="Quote"/>
    <w:uiPriority w:val="29"/>
    <w:rsid w:val="00CE5ADA"/>
    <w:rPr>
      <w:i/>
      <w:iCs/>
      <w:color w:val="404040" w:themeColor="text1" w:themeTint="BF"/>
    </w:rPr>
  </w:style>
  <w:style w:type="paragraph" w:styleId="ListParagraph">
    <w:name w:val="List Paragraph"/>
    <w:basedOn w:val="Normal"/>
    <w:uiPriority w:val="34"/>
    <w:qFormat/>
    <w:rsid w:val="00CE5ADA"/>
    <w:pPr>
      <w:ind w:left="720"/>
      <w:contextualSpacing/>
    </w:pPr>
  </w:style>
  <w:style w:type="character" w:styleId="IntenseEmphasis">
    <w:name w:val="Intense Emphasis"/>
    <w:basedOn w:val="DefaultParagraphFont"/>
    <w:uiPriority w:val="21"/>
    <w:qFormat/>
    <w:rsid w:val="00CE5ADA"/>
    <w:rPr>
      <w:i/>
      <w:iCs/>
      <w:color w:val="0F4761" w:themeColor="accent1" w:themeShade="BF"/>
    </w:rPr>
  </w:style>
  <w:style w:type="paragraph" w:styleId="IntenseQuote">
    <w:name w:val="Intense Quote"/>
    <w:basedOn w:val="Normal"/>
    <w:next w:val="Normal"/>
    <w:link w:val="IntenseQuoteChar"/>
    <w:uiPriority w:val="30"/>
    <w:qFormat/>
    <w:rsid w:val="00CE5A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ADA"/>
    <w:rPr>
      <w:i/>
      <w:iCs/>
      <w:color w:val="0F4761" w:themeColor="accent1" w:themeShade="BF"/>
    </w:rPr>
  </w:style>
  <w:style w:type="character" w:styleId="IntenseReference">
    <w:name w:val="Intense Reference"/>
    <w:basedOn w:val="DefaultParagraphFont"/>
    <w:uiPriority w:val="32"/>
    <w:qFormat/>
    <w:rsid w:val="00CE5ADA"/>
    <w:rPr>
      <w:b/>
      <w:bCs/>
      <w:smallCaps/>
      <w:color w:val="0F4761" w:themeColor="accent1" w:themeShade="BF"/>
      <w:spacing w:val="5"/>
    </w:rPr>
  </w:style>
  <w:style w:type="paragraph" w:styleId="NormalWeb">
    <w:name w:val="Normal (Web)"/>
    <w:basedOn w:val="Normal"/>
    <w:uiPriority w:val="99"/>
    <w:semiHidden/>
    <w:unhideWhenUsed/>
    <w:rsid w:val="00E74A4E"/>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styleId="Strong">
    <w:name w:val="Strong"/>
    <w:basedOn w:val="DefaultParagraphFont"/>
    <w:uiPriority w:val="22"/>
    <w:qFormat/>
    <w:rsid w:val="00E74A4E"/>
    <w:rPr>
      <w:b/>
      <w:bCs/>
    </w:rPr>
  </w:style>
  <w:style w:type="character" w:styleId="Emphasis">
    <w:name w:val="Emphasis"/>
    <w:basedOn w:val="DefaultParagraphFont"/>
    <w:uiPriority w:val="20"/>
    <w:qFormat/>
    <w:rsid w:val="00E74A4E"/>
    <w:rPr>
      <w:i/>
      <w:iCs/>
    </w:rPr>
  </w:style>
  <w:style w:type="table" w:styleId="TableGrid">
    <w:name w:val="Table Grid"/>
    <w:basedOn w:val="TableNormal"/>
    <w:uiPriority w:val="39"/>
    <w:rsid w:val="002F6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F654A"/>
    <w:rPr>
      <w:color w:val="467886" w:themeColor="hyperlink"/>
      <w:u w:val="single"/>
    </w:rPr>
  </w:style>
  <w:style w:type="character" w:styleId="UnresolvedMention">
    <w:name w:val="Unresolved Mention"/>
    <w:basedOn w:val="DefaultParagraphFont"/>
    <w:uiPriority w:val="99"/>
    <w:semiHidden/>
    <w:unhideWhenUsed/>
    <w:rsid w:val="002F65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671359">
      <w:bodyDiv w:val="1"/>
      <w:marLeft w:val="0"/>
      <w:marRight w:val="0"/>
      <w:marTop w:val="0"/>
      <w:marBottom w:val="0"/>
      <w:divBdr>
        <w:top w:val="none" w:sz="0" w:space="0" w:color="auto"/>
        <w:left w:val="none" w:sz="0" w:space="0" w:color="auto"/>
        <w:bottom w:val="none" w:sz="0" w:space="0" w:color="auto"/>
        <w:right w:val="none" w:sz="0" w:space="0" w:color="auto"/>
      </w:divBdr>
    </w:div>
    <w:div w:id="334648647">
      <w:bodyDiv w:val="1"/>
      <w:marLeft w:val="0"/>
      <w:marRight w:val="0"/>
      <w:marTop w:val="0"/>
      <w:marBottom w:val="0"/>
      <w:divBdr>
        <w:top w:val="none" w:sz="0" w:space="0" w:color="auto"/>
        <w:left w:val="none" w:sz="0" w:space="0" w:color="auto"/>
        <w:bottom w:val="none" w:sz="0" w:space="0" w:color="auto"/>
        <w:right w:val="none" w:sz="0" w:space="0" w:color="auto"/>
      </w:divBdr>
    </w:div>
    <w:div w:id="511921174">
      <w:bodyDiv w:val="1"/>
      <w:marLeft w:val="0"/>
      <w:marRight w:val="0"/>
      <w:marTop w:val="0"/>
      <w:marBottom w:val="0"/>
      <w:divBdr>
        <w:top w:val="none" w:sz="0" w:space="0" w:color="auto"/>
        <w:left w:val="none" w:sz="0" w:space="0" w:color="auto"/>
        <w:bottom w:val="none" w:sz="0" w:space="0" w:color="auto"/>
        <w:right w:val="none" w:sz="0" w:space="0" w:color="auto"/>
      </w:divBdr>
    </w:div>
    <w:div w:id="554897882">
      <w:bodyDiv w:val="1"/>
      <w:marLeft w:val="0"/>
      <w:marRight w:val="0"/>
      <w:marTop w:val="0"/>
      <w:marBottom w:val="0"/>
      <w:divBdr>
        <w:top w:val="none" w:sz="0" w:space="0" w:color="auto"/>
        <w:left w:val="none" w:sz="0" w:space="0" w:color="auto"/>
        <w:bottom w:val="none" w:sz="0" w:space="0" w:color="auto"/>
        <w:right w:val="none" w:sz="0" w:space="0" w:color="auto"/>
      </w:divBdr>
      <w:divsChild>
        <w:div w:id="763186347">
          <w:marLeft w:val="0"/>
          <w:marRight w:val="0"/>
          <w:marTop w:val="0"/>
          <w:marBottom w:val="0"/>
          <w:divBdr>
            <w:top w:val="none" w:sz="0" w:space="0" w:color="auto"/>
            <w:left w:val="none" w:sz="0" w:space="0" w:color="auto"/>
            <w:bottom w:val="none" w:sz="0" w:space="0" w:color="auto"/>
            <w:right w:val="none" w:sz="0" w:space="0" w:color="auto"/>
          </w:divBdr>
        </w:div>
        <w:div w:id="569997075">
          <w:marLeft w:val="0"/>
          <w:marRight w:val="0"/>
          <w:marTop w:val="0"/>
          <w:marBottom w:val="0"/>
          <w:divBdr>
            <w:top w:val="none" w:sz="0" w:space="0" w:color="auto"/>
            <w:left w:val="none" w:sz="0" w:space="0" w:color="auto"/>
            <w:bottom w:val="none" w:sz="0" w:space="0" w:color="auto"/>
            <w:right w:val="none" w:sz="0" w:space="0" w:color="auto"/>
          </w:divBdr>
        </w:div>
        <w:div w:id="1285304344">
          <w:marLeft w:val="0"/>
          <w:marRight w:val="0"/>
          <w:marTop w:val="0"/>
          <w:marBottom w:val="0"/>
          <w:divBdr>
            <w:top w:val="none" w:sz="0" w:space="0" w:color="auto"/>
            <w:left w:val="none" w:sz="0" w:space="0" w:color="auto"/>
            <w:bottom w:val="none" w:sz="0" w:space="0" w:color="auto"/>
            <w:right w:val="none" w:sz="0" w:space="0" w:color="auto"/>
          </w:divBdr>
        </w:div>
        <w:div w:id="1597859099">
          <w:marLeft w:val="0"/>
          <w:marRight w:val="0"/>
          <w:marTop w:val="0"/>
          <w:marBottom w:val="0"/>
          <w:divBdr>
            <w:top w:val="none" w:sz="0" w:space="0" w:color="auto"/>
            <w:left w:val="none" w:sz="0" w:space="0" w:color="auto"/>
            <w:bottom w:val="none" w:sz="0" w:space="0" w:color="auto"/>
            <w:right w:val="none" w:sz="0" w:space="0" w:color="auto"/>
          </w:divBdr>
        </w:div>
        <w:div w:id="1255431292">
          <w:marLeft w:val="0"/>
          <w:marRight w:val="0"/>
          <w:marTop w:val="0"/>
          <w:marBottom w:val="0"/>
          <w:divBdr>
            <w:top w:val="none" w:sz="0" w:space="0" w:color="auto"/>
            <w:left w:val="none" w:sz="0" w:space="0" w:color="auto"/>
            <w:bottom w:val="none" w:sz="0" w:space="0" w:color="auto"/>
            <w:right w:val="none" w:sz="0" w:space="0" w:color="auto"/>
          </w:divBdr>
        </w:div>
      </w:divsChild>
    </w:div>
    <w:div w:id="758598702">
      <w:bodyDiv w:val="1"/>
      <w:marLeft w:val="0"/>
      <w:marRight w:val="0"/>
      <w:marTop w:val="0"/>
      <w:marBottom w:val="0"/>
      <w:divBdr>
        <w:top w:val="none" w:sz="0" w:space="0" w:color="auto"/>
        <w:left w:val="none" w:sz="0" w:space="0" w:color="auto"/>
        <w:bottom w:val="none" w:sz="0" w:space="0" w:color="auto"/>
        <w:right w:val="none" w:sz="0" w:space="0" w:color="auto"/>
      </w:divBdr>
    </w:div>
    <w:div w:id="905799623">
      <w:bodyDiv w:val="1"/>
      <w:marLeft w:val="0"/>
      <w:marRight w:val="0"/>
      <w:marTop w:val="0"/>
      <w:marBottom w:val="0"/>
      <w:divBdr>
        <w:top w:val="none" w:sz="0" w:space="0" w:color="auto"/>
        <w:left w:val="none" w:sz="0" w:space="0" w:color="auto"/>
        <w:bottom w:val="none" w:sz="0" w:space="0" w:color="auto"/>
        <w:right w:val="none" w:sz="0" w:space="0" w:color="auto"/>
      </w:divBdr>
    </w:div>
    <w:div w:id="1011838253">
      <w:bodyDiv w:val="1"/>
      <w:marLeft w:val="0"/>
      <w:marRight w:val="0"/>
      <w:marTop w:val="0"/>
      <w:marBottom w:val="0"/>
      <w:divBdr>
        <w:top w:val="none" w:sz="0" w:space="0" w:color="auto"/>
        <w:left w:val="none" w:sz="0" w:space="0" w:color="auto"/>
        <w:bottom w:val="none" w:sz="0" w:space="0" w:color="auto"/>
        <w:right w:val="none" w:sz="0" w:space="0" w:color="auto"/>
      </w:divBdr>
    </w:div>
    <w:div w:id="1366911045">
      <w:bodyDiv w:val="1"/>
      <w:marLeft w:val="0"/>
      <w:marRight w:val="0"/>
      <w:marTop w:val="0"/>
      <w:marBottom w:val="0"/>
      <w:divBdr>
        <w:top w:val="none" w:sz="0" w:space="0" w:color="auto"/>
        <w:left w:val="none" w:sz="0" w:space="0" w:color="auto"/>
        <w:bottom w:val="none" w:sz="0" w:space="0" w:color="auto"/>
        <w:right w:val="none" w:sz="0" w:space="0" w:color="auto"/>
      </w:divBdr>
    </w:div>
    <w:div w:id="1647933508">
      <w:bodyDiv w:val="1"/>
      <w:marLeft w:val="0"/>
      <w:marRight w:val="0"/>
      <w:marTop w:val="0"/>
      <w:marBottom w:val="0"/>
      <w:divBdr>
        <w:top w:val="none" w:sz="0" w:space="0" w:color="auto"/>
        <w:left w:val="none" w:sz="0" w:space="0" w:color="auto"/>
        <w:bottom w:val="none" w:sz="0" w:space="0" w:color="auto"/>
        <w:right w:val="none" w:sz="0" w:space="0" w:color="auto"/>
      </w:divBdr>
    </w:div>
    <w:div w:id="1879006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6-3417/13/12/7082" TargetMode="External"/><Relationship Id="rId13"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swini.oleti@gmail.com" TargetMode="External"/><Relationship Id="rId11" Type="http://schemas.openxmlformats.org/officeDocument/2006/relationships/chart" Target="charts/chart1.xml"/><Relationship Id="rId5" Type="http://schemas.openxmlformats.org/officeDocument/2006/relationships/hyperlink" Target="mailto:jaydshah2@gmail.com" TargetMode="External"/><Relationship Id="rId15" Type="http://schemas.openxmlformats.org/officeDocument/2006/relationships/theme" Target="theme/theme1.xml"/><Relationship Id="rId10" Type="http://schemas.openxmlformats.org/officeDocument/2006/relationships/hyperlink" Target="https://www.factspan.com/blogs/data-and-ai-governance-evolving-traditional-data-governance-in-the-age-of-artificial-intelligence/"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Survey Respondents Demographics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stacked"/>
        <c:varyColors val="0"/>
        <c:ser>
          <c:idx val="0"/>
          <c:order val="0"/>
          <c:tx>
            <c:strRef>
              <c:f>Sheet7!$C$1</c:f>
              <c:strCache>
                <c:ptCount val="1"/>
                <c:pt idx="0">
                  <c:v>Frequency</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Sheet7!$B$2:$B$10</c:f>
              <c:strCache>
                <c:ptCount val="9"/>
                <c:pt idx="0">
                  <c:v>Small (&lt;100)</c:v>
                </c:pt>
                <c:pt idx="1">
                  <c:v>Medium (100-500)</c:v>
                </c:pt>
                <c:pt idx="2">
                  <c:v>Large (&gt;500)</c:v>
                </c:pt>
                <c:pt idx="3">
                  <c:v>&lt;5 Years</c:v>
                </c:pt>
                <c:pt idx="4">
                  <c:v>5-10 Years</c:v>
                </c:pt>
                <c:pt idx="5">
                  <c:v>&gt;10 Years</c:v>
                </c:pt>
                <c:pt idx="6">
                  <c:v>Yes</c:v>
                </c:pt>
                <c:pt idx="7">
                  <c:v>In Planning</c:v>
                </c:pt>
                <c:pt idx="8">
                  <c:v>No</c:v>
                </c:pt>
              </c:strCache>
              <c:extLst/>
            </c:strRef>
          </c:cat>
          <c:val>
            <c:numRef>
              <c:f>Sheet7!$C$2:$C$10</c:f>
              <c:numCache>
                <c:formatCode>General</c:formatCode>
                <c:ptCount val="9"/>
                <c:pt idx="0">
                  <c:v>45</c:v>
                </c:pt>
                <c:pt idx="1">
                  <c:v>70</c:v>
                </c:pt>
                <c:pt idx="2">
                  <c:v>35</c:v>
                </c:pt>
                <c:pt idx="3">
                  <c:v>40</c:v>
                </c:pt>
                <c:pt idx="4">
                  <c:v>65</c:v>
                </c:pt>
                <c:pt idx="5">
                  <c:v>40</c:v>
                </c:pt>
                <c:pt idx="6">
                  <c:v>75</c:v>
                </c:pt>
                <c:pt idx="7">
                  <c:v>35</c:v>
                </c:pt>
                <c:pt idx="8">
                  <c:v>40</c:v>
                </c:pt>
              </c:numCache>
            </c:numRef>
          </c:val>
          <c:extLst>
            <c:ext xmlns:c16="http://schemas.microsoft.com/office/drawing/2014/chart" uri="{C3380CC4-5D6E-409C-BE32-E72D297353CC}">
              <c16:uniqueId val="{00000000-FBFA-42C9-A0F7-7A4A33D6BABF}"/>
            </c:ext>
          </c:extLst>
        </c:ser>
        <c:ser>
          <c:idx val="1"/>
          <c:order val="1"/>
          <c:tx>
            <c:strRef>
              <c:f>Sheet7!$D$1</c:f>
              <c:strCache>
                <c:ptCount val="1"/>
                <c:pt idx="0">
                  <c:v>Percentage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Sheet7!$B$2:$B$10</c:f>
              <c:strCache>
                <c:ptCount val="9"/>
                <c:pt idx="0">
                  <c:v>Small (&lt;100)</c:v>
                </c:pt>
                <c:pt idx="1">
                  <c:v>Medium (100-500)</c:v>
                </c:pt>
                <c:pt idx="2">
                  <c:v>Large (&gt;500)</c:v>
                </c:pt>
                <c:pt idx="3">
                  <c:v>&lt;5 Years</c:v>
                </c:pt>
                <c:pt idx="4">
                  <c:v>5-10 Years</c:v>
                </c:pt>
                <c:pt idx="5">
                  <c:v>&gt;10 Years</c:v>
                </c:pt>
                <c:pt idx="6">
                  <c:v>Yes</c:v>
                </c:pt>
                <c:pt idx="7">
                  <c:v>In Planning</c:v>
                </c:pt>
                <c:pt idx="8">
                  <c:v>No</c:v>
                </c:pt>
              </c:strCache>
              <c:extLst/>
            </c:strRef>
          </c:cat>
          <c:val>
            <c:numRef>
              <c:f>Sheet7!$D$2:$D$10</c:f>
              <c:numCache>
                <c:formatCode>General</c:formatCode>
                <c:ptCount val="9"/>
                <c:pt idx="0">
                  <c:v>30</c:v>
                </c:pt>
                <c:pt idx="1">
                  <c:v>46.7</c:v>
                </c:pt>
                <c:pt idx="2">
                  <c:v>23.3</c:v>
                </c:pt>
                <c:pt idx="3">
                  <c:v>26.7</c:v>
                </c:pt>
                <c:pt idx="4">
                  <c:v>43.3</c:v>
                </c:pt>
                <c:pt idx="5">
                  <c:v>26.7</c:v>
                </c:pt>
                <c:pt idx="6">
                  <c:v>50</c:v>
                </c:pt>
                <c:pt idx="7">
                  <c:v>23.3</c:v>
                </c:pt>
                <c:pt idx="8">
                  <c:v>26.7</c:v>
                </c:pt>
              </c:numCache>
            </c:numRef>
          </c:val>
          <c:extLst>
            <c:ext xmlns:c16="http://schemas.microsoft.com/office/drawing/2014/chart" uri="{C3380CC4-5D6E-409C-BE32-E72D297353CC}">
              <c16:uniqueId val="{00000001-FBFA-42C9-A0F7-7A4A33D6BABF}"/>
            </c:ext>
          </c:extLst>
        </c:ser>
        <c:dLbls>
          <c:dLblPos val="ctr"/>
          <c:showLegendKey val="0"/>
          <c:showVal val="1"/>
          <c:showCatName val="0"/>
          <c:showSerName val="0"/>
          <c:showPercent val="0"/>
          <c:showBubbleSize val="0"/>
        </c:dLbls>
        <c:gapWidth val="150"/>
        <c:overlap val="100"/>
        <c:axId val="913715344"/>
        <c:axId val="913710064"/>
      </c:barChart>
      <c:catAx>
        <c:axId val="91371534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710064"/>
        <c:crosses val="autoZero"/>
        <c:auto val="1"/>
        <c:lblAlgn val="ctr"/>
        <c:lblOffset val="100"/>
        <c:noMultiLvlLbl val="0"/>
      </c:catAx>
      <c:valAx>
        <c:axId val="9137100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7153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Performance Metrics Comparison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Sheet8!$B$1</c:f>
              <c:strCache>
                <c:ptCount val="1"/>
                <c:pt idx="0">
                  <c:v>Traditional Model Mean</c:v>
                </c:pt>
              </c:strCache>
            </c:strRef>
          </c:tx>
          <c:spPr>
            <a:solidFill>
              <a:schemeClr val="accent1"/>
            </a:solidFill>
            <a:ln>
              <a:noFill/>
            </a:ln>
            <a:effectLst/>
          </c:spPr>
          <c:invertIfNegative val="0"/>
          <c:cat>
            <c:strRef>
              <c:f>Sheet8!$A$2:$A$5</c:f>
              <c:strCache>
                <c:ptCount val="4"/>
                <c:pt idx="0">
                  <c:v>Anomaly Detection Accuracy (%)</c:v>
                </c:pt>
                <c:pt idx="1">
                  <c:v>Response Time (minutes)</c:v>
                </c:pt>
                <c:pt idx="2">
                  <c:v>Compliance Reporting Errors (%)</c:v>
                </c:pt>
                <c:pt idx="3">
                  <c:v>Data Quality Score (out of 100)</c:v>
                </c:pt>
              </c:strCache>
            </c:strRef>
          </c:cat>
          <c:val>
            <c:numRef>
              <c:f>Sheet8!$B$2:$B$5</c:f>
              <c:numCache>
                <c:formatCode>General</c:formatCode>
                <c:ptCount val="4"/>
                <c:pt idx="0">
                  <c:v>82.5</c:v>
                </c:pt>
                <c:pt idx="1">
                  <c:v>15.2</c:v>
                </c:pt>
                <c:pt idx="2">
                  <c:v>10.5</c:v>
                </c:pt>
                <c:pt idx="3">
                  <c:v>78</c:v>
                </c:pt>
              </c:numCache>
            </c:numRef>
          </c:val>
          <c:extLst>
            <c:ext xmlns:c16="http://schemas.microsoft.com/office/drawing/2014/chart" uri="{C3380CC4-5D6E-409C-BE32-E72D297353CC}">
              <c16:uniqueId val="{00000000-88A9-424C-8D32-2EB574184434}"/>
            </c:ext>
          </c:extLst>
        </c:ser>
        <c:ser>
          <c:idx val="1"/>
          <c:order val="1"/>
          <c:tx>
            <c:strRef>
              <c:f>Sheet8!$C$1</c:f>
              <c:strCache>
                <c:ptCount val="1"/>
                <c:pt idx="0">
                  <c:v>Gen AI-Enhanced Model Mean</c:v>
                </c:pt>
              </c:strCache>
            </c:strRef>
          </c:tx>
          <c:spPr>
            <a:solidFill>
              <a:schemeClr val="accent2"/>
            </a:solidFill>
            <a:ln>
              <a:noFill/>
            </a:ln>
            <a:effectLst/>
          </c:spPr>
          <c:invertIfNegative val="0"/>
          <c:cat>
            <c:strRef>
              <c:f>Sheet8!$A$2:$A$5</c:f>
              <c:strCache>
                <c:ptCount val="4"/>
                <c:pt idx="0">
                  <c:v>Anomaly Detection Accuracy (%)</c:v>
                </c:pt>
                <c:pt idx="1">
                  <c:v>Response Time (minutes)</c:v>
                </c:pt>
                <c:pt idx="2">
                  <c:v>Compliance Reporting Errors (%)</c:v>
                </c:pt>
                <c:pt idx="3">
                  <c:v>Data Quality Score (out of 100)</c:v>
                </c:pt>
              </c:strCache>
            </c:strRef>
          </c:cat>
          <c:val>
            <c:numRef>
              <c:f>Sheet8!$C$2:$C$5</c:f>
              <c:numCache>
                <c:formatCode>General</c:formatCode>
                <c:ptCount val="4"/>
                <c:pt idx="0">
                  <c:v>92.3</c:v>
                </c:pt>
                <c:pt idx="1">
                  <c:v>8.4</c:v>
                </c:pt>
                <c:pt idx="2">
                  <c:v>4.7</c:v>
                </c:pt>
                <c:pt idx="3">
                  <c:v>88.5</c:v>
                </c:pt>
              </c:numCache>
            </c:numRef>
          </c:val>
          <c:extLst>
            <c:ext xmlns:c16="http://schemas.microsoft.com/office/drawing/2014/chart" uri="{C3380CC4-5D6E-409C-BE32-E72D297353CC}">
              <c16:uniqueId val="{00000001-88A9-424C-8D32-2EB574184434}"/>
            </c:ext>
          </c:extLst>
        </c:ser>
        <c:dLbls>
          <c:showLegendKey val="0"/>
          <c:showVal val="0"/>
          <c:showCatName val="0"/>
          <c:showSerName val="0"/>
          <c:showPercent val="0"/>
          <c:showBubbleSize val="0"/>
        </c:dLbls>
        <c:gapWidth val="219"/>
        <c:overlap val="-27"/>
        <c:axId val="913663504"/>
        <c:axId val="913667344"/>
      </c:barChart>
      <c:catAx>
        <c:axId val="913663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667344"/>
        <c:crosses val="autoZero"/>
        <c:auto val="1"/>
        <c:lblAlgn val="ctr"/>
        <c:lblOffset val="100"/>
        <c:noMultiLvlLbl val="0"/>
      </c:catAx>
      <c:valAx>
        <c:axId val="9136673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663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Regression Analysis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Sheet9!$A$2</c:f>
              <c:strCache>
                <c:ptCount val="1"/>
                <c:pt idx="0">
                  <c:v>Intercept</c:v>
                </c:pt>
              </c:strCache>
            </c:strRef>
          </c:tx>
          <c:spPr>
            <a:solidFill>
              <a:schemeClr val="accent1"/>
            </a:solidFill>
            <a:ln>
              <a:noFill/>
            </a:ln>
            <a:effectLst/>
          </c:spPr>
          <c:invertIfNegative val="0"/>
          <c:cat>
            <c:strRef>
              <c:f>Sheet9!$B$1:$D$1</c:f>
              <c:strCache>
                <c:ptCount val="3"/>
                <c:pt idx="0">
                  <c:v>Coefficient (β)</c:v>
                </c:pt>
                <c:pt idx="1">
                  <c:v>Standard Error</c:v>
                </c:pt>
                <c:pt idx="2">
                  <c:v>t-Statistic</c:v>
                </c:pt>
              </c:strCache>
            </c:strRef>
          </c:cat>
          <c:val>
            <c:numRef>
              <c:f>Sheet9!$B$2:$D$2</c:f>
              <c:numCache>
                <c:formatCode>General</c:formatCode>
                <c:ptCount val="3"/>
                <c:pt idx="0">
                  <c:v>5.2</c:v>
                </c:pt>
                <c:pt idx="1">
                  <c:v>1.1000000000000001</c:v>
                </c:pt>
                <c:pt idx="2">
                  <c:v>4.7300000000000004</c:v>
                </c:pt>
              </c:numCache>
            </c:numRef>
          </c:val>
          <c:extLst>
            <c:ext xmlns:c16="http://schemas.microsoft.com/office/drawing/2014/chart" uri="{C3380CC4-5D6E-409C-BE32-E72D297353CC}">
              <c16:uniqueId val="{00000000-FCED-4609-AB30-3B2C1125A265}"/>
            </c:ext>
          </c:extLst>
        </c:ser>
        <c:ser>
          <c:idx val="1"/>
          <c:order val="1"/>
          <c:tx>
            <c:strRef>
              <c:f>Sheet9!$A$3</c:f>
              <c:strCache>
                <c:ptCount val="1"/>
                <c:pt idx="0">
                  <c:v>Gen AI Integration</c:v>
                </c:pt>
              </c:strCache>
            </c:strRef>
          </c:tx>
          <c:spPr>
            <a:solidFill>
              <a:schemeClr val="accent2"/>
            </a:solidFill>
            <a:ln>
              <a:noFill/>
            </a:ln>
            <a:effectLst/>
          </c:spPr>
          <c:invertIfNegative val="0"/>
          <c:cat>
            <c:strRef>
              <c:f>Sheet9!$B$1:$D$1</c:f>
              <c:strCache>
                <c:ptCount val="3"/>
                <c:pt idx="0">
                  <c:v>Coefficient (β)</c:v>
                </c:pt>
                <c:pt idx="1">
                  <c:v>Standard Error</c:v>
                </c:pt>
                <c:pt idx="2">
                  <c:v>t-Statistic</c:v>
                </c:pt>
              </c:strCache>
            </c:strRef>
          </c:cat>
          <c:val>
            <c:numRef>
              <c:f>Sheet9!$B$3:$D$3</c:f>
              <c:numCache>
                <c:formatCode>General</c:formatCode>
                <c:ptCount val="3"/>
                <c:pt idx="0">
                  <c:v>0.75</c:v>
                </c:pt>
                <c:pt idx="1">
                  <c:v>0.18</c:v>
                </c:pt>
                <c:pt idx="2">
                  <c:v>4.17</c:v>
                </c:pt>
              </c:numCache>
            </c:numRef>
          </c:val>
          <c:extLst>
            <c:ext xmlns:c16="http://schemas.microsoft.com/office/drawing/2014/chart" uri="{C3380CC4-5D6E-409C-BE32-E72D297353CC}">
              <c16:uniqueId val="{00000001-FCED-4609-AB30-3B2C1125A265}"/>
            </c:ext>
          </c:extLst>
        </c:ser>
        <c:ser>
          <c:idx val="2"/>
          <c:order val="2"/>
          <c:tx>
            <c:strRef>
              <c:f>Sheet9!$A$4</c:f>
              <c:strCache>
                <c:ptCount val="1"/>
                <c:pt idx="0">
                  <c:v>Organization Size</c:v>
                </c:pt>
              </c:strCache>
            </c:strRef>
          </c:tx>
          <c:spPr>
            <a:solidFill>
              <a:schemeClr val="accent3"/>
            </a:solidFill>
            <a:ln>
              <a:noFill/>
            </a:ln>
            <a:effectLst/>
          </c:spPr>
          <c:invertIfNegative val="0"/>
          <c:cat>
            <c:strRef>
              <c:f>Sheet9!$B$1:$D$1</c:f>
              <c:strCache>
                <c:ptCount val="3"/>
                <c:pt idx="0">
                  <c:v>Coefficient (β)</c:v>
                </c:pt>
                <c:pt idx="1">
                  <c:v>Standard Error</c:v>
                </c:pt>
                <c:pt idx="2">
                  <c:v>t-Statistic</c:v>
                </c:pt>
              </c:strCache>
            </c:strRef>
          </c:cat>
          <c:val>
            <c:numRef>
              <c:f>Sheet9!$B$4:$D$4</c:f>
              <c:numCache>
                <c:formatCode>General</c:formatCode>
                <c:ptCount val="3"/>
                <c:pt idx="0">
                  <c:v>0.03</c:v>
                </c:pt>
                <c:pt idx="1">
                  <c:v>0.01</c:v>
                </c:pt>
                <c:pt idx="2">
                  <c:v>3</c:v>
                </c:pt>
              </c:numCache>
            </c:numRef>
          </c:val>
          <c:extLst>
            <c:ext xmlns:c16="http://schemas.microsoft.com/office/drawing/2014/chart" uri="{C3380CC4-5D6E-409C-BE32-E72D297353CC}">
              <c16:uniqueId val="{00000002-FCED-4609-AB30-3B2C1125A265}"/>
            </c:ext>
          </c:extLst>
        </c:ser>
        <c:ser>
          <c:idx val="3"/>
          <c:order val="3"/>
          <c:tx>
            <c:strRef>
              <c:f>Sheet9!$A$5</c:f>
              <c:strCache>
                <c:ptCount val="1"/>
                <c:pt idx="0">
                  <c:v>Years of Experience</c:v>
                </c:pt>
              </c:strCache>
            </c:strRef>
          </c:tx>
          <c:spPr>
            <a:solidFill>
              <a:schemeClr val="accent4"/>
            </a:solidFill>
            <a:ln>
              <a:noFill/>
            </a:ln>
            <a:effectLst/>
          </c:spPr>
          <c:invertIfNegative val="0"/>
          <c:cat>
            <c:strRef>
              <c:f>Sheet9!$B$1:$D$1</c:f>
              <c:strCache>
                <c:ptCount val="3"/>
                <c:pt idx="0">
                  <c:v>Coefficient (β)</c:v>
                </c:pt>
                <c:pt idx="1">
                  <c:v>Standard Error</c:v>
                </c:pt>
                <c:pt idx="2">
                  <c:v>t-Statistic</c:v>
                </c:pt>
              </c:strCache>
            </c:strRef>
          </c:cat>
          <c:val>
            <c:numRef>
              <c:f>Sheet9!$B$5:$D$5</c:f>
              <c:numCache>
                <c:formatCode>General</c:formatCode>
                <c:ptCount val="3"/>
                <c:pt idx="0">
                  <c:v>0.05</c:v>
                </c:pt>
                <c:pt idx="1">
                  <c:v>0.02</c:v>
                </c:pt>
                <c:pt idx="2">
                  <c:v>2.5</c:v>
                </c:pt>
              </c:numCache>
            </c:numRef>
          </c:val>
          <c:extLst>
            <c:ext xmlns:c16="http://schemas.microsoft.com/office/drawing/2014/chart" uri="{C3380CC4-5D6E-409C-BE32-E72D297353CC}">
              <c16:uniqueId val="{00000003-FCED-4609-AB30-3B2C1125A265}"/>
            </c:ext>
          </c:extLst>
        </c:ser>
        <c:dLbls>
          <c:showLegendKey val="0"/>
          <c:showVal val="0"/>
          <c:showCatName val="0"/>
          <c:showSerName val="0"/>
          <c:showPercent val="0"/>
          <c:showBubbleSize val="0"/>
        </c:dLbls>
        <c:gapWidth val="219"/>
        <c:overlap val="-27"/>
        <c:axId val="913723984"/>
        <c:axId val="913724944"/>
      </c:barChart>
      <c:catAx>
        <c:axId val="913723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724944"/>
        <c:crosses val="autoZero"/>
        <c:auto val="1"/>
        <c:lblAlgn val="ctr"/>
        <c:lblOffset val="100"/>
        <c:noMultiLvlLbl val="0"/>
      </c:catAx>
      <c:valAx>
        <c:axId val="913724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13723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194</TotalTime>
  <Pages>9</Pages>
  <Words>4564</Words>
  <Characters>26015</Characters>
  <Application>Microsoft Office Word</Application>
  <DocSecurity>0</DocSecurity>
  <Lines>216</Lines>
  <Paragraphs>61</Paragraphs>
  <ScaleCrop>false</ScaleCrop>
  <Company/>
  <LinksUpToDate>false</LinksUpToDate>
  <CharactersWithSpaces>30518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 Agarwal</dc:creator>
  <cp:keywords/>
  <dc:description/>
  <cp:lastModifiedBy>Raghav Agarwal</cp:lastModifiedBy>
  <cp:revision>19</cp:revision>
  <dcterms:created xsi:type="dcterms:W3CDTF">2025-03-21T16:06:00Z</dcterms:created>
  <dcterms:modified xsi:type="dcterms:W3CDTF">2025-03-23T18:09:00Z</dcterms:modified>
</cp:coreProperties>
</file>