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5496C2" w14:textId="727BC2F0" w:rsidR="00726FFB" w:rsidRPr="00AE1EE7" w:rsidRDefault="004C67DE" w:rsidP="0006518C">
      <w:pPr>
        <w:spacing w:before="120" w:after="0" w:line="240" w:lineRule="auto"/>
        <w:jc w:val="center"/>
        <w:rPr>
          <w:rFonts w:cs="Arial"/>
          <w:b/>
          <w:bCs/>
          <w:szCs w:val="22"/>
        </w:rPr>
      </w:pPr>
      <w:r w:rsidRPr="004C67DE">
        <w:rPr>
          <w:rFonts w:cs="Arial"/>
          <w:b/>
          <w:bCs/>
          <w:szCs w:val="22"/>
        </w:rPr>
        <w:t>The Impact of the Amoeba Business Model on Financial Performance:</w:t>
      </w:r>
      <w:r>
        <w:rPr>
          <w:rFonts w:cs="Arial"/>
          <w:b/>
          <w:bCs/>
          <w:szCs w:val="22"/>
        </w:rPr>
        <w:br/>
      </w:r>
      <w:r w:rsidRPr="004C67DE">
        <w:rPr>
          <w:rFonts w:cs="Arial"/>
          <w:b/>
          <w:bCs/>
          <w:szCs w:val="22"/>
        </w:rPr>
        <w:t>Evidence from Chinese Companies</w:t>
      </w:r>
    </w:p>
    <w:p w14:paraId="1B2870FD" w14:textId="24527408" w:rsidR="00726FFB" w:rsidRPr="00AE1EE7" w:rsidRDefault="00726FFB" w:rsidP="0006518C">
      <w:pPr>
        <w:spacing w:after="120" w:line="240" w:lineRule="auto"/>
        <w:jc w:val="center"/>
        <w:rPr>
          <w:rFonts w:cs="Arial"/>
          <w:b/>
          <w:bCs/>
          <w:szCs w:val="22"/>
        </w:rPr>
      </w:pPr>
    </w:p>
    <w:p w14:paraId="2E2BECE0" w14:textId="48A0772D" w:rsidR="000D3B5C" w:rsidRPr="00770667" w:rsidRDefault="00726FFB" w:rsidP="0006518C">
      <w:pPr>
        <w:spacing w:before="240" w:after="120" w:line="240" w:lineRule="auto"/>
        <w:jc w:val="center"/>
        <w:rPr>
          <w:rFonts w:cs="Arial"/>
          <w:szCs w:val="22"/>
        </w:rPr>
      </w:pPr>
      <w:r w:rsidRPr="00AE1EE7">
        <w:rPr>
          <w:rFonts w:cs="Arial"/>
          <w:szCs w:val="22"/>
        </w:rPr>
        <w:t>Yilana</w:t>
      </w:r>
      <w:r w:rsidR="00396B33">
        <w:rPr>
          <w:rStyle w:val="FootnoteReference"/>
          <w:rFonts w:cs="Arial"/>
          <w:szCs w:val="22"/>
        </w:rPr>
        <w:footnoteReference w:id="1"/>
      </w:r>
      <w:r w:rsidR="000D3B5C" w:rsidRPr="00770667">
        <w:rPr>
          <w:rFonts w:cs="Arial"/>
          <w:szCs w:val="22"/>
        </w:rPr>
        <w:t>, Altan-Erdene Batbayar</w:t>
      </w:r>
      <w:r w:rsidR="00396B33">
        <w:rPr>
          <w:rStyle w:val="FootnoteReference"/>
          <w:rFonts w:cs="Arial"/>
          <w:szCs w:val="22"/>
        </w:rPr>
        <w:footnoteReference w:id="2"/>
      </w:r>
      <w:r w:rsidR="008C5D6E">
        <w:rPr>
          <w:rFonts w:cs="Arial"/>
          <w:szCs w:val="22"/>
        </w:rPr>
        <w:t>, Tsetsegdelger Enkh-Amgalan</w:t>
      </w:r>
      <w:r w:rsidR="00F842B4">
        <w:rPr>
          <w:rStyle w:val="FootnoteReference"/>
          <w:rFonts w:cs="Arial"/>
          <w:szCs w:val="22"/>
        </w:rPr>
        <w:footnoteReference w:id="3"/>
      </w:r>
    </w:p>
    <w:p w14:paraId="3CF7A3BE" w14:textId="42A74DAE" w:rsidR="00726FFB" w:rsidRPr="00770667" w:rsidRDefault="00770667" w:rsidP="0006518C">
      <w:pPr>
        <w:spacing w:before="360" w:after="120" w:line="240" w:lineRule="auto"/>
        <w:jc w:val="center"/>
        <w:rPr>
          <w:rFonts w:cs="Arial"/>
          <w:b/>
          <w:bCs/>
          <w:szCs w:val="22"/>
          <w:lang w:val="en-US"/>
        </w:rPr>
      </w:pPr>
      <w:r w:rsidRPr="00770667">
        <w:rPr>
          <w:rFonts w:cs="Arial"/>
          <w:b/>
          <w:bCs/>
          <w:szCs w:val="22"/>
        </w:rPr>
        <w:t>A</w:t>
      </w:r>
      <w:r>
        <w:rPr>
          <w:rFonts w:cs="Arial"/>
          <w:b/>
          <w:bCs/>
          <w:szCs w:val="22"/>
          <w:lang w:val="en-US"/>
        </w:rPr>
        <w:t>bstract</w:t>
      </w:r>
    </w:p>
    <w:p w14:paraId="77FC36EE" w14:textId="20BB6CBB" w:rsidR="00343923" w:rsidRPr="000D3B5C" w:rsidRDefault="00770667" w:rsidP="0006518C">
      <w:pPr>
        <w:spacing w:line="240" w:lineRule="auto"/>
        <w:jc w:val="both"/>
      </w:pPr>
      <w:r w:rsidRPr="00770667">
        <w:t>In recent years, Chinese enterprises have faced increasing pressure to pilot novel management paradigms and adopt innovation</w:t>
      </w:r>
      <w:r w:rsidRPr="00770667">
        <w:rPr>
          <w:rFonts w:ascii="Cambria Math" w:hAnsi="Cambria Math" w:cs="Cambria Math"/>
        </w:rPr>
        <w:t>‑</w:t>
      </w:r>
      <w:r w:rsidRPr="00770667">
        <w:t>driven solutions. This study investigates how the Amoeba management model</w:t>
      </w:r>
      <w:r w:rsidR="00326B04">
        <w:rPr>
          <w:lang w:val="en-US"/>
        </w:rPr>
        <w:t xml:space="preserve"> - </w:t>
      </w:r>
      <w:r w:rsidRPr="00770667">
        <w:t>a hallmark of East Asian management theory</w:t>
      </w:r>
      <w:r w:rsidR="00326B04">
        <w:rPr>
          <w:lang w:val="en-US"/>
        </w:rPr>
        <w:t xml:space="preserve"> - </w:t>
      </w:r>
      <w:r w:rsidRPr="00770667">
        <w:t>affects corporate financial performance. We assemble panel data from 16 firms across eight industries in China over the period 2010</w:t>
      </w:r>
      <w:r w:rsidR="004A585A">
        <w:t>-</w:t>
      </w:r>
      <w:r w:rsidRPr="00770667">
        <w:t>2023, and employ a fixed</w:t>
      </w:r>
      <w:r w:rsidRPr="00770667">
        <w:rPr>
          <w:rFonts w:ascii="Cambria Math" w:hAnsi="Cambria Math" w:cs="Cambria Math"/>
        </w:rPr>
        <w:t>‑</w:t>
      </w:r>
      <w:r w:rsidRPr="00770667">
        <w:t>effects regression combined with a Difference</w:t>
      </w:r>
      <w:r w:rsidRPr="00770667">
        <w:rPr>
          <w:rFonts w:ascii="Cambria Math" w:hAnsi="Cambria Math" w:cs="Cambria Math"/>
        </w:rPr>
        <w:t>‑</w:t>
      </w:r>
      <w:r w:rsidRPr="00770667">
        <w:t>in</w:t>
      </w:r>
      <w:r w:rsidRPr="00770667">
        <w:rPr>
          <w:rFonts w:ascii="Cambria Math" w:hAnsi="Cambria Math" w:cs="Cambria Math"/>
        </w:rPr>
        <w:t>‑</w:t>
      </w:r>
      <w:r w:rsidRPr="00770667">
        <w:t>Differences (DID) approach to assess impacts on return on assets (ROA) and return on equity (ROE). Our findings reveal that firms implementing the Amoeba model realize significantly higher ROA and ROE, confirming its potential to materially enhance performance. Moreover, the positive alignment of control variables, decentralized management structures, and financial transparency underscores the robust effectiveness of the Amoeba approach.</w:t>
      </w:r>
    </w:p>
    <w:p w14:paraId="67AA5168" w14:textId="6836CA77" w:rsidR="00726FFB" w:rsidRPr="00F91518" w:rsidRDefault="00726FFB" w:rsidP="0006518C">
      <w:pPr>
        <w:spacing w:before="120" w:after="120" w:line="240" w:lineRule="auto"/>
        <w:jc w:val="both"/>
        <w:rPr>
          <w:rFonts w:cs="Arial"/>
          <w:szCs w:val="22"/>
          <w:lang w:val="en-US"/>
        </w:rPr>
      </w:pPr>
      <w:r w:rsidRPr="00AE1EE7">
        <w:rPr>
          <w:rFonts w:cs="Arial"/>
          <w:szCs w:val="22"/>
        </w:rPr>
        <w:t>Түлхүүр үгс</w:t>
      </w:r>
      <w:r w:rsidR="002E4C7F" w:rsidRPr="00AE1EE7">
        <w:rPr>
          <w:rFonts w:cs="Arial"/>
          <w:szCs w:val="22"/>
        </w:rPr>
        <w:t>:</w:t>
      </w:r>
      <w:r w:rsidRPr="00AE1EE7">
        <w:rPr>
          <w:rFonts w:cs="Arial"/>
          <w:szCs w:val="22"/>
        </w:rPr>
        <w:t xml:space="preserve"> </w:t>
      </w:r>
      <w:r w:rsidR="00770667">
        <w:t xml:space="preserve">Amoeba management; </w:t>
      </w:r>
      <w:r w:rsidR="00F91518">
        <w:rPr>
          <w:lang w:val="en-US"/>
        </w:rPr>
        <w:t>f</w:t>
      </w:r>
      <w:r w:rsidR="00770667">
        <w:t xml:space="preserve">inancial performance; </w:t>
      </w:r>
      <w:r w:rsidR="00F91518">
        <w:rPr>
          <w:lang w:val="en-US"/>
        </w:rPr>
        <w:t>r</w:t>
      </w:r>
      <w:r w:rsidR="00770667">
        <w:t xml:space="preserve">eturn on assets (ROA); </w:t>
      </w:r>
      <w:r w:rsidR="00F91518">
        <w:rPr>
          <w:lang w:val="en-US"/>
        </w:rPr>
        <w:t>r</w:t>
      </w:r>
      <w:r w:rsidR="00770667">
        <w:t xml:space="preserve">eturn on equity (ROE); </w:t>
      </w:r>
      <w:r w:rsidR="00F91518">
        <w:rPr>
          <w:lang w:val="en-US"/>
        </w:rPr>
        <w:t>d</w:t>
      </w:r>
      <w:r w:rsidR="00770667">
        <w:t>ifference</w:t>
      </w:r>
      <w:r w:rsidR="00770667">
        <w:noBreakHyphen/>
        <w:t>in</w:t>
      </w:r>
      <w:r w:rsidR="00770667">
        <w:noBreakHyphen/>
      </w:r>
      <w:r w:rsidR="00F91518">
        <w:rPr>
          <w:lang w:val="en-US"/>
        </w:rPr>
        <w:t>d</w:t>
      </w:r>
      <w:r w:rsidR="00770667">
        <w:t>ifferences</w:t>
      </w:r>
      <w:r w:rsidR="003604C6">
        <w:t xml:space="preserve"> </w:t>
      </w:r>
      <w:r w:rsidR="003604C6">
        <w:rPr>
          <w:lang w:val="en-US"/>
        </w:rPr>
        <w:t>(DID)</w:t>
      </w:r>
      <w:r w:rsidR="00F91518">
        <w:rPr>
          <w:lang w:val="en-US"/>
        </w:rPr>
        <w:t>.</w:t>
      </w:r>
    </w:p>
    <w:p w14:paraId="420BBF50" w14:textId="1F9EF8E5" w:rsidR="00726FFB" w:rsidRPr="00F91518" w:rsidRDefault="00F91518" w:rsidP="0006518C">
      <w:pPr>
        <w:spacing w:before="240" w:after="120" w:line="240" w:lineRule="auto"/>
        <w:jc w:val="center"/>
        <w:rPr>
          <w:rFonts w:cs="Arial"/>
          <w:b/>
          <w:bCs/>
          <w:szCs w:val="22"/>
          <w:lang w:val="en-US"/>
        </w:rPr>
      </w:pPr>
      <w:r>
        <w:rPr>
          <w:rFonts w:cs="Arial"/>
          <w:b/>
          <w:bCs/>
          <w:szCs w:val="22"/>
          <w:lang w:val="en-US"/>
        </w:rPr>
        <w:t>Introduction</w:t>
      </w:r>
    </w:p>
    <w:p w14:paraId="04302E2C" w14:textId="32421F33" w:rsidR="00F91518" w:rsidRPr="00F91518" w:rsidRDefault="00F91518" w:rsidP="0006518C">
      <w:pPr>
        <w:spacing w:before="120" w:after="120" w:line="240" w:lineRule="auto"/>
        <w:jc w:val="both"/>
        <w:rPr>
          <w:rFonts w:cs="Arial"/>
          <w:szCs w:val="22"/>
        </w:rPr>
      </w:pPr>
      <w:r w:rsidRPr="00F91518">
        <w:rPr>
          <w:rFonts w:cs="Arial"/>
          <w:szCs w:val="22"/>
        </w:rPr>
        <w:t xml:space="preserve">In recent years, as China’s economic restructuring and “quality-first” growth strategies have deepened, there has emerged a strong imperative for firms to fundamentally shift their management paradigms. Policy documents such as the </w:t>
      </w:r>
      <w:r w:rsidRPr="004A585A">
        <w:rPr>
          <w:rFonts w:cs="Arial"/>
          <w:i/>
          <w:iCs/>
          <w:szCs w:val="22"/>
        </w:rPr>
        <w:t>Guidelines for Establishing World</w:t>
      </w:r>
      <w:r w:rsidRPr="004A585A">
        <w:rPr>
          <w:rFonts w:ascii="Cambria Math" w:hAnsi="Cambria Math" w:cs="Cambria Math"/>
          <w:i/>
          <w:iCs/>
          <w:szCs w:val="22"/>
        </w:rPr>
        <w:t>‑</w:t>
      </w:r>
      <w:r w:rsidRPr="004A585A">
        <w:rPr>
          <w:rFonts w:cs="Arial"/>
          <w:i/>
          <w:iCs/>
          <w:szCs w:val="22"/>
        </w:rPr>
        <w:t>Class Enterprises</w:t>
      </w:r>
      <w:r w:rsidRPr="004A585A">
        <w:rPr>
          <w:rFonts w:cs="Arial"/>
          <w:szCs w:val="22"/>
        </w:rPr>
        <w:t xml:space="preserve"> and the </w:t>
      </w:r>
      <w:r w:rsidRPr="004A585A">
        <w:rPr>
          <w:rFonts w:cs="Arial"/>
          <w:i/>
          <w:iCs/>
          <w:szCs w:val="22"/>
        </w:rPr>
        <w:t>State</w:t>
      </w:r>
      <w:r w:rsidRPr="004A585A">
        <w:rPr>
          <w:rFonts w:ascii="Cambria Math" w:hAnsi="Cambria Math" w:cs="Cambria Math"/>
          <w:i/>
          <w:iCs/>
          <w:szCs w:val="22"/>
        </w:rPr>
        <w:t>‑</w:t>
      </w:r>
      <w:r w:rsidRPr="004A585A">
        <w:rPr>
          <w:rFonts w:cs="Arial"/>
          <w:i/>
          <w:iCs/>
          <w:szCs w:val="22"/>
        </w:rPr>
        <w:t>Owned Enterprise Quality Improvement Plan</w:t>
      </w:r>
      <w:r w:rsidRPr="00F91518">
        <w:rPr>
          <w:rFonts w:cs="Arial"/>
          <w:szCs w:val="22"/>
        </w:rPr>
        <w:t xml:space="preserve"> </w:t>
      </w:r>
      <w:r w:rsidR="004A585A">
        <w:rPr>
          <w:rFonts w:cs="Arial"/>
          <w:szCs w:val="22"/>
          <w:lang w:val="en-US"/>
        </w:rPr>
        <w:t xml:space="preserve">(Yu, 2013) </w:t>
      </w:r>
      <w:r w:rsidRPr="00F91518">
        <w:rPr>
          <w:rFonts w:cs="Arial"/>
          <w:szCs w:val="22"/>
        </w:rPr>
        <w:t>explicitly call for management innovation and greater market agility.</w:t>
      </w:r>
    </w:p>
    <w:p w14:paraId="7ECA3DFB" w14:textId="4D1735C7" w:rsidR="00F91518" w:rsidRPr="00F91518" w:rsidRDefault="00F91518" w:rsidP="0006518C">
      <w:pPr>
        <w:spacing w:before="120" w:after="120" w:line="240" w:lineRule="auto"/>
        <w:jc w:val="both"/>
        <w:rPr>
          <w:rFonts w:cs="Arial"/>
          <w:szCs w:val="22"/>
        </w:rPr>
      </w:pPr>
      <w:r w:rsidRPr="00F91518">
        <w:rPr>
          <w:rFonts w:cs="Arial"/>
          <w:szCs w:val="22"/>
        </w:rPr>
        <w:t>National initiatives</w:t>
      </w:r>
      <w:r w:rsidR="00326B04">
        <w:rPr>
          <w:rFonts w:cs="Arial"/>
          <w:szCs w:val="22"/>
          <w:lang w:val="en-US"/>
        </w:rPr>
        <w:t xml:space="preserve"> - </w:t>
      </w:r>
      <w:r w:rsidRPr="00F91518">
        <w:rPr>
          <w:rFonts w:cs="Arial"/>
          <w:szCs w:val="22"/>
        </w:rPr>
        <w:t>most notably the innovation</w:t>
      </w:r>
      <w:r w:rsidRPr="00F91518">
        <w:rPr>
          <w:rFonts w:ascii="Cambria Math" w:hAnsi="Cambria Math" w:cs="Cambria Math"/>
          <w:szCs w:val="22"/>
        </w:rPr>
        <w:t>‑</w:t>
      </w:r>
      <w:r w:rsidRPr="00F91518">
        <w:rPr>
          <w:rFonts w:cs="Arial"/>
          <w:szCs w:val="22"/>
        </w:rPr>
        <w:t>driven development strategy and the “Digital China” campaign</w:t>
      </w:r>
      <w:r w:rsidR="00326B04">
        <w:rPr>
          <w:rFonts w:cs="Arial"/>
          <w:szCs w:val="22"/>
          <w:lang w:val="en-US"/>
        </w:rPr>
        <w:t xml:space="preserve"> - </w:t>
      </w:r>
      <w:r w:rsidRPr="00F91518">
        <w:rPr>
          <w:rFonts w:cs="Arial"/>
          <w:szCs w:val="22"/>
        </w:rPr>
        <w:t>have further underscored the need for organizations to adopt management models that can respond swiftly and effectively to rapidly changing market conditions. This environment creates both the opportunity and the necessity to deploy more innovative, flexible, and comprehensive accounting and control mechanisms.</w:t>
      </w:r>
    </w:p>
    <w:p w14:paraId="55F8945A" w14:textId="03553D7E" w:rsidR="00F91518" w:rsidRDefault="00F91518" w:rsidP="0006518C">
      <w:pPr>
        <w:spacing w:before="120" w:after="120" w:line="240" w:lineRule="auto"/>
        <w:jc w:val="both"/>
        <w:rPr>
          <w:rFonts w:cs="Arial"/>
          <w:szCs w:val="22"/>
        </w:rPr>
      </w:pPr>
      <w:r w:rsidRPr="00F91518">
        <w:rPr>
          <w:rFonts w:cs="Arial"/>
          <w:szCs w:val="22"/>
        </w:rPr>
        <w:t>Against this backdrop, the Amoeba management model, rooted in East Asian management philosophy</w:t>
      </w:r>
      <w:r w:rsidR="004A585A">
        <w:rPr>
          <w:rFonts w:cs="Arial"/>
          <w:szCs w:val="22"/>
          <w:lang w:val="en-US"/>
        </w:rPr>
        <w:t xml:space="preserve"> (Nonaka &amp; Takeuchi, 1995)</w:t>
      </w:r>
      <w:r w:rsidRPr="00F91518">
        <w:rPr>
          <w:rFonts w:cs="Arial"/>
          <w:szCs w:val="22"/>
        </w:rPr>
        <w:t>, has emerged as a holistic approach that aligns decentralized organizational structures, empowered employees, and financial transparency. First formulated in the late 1950s by Kazuo Inamori, founder of Kyocera Corporation, the Amoeba model has since been adopted successfully across multiple industries</w:t>
      </w:r>
      <w:r w:rsidR="004A585A">
        <w:rPr>
          <w:rFonts w:cs="Arial"/>
          <w:szCs w:val="22"/>
          <w:lang w:val="en-US"/>
        </w:rPr>
        <w:t xml:space="preserve"> (Adler &amp; Hiromoto, 2010; Inamori, 2012)</w:t>
      </w:r>
      <w:r w:rsidRPr="00F91518">
        <w:rPr>
          <w:rFonts w:cs="Arial"/>
          <w:szCs w:val="22"/>
        </w:rPr>
        <w:t>.</w:t>
      </w:r>
    </w:p>
    <w:p w14:paraId="50321A7C" w14:textId="4BFD4974" w:rsidR="00F91518" w:rsidRPr="005A2790" w:rsidRDefault="00F91518" w:rsidP="0006518C">
      <w:pPr>
        <w:spacing w:before="120" w:after="120" w:line="240" w:lineRule="auto"/>
        <w:jc w:val="both"/>
        <w:rPr>
          <w:rFonts w:cs="Arial"/>
          <w:i/>
          <w:iCs/>
          <w:szCs w:val="22"/>
        </w:rPr>
      </w:pPr>
      <w:r w:rsidRPr="00F91518">
        <w:rPr>
          <w:rFonts w:cs="Arial"/>
          <w:i/>
          <w:iCs/>
          <w:szCs w:val="22"/>
        </w:rPr>
        <w:t>Core Principles of Amoeba Management</w:t>
      </w:r>
    </w:p>
    <w:p w14:paraId="5988AF69" w14:textId="77777777" w:rsidR="00804D09" w:rsidRDefault="00804D09" w:rsidP="0006518C">
      <w:pPr>
        <w:spacing w:line="240" w:lineRule="auto"/>
        <w:jc w:val="both"/>
        <w:rPr>
          <w:rFonts w:cs="Arial"/>
          <w:szCs w:val="22"/>
        </w:rPr>
      </w:pPr>
      <w:r w:rsidRPr="00804D09">
        <w:rPr>
          <w:rFonts w:cs="Arial"/>
          <w:szCs w:val="22"/>
        </w:rPr>
        <w:t>Amoeba management is a distinctive model that combines management philosophy, organizational structure, and performance</w:t>
      </w:r>
      <w:r w:rsidRPr="00804D09">
        <w:rPr>
          <w:rFonts w:ascii="Cambria Math" w:hAnsi="Cambria Math" w:cs="Cambria Math"/>
          <w:szCs w:val="22"/>
        </w:rPr>
        <w:t>‑</w:t>
      </w:r>
      <w:r w:rsidRPr="00804D09">
        <w:rPr>
          <w:rFonts w:cs="Arial"/>
          <w:szCs w:val="22"/>
        </w:rPr>
        <w:t>incentive systems, and is built upon three core principles:</w:t>
      </w:r>
    </w:p>
    <w:p w14:paraId="3F18519F" w14:textId="54FD6947" w:rsidR="00413684" w:rsidRPr="00AE1EE7" w:rsidRDefault="00804D09" w:rsidP="0006518C">
      <w:pPr>
        <w:pStyle w:val="ListParagraph"/>
        <w:numPr>
          <w:ilvl w:val="0"/>
          <w:numId w:val="1"/>
        </w:numPr>
        <w:spacing w:before="120" w:after="120" w:line="240" w:lineRule="auto"/>
        <w:ind w:left="284" w:hanging="284"/>
        <w:contextualSpacing w:val="0"/>
        <w:jc w:val="both"/>
        <w:rPr>
          <w:rFonts w:cs="Arial"/>
          <w:szCs w:val="22"/>
        </w:rPr>
      </w:pPr>
      <w:r w:rsidRPr="00804D09">
        <w:rPr>
          <w:rFonts w:cs="Arial"/>
          <w:b/>
          <w:bCs/>
          <w:szCs w:val="22"/>
        </w:rPr>
        <w:t>Autonomous, Profit</w:t>
      </w:r>
      <w:r w:rsidRPr="00804D09">
        <w:rPr>
          <w:rFonts w:ascii="Cambria Math" w:hAnsi="Cambria Math" w:cs="Cambria Math"/>
          <w:b/>
          <w:bCs/>
          <w:szCs w:val="22"/>
        </w:rPr>
        <w:t>‑</w:t>
      </w:r>
      <w:r w:rsidRPr="00804D09">
        <w:rPr>
          <w:rFonts w:cs="Arial"/>
          <w:b/>
          <w:bCs/>
          <w:szCs w:val="22"/>
        </w:rPr>
        <w:t>Center Structure</w:t>
      </w:r>
      <w:r w:rsidR="00726FFB" w:rsidRPr="004D7E2E">
        <w:rPr>
          <w:rFonts w:cs="Arial"/>
          <w:b/>
          <w:bCs/>
          <w:szCs w:val="22"/>
        </w:rPr>
        <w:t>.</w:t>
      </w:r>
      <w:r w:rsidR="00726FFB" w:rsidRPr="00AE1EE7">
        <w:rPr>
          <w:rFonts w:cs="Arial"/>
          <w:szCs w:val="22"/>
        </w:rPr>
        <w:t xml:space="preserve"> </w:t>
      </w:r>
      <w:r w:rsidRPr="00804D09">
        <w:rPr>
          <w:rFonts w:cs="Arial"/>
          <w:szCs w:val="22"/>
        </w:rPr>
        <w:t>The firm is divided into multiple small “amoeba” units, each endowed with independent decision</w:t>
      </w:r>
      <w:r w:rsidRPr="00804D09">
        <w:rPr>
          <w:rFonts w:ascii="Cambria Math" w:hAnsi="Cambria Math" w:cs="Cambria Math"/>
          <w:szCs w:val="22"/>
        </w:rPr>
        <w:t>‑</w:t>
      </w:r>
      <w:r w:rsidRPr="00804D09">
        <w:rPr>
          <w:rFonts w:cs="Arial"/>
          <w:szCs w:val="22"/>
        </w:rPr>
        <w:t>making authority and profit accountability. Every employee adopts an “entrepreneurial mindset</w:t>
      </w:r>
      <w:r w:rsidR="00326B04">
        <w:rPr>
          <w:rFonts w:cs="Arial"/>
          <w:szCs w:val="22"/>
          <w:lang w:val="en-US"/>
        </w:rPr>
        <w:t>”</w:t>
      </w:r>
      <w:r w:rsidRPr="00804D09">
        <w:rPr>
          <w:rFonts w:cs="Arial"/>
          <w:szCs w:val="22"/>
        </w:rPr>
        <w:t>, actively participating in strategy, fostering a sense of ownership, initiative, and responsibility.</w:t>
      </w:r>
    </w:p>
    <w:p w14:paraId="0707946B" w14:textId="02FD904A" w:rsidR="00726FFB" w:rsidRPr="00AE1EE7" w:rsidRDefault="00242375" w:rsidP="0006518C">
      <w:pPr>
        <w:pStyle w:val="ListParagraph"/>
        <w:numPr>
          <w:ilvl w:val="0"/>
          <w:numId w:val="1"/>
        </w:numPr>
        <w:spacing w:before="120" w:after="120" w:line="240" w:lineRule="auto"/>
        <w:ind w:left="284" w:hanging="284"/>
        <w:contextualSpacing w:val="0"/>
        <w:jc w:val="both"/>
        <w:rPr>
          <w:rFonts w:cs="Arial"/>
          <w:szCs w:val="22"/>
        </w:rPr>
      </w:pPr>
      <w:r w:rsidRPr="00242375">
        <w:rPr>
          <w:rFonts w:cs="Arial"/>
          <w:b/>
          <w:bCs/>
          <w:szCs w:val="22"/>
        </w:rPr>
        <w:lastRenderedPageBreak/>
        <w:t>Time</w:t>
      </w:r>
      <w:r w:rsidRPr="00242375">
        <w:rPr>
          <w:rFonts w:ascii="Cambria Math" w:hAnsi="Cambria Math" w:cs="Cambria Math"/>
          <w:b/>
          <w:bCs/>
          <w:szCs w:val="22"/>
        </w:rPr>
        <w:t>‑</w:t>
      </w:r>
      <w:r w:rsidRPr="00242375">
        <w:rPr>
          <w:rFonts w:cs="Arial"/>
          <w:b/>
          <w:bCs/>
          <w:szCs w:val="22"/>
        </w:rPr>
        <w:t>Unit Profit Accounting</w:t>
      </w:r>
      <w:r w:rsidR="00726FFB" w:rsidRPr="00A57141">
        <w:rPr>
          <w:rFonts w:cs="Arial"/>
          <w:b/>
          <w:bCs/>
          <w:szCs w:val="22"/>
        </w:rPr>
        <w:t>.</w:t>
      </w:r>
      <w:r w:rsidR="00DE1661">
        <w:rPr>
          <w:rFonts w:cs="Arial"/>
          <w:szCs w:val="22"/>
        </w:rPr>
        <w:t xml:space="preserve"> </w:t>
      </w:r>
      <w:r w:rsidR="00AE7DD3" w:rsidRPr="00AE7DD3">
        <w:rPr>
          <w:rFonts w:cs="Arial"/>
          <w:szCs w:val="22"/>
        </w:rPr>
        <w:t>Performance is measured continuously using the formula:</w:t>
      </w:r>
    </w:p>
    <w:p w14:paraId="391C2FD7" w14:textId="3CB8B84B" w:rsidR="00F96EC9" w:rsidRPr="00AE1EE7" w:rsidRDefault="00000000" w:rsidP="0006518C">
      <w:pPr>
        <w:spacing w:before="120" w:after="120" w:line="240" w:lineRule="auto"/>
        <w:jc w:val="both"/>
        <w:rPr>
          <w:rFonts w:cs="Arial"/>
          <w:szCs w:val="22"/>
        </w:rPr>
      </w:pPr>
      <m:oMathPara>
        <m:oMath>
          <m:m>
            <m:mPr>
              <m:mcs>
                <m:mc>
                  <m:mcPr>
                    <m:count m:val="1"/>
                    <m:mcJc m:val="center"/>
                  </m:mcPr>
                </m:mc>
              </m:mcs>
              <m:ctrlPr>
                <w:rPr>
                  <w:rFonts w:ascii="Cambria Math" w:hAnsi="Cambria Math" w:cs="Arial"/>
                  <w:i/>
                  <w:szCs w:val="22"/>
                </w:rPr>
              </m:ctrlPr>
            </m:mPr>
            <m:mr>
              <m:e>
                <m:r>
                  <w:rPr>
                    <w:rFonts w:ascii="Cambria Math" w:hAnsi="Cambria Math" w:cs="Arial"/>
                    <w:szCs w:val="22"/>
                  </w:rPr>
                  <m:t>Value Added per</m:t>
                </m:r>
              </m:e>
            </m:mr>
            <m:mr>
              <m:e>
                <m:r>
                  <w:rPr>
                    <w:rFonts w:ascii="Cambria Math" w:hAnsi="Cambria Math" w:cs="Arial"/>
                    <w:szCs w:val="22"/>
                  </w:rPr>
                  <m:t>Time Unit</m:t>
                </m:r>
              </m:e>
            </m:mr>
          </m:m>
          <m:r>
            <w:rPr>
              <w:rFonts w:ascii="Cambria Math" w:hAnsi="Cambria Math" w:cs="Arial"/>
              <w:szCs w:val="22"/>
            </w:rPr>
            <m:t>=</m:t>
          </m:r>
          <m:f>
            <m:fPr>
              <m:ctrlPr>
                <w:rPr>
                  <w:rFonts w:ascii="Cambria Math" w:hAnsi="Cambria Math" w:cs="Arial"/>
                  <w:i/>
                  <w:szCs w:val="22"/>
                </w:rPr>
              </m:ctrlPr>
            </m:fPr>
            <m:num>
              <m:r>
                <w:rPr>
                  <w:rFonts w:ascii="Cambria Math" w:hAnsi="Cambria Math" w:cs="Arial"/>
                  <w:szCs w:val="22"/>
                </w:rPr>
                <m:t>Sales-External Purchase</m:t>
              </m:r>
            </m:num>
            <m:den>
              <m:r>
                <w:rPr>
                  <w:rFonts w:ascii="Cambria Math" w:hAnsi="Cambria Math" w:cs="Arial"/>
                  <w:szCs w:val="22"/>
                </w:rPr>
                <m:t>Total Hours Worked</m:t>
              </m:r>
            </m:den>
          </m:f>
        </m:oMath>
      </m:oMathPara>
    </w:p>
    <w:p w14:paraId="2376D901" w14:textId="705AB625" w:rsidR="009F607C" w:rsidRPr="00AE1EE7" w:rsidRDefault="00973DA8" w:rsidP="0006518C">
      <w:pPr>
        <w:spacing w:before="120" w:after="120" w:line="240" w:lineRule="auto"/>
        <w:ind w:left="284"/>
        <w:jc w:val="both"/>
        <w:rPr>
          <w:rFonts w:cs="Arial"/>
          <w:szCs w:val="22"/>
        </w:rPr>
      </w:pPr>
      <w:r w:rsidRPr="00973DA8">
        <w:rPr>
          <w:rFonts w:cs="Arial"/>
          <w:szCs w:val="22"/>
        </w:rPr>
        <w:t>This real</w:t>
      </w:r>
      <w:r w:rsidRPr="00973DA8">
        <w:rPr>
          <w:rFonts w:ascii="Cambria Math" w:hAnsi="Cambria Math" w:cs="Cambria Math"/>
          <w:szCs w:val="22"/>
        </w:rPr>
        <w:t>‑</w:t>
      </w:r>
      <w:r w:rsidRPr="00973DA8">
        <w:rPr>
          <w:rFonts w:cs="Arial"/>
          <w:szCs w:val="22"/>
        </w:rPr>
        <w:t>time metric enables employees to monitor and improve their own productivity.</w:t>
      </w:r>
    </w:p>
    <w:p w14:paraId="6E2B16FD" w14:textId="5EC0E7E5" w:rsidR="001F4D54" w:rsidRDefault="00573672" w:rsidP="0006518C">
      <w:pPr>
        <w:pStyle w:val="ListParagraph"/>
        <w:numPr>
          <w:ilvl w:val="0"/>
          <w:numId w:val="1"/>
        </w:numPr>
        <w:spacing w:before="120" w:after="120" w:line="240" w:lineRule="auto"/>
        <w:ind w:left="284" w:hanging="284"/>
        <w:jc w:val="both"/>
        <w:rPr>
          <w:rFonts w:cs="Arial"/>
          <w:szCs w:val="22"/>
        </w:rPr>
      </w:pPr>
      <w:r w:rsidRPr="00573672">
        <w:rPr>
          <w:rFonts w:cs="Arial"/>
          <w:b/>
          <w:bCs/>
          <w:szCs w:val="22"/>
        </w:rPr>
        <w:t>Full Employee Participation</w:t>
      </w:r>
      <w:r w:rsidR="00DE1661" w:rsidRPr="00A57141">
        <w:rPr>
          <w:rFonts w:cs="Arial"/>
          <w:b/>
          <w:bCs/>
          <w:szCs w:val="22"/>
        </w:rPr>
        <w:t>.</w:t>
      </w:r>
      <w:r w:rsidR="00726FFB" w:rsidRPr="00AE1EE7">
        <w:rPr>
          <w:rFonts w:cs="Arial"/>
          <w:szCs w:val="22"/>
        </w:rPr>
        <w:t xml:space="preserve"> </w:t>
      </w:r>
      <w:r w:rsidR="002A581C" w:rsidRPr="002A581C">
        <w:rPr>
          <w:rFonts w:cs="Arial"/>
          <w:szCs w:val="22"/>
        </w:rPr>
        <w:t>Organizational goals and values are shared openly with all staff, creating transparency and enabling every team member to contribute to strategic execution. This “people</w:t>
      </w:r>
      <w:r w:rsidR="002A581C" w:rsidRPr="002A581C">
        <w:rPr>
          <w:rFonts w:ascii="Cambria Math" w:hAnsi="Cambria Math" w:cs="Cambria Math"/>
          <w:szCs w:val="22"/>
        </w:rPr>
        <w:t>‑</w:t>
      </w:r>
      <w:r w:rsidR="002A581C" w:rsidRPr="002A581C">
        <w:rPr>
          <w:rFonts w:cs="Arial"/>
          <w:szCs w:val="22"/>
        </w:rPr>
        <w:t>centered” culture strengthens internal cohesion and collective commitment.</w:t>
      </w:r>
    </w:p>
    <w:p w14:paraId="144CD20E" w14:textId="6CA0778A" w:rsidR="008E452F" w:rsidRPr="008E452F" w:rsidRDefault="00CF4C3E" w:rsidP="0006518C">
      <w:pPr>
        <w:spacing w:before="120" w:after="120" w:line="240" w:lineRule="auto"/>
        <w:jc w:val="both"/>
        <w:rPr>
          <w:rFonts w:cs="Arial"/>
          <w:i/>
          <w:iCs/>
          <w:szCs w:val="22"/>
        </w:rPr>
      </w:pPr>
      <w:r w:rsidRPr="00CF4C3E">
        <w:rPr>
          <w:rFonts w:cs="Arial"/>
          <w:i/>
          <w:iCs/>
          <w:szCs w:val="22"/>
        </w:rPr>
        <w:t>Operational Mechanisms</w:t>
      </w:r>
    </w:p>
    <w:p w14:paraId="103E95F4" w14:textId="0C5DAC91" w:rsidR="000726F7" w:rsidRDefault="00642BE1" w:rsidP="0006518C">
      <w:pPr>
        <w:spacing w:before="120" w:after="120" w:line="240" w:lineRule="auto"/>
        <w:jc w:val="both"/>
        <w:rPr>
          <w:rFonts w:cs="Arial"/>
          <w:szCs w:val="22"/>
        </w:rPr>
      </w:pPr>
      <w:r w:rsidRPr="00642BE1">
        <w:rPr>
          <w:rFonts w:cs="Arial"/>
          <w:szCs w:val="22"/>
        </w:rPr>
        <w:t>To implement the Amoeba model effectively, an organization must establish the following interlocking systems:</w:t>
      </w:r>
    </w:p>
    <w:p w14:paraId="3FAB7B3D" w14:textId="2C01FAA5" w:rsidR="00447FAA" w:rsidRPr="00447FAA" w:rsidRDefault="00447FAA" w:rsidP="0006518C">
      <w:pPr>
        <w:pStyle w:val="ListParagraph"/>
        <w:numPr>
          <w:ilvl w:val="0"/>
          <w:numId w:val="3"/>
        </w:numPr>
        <w:spacing w:before="120" w:after="120" w:line="240" w:lineRule="auto"/>
        <w:ind w:left="284" w:hanging="284"/>
        <w:jc w:val="both"/>
        <w:rPr>
          <w:rFonts w:cs="Arial"/>
          <w:szCs w:val="22"/>
        </w:rPr>
      </w:pPr>
      <w:r w:rsidRPr="00447FAA">
        <w:rPr>
          <w:rFonts w:cs="Arial"/>
          <w:b/>
          <w:bCs/>
          <w:szCs w:val="22"/>
        </w:rPr>
        <w:t>Unit Structuring:</w:t>
      </w:r>
      <w:r w:rsidRPr="00447FAA">
        <w:rPr>
          <w:rFonts w:cs="Arial"/>
          <w:szCs w:val="22"/>
        </w:rPr>
        <w:t xml:space="preserve"> Break the company into autonomous “amoebas” of 3</w:t>
      </w:r>
      <w:r w:rsidR="004A585A">
        <w:rPr>
          <w:rFonts w:cs="Arial"/>
          <w:szCs w:val="22"/>
        </w:rPr>
        <w:t>-</w:t>
      </w:r>
      <w:r w:rsidRPr="00447FAA">
        <w:rPr>
          <w:rFonts w:cs="Arial"/>
          <w:szCs w:val="22"/>
        </w:rPr>
        <w:t>15 people, each responsible for its own profitability.</w:t>
      </w:r>
    </w:p>
    <w:p w14:paraId="113975CC" w14:textId="77777777" w:rsidR="00447FAA" w:rsidRPr="00447FAA" w:rsidRDefault="00447FAA" w:rsidP="0006518C">
      <w:pPr>
        <w:pStyle w:val="ListParagraph"/>
        <w:numPr>
          <w:ilvl w:val="0"/>
          <w:numId w:val="3"/>
        </w:numPr>
        <w:spacing w:before="120" w:after="120" w:line="240" w:lineRule="auto"/>
        <w:ind w:left="284" w:hanging="284"/>
        <w:jc w:val="both"/>
        <w:rPr>
          <w:rFonts w:cs="Arial"/>
          <w:szCs w:val="22"/>
        </w:rPr>
      </w:pPr>
      <w:r w:rsidRPr="00447FAA">
        <w:rPr>
          <w:rFonts w:cs="Arial"/>
          <w:b/>
          <w:bCs/>
          <w:szCs w:val="22"/>
        </w:rPr>
        <w:t>Amoeba Leaders:</w:t>
      </w:r>
      <w:r w:rsidRPr="00447FAA">
        <w:rPr>
          <w:rFonts w:cs="Arial"/>
          <w:szCs w:val="22"/>
        </w:rPr>
        <w:t xml:space="preserve"> Appoint and train a manager for each unit, equipping them with management, communication, and basic accounting skills.</w:t>
      </w:r>
    </w:p>
    <w:p w14:paraId="23E4AB2A" w14:textId="77777777" w:rsidR="00447FAA" w:rsidRPr="00447FAA" w:rsidRDefault="00447FAA" w:rsidP="0006518C">
      <w:pPr>
        <w:pStyle w:val="ListParagraph"/>
        <w:numPr>
          <w:ilvl w:val="0"/>
          <w:numId w:val="3"/>
        </w:numPr>
        <w:spacing w:before="120" w:after="120" w:line="240" w:lineRule="auto"/>
        <w:ind w:left="284" w:hanging="284"/>
        <w:jc w:val="both"/>
        <w:rPr>
          <w:rFonts w:cs="Arial"/>
          <w:szCs w:val="22"/>
        </w:rPr>
      </w:pPr>
      <w:r w:rsidRPr="00447FAA">
        <w:rPr>
          <w:rFonts w:cs="Arial"/>
          <w:b/>
          <w:bCs/>
          <w:szCs w:val="22"/>
        </w:rPr>
        <w:t>Internal Marketplace:</w:t>
      </w:r>
      <w:r w:rsidRPr="00447FAA">
        <w:rPr>
          <w:rFonts w:cs="Arial"/>
          <w:szCs w:val="22"/>
        </w:rPr>
        <w:t xml:space="preserve"> Enable amoebas to trade goods and services among themselves at market</w:t>
      </w:r>
      <w:r w:rsidRPr="00447FAA">
        <w:rPr>
          <w:rFonts w:ascii="Cambria Math" w:hAnsi="Cambria Math" w:cs="Cambria Math"/>
          <w:szCs w:val="22"/>
        </w:rPr>
        <w:t>‑</w:t>
      </w:r>
      <w:r w:rsidRPr="00447FAA">
        <w:rPr>
          <w:rFonts w:cs="Arial"/>
          <w:szCs w:val="22"/>
        </w:rPr>
        <w:t>based prices, clarifying profit allocation and accountability.</w:t>
      </w:r>
    </w:p>
    <w:p w14:paraId="5B94A40D" w14:textId="77777777" w:rsidR="00447FAA" w:rsidRPr="00447FAA" w:rsidRDefault="00447FAA" w:rsidP="0006518C">
      <w:pPr>
        <w:pStyle w:val="ListParagraph"/>
        <w:numPr>
          <w:ilvl w:val="0"/>
          <w:numId w:val="3"/>
        </w:numPr>
        <w:spacing w:before="120" w:after="120" w:line="240" w:lineRule="auto"/>
        <w:ind w:left="284" w:hanging="284"/>
        <w:jc w:val="both"/>
        <w:rPr>
          <w:rFonts w:cs="Arial"/>
          <w:szCs w:val="22"/>
        </w:rPr>
      </w:pPr>
      <w:r w:rsidRPr="00447FAA">
        <w:rPr>
          <w:rFonts w:cs="Arial"/>
          <w:b/>
          <w:bCs/>
          <w:szCs w:val="22"/>
        </w:rPr>
        <w:t>Monthly Performance Reviews:</w:t>
      </w:r>
      <w:r w:rsidRPr="00447FAA">
        <w:rPr>
          <w:rFonts w:cs="Arial"/>
          <w:szCs w:val="22"/>
        </w:rPr>
        <w:t xml:space="preserve"> Calculate each amoeba’s value added per time unit on a monthly basis and conduct structured performance analyses.</w:t>
      </w:r>
    </w:p>
    <w:p w14:paraId="227C4705" w14:textId="77777777" w:rsidR="00447FAA" w:rsidRPr="00447FAA" w:rsidRDefault="00447FAA" w:rsidP="0006518C">
      <w:pPr>
        <w:pStyle w:val="ListParagraph"/>
        <w:numPr>
          <w:ilvl w:val="0"/>
          <w:numId w:val="3"/>
        </w:numPr>
        <w:spacing w:before="120" w:after="120" w:line="240" w:lineRule="auto"/>
        <w:ind w:left="284" w:hanging="284"/>
        <w:jc w:val="both"/>
        <w:rPr>
          <w:rFonts w:cs="Arial"/>
          <w:szCs w:val="22"/>
        </w:rPr>
      </w:pPr>
      <w:r w:rsidRPr="00447FAA">
        <w:rPr>
          <w:rFonts w:cs="Arial"/>
          <w:b/>
          <w:bCs/>
          <w:szCs w:val="22"/>
        </w:rPr>
        <w:t>Information Transparency:</w:t>
      </w:r>
      <w:r w:rsidRPr="00447FAA">
        <w:rPr>
          <w:rFonts w:cs="Arial"/>
          <w:szCs w:val="22"/>
        </w:rPr>
        <w:t xml:space="preserve"> Share daily reports and hold morning meetings to keep all levels informed.</w:t>
      </w:r>
    </w:p>
    <w:p w14:paraId="61C5AA38" w14:textId="3FF0DC88" w:rsidR="00447FAA" w:rsidRPr="00447FAA" w:rsidRDefault="00447FAA" w:rsidP="0006518C">
      <w:pPr>
        <w:pStyle w:val="ListParagraph"/>
        <w:numPr>
          <w:ilvl w:val="0"/>
          <w:numId w:val="3"/>
        </w:numPr>
        <w:spacing w:before="120" w:after="120" w:line="240" w:lineRule="auto"/>
        <w:ind w:left="284" w:hanging="284"/>
        <w:jc w:val="both"/>
        <w:rPr>
          <w:rFonts w:cs="Arial"/>
          <w:szCs w:val="22"/>
        </w:rPr>
      </w:pPr>
      <w:r w:rsidRPr="00447FAA">
        <w:rPr>
          <w:rFonts w:cs="Arial"/>
          <w:b/>
          <w:bCs/>
          <w:szCs w:val="22"/>
        </w:rPr>
        <w:t>Flexible Structure Adjustment:</w:t>
      </w:r>
      <w:r w:rsidRPr="00447FAA">
        <w:rPr>
          <w:rFonts w:cs="Arial"/>
          <w:szCs w:val="22"/>
        </w:rPr>
        <w:t xml:space="preserve"> Continuously realign unit boundaries and responsibilities based on performance outcomes.</w:t>
      </w:r>
    </w:p>
    <w:p w14:paraId="2FC0D396" w14:textId="0503C5A5" w:rsidR="00326B04" w:rsidRDefault="00326B04" w:rsidP="0006518C">
      <w:pPr>
        <w:spacing w:line="240" w:lineRule="auto"/>
        <w:jc w:val="both"/>
        <w:rPr>
          <w:rFonts w:cs="Arial"/>
          <w:szCs w:val="22"/>
        </w:rPr>
      </w:pPr>
      <w:r w:rsidRPr="00326B04">
        <w:rPr>
          <w:rFonts w:cs="Arial"/>
          <w:szCs w:val="22"/>
        </w:rPr>
        <w:t>Unlike traditional command</w:t>
      </w:r>
      <w:r w:rsidRPr="00326B04">
        <w:rPr>
          <w:rFonts w:ascii="Cambria Math" w:hAnsi="Cambria Math" w:cs="Cambria Math"/>
          <w:szCs w:val="22"/>
        </w:rPr>
        <w:t>‑</w:t>
      </w:r>
      <w:r w:rsidRPr="00326B04">
        <w:rPr>
          <w:rFonts w:cs="Arial"/>
          <w:szCs w:val="22"/>
        </w:rPr>
        <w:t>and</w:t>
      </w:r>
      <w:r w:rsidRPr="00326B04">
        <w:rPr>
          <w:rFonts w:ascii="Cambria Math" w:hAnsi="Cambria Math" w:cs="Cambria Math"/>
          <w:szCs w:val="22"/>
        </w:rPr>
        <w:t>‑</w:t>
      </w:r>
      <w:r w:rsidRPr="00326B04">
        <w:rPr>
          <w:rFonts w:cs="Arial"/>
          <w:szCs w:val="22"/>
        </w:rPr>
        <w:t>control systems, Amoeba management is a philosophy that transforms employees into co</w:t>
      </w:r>
      <w:r w:rsidRPr="00326B04">
        <w:rPr>
          <w:rFonts w:ascii="Cambria Math" w:hAnsi="Cambria Math" w:cs="Cambria Math"/>
          <w:szCs w:val="22"/>
        </w:rPr>
        <w:t>‑</w:t>
      </w:r>
      <w:r w:rsidRPr="00326B04">
        <w:rPr>
          <w:rFonts w:cs="Arial"/>
          <w:szCs w:val="22"/>
        </w:rPr>
        <w:t>creators. It shifts organizational governance from “monitoring and control” to “trust and empowerment</w:t>
      </w:r>
      <w:r>
        <w:rPr>
          <w:rFonts w:cs="Arial"/>
          <w:szCs w:val="22"/>
          <w:lang w:val="en-US"/>
        </w:rPr>
        <w:t>”</w:t>
      </w:r>
      <w:r w:rsidRPr="00326B04">
        <w:rPr>
          <w:rFonts w:cs="Arial"/>
          <w:szCs w:val="22"/>
        </w:rPr>
        <w:t>, laying the foundation for a self</w:t>
      </w:r>
      <w:r w:rsidRPr="00326B04">
        <w:rPr>
          <w:rFonts w:ascii="Cambria Math" w:hAnsi="Cambria Math" w:cs="Cambria Math"/>
          <w:szCs w:val="22"/>
        </w:rPr>
        <w:t>‑</w:t>
      </w:r>
      <w:r w:rsidRPr="00326B04">
        <w:rPr>
          <w:rFonts w:cs="Arial"/>
          <w:szCs w:val="22"/>
        </w:rPr>
        <w:t>sustaining, innovation</w:t>
      </w:r>
      <w:r w:rsidRPr="00326B04">
        <w:rPr>
          <w:rFonts w:ascii="Cambria Math" w:hAnsi="Cambria Math" w:cs="Cambria Math"/>
          <w:szCs w:val="22"/>
        </w:rPr>
        <w:t>‑</w:t>
      </w:r>
      <w:r w:rsidRPr="00326B04">
        <w:rPr>
          <w:rFonts w:cs="Arial"/>
          <w:szCs w:val="22"/>
        </w:rPr>
        <w:t>driven enterprise.</w:t>
      </w:r>
    </w:p>
    <w:p w14:paraId="43FCA54D" w14:textId="699D0547" w:rsidR="00726FFB" w:rsidRPr="00AE1EE7" w:rsidRDefault="008502E2" w:rsidP="0006518C">
      <w:pPr>
        <w:spacing w:before="240" w:after="120" w:line="240" w:lineRule="auto"/>
        <w:jc w:val="center"/>
        <w:rPr>
          <w:rFonts w:cs="Arial"/>
          <w:b/>
          <w:bCs/>
          <w:szCs w:val="22"/>
        </w:rPr>
      </w:pPr>
      <w:r w:rsidRPr="008502E2">
        <w:rPr>
          <w:rFonts w:cs="Arial"/>
          <w:b/>
          <w:bCs/>
          <w:szCs w:val="22"/>
        </w:rPr>
        <w:t>Literature Review</w:t>
      </w:r>
    </w:p>
    <w:p w14:paraId="245E1316" w14:textId="72CA5765" w:rsidR="005B759A" w:rsidRPr="005B759A" w:rsidRDefault="005B759A" w:rsidP="0006518C">
      <w:pPr>
        <w:spacing w:before="120" w:after="120" w:line="240" w:lineRule="auto"/>
        <w:jc w:val="both"/>
        <w:rPr>
          <w:rFonts w:cs="Arial"/>
          <w:szCs w:val="22"/>
          <w:lang w:val="en-US"/>
        </w:rPr>
      </w:pPr>
      <w:r w:rsidRPr="005B759A">
        <w:rPr>
          <w:rFonts w:cs="Arial"/>
          <w:szCs w:val="22"/>
          <w:lang w:val="en-US"/>
        </w:rPr>
        <w:t>Since its original implementation at Japan’s Kyocera Corporation</w:t>
      </w:r>
      <w:r w:rsidR="003B440F">
        <w:rPr>
          <w:rFonts w:cs="Arial"/>
          <w:szCs w:val="22"/>
          <w:lang w:val="en-US"/>
        </w:rPr>
        <w:t xml:space="preserve"> </w:t>
      </w:r>
      <w:r w:rsidR="003B440F" w:rsidRPr="003B440F">
        <w:rPr>
          <w:rFonts w:cs="Arial"/>
          <w:szCs w:val="22"/>
          <w:lang w:val="en-US"/>
        </w:rPr>
        <w:t>(Inamori, 2012; Adler &amp; Hiromoto, 2010)</w:t>
      </w:r>
      <w:r w:rsidRPr="005B759A">
        <w:rPr>
          <w:rFonts w:cs="Arial"/>
          <w:szCs w:val="22"/>
          <w:lang w:val="en-US"/>
        </w:rPr>
        <w:t>, the Amoeba management model has attracted growing interest worldwide and, in recent years, has been piloted across multiple sectors in China, becoming a focal point of academic inquiry.</w:t>
      </w:r>
    </w:p>
    <w:p w14:paraId="037AA3EB" w14:textId="6A2A251E" w:rsidR="005B759A" w:rsidRPr="005B759A" w:rsidRDefault="005B759A" w:rsidP="0006518C">
      <w:pPr>
        <w:spacing w:before="120" w:after="120" w:line="240" w:lineRule="auto"/>
        <w:jc w:val="both"/>
        <w:rPr>
          <w:rFonts w:cs="Arial"/>
          <w:szCs w:val="22"/>
          <w:lang w:val="en-US"/>
        </w:rPr>
      </w:pPr>
      <w:r w:rsidRPr="005B759A">
        <w:rPr>
          <w:rFonts w:cs="Arial"/>
          <w:szCs w:val="22"/>
          <w:lang w:val="en-US"/>
        </w:rPr>
        <w:t>Wang Di (2024) finds that after China’s MN Group introduced the Amoeba model in 2018, its net profit rose by 47 % in 2018 and by 45 % in 2019, before declining in 2020. Although the model delivered a rapid boost to financial performance, Wang argues that the legacy performance</w:t>
      </w:r>
      <w:r w:rsidRPr="005B759A">
        <w:rPr>
          <w:rFonts w:ascii="Cambria Math" w:hAnsi="Cambria Math" w:cs="Cambria Math"/>
          <w:szCs w:val="22"/>
          <w:lang w:val="en-US"/>
        </w:rPr>
        <w:t>‐</w:t>
      </w:r>
      <w:r w:rsidRPr="005B759A">
        <w:rPr>
          <w:rFonts w:cs="Arial"/>
          <w:szCs w:val="22"/>
          <w:lang w:val="en-US"/>
        </w:rPr>
        <w:t>measurement system was poorly aligned with the new structure, which contributed to the subsequent downturn. He proposes three solutions for redesigning the evaluation framework and uses financial</w:t>
      </w:r>
      <w:r w:rsidRPr="005B759A">
        <w:rPr>
          <w:rFonts w:ascii="Cambria Math" w:hAnsi="Cambria Math" w:cs="Cambria Math"/>
          <w:szCs w:val="22"/>
          <w:lang w:val="en-US"/>
        </w:rPr>
        <w:t>‐</w:t>
      </w:r>
      <w:r w:rsidRPr="005B759A">
        <w:rPr>
          <w:rFonts w:cs="Arial"/>
          <w:szCs w:val="22"/>
          <w:lang w:val="en-US"/>
        </w:rPr>
        <w:t>ratio analysis and modular performance measures to quantify the effects of these improvements.</w:t>
      </w:r>
    </w:p>
    <w:p w14:paraId="7B0392BA" w14:textId="4A4873E8" w:rsidR="005B759A" w:rsidRPr="005B759A" w:rsidRDefault="005B759A" w:rsidP="0006518C">
      <w:pPr>
        <w:spacing w:before="120" w:after="120" w:line="240" w:lineRule="auto"/>
        <w:jc w:val="both"/>
        <w:rPr>
          <w:rFonts w:cs="Arial"/>
          <w:szCs w:val="22"/>
          <w:lang w:val="en-US"/>
        </w:rPr>
      </w:pPr>
      <w:r w:rsidRPr="005B759A">
        <w:rPr>
          <w:rFonts w:cs="Arial"/>
          <w:szCs w:val="22"/>
          <w:lang w:val="en-US"/>
        </w:rPr>
        <w:t>Yahefujiang (2023) studies the rollout of Amoeba management at Baosteel in 2016. He reports that Baosteel’s sales jumped by 92 % and total profit by 69 %, and by 2019 its output reached 38.9 million tonnes</w:t>
      </w:r>
      <w:r w:rsidR="004A585A">
        <w:rPr>
          <w:rFonts w:cs="Arial"/>
          <w:szCs w:val="22"/>
          <w:lang w:val="en-US"/>
        </w:rPr>
        <w:t xml:space="preserve"> - </w:t>
      </w:r>
      <w:r w:rsidRPr="005B759A">
        <w:rPr>
          <w:rFonts w:cs="Arial"/>
          <w:szCs w:val="22"/>
          <w:lang w:val="en-US"/>
        </w:rPr>
        <w:t>making it the world’s third</w:t>
      </w:r>
      <w:r w:rsidRPr="005B759A">
        <w:rPr>
          <w:rFonts w:ascii="Cambria Math" w:hAnsi="Cambria Math" w:cs="Cambria Math"/>
          <w:szCs w:val="22"/>
          <w:lang w:val="en-US"/>
        </w:rPr>
        <w:t>‑</w:t>
      </w:r>
      <w:r w:rsidRPr="005B759A">
        <w:rPr>
          <w:rFonts w:cs="Arial"/>
          <w:szCs w:val="22"/>
          <w:lang w:val="en-US"/>
        </w:rPr>
        <w:t>largest producer. While internal controls and market</w:t>
      </w:r>
      <w:r w:rsidRPr="005B759A">
        <w:rPr>
          <w:rFonts w:ascii="Cambria Math" w:hAnsi="Cambria Math" w:cs="Cambria Math"/>
          <w:szCs w:val="22"/>
          <w:lang w:val="en-US"/>
        </w:rPr>
        <w:t>‐</w:t>
      </w:r>
      <w:r w:rsidRPr="005B759A">
        <w:rPr>
          <w:rFonts w:cs="Arial"/>
          <w:szCs w:val="22"/>
          <w:lang w:val="en-US"/>
        </w:rPr>
        <w:t>response capabilities improved markedly, Yahefujiang notes persistent shortcomings in performance evaluation, information systems, and internal audit processes.</w:t>
      </w:r>
    </w:p>
    <w:p w14:paraId="2CEF4E22" w14:textId="035F2D6D" w:rsidR="005B759A" w:rsidRPr="005B759A" w:rsidRDefault="005B759A" w:rsidP="0006518C">
      <w:pPr>
        <w:spacing w:before="120" w:after="120" w:line="240" w:lineRule="auto"/>
        <w:jc w:val="both"/>
        <w:rPr>
          <w:rFonts w:cs="Arial"/>
          <w:szCs w:val="22"/>
          <w:lang w:val="en-US"/>
        </w:rPr>
      </w:pPr>
      <w:r w:rsidRPr="005B759A">
        <w:rPr>
          <w:rFonts w:cs="Arial"/>
          <w:szCs w:val="22"/>
          <w:lang w:val="en-US"/>
        </w:rPr>
        <w:t>Jianfu, Yaven, &amp; Zvarych (2022) examine the application of the Amoeba model in China’s real</w:t>
      </w:r>
      <w:r w:rsidRPr="005B759A">
        <w:rPr>
          <w:rFonts w:ascii="Cambria Math" w:hAnsi="Cambria Math" w:cs="Cambria Math"/>
          <w:szCs w:val="22"/>
          <w:lang w:val="en-US"/>
        </w:rPr>
        <w:t>‑</w:t>
      </w:r>
      <w:r w:rsidRPr="005B759A">
        <w:rPr>
          <w:rFonts w:cs="Arial"/>
          <w:szCs w:val="22"/>
          <w:lang w:val="en-US"/>
        </w:rPr>
        <w:t>estate sector. Their case study of Zhongliang Company shows revenues swelling from RMB 3.5 billion to RMB 100 billion shortly after adoption, underscoring the model’s rapid</w:t>
      </w:r>
      <w:r w:rsidRPr="005B759A">
        <w:rPr>
          <w:rFonts w:ascii="Cambria Math" w:hAnsi="Cambria Math" w:cs="Cambria Math"/>
          <w:szCs w:val="22"/>
          <w:lang w:val="en-US"/>
        </w:rPr>
        <w:t>‑</w:t>
      </w:r>
      <w:r w:rsidRPr="005B759A">
        <w:rPr>
          <w:rFonts w:cs="Arial"/>
          <w:szCs w:val="22"/>
          <w:lang w:val="en-US"/>
        </w:rPr>
        <w:t>growth potential. They highlight the model’s flexibility during the post</w:t>
      </w:r>
      <w:r w:rsidRPr="005B759A">
        <w:rPr>
          <w:rFonts w:ascii="Cambria Math" w:hAnsi="Cambria Math" w:cs="Cambria Math"/>
          <w:szCs w:val="22"/>
          <w:lang w:val="en-US"/>
        </w:rPr>
        <w:t>‑</w:t>
      </w:r>
      <w:r w:rsidRPr="005B759A">
        <w:rPr>
          <w:rFonts w:cs="Arial"/>
          <w:szCs w:val="22"/>
          <w:lang w:val="en-US"/>
        </w:rPr>
        <w:t>pandemic downturn and its special relevance to urban planning in third</w:t>
      </w:r>
      <w:r w:rsidRPr="005B759A">
        <w:rPr>
          <w:rFonts w:ascii="Cambria Math" w:hAnsi="Cambria Math" w:cs="Cambria Math"/>
          <w:szCs w:val="22"/>
          <w:lang w:val="en-US"/>
        </w:rPr>
        <w:t>‑</w:t>
      </w:r>
      <w:r w:rsidRPr="005B759A">
        <w:rPr>
          <w:rFonts w:cs="Arial"/>
          <w:szCs w:val="22"/>
          <w:lang w:val="en-US"/>
        </w:rPr>
        <w:t xml:space="preserve"> and fourth</w:t>
      </w:r>
      <w:r w:rsidRPr="005B759A">
        <w:rPr>
          <w:rFonts w:ascii="Cambria Math" w:hAnsi="Cambria Math" w:cs="Cambria Math"/>
          <w:szCs w:val="22"/>
          <w:lang w:val="en-US"/>
        </w:rPr>
        <w:t>‑</w:t>
      </w:r>
      <w:r w:rsidRPr="005B759A">
        <w:rPr>
          <w:rFonts w:cs="Arial"/>
          <w:szCs w:val="22"/>
          <w:lang w:val="en-US"/>
        </w:rPr>
        <w:t>tier cities.</w:t>
      </w:r>
    </w:p>
    <w:p w14:paraId="3CC3A23B" w14:textId="59D8A3FA" w:rsidR="005B759A" w:rsidRPr="005B759A" w:rsidRDefault="005B759A" w:rsidP="0006518C">
      <w:pPr>
        <w:spacing w:before="120" w:after="120" w:line="240" w:lineRule="auto"/>
        <w:jc w:val="both"/>
        <w:rPr>
          <w:rFonts w:cs="Arial"/>
          <w:szCs w:val="22"/>
          <w:lang w:val="en-US"/>
        </w:rPr>
      </w:pPr>
      <w:r w:rsidRPr="005B759A">
        <w:rPr>
          <w:rFonts w:cs="Arial"/>
          <w:szCs w:val="22"/>
          <w:lang w:val="en-US"/>
        </w:rPr>
        <w:t xml:space="preserve">Hiromoto (2010) analyzes Kyocera’s own experience, identifying key success factors: a decentralized structure of autonomous profit centers, a clear and simple accounting system, and </w:t>
      </w:r>
      <w:r w:rsidRPr="005B759A">
        <w:rPr>
          <w:rFonts w:cs="Arial"/>
          <w:szCs w:val="22"/>
          <w:lang w:val="en-US"/>
        </w:rPr>
        <w:lastRenderedPageBreak/>
        <w:t>strong employee empowerment. These elements, he argues, drove initiative and dramatically increased internal productivity.</w:t>
      </w:r>
    </w:p>
    <w:p w14:paraId="2981AFFD" w14:textId="02878319" w:rsidR="005B759A" w:rsidRPr="005B759A" w:rsidRDefault="005B759A" w:rsidP="0006518C">
      <w:pPr>
        <w:spacing w:before="120" w:after="120" w:line="240" w:lineRule="auto"/>
        <w:jc w:val="both"/>
        <w:rPr>
          <w:rFonts w:cs="Arial"/>
          <w:szCs w:val="22"/>
          <w:lang w:val="en-US"/>
        </w:rPr>
      </w:pPr>
      <w:r w:rsidRPr="005B759A">
        <w:rPr>
          <w:rFonts w:cs="Arial"/>
          <w:szCs w:val="22"/>
          <w:lang w:val="en-US"/>
        </w:rPr>
        <w:t>Urban &amp; Czerska (2016) compare Amoeba Management System (AMS) implementations in Sweden and Poland. They show that AMS’s core aim</w:t>
      </w:r>
      <w:r w:rsidR="004A585A">
        <w:rPr>
          <w:rFonts w:cs="Arial"/>
          <w:szCs w:val="22"/>
          <w:lang w:val="en-US"/>
        </w:rPr>
        <w:t xml:space="preserve"> - </w:t>
      </w:r>
      <w:r w:rsidRPr="005B759A">
        <w:rPr>
          <w:rFonts w:cs="Arial"/>
          <w:szCs w:val="22"/>
          <w:lang w:val="en-US"/>
        </w:rPr>
        <w:t>creating self</w:t>
      </w:r>
      <w:r w:rsidRPr="005B759A">
        <w:rPr>
          <w:rFonts w:ascii="Cambria Math" w:hAnsi="Cambria Math" w:cs="Cambria Math"/>
          <w:szCs w:val="22"/>
          <w:lang w:val="en-US"/>
        </w:rPr>
        <w:t>‑</w:t>
      </w:r>
      <w:r w:rsidRPr="005B759A">
        <w:rPr>
          <w:rFonts w:cs="Arial"/>
          <w:szCs w:val="22"/>
          <w:lang w:val="en-US"/>
        </w:rPr>
        <w:t>managing teams</w:t>
      </w:r>
      <w:r w:rsidR="004A585A">
        <w:rPr>
          <w:rFonts w:cs="Arial"/>
          <w:szCs w:val="22"/>
          <w:lang w:val="en-US"/>
        </w:rPr>
        <w:t xml:space="preserve"> - </w:t>
      </w:r>
      <w:r w:rsidRPr="005B759A">
        <w:rPr>
          <w:rFonts w:cs="Arial"/>
          <w:szCs w:val="22"/>
          <w:lang w:val="en-US"/>
        </w:rPr>
        <w:t>consistently improved internal management. Their work also details the implementation challenges, the role of employee engagement, and the cultural adjustments necessary for success in a European context.</w:t>
      </w:r>
    </w:p>
    <w:p w14:paraId="66958ED7" w14:textId="62400FCD" w:rsidR="005B759A" w:rsidRPr="005B759A" w:rsidRDefault="005B759A" w:rsidP="0006518C">
      <w:pPr>
        <w:spacing w:before="120" w:after="120" w:line="240" w:lineRule="auto"/>
        <w:jc w:val="both"/>
        <w:rPr>
          <w:rFonts w:cs="Arial"/>
          <w:szCs w:val="22"/>
          <w:lang w:val="en-US"/>
        </w:rPr>
      </w:pPr>
      <w:r w:rsidRPr="005B759A">
        <w:rPr>
          <w:rFonts w:cs="Arial"/>
          <w:szCs w:val="22"/>
          <w:lang w:val="en-US"/>
        </w:rPr>
        <w:t>Shen et al. (2020) apply a Difference</w:t>
      </w:r>
      <w:r w:rsidRPr="005B759A">
        <w:rPr>
          <w:rFonts w:ascii="Cambria Math" w:hAnsi="Cambria Math" w:cs="Cambria Math"/>
          <w:szCs w:val="22"/>
          <w:lang w:val="en-US"/>
        </w:rPr>
        <w:t>‐</w:t>
      </w:r>
      <w:r w:rsidRPr="005B759A">
        <w:rPr>
          <w:rFonts w:cs="Arial"/>
          <w:szCs w:val="22"/>
          <w:lang w:val="en-US"/>
        </w:rPr>
        <w:t>in</w:t>
      </w:r>
      <w:r w:rsidRPr="005B759A">
        <w:rPr>
          <w:rFonts w:ascii="Cambria Math" w:hAnsi="Cambria Math" w:cs="Cambria Math"/>
          <w:szCs w:val="22"/>
          <w:lang w:val="en-US"/>
        </w:rPr>
        <w:t>‐</w:t>
      </w:r>
      <w:r w:rsidRPr="005B759A">
        <w:rPr>
          <w:rFonts w:cs="Arial"/>
          <w:szCs w:val="22"/>
          <w:lang w:val="en-US"/>
        </w:rPr>
        <w:t>Differences (DID) approach to measure the impact of COVID</w:t>
      </w:r>
      <w:r w:rsidRPr="005B759A">
        <w:rPr>
          <w:rFonts w:ascii="Cambria Math" w:hAnsi="Cambria Math" w:cs="Cambria Math"/>
          <w:szCs w:val="22"/>
          <w:lang w:val="en-US"/>
        </w:rPr>
        <w:t>‑</w:t>
      </w:r>
      <w:r w:rsidRPr="005B759A">
        <w:rPr>
          <w:rFonts w:cs="Arial"/>
          <w:szCs w:val="22"/>
          <w:lang w:val="en-US"/>
        </w:rPr>
        <w:t>19 on the performance of Chinese stock</w:t>
      </w:r>
      <w:r w:rsidRPr="005B759A">
        <w:rPr>
          <w:rFonts w:ascii="Cambria Math" w:hAnsi="Cambria Math" w:cs="Cambria Math"/>
          <w:szCs w:val="22"/>
          <w:lang w:val="en-US"/>
        </w:rPr>
        <w:t>‑</w:t>
      </w:r>
      <w:r w:rsidRPr="005B759A">
        <w:rPr>
          <w:rFonts w:cs="Arial"/>
          <w:szCs w:val="22"/>
          <w:lang w:val="en-US"/>
        </w:rPr>
        <w:t>listed firms. They find that the pandemic depressed firm performance, especially for companies with lower sales and investment levels. Although this study does not examine the Amoeba model directly, it validates DID as an empirical method</w:t>
      </w:r>
      <w:r w:rsidR="004A585A">
        <w:rPr>
          <w:rFonts w:cs="Arial"/>
          <w:szCs w:val="22"/>
          <w:lang w:val="en-US"/>
        </w:rPr>
        <w:t xml:space="preserve"> - p</w:t>
      </w:r>
      <w:r w:rsidRPr="005B759A">
        <w:rPr>
          <w:rFonts w:cs="Arial"/>
          <w:szCs w:val="22"/>
          <w:lang w:val="en-US"/>
        </w:rPr>
        <w:t>roviding the foundation for our own analysis of how Amoeba adoption alters pre</w:t>
      </w:r>
      <w:r w:rsidRPr="005B759A">
        <w:rPr>
          <w:rFonts w:ascii="Cambria Math" w:hAnsi="Cambria Math" w:cs="Cambria Math"/>
          <w:szCs w:val="22"/>
          <w:lang w:val="en-US"/>
        </w:rPr>
        <w:t>‑</w:t>
      </w:r>
      <w:r w:rsidRPr="005B759A">
        <w:rPr>
          <w:rFonts w:cs="Arial"/>
          <w:szCs w:val="22"/>
          <w:lang w:val="en-US"/>
        </w:rPr>
        <w:t xml:space="preserve"> and post</w:t>
      </w:r>
      <w:r w:rsidRPr="005B759A">
        <w:rPr>
          <w:rFonts w:ascii="Cambria Math" w:hAnsi="Cambria Math" w:cs="Cambria Math"/>
          <w:szCs w:val="22"/>
          <w:lang w:val="en-US"/>
        </w:rPr>
        <w:t>‑</w:t>
      </w:r>
      <w:r w:rsidRPr="005B759A">
        <w:rPr>
          <w:rFonts w:cs="Arial"/>
          <w:szCs w:val="22"/>
          <w:lang w:val="en-US"/>
        </w:rPr>
        <w:t>intervention performance.</w:t>
      </w:r>
    </w:p>
    <w:p w14:paraId="59446292" w14:textId="1295C253" w:rsidR="005B759A" w:rsidRPr="005B759A" w:rsidRDefault="005B759A" w:rsidP="0006518C">
      <w:pPr>
        <w:spacing w:before="120" w:after="120" w:line="240" w:lineRule="auto"/>
        <w:jc w:val="both"/>
        <w:rPr>
          <w:rFonts w:cs="Arial"/>
          <w:szCs w:val="22"/>
          <w:lang w:val="en-US"/>
        </w:rPr>
      </w:pPr>
      <w:r w:rsidRPr="005B759A">
        <w:rPr>
          <w:rFonts w:cs="Arial"/>
          <w:szCs w:val="22"/>
          <w:lang w:val="en-US"/>
        </w:rPr>
        <w:t>Taken together, these studies confirm that the Amoeba model can rapidly enhance financial performance, boost productivity, and foster organizational agility in uncertain markets. However, they also warn that without corresponding upgrades to performance metrics, information systems, and organizational culture, the model’s benefits may erode over time. Accordingly, our study seeks to build on this literature by systematically quantifying the Amoeba model’s impact on Chinese firms’ financial metrics, thereby deepening both theoretical understanding and practical implementation guidance.</w:t>
      </w:r>
    </w:p>
    <w:p w14:paraId="15A49C50" w14:textId="32A32AD2" w:rsidR="00726FFB" w:rsidRPr="003C1B2A" w:rsidRDefault="003C1B2A" w:rsidP="0006518C">
      <w:pPr>
        <w:spacing w:before="240" w:after="120" w:line="240" w:lineRule="auto"/>
        <w:jc w:val="center"/>
        <w:rPr>
          <w:rFonts w:cs="Arial"/>
          <w:b/>
          <w:bCs/>
          <w:szCs w:val="22"/>
          <w:lang w:val="en-US"/>
        </w:rPr>
      </w:pPr>
      <w:r>
        <w:rPr>
          <w:rFonts w:cs="Arial"/>
          <w:b/>
          <w:bCs/>
          <w:szCs w:val="22"/>
          <w:lang w:val="en-US"/>
        </w:rPr>
        <w:t>Data and Model</w:t>
      </w:r>
    </w:p>
    <w:p w14:paraId="7F5D7253" w14:textId="6BC0FF95" w:rsidR="00702F0E" w:rsidRDefault="00702F0E" w:rsidP="0006518C">
      <w:pPr>
        <w:spacing w:before="120" w:after="120" w:line="240" w:lineRule="auto"/>
        <w:jc w:val="both"/>
        <w:rPr>
          <w:rFonts w:cs="Arial"/>
          <w:szCs w:val="22"/>
        </w:rPr>
      </w:pPr>
      <w:r w:rsidRPr="00702F0E">
        <w:rPr>
          <w:rFonts w:cs="Arial"/>
          <w:szCs w:val="22"/>
        </w:rPr>
        <w:t>This study uses firm</w:t>
      </w:r>
      <w:r w:rsidRPr="00702F0E">
        <w:rPr>
          <w:rFonts w:ascii="Cambria Math" w:hAnsi="Cambria Math" w:cs="Cambria Math"/>
          <w:szCs w:val="22"/>
        </w:rPr>
        <w:t>‑</w:t>
      </w:r>
      <w:r w:rsidRPr="00702F0E">
        <w:rPr>
          <w:rFonts w:cs="Arial"/>
          <w:szCs w:val="22"/>
        </w:rPr>
        <w:t>level financial data from Chinese companies across multiple industries to quantify the impact of implementing the Amoeba management model on financial performance. Specifically, we compare firms that have adopted the Amoeba model with matched peers that have not, over the period 2010</w:t>
      </w:r>
      <w:r>
        <w:rPr>
          <w:rFonts w:cs="Arial"/>
          <w:szCs w:val="22"/>
          <w:lang w:val="en-US"/>
        </w:rPr>
        <w:t>-</w:t>
      </w:r>
      <w:r w:rsidRPr="00702F0E">
        <w:rPr>
          <w:rFonts w:cs="Arial"/>
          <w:szCs w:val="22"/>
        </w:rPr>
        <w:t>2023.</w:t>
      </w:r>
    </w:p>
    <w:p w14:paraId="08754034" w14:textId="6B5E9C9D" w:rsidR="00702F0E" w:rsidRPr="00702F0E" w:rsidRDefault="00702F0E" w:rsidP="0006518C">
      <w:pPr>
        <w:spacing w:before="120" w:after="120" w:line="240" w:lineRule="auto"/>
        <w:jc w:val="both"/>
        <w:rPr>
          <w:rFonts w:cs="Arial"/>
          <w:szCs w:val="22"/>
          <w:lang w:val="en-US"/>
        </w:rPr>
      </w:pPr>
      <w:r w:rsidRPr="00702F0E">
        <w:rPr>
          <w:rFonts w:cs="Arial"/>
          <w:szCs w:val="22"/>
          <w:lang w:val="en-US"/>
        </w:rPr>
        <w:t>Our sample comprises 16 firms (one adopter and one non</w:t>
      </w:r>
      <w:r w:rsidRPr="00702F0E">
        <w:rPr>
          <w:rFonts w:ascii="Cambria Math" w:hAnsi="Cambria Math" w:cs="Cambria Math"/>
          <w:szCs w:val="22"/>
          <w:lang w:val="en-US"/>
        </w:rPr>
        <w:t>‑</w:t>
      </w:r>
      <w:r w:rsidRPr="00702F0E">
        <w:rPr>
          <w:rFonts w:cs="Arial"/>
          <w:szCs w:val="22"/>
          <w:lang w:val="en-US"/>
        </w:rPr>
        <w:t>adopter per industry) in eight sectors</w:t>
      </w:r>
      <w:r>
        <w:rPr>
          <w:rFonts w:cs="Arial"/>
          <w:szCs w:val="22"/>
          <w:lang w:val="en-US"/>
        </w:rPr>
        <w:t>.</w:t>
      </w:r>
      <w:r w:rsidRPr="00702F0E">
        <w:t xml:space="preserve"> </w:t>
      </w:r>
      <w:r w:rsidRPr="00702F0E">
        <w:rPr>
          <w:rFonts w:cs="Arial"/>
          <w:szCs w:val="22"/>
          <w:lang w:val="en-US"/>
        </w:rPr>
        <w:t>Financial statements for these firms were drawn from Wind Financial Terminal and the CSMAR database (Table 1). Firm names have been withheld to protect confidentiality.</w:t>
      </w:r>
    </w:p>
    <w:p w14:paraId="1DEFD3CF" w14:textId="02296237" w:rsidR="00726FFB" w:rsidRPr="008A552E" w:rsidRDefault="004C31EF" w:rsidP="0006518C">
      <w:pPr>
        <w:spacing w:before="120" w:after="120" w:line="240" w:lineRule="auto"/>
        <w:jc w:val="both"/>
        <w:rPr>
          <w:rFonts w:cs="Arial"/>
          <w:szCs w:val="22"/>
        </w:rPr>
      </w:pPr>
      <w:r>
        <w:rPr>
          <w:rFonts w:cs="Arial"/>
          <w:szCs w:val="22"/>
          <w:lang w:val="en-US"/>
        </w:rPr>
        <w:t xml:space="preserve">Table 1. </w:t>
      </w:r>
      <w:r w:rsidR="00702F0E" w:rsidRPr="00702F0E">
        <w:rPr>
          <w:rFonts w:cs="Arial"/>
          <w:szCs w:val="22"/>
        </w:rPr>
        <w:t>Data Coverage by Industry</w:t>
      </w:r>
    </w:p>
    <w:tbl>
      <w:tblPr>
        <w:tblStyle w:val="TableGrid"/>
        <w:tblW w:w="9298" w:type="dxa"/>
        <w:jc w:val="center"/>
        <w:tblLayout w:type="fixed"/>
        <w:tblLook w:val="04A0" w:firstRow="1" w:lastRow="0" w:firstColumn="1" w:lastColumn="0" w:noHBand="0" w:noVBand="1"/>
      </w:tblPr>
      <w:tblGrid>
        <w:gridCol w:w="4876"/>
        <w:gridCol w:w="2665"/>
        <w:gridCol w:w="1757"/>
      </w:tblGrid>
      <w:tr w:rsidR="008A552E" w14:paraId="19A01875" w14:textId="77777777" w:rsidTr="008A552E">
        <w:trPr>
          <w:jc w:val="center"/>
        </w:trPr>
        <w:tc>
          <w:tcPr>
            <w:tcW w:w="4876" w:type="dxa"/>
            <w:vAlign w:val="center"/>
          </w:tcPr>
          <w:p w14:paraId="7CD9877D" w14:textId="4FF61A2B" w:rsidR="00CD5E1B" w:rsidRPr="00F03E25" w:rsidRDefault="00F03E25" w:rsidP="0006518C">
            <w:pPr>
              <w:jc w:val="center"/>
              <w:rPr>
                <w:rFonts w:cs="Arial"/>
                <w:szCs w:val="22"/>
                <w:lang w:val="en-US"/>
              </w:rPr>
            </w:pPr>
            <w:r>
              <w:rPr>
                <w:rFonts w:cs="Arial"/>
                <w:szCs w:val="22"/>
                <w:lang w:val="en-US"/>
              </w:rPr>
              <w:t>Industry</w:t>
            </w:r>
          </w:p>
        </w:tc>
        <w:tc>
          <w:tcPr>
            <w:tcW w:w="2665" w:type="dxa"/>
            <w:vAlign w:val="center"/>
          </w:tcPr>
          <w:p w14:paraId="402FCB1C" w14:textId="04CDA5ED" w:rsidR="00CD5E1B" w:rsidRPr="00F03E25" w:rsidRDefault="00F03E25" w:rsidP="0006518C">
            <w:pPr>
              <w:jc w:val="center"/>
              <w:rPr>
                <w:rFonts w:cs="Arial"/>
                <w:szCs w:val="22"/>
                <w:lang w:val="en-US"/>
              </w:rPr>
            </w:pPr>
            <w:r>
              <w:rPr>
                <w:rFonts w:cs="Arial"/>
                <w:szCs w:val="22"/>
                <w:lang w:val="en-US"/>
              </w:rPr>
              <w:t>Years</w:t>
            </w:r>
          </w:p>
        </w:tc>
        <w:tc>
          <w:tcPr>
            <w:tcW w:w="1757" w:type="dxa"/>
            <w:vAlign w:val="center"/>
          </w:tcPr>
          <w:p w14:paraId="048FBF07" w14:textId="1C213B6F" w:rsidR="00CD5E1B" w:rsidRPr="00F03E25" w:rsidRDefault="00F03E25" w:rsidP="0006518C">
            <w:pPr>
              <w:jc w:val="center"/>
              <w:rPr>
                <w:rFonts w:cs="Arial"/>
                <w:szCs w:val="22"/>
                <w:lang w:val="en-US"/>
              </w:rPr>
            </w:pPr>
            <w:r>
              <w:rPr>
                <w:rFonts w:cs="Arial"/>
                <w:szCs w:val="22"/>
                <w:lang w:val="en-US"/>
              </w:rPr>
              <w:t>Source</w:t>
            </w:r>
          </w:p>
        </w:tc>
      </w:tr>
      <w:tr w:rsidR="008A552E" w14:paraId="2EB149C1" w14:textId="77777777" w:rsidTr="008A552E">
        <w:trPr>
          <w:jc w:val="center"/>
        </w:trPr>
        <w:tc>
          <w:tcPr>
            <w:tcW w:w="4876" w:type="dxa"/>
            <w:vAlign w:val="center"/>
          </w:tcPr>
          <w:p w14:paraId="2DD6FABA" w14:textId="35B6DA2A" w:rsidR="008A552E" w:rsidRPr="0073756E" w:rsidRDefault="0073756E" w:rsidP="0006518C">
            <w:pPr>
              <w:rPr>
                <w:rFonts w:cs="Arial"/>
                <w:szCs w:val="22"/>
                <w:lang w:val="en-US"/>
              </w:rPr>
            </w:pPr>
            <w:r>
              <w:rPr>
                <w:rFonts w:cs="Arial"/>
                <w:szCs w:val="22"/>
                <w:lang w:val="en-US"/>
              </w:rPr>
              <w:t>Dairy production</w:t>
            </w:r>
          </w:p>
        </w:tc>
        <w:tc>
          <w:tcPr>
            <w:tcW w:w="2665" w:type="dxa"/>
            <w:vMerge w:val="restart"/>
            <w:vAlign w:val="center"/>
          </w:tcPr>
          <w:p w14:paraId="2B5D6A38" w14:textId="325C4F40" w:rsidR="008A552E" w:rsidRPr="00CD5E1B" w:rsidRDefault="008A552E" w:rsidP="0006518C">
            <w:pPr>
              <w:jc w:val="center"/>
              <w:rPr>
                <w:rFonts w:cs="Arial"/>
                <w:szCs w:val="22"/>
                <w:lang w:val="en-US"/>
              </w:rPr>
            </w:pPr>
            <w:r>
              <w:rPr>
                <w:rFonts w:cs="Arial"/>
                <w:szCs w:val="22"/>
              </w:rPr>
              <w:t>2</w:t>
            </w:r>
            <w:r>
              <w:rPr>
                <w:rFonts w:cs="Arial"/>
                <w:szCs w:val="22"/>
                <w:lang w:val="en-US"/>
              </w:rPr>
              <w:t>013-2023</w:t>
            </w:r>
          </w:p>
        </w:tc>
        <w:tc>
          <w:tcPr>
            <w:tcW w:w="1757" w:type="dxa"/>
            <w:vMerge w:val="restart"/>
            <w:vAlign w:val="center"/>
          </w:tcPr>
          <w:p w14:paraId="39C0A61C" w14:textId="575D644F" w:rsidR="008A552E" w:rsidRPr="00CD5E1B" w:rsidRDefault="008A552E" w:rsidP="0006518C">
            <w:pPr>
              <w:jc w:val="center"/>
              <w:rPr>
                <w:rFonts w:cs="Arial"/>
                <w:szCs w:val="22"/>
                <w:lang w:val="en-US"/>
              </w:rPr>
            </w:pPr>
            <w:r>
              <w:rPr>
                <w:rFonts w:cs="Arial"/>
                <w:szCs w:val="22"/>
                <w:lang w:val="en-US"/>
              </w:rPr>
              <w:t>Wind Financial Terminal</w:t>
            </w:r>
          </w:p>
        </w:tc>
      </w:tr>
      <w:tr w:rsidR="008A552E" w14:paraId="05DF7114" w14:textId="77777777" w:rsidTr="008A552E">
        <w:trPr>
          <w:jc w:val="center"/>
        </w:trPr>
        <w:tc>
          <w:tcPr>
            <w:tcW w:w="4876" w:type="dxa"/>
            <w:vAlign w:val="center"/>
          </w:tcPr>
          <w:p w14:paraId="626732D3" w14:textId="226888D7" w:rsidR="008A552E" w:rsidRPr="0073756E" w:rsidRDefault="0073756E" w:rsidP="0006518C">
            <w:pPr>
              <w:rPr>
                <w:rFonts w:cs="Arial"/>
                <w:szCs w:val="22"/>
                <w:lang w:val="en-US"/>
              </w:rPr>
            </w:pPr>
            <w:r>
              <w:rPr>
                <w:rFonts w:cs="Arial"/>
                <w:szCs w:val="22"/>
                <w:lang w:val="en-US"/>
              </w:rPr>
              <w:t>Steel manufacturing</w:t>
            </w:r>
          </w:p>
        </w:tc>
        <w:tc>
          <w:tcPr>
            <w:tcW w:w="2665" w:type="dxa"/>
            <w:vMerge/>
            <w:vAlign w:val="center"/>
          </w:tcPr>
          <w:p w14:paraId="2C15ADF5" w14:textId="77777777" w:rsidR="008A552E" w:rsidRDefault="008A552E" w:rsidP="0006518C">
            <w:pPr>
              <w:jc w:val="center"/>
              <w:rPr>
                <w:rFonts w:cs="Arial"/>
                <w:szCs w:val="22"/>
              </w:rPr>
            </w:pPr>
          </w:p>
        </w:tc>
        <w:tc>
          <w:tcPr>
            <w:tcW w:w="1757" w:type="dxa"/>
            <w:vMerge/>
            <w:vAlign w:val="center"/>
          </w:tcPr>
          <w:p w14:paraId="56BF59A8" w14:textId="77777777" w:rsidR="008A552E" w:rsidRDefault="008A552E" w:rsidP="0006518C">
            <w:pPr>
              <w:jc w:val="center"/>
              <w:rPr>
                <w:rFonts w:cs="Arial"/>
                <w:szCs w:val="22"/>
              </w:rPr>
            </w:pPr>
          </w:p>
        </w:tc>
      </w:tr>
      <w:tr w:rsidR="008A552E" w14:paraId="70D31E2E" w14:textId="77777777" w:rsidTr="008A552E">
        <w:trPr>
          <w:jc w:val="center"/>
        </w:trPr>
        <w:tc>
          <w:tcPr>
            <w:tcW w:w="4876" w:type="dxa"/>
            <w:vAlign w:val="center"/>
          </w:tcPr>
          <w:p w14:paraId="6801C715" w14:textId="40079E7B" w:rsidR="008A552E" w:rsidRPr="0073756E" w:rsidRDefault="0073756E" w:rsidP="0006518C">
            <w:pPr>
              <w:rPr>
                <w:rFonts w:cs="Arial"/>
                <w:szCs w:val="22"/>
                <w:lang w:val="en-US"/>
              </w:rPr>
            </w:pPr>
            <w:r>
              <w:rPr>
                <w:rFonts w:cs="Arial"/>
                <w:szCs w:val="22"/>
                <w:lang w:val="en-US"/>
              </w:rPr>
              <w:t>Telecommunication equipment</w:t>
            </w:r>
          </w:p>
        </w:tc>
        <w:tc>
          <w:tcPr>
            <w:tcW w:w="2665" w:type="dxa"/>
            <w:vMerge/>
            <w:vAlign w:val="center"/>
          </w:tcPr>
          <w:p w14:paraId="273F6106" w14:textId="77777777" w:rsidR="008A552E" w:rsidRDefault="008A552E" w:rsidP="0006518C">
            <w:pPr>
              <w:jc w:val="center"/>
              <w:rPr>
                <w:rFonts w:cs="Arial"/>
                <w:szCs w:val="22"/>
              </w:rPr>
            </w:pPr>
          </w:p>
        </w:tc>
        <w:tc>
          <w:tcPr>
            <w:tcW w:w="1757" w:type="dxa"/>
            <w:vMerge/>
            <w:vAlign w:val="center"/>
          </w:tcPr>
          <w:p w14:paraId="4579E857" w14:textId="77777777" w:rsidR="008A552E" w:rsidRDefault="008A552E" w:rsidP="0006518C">
            <w:pPr>
              <w:jc w:val="center"/>
              <w:rPr>
                <w:rFonts w:cs="Arial"/>
                <w:szCs w:val="22"/>
              </w:rPr>
            </w:pPr>
          </w:p>
        </w:tc>
      </w:tr>
      <w:tr w:rsidR="008A552E" w14:paraId="638A0637" w14:textId="77777777" w:rsidTr="008A552E">
        <w:trPr>
          <w:jc w:val="center"/>
        </w:trPr>
        <w:tc>
          <w:tcPr>
            <w:tcW w:w="4876" w:type="dxa"/>
            <w:vAlign w:val="center"/>
          </w:tcPr>
          <w:p w14:paraId="6E39BCF9" w14:textId="0898313E" w:rsidR="008A552E" w:rsidRPr="0073756E" w:rsidRDefault="0073756E" w:rsidP="0006518C">
            <w:pPr>
              <w:rPr>
                <w:rFonts w:cs="Arial"/>
                <w:szCs w:val="22"/>
                <w:lang w:val="en-US"/>
              </w:rPr>
            </w:pPr>
            <w:r>
              <w:rPr>
                <w:rFonts w:cs="Arial"/>
                <w:szCs w:val="22"/>
                <w:lang w:val="en-US"/>
              </w:rPr>
              <w:t>Air transportation</w:t>
            </w:r>
          </w:p>
        </w:tc>
        <w:tc>
          <w:tcPr>
            <w:tcW w:w="2665" w:type="dxa"/>
            <w:vMerge/>
            <w:vAlign w:val="center"/>
          </w:tcPr>
          <w:p w14:paraId="38139CCF" w14:textId="77777777" w:rsidR="008A552E" w:rsidRDefault="008A552E" w:rsidP="0006518C">
            <w:pPr>
              <w:jc w:val="center"/>
              <w:rPr>
                <w:rFonts w:cs="Arial"/>
                <w:szCs w:val="22"/>
              </w:rPr>
            </w:pPr>
          </w:p>
        </w:tc>
        <w:tc>
          <w:tcPr>
            <w:tcW w:w="1757" w:type="dxa"/>
            <w:vMerge/>
            <w:vAlign w:val="center"/>
          </w:tcPr>
          <w:p w14:paraId="637390E1" w14:textId="77777777" w:rsidR="008A552E" w:rsidRDefault="008A552E" w:rsidP="0006518C">
            <w:pPr>
              <w:jc w:val="center"/>
              <w:rPr>
                <w:rFonts w:cs="Arial"/>
                <w:szCs w:val="22"/>
              </w:rPr>
            </w:pPr>
          </w:p>
        </w:tc>
      </w:tr>
      <w:tr w:rsidR="008A552E" w14:paraId="636367F7" w14:textId="77777777" w:rsidTr="008A552E">
        <w:trPr>
          <w:jc w:val="center"/>
        </w:trPr>
        <w:tc>
          <w:tcPr>
            <w:tcW w:w="4876" w:type="dxa"/>
            <w:vAlign w:val="center"/>
          </w:tcPr>
          <w:p w14:paraId="411D5D33" w14:textId="5A1B2414" w:rsidR="008A552E" w:rsidRPr="0073756E" w:rsidRDefault="0073756E" w:rsidP="0006518C">
            <w:pPr>
              <w:rPr>
                <w:rFonts w:cs="Arial"/>
                <w:szCs w:val="22"/>
                <w:lang w:val="en-US"/>
              </w:rPr>
            </w:pPr>
            <w:r>
              <w:rPr>
                <w:rFonts w:cs="Arial"/>
                <w:szCs w:val="22"/>
                <w:lang w:val="en-US"/>
              </w:rPr>
              <w:t>E-commerce</w:t>
            </w:r>
          </w:p>
        </w:tc>
        <w:tc>
          <w:tcPr>
            <w:tcW w:w="2665" w:type="dxa"/>
            <w:vAlign w:val="center"/>
          </w:tcPr>
          <w:p w14:paraId="1E8D329D" w14:textId="0F25B83C" w:rsidR="008A552E" w:rsidRPr="00CD5E1B" w:rsidRDefault="008A552E" w:rsidP="0006518C">
            <w:pPr>
              <w:jc w:val="center"/>
              <w:rPr>
                <w:rFonts w:cs="Arial"/>
                <w:szCs w:val="22"/>
                <w:lang w:val="en-US"/>
              </w:rPr>
            </w:pPr>
            <w:r>
              <w:rPr>
                <w:rFonts w:cs="Arial"/>
                <w:szCs w:val="22"/>
                <w:lang w:val="en-US"/>
              </w:rPr>
              <w:t>2012-2023</w:t>
            </w:r>
          </w:p>
        </w:tc>
        <w:tc>
          <w:tcPr>
            <w:tcW w:w="1757" w:type="dxa"/>
            <w:vMerge/>
            <w:vAlign w:val="center"/>
          </w:tcPr>
          <w:p w14:paraId="29DB76A5" w14:textId="77777777" w:rsidR="008A552E" w:rsidRDefault="008A552E" w:rsidP="0006518C">
            <w:pPr>
              <w:jc w:val="center"/>
              <w:rPr>
                <w:rFonts w:cs="Arial"/>
                <w:szCs w:val="22"/>
              </w:rPr>
            </w:pPr>
          </w:p>
        </w:tc>
      </w:tr>
      <w:tr w:rsidR="008A552E" w14:paraId="40033562" w14:textId="77777777" w:rsidTr="008A552E">
        <w:trPr>
          <w:jc w:val="center"/>
        </w:trPr>
        <w:tc>
          <w:tcPr>
            <w:tcW w:w="4876" w:type="dxa"/>
            <w:vAlign w:val="center"/>
          </w:tcPr>
          <w:p w14:paraId="77984844" w14:textId="33B117D8" w:rsidR="008A552E" w:rsidRPr="0073756E" w:rsidRDefault="0073756E" w:rsidP="0006518C">
            <w:pPr>
              <w:rPr>
                <w:rFonts w:cs="Arial"/>
                <w:szCs w:val="22"/>
                <w:lang w:val="en-US"/>
              </w:rPr>
            </w:pPr>
            <w:r>
              <w:rPr>
                <w:rFonts w:cs="Arial"/>
                <w:szCs w:val="22"/>
                <w:lang w:val="en-US"/>
              </w:rPr>
              <w:t>Infant formula</w:t>
            </w:r>
          </w:p>
        </w:tc>
        <w:tc>
          <w:tcPr>
            <w:tcW w:w="2665" w:type="dxa"/>
            <w:vMerge w:val="restart"/>
            <w:vAlign w:val="center"/>
          </w:tcPr>
          <w:p w14:paraId="28195B3B" w14:textId="10B29E76" w:rsidR="008A552E" w:rsidRPr="00CD5E1B" w:rsidRDefault="008A552E" w:rsidP="0006518C">
            <w:pPr>
              <w:jc w:val="center"/>
              <w:rPr>
                <w:rFonts w:cs="Arial"/>
                <w:szCs w:val="22"/>
                <w:lang w:val="en-US"/>
              </w:rPr>
            </w:pPr>
            <w:r>
              <w:rPr>
                <w:rFonts w:cs="Arial"/>
                <w:szCs w:val="22"/>
                <w:lang w:val="en-US"/>
              </w:rPr>
              <w:t>2013-2023</w:t>
            </w:r>
          </w:p>
        </w:tc>
        <w:tc>
          <w:tcPr>
            <w:tcW w:w="1757" w:type="dxa"/>
            <w:vMerge/>
            <w:vAlign w:val="center"/>
          </w:tcPr>
          <w:p w14:paraId="6FCDAA17" w14:textId="77777777" w:rsidR="008A552E" w:rsidRDefault="008A552E" w:rsidP="0006518C">
            <w:pPr>
              <w:jc w:val="center"/>
              <w:rPr>
                <w:rFonts w:cs="Arial"/>
                <w:szCs w:val="22"/>
              </w:rPr>
            </w:pPr>
          </w:p>
        </w:tc>
      </w:tr>
      <w:tr w:rsidR="008A552E" w14:paraId="24023996" w14:textId="77777777" w:rsidTr="008A552E">
        <w:trPr>
          <w:jc w:val="center"/>
        </w:trPr>
        <w:tc>
          <w:tcPr>
            <w:tcW w:w="4876" w:type="dxa"/>
            <w:vAlign w:val="center"/>
          </w:tcPr>
          <w:p w14:paraId="43B9504E" w14:textId="053CF1D3" w:rsidR="008A552E" w:rsidRPr="00CD5E1B" w:rsidRDefault="0073756E" w:rsidP="0006518C">
            <w:pPr>
              <w:rPr>
                <w:rFonts w:cs="Arial"/>
                <w:szCs w:val="22"/>
              </w:rPr>
            </w:pPr>
            <w:r>
              <w:rPr>
                <w:rFonts w:cs="Arial"/>
                <w:szCs w:val="22"/>
                <w:lang w:val="en-US"/>
              </w:rPr>
              <w:t>Beverage production</w:t>
            </w:r>
          </w:p>
        </w:tc>
        <w:tc>
          <w:tcPr>
            <w:tcW w:w="2665" w:type="dxa"/>
            <w:vMerge/>
            <w:vAlign w:val="center"/>
          </w:tcPr>
          <w:p w14:paraId="374AA0C5" w14:textId="77777777" w:rsidR="008A552E" w:rsidRDefault="008A552E" w:rsidP="0006518C">
            <w:pPr>
              <w:jc w:val="center"/>
              <w:rPr>
                <w:rFonts w:cs="Arial"/>
                <w:szCs w:val="22"/>
                <w:lang w:val="en-US"/>
              </w:rPr>
            </w:pPr>
          </w:p>
        </w:tc>
        <w:tc>
          <w:tcPr>
            <w:tcW w:w="1757" w:type="dxa"/>
            <w:vMerge/>
            <w:vAlign w:val="center"/>
          </w:tcPr>
          <w:p w14:paraId="450676A4" w14:textId="77777777" w:rsidR="008A552E" w:rsidRDefault="008A552E" w:rsidP="0006518C">
            <w:pPr>
              <w:jc w:val="center"/>
              <w:rPr>
                <w:rFonts w:cs="Arial"/>
                <w:szCs w:val="22"/>
              </w:rPr>
            </w:pPr>
          </w:p>
        </w:tc>
      </w:tr>
      <w:tr w:rsidR="008A552E" w14:paraId="2789462B" w14:textId="77777777" w:rsidTr="008A552E">
        <w:trPr>
          <w:jc w:val="center"/>
        </w:trPr>
        <w:tc>
          <w:tcPr>
            <w:tcW w:w="4876" w:type="dxa"/>
            <w:vAlign w:val="center"/>
          </w:tcPr>
          <w:p w14:paraId="67DEA42A" w14:textId="64D3B272" w:rsidR="00CD5E1B" w:rsidRPr="0073756E" w:rsidRDefault="0073756E" w:rsidP="0006518C">
            <w:pPr>
              <w:rPr>
                <w:rFonts w:cs="Arial"/>
                <w:szCs w:val="22"/>
                <w:lang w:val="en-US"/>
              </w:rPr>
            </w:pPr>
            <w:r>
              <w:rPr>
                <w:rFonts w:cs="Arial"/>
                <w:szCs w:val="22"/>
                <w:lang w:val="en-US"/>
              </w:rPr>
              <w:t>Heavy machinery manufacturing</w:t>
            </w:r>
          </w:p>
        </w:tc>
        <w:tc>
          <w:tcPr>
            <w:tcW w:w="2665" w:type="dxa"/>
            <w:vAlign w:val="center"/>
          </w:tcPr>
          <w:p w14:paraId="634CC708" w14:textId="076B19CE" w:rsidR="00CD5E1B" w:rsidRPr="00CD5E1B" w:rsidRDefault="00CD5E1B" w:rsidP="0006518C">
            <w:pPr>
              <w:jc w:val="center"/>
              <w:rPr>
                <w:rFonts w:cs="Arial"/>
                <w:szCs w:val="22"/>
                <w:lang w:val="en-US"/>
              </w:rPr>
            </w:pPr>
            <w:r>
              <w:rPr>
                <w:rFonts w:cs="Arial"/>
                <w:szCs w:val="22"/>
              </w:rPr>
              <w:t>2</w:t>
            </w:r>
            <w:r>
              <w:rPr>
                <w:rFonts w:cs="Arial"/>
                <w:szCs w:val="22"/>
                <w:lang w:val="en-US"/>
              </w:rPr>
              <w:t>010-2023</w:t>
            </w:r>
          </w:p>
        </w:tc>
        <w:tc>
          <w:tcPr>
            <w:tcW w:w="1757" w:type="dxa"/>
            <w:vAlign w:val="center"/>
          </w:tcPr>
          <w:p w14:paraId="137C6DB4" w14:textId="510C1764" w:rsidR="00CD5E1B" w:rsidRPr="00CD5E1B" w:rsidRDefault="00CD5E1B" w:rsidP="0006518C">
            <w:pPr>
              <w:jc w:val="center"/>
              <w:rPr>
                <w:rFonts w:cs="Arial"/>
                <w:szCs w:val="22"/>
                <w:lang w:val="en-US"/>
              </w:rPr>
            </w:pPr>
            <w:r>
              <w:rPr>
                <w:rFonts w:cs="Arial"/>
                <w:szCs w:val="22"/>
                <w:lang w:val="en-US"/>
              </w:rPr>
              <w:t>CSMAR</w:t>
            </w:r>
          </w:p>
        </w:tc>
      </w:tr>
    </w:tbl>
    <w:p w14:paraId="64C1029D" w14:textId="0727FD7E" w:rsidR="006251F4" w:rsidRPr="003B440F" w:rsidRDefault="0073756E" w:rsidP="0006518C">
      <w:pPr>
        <w:spacing w:before="120" w:after="120" w:line="240" w:lineRule="auto"/>
        <w:jc w:val="both"/>
        <w:rPr>
          <w:rFonts w:cs="Arial"/>
          <w:szCs w:val="22"/>
          <w:lang w:val="en-US"/>
        </w:rPr>
      </w:pPr>
      <w:r w:rsidRPr="0073756E">
        <w:rPr>
          <w:rFonts w:cs="Arial"/>
          <w:szCs w:val="22"/>
        </w:rPr>
        <w:t>To isolate the effect of Amoeba adoption, we employ a DID framework within a firm fixed</w:t>
      </w:r>
      <w:r w:rsidRPr="0073756E">
        <w:rPr>
          <w:rFonts w:ascii="Cambria Math" w:hAnsi="Cambria Math" w:cs="Cambria Math"/>
          <w:szCs w:val="22"/>
        </w:rPr>
        <w:t>‑</w:t>
      </w:r>
      <w:r w:rsidRPr="0073756E">
        <w:rPr>
          <w:rFonts w:cs="Arial"/>
          <w:szCs w:val="22"/>
        </w:rPr>
        <w:t>effects regression</w:t>
      </w:r>
      <w:r w:rsidR="003B440F">
        <w:rPr>
          <w:rFonts w:cs="Arial"/>
          <w:szCs w:val="22"/>
          <w:lang w:val="en-US"/>
        </w:rPr>
        <w:t>.</w:t>
      </w:r>
      <w:r w:rsidR="00FB4844">
        <w:rPr>
          <w:rFonts w:cs="Arial"/>
          <w:szCs w:val="22"/>
          <w:lang w:val="en-US"/>
        </w:rPr>
        <w:t xml:space="preserve"> </w:t>
      </w:r>
      <w:r w:rsidR="008E2CFE">
        <w:rPr>
          <w:rFonts w:cs="Arial"/>
          <w:szCs w:val="22"/>
          <w:lang w:val="en-US"/>
        </w:rPr>
        <w:t xml:space="preserve">This method has been widely used to evaluate structural interventions; for instance, </w:t>
      </w:r>
      <w:r w:rsidR="00FB4844" w:rsidRPr="00FB4844">
        <w:rPr>
          <w:rFonts w:cs="Arial"/>
          <w:szCs w:val="22"/>
          <w:lang w:val="en-US"/>
        </w:rPr>
        <w:t>Shen et al. (2020) applied DID to assess</w:t>
      </w:r>
      <w:r w:rsidR="008E2CFE">
        <w:rPr>
          <w:rFonts w:cs="Arial"/>
          <w:szCs w:val="22"/>
          <w:lang w:val="en-US"/>
        </w:rPr>
        <w:t xml:space="preserve"> the impact of</w:t>
      </w:r>
      <w:r w:rsidR="00FB4844" w:rsidRPr="00FB4844">
        <w:rPr>
          <w:rFonts w:cs="Arial"/>
          <w:szCs w:val="22"/>
          <w:lang w:val="en-US"/>
        </w:rPr>
        <w:t xml:space="preserve"> COVID-19 on</w:t>
      </w:r>
      <w:r w:rsidR="008E2CFE">
        <w:rPr>
          <w:rFonts w:cs="Arial"/>
          <w:szCs w:val="22"/>
          <w:lang w:val="en-US"/>
        </w:rPr>
        <w:t xml:space="preserve"> corporate</w:t>
      </w:r>
      <w:r w:rsidR="00FB4844" w:rsidRPr="00FB4844">
        <w:rPr>
          <w:rFonts w:cs="Arial"/>
          <w:szCs w:val="22"/>
          <w:lang w:val="en-US"/>
        </w:rPr>
        <w:t xml:space="preserve"> performance</w:t>
      </w:r>
      <w:r w:rsidR="008E2CFE">
        <w:rPr>
          <w:rFonts w:cs="Arial"/>
          <w:szCs w:val="22"/>
          <w:lang w:val="en-US"/>
        </w:rPr>
        <w:t xml:space="preserve"> in China</w:t>
      </w:r>
      <w:r w:rsidR="00FB4844" w:rsidRPr="00FB4844">
        <w:rPr>
          <w:rFonts w:cs="Arial"/>
          <w:szCs w:val="22"/>
          <w:lang w:val="en-US"/>
        </w:rPr>
        <w:t>,</w:t>
      </w:r>
      <w:r w:rsidR="008E2CFE">
        <w:rPr>
          <w:rFonts w:cs="Arial"/>
          <w:szCs w:val="22"/>
          <w:lang w:val="en-US"/>
        </w:rPr>
        <w:t xml:space="preserve"> thereby validating its suitability for estimating treatment effects.</w:t>
      </w:r>
      <w:r w:rsidR="00FB4844">
        <w:rPr>
          <w:rFonts w:cs="Arial"/>
          <w:szCs w:val="22"/>
          <w:lang w:val="en-US"/>
        </w:rPr>
        <w:t xml:space="preserve"> </w:t>
      </w:r>
      <w:r w:rsidR="00FB4844" w:rsidRPr="00FB4844">
        <w:rPr>
          <w:rFonts w:cs="Arial"/>
          <w:szCs w:val="22"/>
          <w:lang w:val="en-US"/>
        </w:rPr>
        <w:t>Angrist &amp; Pischke (2009)</w:t>
      </w:r>
      <w:r w:rsidR="008E2CFE">
        <w:rPr>
          <w:rFonts w:cs="Arial"/>
          <w:szCs w:val="22"/>
          <w:lang w:val="en-US"/>
        </w:rPr>
        <w:t xml:space="preserve"> further emphasize that </w:t>
      </w:r>
      <w:r w:rsidR="00FB4844" w:rsidRPr="00FB4844">
        <w:rPr>
          <w:rFonts w:cs="Arial"/>
          <w:szCs w:val="22"/>
          <w:lang w:val="en-US"/>
        </w:rPr>
        <w:t>DID</w:t>
      </w:r>
      <w:r w:rsidR="008E2CFE">
        <w:rPr>
          <w:rFonts w:cs="Arial"/>
          <w:szCs w:val="22"/>
          <w:lang w:val="en-US"/>
        </w:rPr>
        <w:t xml:space="preserve"> combined with fixed-effects panel regression provides a robust identification strategy in </w:t>
      </w:r>
      <w:r w:rsidR="00FB4844" w:rsidRPr="00FB4844">
        <w:rPr>
          <w:rFonts w:cs="Arial"/>
          <w:szCs w:val="22"/>
          <w:lang w:val="en-US"/>
        </w:rPr>
        <w:t xml:space="preserve">observational </w:t>
      </w:r>
      <w:r w:rsidR="008E2CFE">
        <w:rPr>
          <w:rFonts w:cs="Arial"/>
          <w:szCs w:val="22"/>
          <w:lang w:val="en-US"/>
        </w:rPr>
        <w:t>settings</w:t>
      </w:r>
      <w:r w:rsidR="00FB4844" w:rsidRPr="00FB4844">
        <w:rPr>
          <w:rFonts w:cs="Arial"/>
          <w:szCs w:val="22"/>
          <w:lang w:val="en-US"/>
        </w:rPr>
        <w:t>.</w:t>
      </w:r>
    </w:p>
    <w:p w14:paraId="5B8E267D" w14:textId="553C008E" w:rsidR="006251F4" w:rsidRPr="008D4A1E" w:rsidRDefault="00000000" w:rsidP="0006518C">
      <w:pPr>
        <w:spacing w:before="120" w:after="120" w:line="240" w:lineRule="auto"/>
        <w:jc w:val="both"/>
        <w:rPr>
          <w:rFonts w:cs="Arial"/>
          <w:szCs w:val="22"/>
        </w:rPr>
      </w:pPr>
      <m:oMathPara>
        <m:oMath>
          <m:sSub>
            <m:sSubPr>
              <m:ctrlPr>
                <w:rPr>
                  <w:rFonts w:ascii="Cambria Math" w:hAnsi="Cambria Math" w:cs="Arial"/>
                  <w:i/>
                  <w:iCs/>
                  <w:szCs w:val="22"/>
                </w:rPr>
              </m:ctrlPr>
            </m:sSubPr>
            <m:e>
              <m:r>
                <w:rPr>
                  <w:rFonts w:ascii="Cambria Math" w:hAnsi="Cambria Math" w:cs="Arial"/>
                  <w:szCs w:val="22"/>
                </w:rPr>
                <m:t>P</m:t>
              </m:r>
              <m:r>
                <w:rPr>
                  <w:rFonts w:ascii="Cambria Math" w:hAnsi="Cambria Math" w:cs="Arial"/>
                  <w:szCs w:val="22"/>
                  <w:lang w:val="en-US"/>
                </w:rPr>
                <m:t>erformance</m:t>
              </m:r>
            </m:e>
            <m:sub>
              <m:r>
                <w:rPr>
                  <w:rFonts w:ascii="Cambria Math" w:hAnsi="Cambria Math" w:cs="Arial"/>
                  <w:szCs w:val="22"/>
                </w:rPr>
                <m:t>it</m:t>
              </m:r>
            </m:sub>
          </m:sSub>
          <m:r>
            <w:rPr>
              <w:rFonts w:ascii="Cambria Math" w:hAnsi="Cambria Math" w:cs="Arial"/>
              <w:szCs w:val="22"/>
            </w:rPr>
            <m:t>=</m:t>
          </m:r>
          <m:sSub>
            <m:sSubPr>
              <m:ctrlPr>
                <w:rPr>
                  <w:rFonts w:ascii="Cambria Math" w:hAnsi="Cambria Math" w:cs="Arial"/>
                  <w:i/>
                  <w:iCs/>
                  <w:szCs w:val="22"/>
                </w:rPr>
              </m:ctrlPr>
            </m:sSubPr>
            <m:e>
              <m:r>
                <w:rPr>
                  <w:rFonts w:ascii="Cambria Math" w:hAnsi="Cambria Math" w:cs="Arial"/>
                  <w:szCs w:val="22"/>
                </w:rPr>
                <m:t>β</m:t>
              </m:r>
            </m:e>
            <m:sub>
              <m:r>
                <w:rPr>
                  <w:rFonts w:ascii="Cambria Math" w:hAnsi="Cambria Math" w:cs="Arial"/>
                  <w:szCs w:val="22"/>
                </w:rPr>
                <m:t>0</m:t>
              </m:r>
            </m:sub>
          </m:sSub>
          <m:r>
            <w:rPr>
              <w:rFonts w:ascii="Cambria Math" w:hAnsi="Cambria Math" w:cs="Arial"/>
              <w:szCs w:val="22"/>
            </w:rPr>
            <m:t>+</m:t>
          </m:r>
          <m:sSub>
            <m:sSubPr>
              <m:ctrlPr>
                <w:rPr>
                  <w:rFonts w:ascii="Cambria Math" w:hAnsi="Cambria Math" w:cs="Arial"/>
                  <w:i/>
                  <w:iCs/>
                  <w:szCs w:val="22"/>
                </w:rPr>
              </m:ctrlPr>
            </m:sSubPr>
            <m:e>
              <m:r>
                <w:rPr>
                  <w:rFonts w:ascii="Cambria Math" w:hAnsi="Cambria Math" w:cs="Arial"/>
                  <w:szCs w:val="22"/>
                </w:rPr>
                <m:t>β</m:t>
              </m:r>
            </m:e>
            <m:sub>
              <m:r>
                <w:rPr>
                  <w:rFonts w:ascii="Cambria Math" w:hAnsi="Cambria Math" w:cs="Arial"/>
                  <w:szCs w:val="22"/>
                </w:rPr>
                <m:t>1</m:t>
              </m:r>
            </m:sub>
          </m:sSub>
          <m:sSub>
            <m:sSubPr>
              <m:ctrlPr>
                <w:rPr>
                  <w:rFonts w:ascii="Cambria Math" w:hAnsi="Cambria Math" w:cs="Arial"/>
                  <w:i/>
                  <w:iCs/>
                  <w:szCs w:val="22"/>
                </w:rPr>
              </m:ctrlPr>
            </m:sSubPr>
            <m:e>
              <m:r>
                <w:rPr>
                  <w:rFonts w:ascii="Cambria Math" w:hAnsi="Cambria Math" w:cs="Arial"/>
                  <w:szCs w:val="22"/>
                </w:rPr>
                <m:t>DID</m:t>
              </m:r>
            </m:e>
            <m:sub>
              <m:r>
                <w:rPr>
                  <w:rFonts w:ascii="Cambria Math" w:hAnsi="Cambria Math" w:cs="Arial"/>
                  <w:szCs w:val="22"/>
                </w:rPr>
                <m:t>it</m:t>
              </m:r>
            </m:sub>
          </m:sSub>
          <m:r>
            <w:rPr>
              <w:rFonts w:ascii="Cambria Math" w:hAnsi="Cambria Math" w:cs="Arial"/>
              <w:szCs w:val="22"/>
            </w:rPr>
            <m:t>+</m:t>
          </m:r>
          <m:sSub>
            <m:sSubPr>
              <m:ctrlPr>
                <w:rPr>
                  <w:rFonts w:ascii="Cambria Math" w:hAnsi="Cambria Math" w:cs="Arial"/>
                  <w:i/>
                  <w:iCs/>
                  <w:szCs w:val="22"/>
                </w:rPr>
              </m:ctrlPr>
            </m:sSubPr>
            <m:e>
              <m:r>
                <w:rPr>
                  <w:rFonts w:ascii="Cambria Math" w:hAnsi="Cambria Math" w:cs="Arial"/>
                  <w:szCs w:val="22"/>
                </w:rPr>
                <m:t>β</m:t>
              </m:r>
            </m:e>
            <m:sub>
              <m:r>
                <w:rPr>
                  <w:rFonts w:ascii="Cambria Math" w:hAnsi="Cambria Math" w:cs="Arial"/>
                  <w:szCs w:val="22"/>
                </w:rPr>
                <m:t>2</m:t>
              </m:r>
            </m:sub>
          </m:sSub>
          <m:sSub>
            <m:sSubPr>
              <m:ctrlPr>
                <w:rPr>
                  <w:rFonts w:ascii="Cambria Math" w:hAnsi="Cambria Math" w:cs="Arial"/>
                  <w:i/>
                  <w:iCs/>
                  <w:szCs w:val="22"/>
                </w:rPr>
              </m:ctrlPr>
            </m:sSubPr>
            <m:e>
              <m:r>
                <w:rPr>
                  <w:rFonts w:ascii="Cambria Math" w:hAnsi="Cambria Math" w:cs="Arial"/>
                  <w:szCs w:val="22"/>
                </w:rPr>
                <m:t>treated</m:t>
              </m:r>
            </m:e>
            <m:sub>
              <m:r>
                <w:rPr>
                  <w:rFonts w:ascii="Cambria Math" w:hAnsi="Cambria Math" w:cs="Arial"/>
                  <w:szCs w:val="22"/>
                </w:rPr>
                <m:t>it</m:t>
              </m:r>
            </m:sub>
          </m:sSub>
          <m:r>
            <w:rPr>
              <w:rFonts w:ascii="Cambria Math" w:hAnsi="Cambria Math" w:cs="Arial"/>
              <w:szCs w:val="22"/>
            </w:rPr>
            <m:t>+</m:t>
          </m:r>
          <m:sSub>
            <m:sSubPr>
              <m:ctrlPr>
                <w:rPr>
                  <w:rFonts w:ascii="Cambria Math" w:hAnsi="Cambria Math" w:cs="Arial"/>
                  <w:i/>
                  <w:iCs/>
                  <w:szCs w:val="22"/>
                </w:rPr>
              </m:ctrlPr>
            </m:sSubPr>
            <m:e>
              <m:r>
                <w:rPr>
                  <w:rFonts w:ascii="Cambria Math" w:hAnsi="Cambria Math" w:cs="Arial"/>
                  <w:szCs w:val="22"/>
                </w:rPr>
                <m:t>β</m:t>
              </m:r>
            </m:e>
            <m:sub>
              <m:r>
                <w:rPr>
                  <w:rFonts w:ascii="Cambria Math" w:hAnsi="Cambria Math" w:cs="Arial"/>
                  <w:szCs w:val="22"/>
                </w:rPr>
                <m:t>3</m:t>
              </m:r>
            </m:sub>
          </m:sSub>
          <m:sSub>
            <m:sSubPr>
              <m:ctrlPr>
                <w:rPr>
                  <w:rFonts w:ascii="Cambria Math" w:hAnsi="Cambria Math" w:cs="Arial"/>
                  <w:i/>
                  <w:iCs/>
                  <w:szCs w:val="22"/>
                </w:rPr>
              </m:ctrlPr>
            </m:sSubPr>
            <m:e>
              <m:r>
                <w:rPr>
                  <w:rFonts w:ascii="Cambria Math" w:hAnsi="Cambria Math" w:cs="Arial"/>
                  <w:szCs w:val="22"/>
                </w:rPr>
                <m:t>period</m:t>
              </m:r>
            </m:e>
            <m:sub>
              <m:r>
                <w:rPr>
                  <w:rFonts w:ascii="Cambria Math" w:hAnsi="Cambria Math" w:cs="Arial"/>
                  <w:szCs w:val="22"/>
                </w:rPr>
                <m:t>it</m:t>
              </m:r>
            </m:sub>
          </m:sSub>
          <m:r>
            <w:rPr>
              <w:rFonts w:ascii="Cambria Math" w:hAnsi="Cambria Math" w:cs="Arial"/>
              <w:szCs w:val="22"/>
            </w:rPr>
            <m:t>+</m:t>
          </m:r>
          <m:sSub>
            <m:sSubPr>
              <m:ctrlPr>
                <w:rPr>
                  <w:rFonts w:ascii="Cambria Math" w:hAnsi="Cambria Math" w:cs="Arial"/>
                  <w:i/>
                  <w:iCs/>
                  <w:szCs w:val="22"/>
                </w:rPr>
              </m:ctrlPr>
            </m:sSubPr>
            <m:e>
              <m:r>
                <w:rPr>
                  <w:rFonts w:ascii="Cambria Math" w:hAnsi="Cambria Math" w:cs="Arial"/>
                  <w:szCs w:val="22"/>
                </w:rPr>
                <m:t>β</m:t>
              </m:r>
            </m:e>
            <m:sub>
              <m:r>
                <w:rPr>
                  <w:rFonts w:ascii="Cambria Math" w:hAnsi="Cambria Math" w:cs="Arial"/>
                  <w:szCs w:val="22"/>
                </w:rPr>
                <m:t>4</m:t>
              </m:r>
            </m:sub>
          </m:sSub>
          <m:sSub>
            <m:sSubPr>
              <m:ctrlPr>
                <w:rPr>
                  <w:rFonts w:ascii="Cambria Math" w:hAnsi="Cambria Math" w:cs="Arial"/>
                  <w:i/>
                  <w:iCs/>
                  <w:szCs w:val="22"/>
                </w:rPr>
              </m:ctrlPr>
            </m:sSubPr>
            <m:e>
              <m:r>
                <w:rPr>
                  <w:rFonts w:ascii="Cambria Math" w:hAnsi="Cambria Math" w:cs="Arial"/>
                  <w:szCs w:val="22"/>
                </w:rPr>
                <m:t>Controls</m:t>
              </m:r>
            </m:e>
            <m:sub>
              <m:r>
                <w:rPr>
                  <w:rFonts w:ascii="Cambria Math" w:hAnsi="Cambria Math" w:cs="Arial"/>
                  <w:szCs w:val="22"/>
                </w:rPr>
                <m:t>it</m:t>
              </m:r>
            </m:sub>
          </m:sSub>
          <m:r>
            <w:rPr>
              <w:rFonts w:ascii="Cambria Math" w:hAnsi="Cambria Math" w:cs="Arial"/>
              <w:szCs w:val="22"/>
            </w:rPr>
            <m:t>+</m:t>
          </m:r>
          <m:sSub>
            <m:sSubPr>
              <m:ctrlPr>
                <w:rPr>
                  <w:rFonts w:ascii="Cambria Math" w:hAnsi="Cambria Math" w:cs="Arial"/>
                  <w:i/>
                  <w:iCs/>
                  <w:szCs w:val="22"/>
                </w:rPr>
              </m:ctrlPr>
            </m:sSubPr>
            <m:e>
              <m:r>
                <w:rPr>
                  <w:rFonts w:ascii="Cambria Math" w:hAnsi="Cambria Math" w:cs="Arial"/>
                  <w:szCs w:val="22"/>
                </w:rPr>
                <m:t>ε</m:t>
              </m:r>
            </m:e>
            <m:sub>
              <m:r>
                <w:rPr>
                  <w:rFonts w:ascii="Cambria Math" w:hAnsi="Cambria Math" w:cs="Arial"/>
                  <w:szCs w:val="22"/>
                </w:rPr>
                <m:t>it</m:t>
              </m:r>
            </m:sub>
          </m:sSub>
        </m:oMath>
      </m:oMathPara>
    </w:p>
    <w:p w14:paraId="282B41E4" w14:textId="70FB9188" w:rsidR="006251F4" w:rsidRPr="008D4A1E" w:rsidRDefault="0073756E" w:rsidP="0006518C">
      <w:pPr>
        <w:widowControl w:val="0"/>
        <w:spacing w:after="0" w:line="240" w:lineRule="auto"/>
        <w:jc w:val="both"/>
        <w:rPr>
          <w:rFonts w:cs="Arial"/>
          <w:szCs w:val="22"/>
        </w:rPr>
      </w:pPr>
      <w:r w:rsidRPr="0073756E">
        <w:rPr>
          <w:rFonts w:cs="Arial"/>
          <w:szCs w:val="22"/>
        </w:rPr>
        <w:t>where,</w:t>
      </w:r>
      <w:r w:rsidR="008B2DBE">
        <w:rPr>
          <w:rFonts w:cs="Arial"/>
          <w:szCs w:val="22"/>
        </w:rPr>
        <w:tab/>
      </w:r>
      <m:oMath>
        <m:r>
          <w:rPr>
            <w:rFonts w:ascii="Cambria Math" w:hAnsi="Cambria Math" w:cs="Arial"/>
            <w:szCs w:val="22"/>
          </w:rPr>
          <m:t>Performance</m:t>
        </m:r>
      </m:oMath>
      <w:r w:rsidR="006251F4" w:rsidRPr="008D4A1E">
        <w:rPr>
          <w:rFonts w:cs="Arial"/>
          <w:szCs w:val="22"/>
        </w:rPr>
        <w:t xml:space="preserve"> – </w:t>
      </w:r>
      <w:r>
        <w:rPr>
          <w:rFonts w:cs="Arial"/>
          <w:szCs w:val="22"/>
          <w:lang w:val="en-US"/>
        </w:rPr>
        <w:t>financial performance metric</w:t>
      </w:r>
      <w:r w:rsidR="006251F4">
        <w:rPr>
          <w:rFonts w:cs="Arial"/>
          <w:szCs w:val="22"/>
        </w:rPr>
        <w:t xml:space="preserve"> (</w:t>
      </w:r>
      <w:r w:rsidR="008B2DBE">
        <w:rPr>
          <w:rFonts w:cs="Arial"/>
          <w:szCs w:val="22"/>
        </w:rPr>
        <w:t>RO</w:t>
      </w:r>
      <w:r w:rsidR="008B2DBE" w:rsidRPr="008B2DBE">
        <w:rPr>
          <w:rFonts w:cs="Arial"/>
          <w:szCs w:val="22"/>
        </w:rPr>
        <w:t>A</w:t>
      </w:r>
      <w:r>
        <w:rPr>
          <w:rFonts w:cs="Arial"/>
          <w:szCs w:val="22"/>
          <w:lang w:val="en-US"/>
        </w:rPr>
        <w:t xml:space="preserve"> or</w:t>
      </w:r>
      <w:r w:rsidR="008B2DBE" w:rsidRPr="008B2DBE">
        <w:rPr>
          <w:rFonts w:cs="Arial"/>
          <w:szCs w:val="22"/>
        </w:rPr>
        <w:t xml:space="preserve"> ROE</w:t>
      </w:r>
      <w:r w:rsidR="006251F4" w:rsidRPr="008D4A1E">
        <w:rPr>
          <w:rFonts w:cs="Arial"/>
          <w:szCs w:val="22"/>
        </w:rPr>
        <w:t>);</w:t>
      </w:r>
      <w:r w:rsidR="00FB4844">
        <w:rPr>
          <w:rFonts w:cs="Arial"/>
          <w:szCs w:val="22"/>
          <w:lang w:val="en-US"/>
        </w:rPr>
        <w:t xml:space="preserve"> </w:t>
      </w:r>
      <m:oMath>
        <m:r>
          <w:rPr>
            <w:rFonts w:ascii="Cambria Math" w:hAnsi="Cambria Math" w:cs="Arial"/>
            <w:szCs w:val="22"/>
          </w:rPr>
          <m:t>treated</m:t>
        </m:r>
      </m:oMath>
      <w:r w:rsidR="006251F4" w:rsidRPr="008D4A1E">
        <w:rPr>
          <w:rFonts w:cs="Arial"/>
          <w:szCs w:val="22"/>
        </w:rPr>
        <w:t xml:space="preserve"> – </w:t>
      </w:r>
      <w:r w:rsidR="007B0A30" w:rsidRPr="007B0A30">
        <w:rPr>
          <w:rFonts w:cs="Arial"/>
          <w:szCs w:val="22"/>
        </w:rPr>
        <w:t>1 if firm has adopted Amoeba management, 0 otherwise</w:t>
      </w:r>
      <w:r w:rsidR="006251F4" w:rsidRPr="008D4A1E">
        <w:rPr>
          <w:rFonts w:cs="Arial"/>
          <w:szCs w:val="22"/>
        </w:rPr>
        <w:t>;</w:t>
      </w:r>
      <w:r w:rsidR="00FB4844">
        <w:rPr>
          <w:rFonts w:cs="Arial"/>
          <w:szCs w:val="22"/>
          <w:lang w:val="en-US"/>
        </w:rPr>
        <w:t xml:space="preserve"> </w:t>
      </w:r>
      <m:oMath>
        <m:r>
          <w:rPr>
            <w:rFonts w:ascii="Cambria Math" w:hAnsi="Cambria Math" w:cs="Arial"/>
            <w:szCs w:val="22"/>
          </w:rPr>
          <m:t>period</m:t>
        </m:r>
      </m:oMath>
      <w:r w:rsidR="006251F4" w:rsidRPr="008D4A1E">
        <w:rPr>
          <w:rFonts w:cs="Arial"/>
          <w:szCs w:val="22"/>
        </w:rPr>
        <w:t xml:space="preserve"> – </w:t>
      </w:r>
      <w:r w:rsidR="007B0A30" w:rsidRPr="007B0A30">
        <w:rPr>
          <w:rFonts w:cs="Arial"/>
          <w:szCs w:val="22"/>
        </w:rPr>
        <w:t>1 for all post-adoption years for treated firms</w:t>
      </w:r>
      <w:r w:rsidR="00A122A5">
        <w:rPr>
          <w:rFonts w:cs="Arial"/>
          <w:szCs w:val="22"/>
          <w:lang w:val="en-US"/>
        </w:rPr>
        <w:t xml:space="preserve"> (and corresponding years for controls)</w:t>
      </w:r>
      <w:r w:rsidR="007B0A30" w:rsidRPr="007B0A30">
        <w:rPr>
          <w:rFonts w:cs="Arial"/>
          <w:szCs w:val="22"/>
        </w:rPr>
        <w:t>, 0 otherwise;</w:t>
      </w:r>
      <w:r w:rsidR="00FB4844">
        <w:rPr>
          <w:rFonts w:cs="Arial"/>
          <w:szCs w:val="22"/>
          <w:lang w:val="en-US"/>
        </w:rPr>
        <w:t xml:space="preserve"> </w:t>
      </w:r>
      <m:oMath>
        <m:r>
          <m:rPr>
            <m:sty m:val="bi"/>
          </m:rPr>
          <w:rPr>
            <w:rFonts w:ascii="Cambria Math" w:hAnsi="Cambria Math" w:cs="Arial"/>
            <w:szCs w:val="22"/>
          </w:rPr>
          <m:t>DID</m:t>
        </m:r>
      </m:oMath>
      <w:r w:rsidR="006251F4" w:rsidRPr="008D4A1E">
        <w:rPr>
          <w:rFonts w:cs="Arial"/>
          <w:b/>
          <w:bCs/>
          <w:szCs w:val="22"/>
        </w:rPr>
        <w:t xml:space="preserve"> – </w:t>
      </w:r>
      <w:r w:rsidR="00A122A5" w:rsidRPr="00A122A5">
        <w:rPr>
          <w:rFonts w:cs="Arial"/>
          <w:b/>
          <w:bCs/>
          <w:szCs w:val="22"/>
        </w:rPr>
        <w:t>the interaction term capturing the treatment effect</w:t>
      </w:r>
      <w:r w:rsidR="00A122A5">
        <w:rPr>
          <w:rFonts w:cs="Arial"/>
          <w:b/>
          <w:bCs/>
          <w:szCs w:val="22"/>
          <w:lang w:val="en-US"/>
        </w:rPr>
        <w:t xml:space="preserve"> (</w:t>
      </w:r>
      <m:oMath>
        <m:r>
          <m:rPr>
            <m:sty m:val="bi"/>
          </m:rPr>
          <w:rPr>
            <w:rFonts w:ascii="Cambria Math" w:hAnsi="Cambria Math" w:cs="Arial"/>
            <w:szCs w:val="22"/>
            <w:lang w:val="en-US"/>
          </w:rPr>
          <m:t>treated*period</m:t>
        </m:r>
      </m:oMath>
      <w:r w:rsidR="00A122A5">
        <w:rPr>
          <w:rFonts w:cs="Arial"/>
          <w:b/>
          <w:bCs/>
          <w:szCs w:val="22"/>
          <w:lang w:val="en-US"/>
        </w:rPr>
        <w:t>)</w:t>
      </w:r>
      <w:r w:rsidR="006251F4" w:rsidRPr="008D4A1E">
        <w:rPr>
          <w:rFonts w:cs="Arial"/>
          <w:b/>
          <w:bCs/>
          <w:szCs w:val="22"/>
        </w:rPr>
        <w:t>;</w:t>
      </w:r>
      <w:r w:rsidR="00FB4844">
        <w:rPr>
          <w:rFonts w:cs="Arial"/>
          <w:szCs w:val="22"/>
          <w:lang w:val="en-US"/>
        </w:rPr>
        <w:t xml:space="preserve"> </w:t>
      </w:r>
      <m:oMath>
        <m:r>
          <w:rPr>
            <w:rFonts w:ascii="Cambria Math" w:hAnsi="Cambria Math" w:cs="Arial"/>
            <w:szCs w:val="22"/>
          </w:rPr>
          <m:t>Controls</m:t>
        </m:r>
      </m:oMath>
      <w:r w:rsidR="006251F4" w:rsidRPr="008D4A1E">
        <w:rPr>
          <w:rFonts w:cs="Arial"/>
          <w:szCs w:val="22"/>
        </w:rPr>
        <w:t xml:space="preserve"> – </w:t>
      </w:r>
      <w:r w:rsidR="00A122A5" w:rsidRPr="00A122A5">
        <w:rPr>
          <w:rFonts w:cs="Arial"/>
          <w:szCs w:val="22"/>
        </w:rPr>
        <w:t>vector of firm-level covariates (size, sales growth, leverage ratio, etc.</w:t>
      </w:r>
      <w:r w:rsidR="006251F4" w:rsidRPr="008D4A1E">
        <w:rPr>
          <w:rFonts w:cs="Arial"/>
          <w:szCs w:val="22"/>
        </w:rPr>
        <w:t>);</w:t>
      </w:r>
      <w:r w:rsidR="00FB4844">
        <w:rPr>
          <w:rFonts w:cs="Arial"/>
          <w:szCs w:val="22"/>
          <w:lang w:val="en-US"/>
        </w:rPr>
        <w:t xml:space="preserve"> </w:t>
      </w:r>
      <m:oMath>
        <m:r>
          <w:rPr>
            <w:rFonts w:ascii="Cambria Math" w:hAnsi="Cambria Math" w:cs="Arial"/>
            <w:szCs w:val="22"/>
          </w:rPr>
          <m:t>ε</m:t>
        </m:r>
      </m:oMath>
      <w:r w:rsidR="006251F4" w:rsidRPr="008D4A1E">
        <w:rPr>
          <w:rFonts w:cs="Arial"/>
          <w:szCs w:val="22"/>
        </w:rPr>
        <w:t xml:space="preserve"> – </w:t>
      </w:r>
      <w:r w:rsidR="003C64C7" w:rsidRPr="003C64C7">
        <w:rPr>
          <w:rFonts w:cs="Arial"/>
          <w:szCs w:val="22"/>
        </w:rPr>
        <w:t>idiosyncratic error term</w:t>
      </w:r>
      <w:r w:rsidR="006251F4" w:rsidRPr="008D4A1E">
        <w:rPr>
          <w:rFonts w:cs="Arial"/>
          <w:szCs w:val="22"/>
        </w:rPr>
        <w:t>;</w:t>
      </w:r>
      <w:r w:rsidR="00FB4844">
        <w:rPr>
          <w:rFonts w:cs="Arial"/>
          <w:szCs w:val="22"/>
          <w:lang w:val="en-US"/>
        </w:rPr>
        <w:t xml:space="preserve"> </w:t>
      </w:r>
      <m:oMath>
        <m:r>
          <w:rPr>
            <w:rFonts w:ascii="Cambria Math" w:hAnsi="Cambria Math" w:cs="Arial"/>
            <w:szCs w:val="22"/>
          </w:rPr>
          <m:t>i</m:t>
        </m:r>
      </m:oMath>
      <w:r w:rsidR="006251F4" w:rsidRPr="008D4A1E">
        <w:rPr>
          <w:rFonts w:cs="Arial"/>
          <w:szCs w:val="22"/>
        </w:rPr>
        <w:t xml:space="preserve"> – </w:t>
      </w:r>
      <w:r w:rsidR="008A6E25" w:rsidRPr="008A6E25">
        <w:rPr>
          <w:rFonts w:cs="Arial"/>
          <w:szCs w:val="22"/>
        </w:rPr>
        <w:t xml:space="preserve">firm index, </w:t>
      </w:r>
      <m:oMath>
        <m:r>
          <w:rPr>
            <w:rFonts w:ascii="Cambria Math" w:hAnsi="Cambria Math" w:cs="Arial"/>
            <w:szCs w:val="22"/>
          </w:rPr>
          <m:t>t</m:t>
        </m:r>
      </m:oMath>
      <w:r w:rsidR="006251F4" w:rsidRPr="008D4A1E">
        <w:rPr>
          <w:rFonts w:cs="Arial"/>
          <w:szCs w:val="22"/>
        </w:rPr>
        <w:t xml:space="preserve"> – </w:t>
      </w:r>
      <w:r w:rsidR="008A6E25">
        <w:rPr>
          <w:rFonts w:cs="Arial"/>
          <w:szCs w:val="22"/>
          <w:lang w:val="en-US"/>
        </w:rPr>
        <w:t>year index</w:t>
      </w:r>
      <w:r w:rsidR="006251F4" w:rsidRPr="008D4A1E">
        <w:rPr>
          <w:rFonts w:cs="Arial"/>
          <w:szCs w:val="22"/>
        </w:rPr>
        <w:t>.</w:t>
      </w:r>
    </w:p>
    <w:p w14:paraId="1E8B9468" w14:textId="76ED3B84" w:rsidR="006251F4" w:rsidRDefault="00F50912" w:rsidP="0006518C">
      <w:pPr>
        <w:spacing w:before="120" w:after="120" w:line="240" w:lineRule="auto"/>
        <w:jc w:val="both"/>
        <w:rPr>
          <w:rFonts w:cs="Arial"/>
          <w:szCs w:val="22"/>
        </w:rPr>
      </w:pPr>
      <w:r w:rsidRPr="00F50912">
        <w:rPr>
          <w:rFonts w:cs="Arial"/>
          <w:szCs w:val="22"/>
        </w:rPr>
        <w:lastRenderedPageBreak/>
        <w:t>All regressions include firm fixed effects to control for</w:t>
      </w:r>
      <w:r w:rsidR="00324F60">
        <w:rPr>
          <w:rFonts w:cs="Arial"/>
          <w:szCs w:val="22"/>
          <w:lang w:val="en-US"/>
        </w:rPr>
        <w:t xml:space="preserve"> unobserved,</w:t>
      </w:r>
      <w:r w:rsidRPr="00F50912">
        <w:rPr>
          <w:rFonts w:cs="Arial"/>
          <w:szCs w:val="22"/>
        </w:rPr>
        <w:t xml:space="preserve"> time</w:t>
      </w:r>
      <w:r w:rsidRPr="00F50912">
        <w:rPr>
          <w:rFonts w:ascii="Cambria Math" w:hAnsi="Cambria Math" w:cs="Cambria Math"/>
          <w:szCs w:val="22"/>
        </w:rPr>
        <w:t>‑</w:t>
      </w:r>
      <w:r w:rsidRPr="00F50912">
        <w:rPr>
          <w:rFonts w:cs="Arial"/>
          <w:szCs w:val="22"/>
        </w:rPr>
        <w:t>invariant heterogeneity</w:t>
      </w:r>
      <w:r w:rsidR="00324F60">
        <w:rPr>
          <w:rFonts w:cs="Arial"/>
          <w:szCs w:val="22"/>
          <w:lang w:val="en-US"/>
        </w:rPr>
        <w:t xml:space="preserve"> across firms</w:t>
      </w:r>
      <w:r w:rsidRPr="00F50912">
        <w:rPr>
          <w:rFonts w:cs="Arial"/>
          <w:szCs w:val="22"/>
        </w:rPr>
        <w:t>.</w:t>
      </w:r>
    </w:p>
    <w:p w14:paraId="1B822ADC" w14:textId="15D77460" w:rsidR="004478AC" w:rsidRDefault="008252E9" w:rsidP="0006518C">
      <w:pPr>
        <w:spacing w:before="120" w:after="120" w:line="240" w:lineRule="auto"/>
        <w:jc w:val="both"/>
        <w:rPr>
          <w:rFonts w:cs="Arial"/>
          <w:szCs w:val="22"/>
          <w:lang w:val="en-US"/>
        </w:rPr>
      </w:pPr>
      <w:r w:rsidRPr="008252E9">
        <w:rPr>
          <w:rFonts w:cs="Arial"/>
          <w:szCs w:val="22"/>
        </w:rPr>
        <w:t>Table 2 presents variable definitions and summary statistics for the full sample and by adopter status.</w:t>
      </w:r>
      <w:r w:rsidR="00675D6A">
        <w:rPr>
          <w:rFonts w:cs="Arial"/>
          <w:szCs w:val="22"/>
          <w:lang w:val="en-US"/>
        </w:rPr>
        <w:t xml:space="preserve"> </w:t>
      </w:r>
      <w:r w:rsidR="00675D6A" w:rsidRPr="00675D6A">
        <w:rPr>
          <w:rFonts w:cs="Arial"/>
          <w:szCs w:val="22"/>
          <w:lang w:val="en-US"/>
        </w:rPr>
        <w:t>ROA (Return on Assets) and ROE (Return on Equity) average higher for treated firms (ROA: 0.0478 vs. 0.0408; ROE: 0.1036 vs. 0.0758), suggesting a preliminary performance advantage</w:t>
      </w:r>
      <w:r w:rsidR="00675D6A">
        <w:rPr>
          <w:rFonts w:cs="Arial"/>
          <w:szCs w:val="22"/>
          <w:lang w:val="en-US"/>
        </w:rPr>
        <w:t>.</w:t>
      </w:r>
    </w:p>
    <w:p w14:paraId="2C535E55" w14:textId="13CE30B6" w:rsidR="00580FFB" w:rsidRPr="00AE1EE7" w:rsidRDefault="00706EF3" w:rsidP="0006518C">
      <w:pPr>
        <w:spacing w:before="120" w:after="120" w:line="240" w:lineRule="auto"/>
        <w:rPr>
          <w:rFonts w:cs="Arial"/>
          <w:szCs w:val="22"/>
        </w:rPr>
      </w:pPr>
      <w:r w:rsidRPr="00706EF3">
        <w:rPr>
          <w:rFonts w:cs="Arial"/>
          <w:szCs w:val="22"/>
        </w:rPr>
        <w:t xml:space="preserve">Table 2. Variable Definitions and </w:t>
      </w:r>
      <w:r w:rsidR="00572ED8">
        <w:rPr>
          <w:rFonts w:cs="Arial"/>
          <w:szCs w:val="22"/>
          <w:lang w:val="en-US"/>
        </w:rPr>
        <w:t>Descriptive</w:t>
      </w:r>
      <w:r w:rsidRPr="00706EF3">
        <w:rPr>
          <w:rFonts w:cs="Arial"/>
          <w:szCs w:val="22"/>
        </w:rPr>
        <w:t xml:space="preserve"> Statistics</w:t>
      </w:r>
    </w:p>
    <w:tbl>
      <w:tblPr>
        <w:tblW w:w="94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8"/>
        <w:gridCol w:w="1077"/>
        <w:gridCol w:w="1134"/>
        <w:gridCol w:w="964"/>
        <w:gridCol w:w="1134"/>
        <w:gridCol w:w="1020"/>
        <w:gridCol w:w="1020"/>
      </w:tblGrid>
      <w:tr w:rsidR="00580FFB" w:rsidRPr="00C45008" w14:paraId="7461B10D" w14:textId="77777777" w:rsidTr="00331E27">
        <w:trPr>
          <w:trHeight w:val="255"/>
          <w:jc w:val="center"/>
        </w:trPr>
        <w:tc>
          <w:tcPr>
            <w:tcW w:w="3118" w:type="dxa"/>
            <w:shd w:val="clear" w:color="auto" w:fill="auto"/>
            <w:noWrap/>
            <w:vAlign w:val="center"/>
            <w:hideMark/>
          </w:tcPr>
          <w:p w14:paraId="15569D40" w14:textId="22A93093" w:rsidR="00580FFB" w:rsidRPr="00C95324" w:rsidRDefault="00C95324" w:rsidP="0006518C">
            <w:pPr>
              <w:spacing w:after="0" w:line="240" w:lineRule="auto"/>
              <w:jc w:val="center"/>
              <w:rPr>
                <w:rFonts w:eastAsia="Times New Roman" w:cs="Arial"/>
                <w:color w:val="000000"/>
                <w:kern w:val="0"/>
                <w:sz w:val="20"/>
                <w:szCs w:val="20"/>
                <w:lang w:val="en-US"/>
                <w14:ligatures w14:val="none"/>
              </w:rPr>
            </w:pPr>
            <w:r>
              <w:rPr>
                <w:rFonts w:eastAsia="Times New Roman" w:cs="Arial"/>
                <w:color w:val="000000"/>
                <w:kern w:val="0"/>
                <w:sz w:val="20"/>
                <w:szCs w:val="20"/>
                <w:lang w:val="en-US"/>
                <w14:ligatures w14:val="none"/>
              </w:rPr>
              <w:t>Variable</w:t>
            </w:r>
          </w:p>
        </w:tc>
        <w:tc>
          <w:tcPr>
            <w:tcW w:w="1077" w:type="dxa"/>
            <w:shd w:val="clear" w:color="auto" w:fill="auto"/>
            <w:noWrap/>
            <w:vAlign w:val="center"/>
            <w:hideMark/>
          </w:tcPr>
          <w:p w14:paraId="36DB66D5" w14:textId="78BBF468" w:rsidR="00580FFB" w:rsidRPr="00151A18" w:rsidRDefault="00151A18" w:rsidP="0006518C">
            <w:pPr>
              <w:spacing w:after="0" w:line="240" w:lineRule="auto"/>
              <w:jc w:val="center"/>
              <w:rPr>
                <w:rFonts w:eastAsia="Times New Roman" w:cs="Arial"/>
                <w:color w:val="000000"/>
                <w:kern w:val="0"/>
                <w:sz w:val="20"/>
                <w:szCs w:val="20"/>
                <w:lang w:val="en-US"/>
                <w14:ligatures w14:val="none"/>
              </w:rPr>
            </w:pPr>
            <w:r>
              <w:rPr>
                <w:rFonts w:eastAsia="Times New Roman" w:cs="Arial"/>
                <w:color w:val="000000"/>
                <w:kern w:val="0"/>
                <w:sz w:val="20"/>
                <w:szCs w:val="20"/>
                <w:lang w:val="en-US"/>
                <w14:ligatures w14:val="none"/>
              </w:rPr>
              <w:t>Adopted</w:t>
            </w:r>
          </w:p>
        </w:tc>
        <w:tc>
          <w:tcPr>
            <w:tcW w:w="1134" w:type="dxa"/>
            <w:shd w:val="clear" w:color="auto" w:fill="auto"/>
            <w:noWrap/>
            <w:vAlign w:val="center"/>
            <w:hideMark/>
          </w:tcPr>
          <w:p w14:paraId="1A04D744" w14:textId="5BF369E9" w:rsidR="00580FFB" w:rsidRPr="00151A18" w:rsidRDefault="00151A18" w:rsidP="0006518C">
            <w:pPr>
              <w:spacing w:after="0" w:line="240" w:lineRule="auto"/>
              <w:jc w:val="center"/>
              <w:rPr>
                <w:rFonts w:eastAsia="Times New Roman" w:cs="Arial"/>
                <w:color w:val="000000"/>
                <w:kern w:val="0"/>
                <w:sz w:val="20"/>
                <w:szCs w:val="20"/>
                <w:lang w:val="en-US"/>
                <w14:ligatures w14:val="none"/>
              </w:rPr>
            </w:pPr>
            <w:r>
              <w:rPr>
                <w:rFonts w:eastAsia="Times New Roman" w:cs="Arial"/>
                <w:color w:val="000000"/>
                <w:kern w:val="0"/>
                <w:sz w:val="20"/>
                <w:szCs w:val="20"/>
                <w:lang w:val="en-US"/>
                <w14:ligatures w14:val="none"/>
              </w:rPr>
              <w:t>Obs.</w:t>
            </w:r>
          </w:p>
        </w:tc>
        <w:tc>
          <w:tcPr>
            <w:tcW w:w="964" w:type="dxa"/>
            <w:shd w:val="clear" w:color="auto" w:fill="auto"/>
            <w:noWrap/>
            <w:vAlign w:val="center"/>
            <w:hideMark/>
          </w:tcPr>
          <w:p w14:paraId="46C31608" w14:textId="566A01C9" w:rsidR="00580FFB" w:rsidRPr="00151A18" w:rsidRDefault="00151A18" w:rsidP="0006518C">
            <w:pPr>
              <w:spacing w:after="0" w:line="240" w:lineRule="auto"/>
              <w:jc w:val="center"/>
              <w:rPr>
                <w:rFonts w:eastAsia="Times New Roman" w:cs="Arial"/>
                <w:color w:val="000000"/>
                <w:kern w:val="0"/>
                <w:sz w:val="20"/>
                <w:szCs w:val="20"/>
                <w:lang w:val="en-US"/>
                <w14:ligatures w14:val="none"/>
              </w:rPr>
            </w:pPr>
            <w:r>
              <w:rPr>
                <w:rFonts w:eastAsia="Times New Roman" w:cs="Arial"/>
                <w:color w:val="000000"/>
                <w:kern w:val="0"/>
                <w:sz w:val="20"/>
                <w:szCs w:val="20"/>
                <w:lang w:val="en-US"/>
                <w14:ligatures w14:val="none"/>
              </w:rPr>
              <w:t>Mean</w:t>
            </w:r>
          </w:p>
        </w:tc>
        <w:tc>
          <w:tcPr>
            <w:tcW w:w="1134" w:type="dxa"/>
            <w:shd w:val="clear" w:color="auto" w:fill="auto"/>
            <w:noWrap/>
            <w:vAlign w:val="center"/>
            <w:hideMark/>
          </w:tcPr>
          <w:p w14:paraId="453111F0" w14:textId="01815B2A" w:rsidR="00580FFB" w:rsidRPr="00151A18" w:rsidRDefault="00151A18" w:rsidP="0006518C">
            <w:pPr>
              <w:spacing w:after="0" w:line="240" w:lineRule="auto"/>
              <w:jc w:val="center"/>
              <w:rPr>
                <w:rFonts w:eastAsia="Times New Roman" w:cs="Arial"/>
                <w:color w:val="000000"/>
                <w:kern w:val="0"/>
                <w:sz w:val="20"/>
                <w:szCs w:val="20"/>
                <w:lang w:val="en-US"/>
                <w14:ligatures w14:val="none"/>
              </w:rPr>
            </w:pPr>
            <w:r>
              <w:rPr>
                <w:rFonts w:eastAsia="Times New Roman" w:cs="Arial"/>
                <w:color w:val="000000"/>
                <w:kern w:val="0"/>
                <w:sz w:val="20"/>
                <w:szCs w:val="20"/>
                <w:lang w:val="en-US"/>
                <w14:ligatures w14:val="none"/>
              </w:rPr>
              <w:t>St.dev.</w:t>
            </w:r>
          </w:p>
        </w:tc>
        <w:tc>
          <w:tcPr>
            <w:tcW w:w="1020" w:type="dxa"/>
            <w:shd w:val="clear" w:color="auto" w:fill="auto"/>
            <w:noWrap/>
            <w:vAlign w:val="center"/>
            <w:hideMark/>
          </w:tcPr>
          <w:p w14:paraId="068A06A6" w14:textId="5EB177DB" w:rsidR="00580FFB" w:rsidRPr="00151A18" w:rsidRDefault="00151A18" w:rsidP="0006518C">
            <w:pPr>
              <w:spacing w:after="0" w:line="240" w:lineRule="auto"/>
              <w:jc w:val="center"/>
              <w:rPr>
                <w:rFonts w:eastAsia="Times New Roman" w:cs="Arial"/>
                <w:color w:val="000000"/>
                <w:kern w:val="0"/>
                <w:sz w:val="20"/>
                <w:szCs w:val="20"/>
                <w:lang w:val="en-US"/>
                <w14:ligatures w14:val="none"/>
              </w:rPr>
            </w:pPr>
            <w:r>
              <w:rPr>
                <w:rFonts w:eastAsia="Times New Roman" w:cs="Arial"/>
                <w:color w:val="000000"/>
                <w:kern w:val="0"/>
                <w:sz w:val="20"/>
                <w:szCs w:val="20"/>
                <w:lang w:val="en-US"/>
                <w14:ligatures w14:val="none"/>
              </w:rPr>
              <w:t>Min</w:t>
            </w:r>
          </w:p>
        </w:tc>
        <w:tc>
          <w:tcPr>
            <w:tcW w:w="1020" w:type="dxa"/>
            <w:shd w:val="clear" w:color="auto" w:fill="auto"/>
            <w:noWrap/>
            <w:vAlign w:val="center"/>
            <w:hideMark/>
          </w:tcPr>
          <w:p w14:paraId="0C92BCCD" w14:textId="2BB540C8" w:rsidR="00580FFB" w:rsidRPr="00151A18" w:rsidRDefault="00151A18" w:rsidP="0006518C">
            <w:pPr>
              <w:spacing w:after="0" w:line="240" w:lineRule="auto"/>
              <w:jc w:val="center"/>
              <w:rPr>
                <w:rFonts w:eastAsia="Times New Roman" w:cs="Arial"/>
                <w:color w:val="000000"/>
                <w:kern w:val="0"/>
                <w:sz w:val="20"/>
                <w:szCs w:val="20"/>
                <w:lang w:val="en-US"/>
                <w14:ligatures w14:val="none"/>
              </w:rPr>
            </w:pPr>
            <w:r>
              <w:rPr>
                <w:rFonts w:eastAsia="Times New Roman" w:cs="Arial"/>
                <w:color w:val="000000"/>
                <w:kern w:val="0"/>
                <w:sz w:val="20"/>
                <w:szCs w:val="20"/>
                <w:lang w:val="en-US"/>
                <w14:ligatures w14:val="none"/>
              </w:rPr>
              <w:t>Max</w:t>
            </w:r>
          </w:p>
        </w:tc>
      </w:tr>
      <w:tr w:rsidR="00580FFB" w:rsidRPr="00C45008" w14:paraId="27F6674F" w14:textId="77777777" w:rsidTr="00331E27">
        <w:trPr>
          <w:trHeight w:val="255"/>
          <w:jc w:val="center"/>
        </w:trPr>
        <w:tc>
          <w:tcPr>
            <w:tcW w:w="3118" w:type="dxa"/>
            <w:shd w:val="clear" w:color="auto" w:fill="D9D9D9" w:themeFill="background1" w:themeFillShade="D9"/>
            <w:noWrap/>
            <w:vAlign w:val="center"/>
          </w:tcPr>
          <w:p w14:paraId="62D242D8" w14:textId="791EE7A9" w:rsidR="00580FFB" w:rsidRPr="00151A18" w:rsidRDefault="00151A18" w:rsidP="0006518C">
            <w:pPr>
              <w:spacing w:after="0" w:line="240" w:lineRule="auto"/>
              <w:rPr>
                <w:rFonts w:eastAsia="Times New Roman" w:cs="Arial"/>
                <w:i/>
                <w:iCs/>
                <w:color w:val="000000"/>
                <w:kern w:val="0"/>
                <w:sz w:val="20"/>
                <w:szCs w:val="20"/>
                <w:lang w:val="en-US"/>
                <w14:ligatures w14:val="none"/>
              </w:rPr>
            </w:pPr>
            <w:r>
              <w:rPr>
                <w:rFonts w:eastAsia="Times New Roman" w:cs="Arial"/>
                <w:i/>
                <w:iCs/>
                <w:color w:val="000000"/>
                <w:kern w:val="0"/>
                <w:sz w:val="20"/>
                <w:szCs w:val="20"/>
                <w:lang w:val="en-US"/>
                <w14:ligatures w14:val="none"/>
              </w:rPr>
              <w:t>Dependent variables</w:t>
            </w:r>
          </w:p>
        </w:tc>
        <w:tc>
          <w:tcPr>
            <w:tcW w:w="1077" w:type="dxa"/>
            <w:shd w:val="clear" w:color="auto" w:fill="D9D9D9" w:themeFill="background1" w:themeFillShade="D9"/>
            <w:noWrap/>
            <w:vAlign w:val="center"/>
          </w:tcPr>
          <w:p w14:paraId="375B53E0" w14:textId="77777777" w:rsidR="00580FFB" w:rsidRPr="00C45008" w:rsidRDefault="00580FFB" w:rsidP="0006518C">
            <w:pPr>
              <w:spacing w:after="0" w:line="240" w:lineRule="auto"/>
              <w:jc w:val="center"/>
              <w:rPr>
                <w:rFonts w:eastAsia="Times New Roman" w:cs="Arial"/>
                <w:i/>
                <w:iCs/>
                <w:color w:val="000000"/>
                <w:kern w:val="0"/>
                <w:sz w:val="20"/>
                <w:szCs w:val="20"/>
                <w14:ligatures w14:val="none"/>
              </w:rPr>
            </w:pPr>
          </w:p>
        </w:tc>
        <w:tc>
          <w:tcPr>
            <w:tcW w:w="1134" w:type="dxa"/>
            <w:shd w:val="clear" w:color="auto" w:fill="D9D9D9" w:themeFill="background1" w:themeFillShade="D9"/>
            <w:noWrap/>
            <w:vAlign w:val="center"/>
          </w:tcPr>
          <w:p w14:paraId="45AD986F" w14:textId="77777777" w:rsidR="00580FFB" w:rsidRPr="00C45008" w:rsidRDefault="00580FFB" w:rsidP="0006518C">
            <w:pPr>
              <w:spacing w:after="0" w:line="240" w:lineRule="auto"/>
              <w:jc w:val="center"/>
              <w:rPr>
                <w:rFonts w:eastAsia="Times New Roman" w:cs="Arial"/>
                <w:i/>
                <w:iCs/>
                <w:color w:val="000000"/>
                <w:kern w:val="0"/>
                <w:sz w:val="20"/>
                <w:szCs w:val="20"/>
                <w14:ligatures w14:val="none"/>
              </w:rPr>
            </w:pPr>
          </w:p>
        </w:tc>
        <w:tc>
          <w:tcPr>
            <w:tcW w:w="964" w:type="dxa"/>
            <w:shd w:val="clear" w:color="auto" w:fill="D9D9D9" w:themeFill="background1" w:themeFillShade="D9"/>
            <w:noWrap/>
            <w:vAlign w:val="center"/>
          </w:tcPr>
          <w:p w14:paraId="2FBDAEEB" w14:textId="77777777" w:rsidR="00580FFB" w:rsidRPr="00C45008" w:rsidRDefault="00580FFB" w:rsidP="0006518C">
            <w:pPr>
              <w:spacing w:after="0" w:line="240" w:lineRule="auto"/>
              <w:jc w:val="center"/>
              <w:rPr>
                <w:rFonts w:eastAsia="Times New Roman" w:cs="Arial"/>
                <w:i/>
                <w:iCs/>
                <w:color w:val="000000"/>
                <w:kern w:val="0"/>
                <w:sz w:val="20"/>
                <w:szCs w:val="20"/>
                <w14:ligatures w14:val="none"/>
              </w:rPr>
            </w:pPr>
          </w:p>
        </w:tc>
        <w:tc>
          <w:tcPr>
            <w:tcW w:w="1134" w:type="dxa"/>
            <w:shd w:val="clear" w:color="auto" w:fill="D9D9D9" w:themeFill="background1" w:themeFillShade="D9"/>
            <w:noWrap/>
            <w:vAlign w:val="center"/>
          </w:tcPr>
          <w:p w14:paraId="1AEC49FC" w14:textId="77777777" w:rsidR="00580FFB" w:rsidRPr="00C45008" w:rsidRDefault="00580FFB" w:rsidP="0006518C">
            <w:pPr>
              <w:spacing w:after="0" w:line="240" w:lineRule="auto"/>
              <w:jc w:val="center"/>
              <w:rPr>
                <w:rFonts w:eastAsia="Times New Roman" w:cs="Arial"/>
                <w:i/>
                <w:iCs/>
                <w:color w:val="000000"/>
                <w:kern w:val="0"/>
                <w:sz w:val="20"/>
                <w:szCs w:val="20"/>
                <w14:ligatures w14:val="none"/>
              </w:rPr>
            </w:pPr>
          </w:p>
        </w:tc>
        <w:tc>
          <w:tcPr>
            <w:tcW w:w="1020" w:type="dxa"/>
            <w:shd w:val="clear" w:color="auto" w:fill="D9D9D9" w:themeFill="background1" w:themeFillShade="D9"/>
            <w:noWrap/>
            <w:vAlign w:val="center"/>
          </w:tcPr>
          <w:p w14:paraId="75DF0F80" w14:textId="77777777" w:rsidR="00580FFB" w:rsidRPr="00C45008" w:rsidRDefault="00580FFB" w:rsidP="0006518C">
            <w:pPr>
              <w:spacing w:after="0" w:line="240" w:lineRule="auto"/>
              <w:jc w:val="center"/>
              <w:rPr>
                <w:rFonts w:eastAsia="Times New Roman" w:cs="Arial"/>
                <w:i/>
                <w:iCs/>
                <w:color w:val="000000"/>
                <w:kern w:val="0"/>
                <w:sz w:val="20"/>
                <w:szCs w:val="20"/>
                <w14:ligatures w14:val="none"/>
              </w:rPr>
            </w:pPr>
          </w:p>
        </w:tc>
        <w:tc>
          <w:tcPr>
            <w:tcW w:w="1020" w:type="dxa"/>
            <w:shd w:val="clear" w:color="auto" w:fill="D9D9D9" w:themeFill="background1" w:themeFillShade="D9"/>
            <w:noWrap/>
            <w:vAlign w:val="center"/>
          </w:tcPr>
          <w:p w14:paraId="0962A23B" w14:textId="77777777" w:rsidR="00580FFB" w:rsidRPr="00C45008" w:rsidRDefault="00580FFB" w:rsidP="0006518C">
            <w:pPr>
              <w:spacing w:after="0" w:line="240" w:lineRule="auto"/>
              <w:jc w:val="center"/>
              <w:rPr>
                <w:rFonts w:eastAsia="Times New Roman" w:cs="Arial"/>
                <w:i/>
                <w:iCs/>
                <w:color w:val="000000"/>
                <w:kern w:val="0"/>
                <w:sz w:val="20"/>
                <w:szCs w:val="20"/>
                <w14:ligatures w14:val="none"/>
              </w:rPr>
            </w:pPr>
          </w:p>
        </w:tc>
      </w:tr>
      <w:tr w:rsidR="00580FFB" w:rsidRPr="00C45008" w14:paraId="4CC28C7D" w14:textId="77777777" w:rsidTr="00331E27">
        <w:trPr>
          <w:trHeight w:val="255"/>
          <w:jc w:val="center"/>
        </w:trPr>
        <w:tc>
          <w:tcPr>
            <w:tcW w:w="3118" w:type="dxa"/>
            <w:vMerge w:val="restart"/>
            <w:shd w:val="clear" w:color="auto" w:fill="auto"/>
            <w:noWrap/>
            <w:vAlign w:val="center"/>
            <w:hideMark/>
          </w:tcPr>
          <w:p w14:paraId="32E60C2E" w14:textId="21B5E573" w:rsidR="00580FFB" w:rsidRPr="00151A18" w:rsidRDefault="00580FFB" w:rsidP="0006518C">
            <w:pPr>
              <w:spacing w:after="0" w:line="240" w:lineRule="auto"/>
              <w:rPr>
                <w:rFonts w:eastAsia="Times New Roman" w:cs="Arial"/>
                <w:color w:val="000000"/>
                <w:kern w:val="0"/>
                <w:sz w:val="20"/>
                <w:szCs w:val="20"/>
                <w:lang w:val="en-US"/>
                <w14:ligatures w14:val="none"/>
              </w:rPr>
            </w:pPr>
            <m:oMath>
              <m:r>
                <w:rPr>
                  <w:rFonts w:ascii="Cambria Math" w:eastAsia="Times New Roman" w:hAnsi="Cambria Math" w:cs="Arial"/>
                  <w:color w:val="000000"/>
                  <w:kern w:val="0"/>
                  <w:sz w:val="20"/>
                  <w:szCs w:val="20"/>
                  <w14:ligatures w14:val="none"/>
                </w:rPr>
                <m:t>roa</m:t>
              </m:r>
            </m:oMath>
            <w:r w:rsidRPr="00C45008">
              <w:rPr>
                <w:rFonts w:eastAsia="Times New Roman" w:cs="Arial"/>
                <w:color w:val="000000"/>
                <w:kern w:val="0"/>
                <w:sz w:val="20"/>
                <w:szCs w:val="20"/>
                <w14:ligatures w14:val="none"/>
              </w:rPr>
              <w:t xml:space="preserve"> – </w:t>
            </w:r>
            <w:r w:rsidR="00151A18" w:rsidRPr="00151A18">
              <w:rPr>
                <w:rFonts w:eastAsia="Times New Roman" w:cs="Arial"/>
                <w:b/>
                <w:bCs/>
                <w:color w:val="000000"/>
                <w:kern w:val="0"/>
                <w:sz w:val="20"/>
                <w:szCs w:val="20"/>
                <w14:ligatures w14:val="none"/>
              </w:rPr>
              <w:t>Return on Assets</w:t>
            </w:r>
            <w:r w:rsidRPr="00C45008">
              <w:rPr>
                <w:rFonts w:eastAsia="Times New Roman" w:cs="Arial"/>
                <w:color w:val="000000"/>
                <w:kern w:val="0"/>
                <w:sz w:val="20"/>
                <w:szCs w:val="20"/>
                <w14:ligatures w14:val="none"/>
              </w:rPr>
              <w:t xml:space="preserve">, </w:t>
            </w:r>
            <w:r w:rsidR="00151A18">
              <w:rPr>
                <w:rFonts w:eastAsia="Times New Roman" w:cs="Arial"/>
                <w:color w:val="000000"/>
                <w:kern w:val="0"/>
                <w:sz w:val="20"/>
                <w:szCs w:val="20"/>
                <w:lang w:val="en-US"/>
                <w14:ligatures w14:val="none"/>
              </w:rPr>
              <w:t>net income divided by total assets</w:t>
            </w:r>
          </w:p>
        </w:tc>
        <w:tc>
          <w:tcPr>
            <w:tcW w:w="1077" w:type="dxa"/>
            <w:shd w:val="clear" w:color="auto" w:fill="auto"/>
            <w:noWrap/>
            <w:vAlign w:val="center"/>
            <w:hideMark/>
          </w:tcPr>
          <w:p w14:paraId="3E6E0951" w14:textId="0D356823" w:rsidR="00580FFB" w:rsidRPr="00151A18" w:rsidRDefault="00151A18" w:rsidP="0006518C">
            <w:pPr>
              <w:spacing w:after="0" w:line="240" w:lineRule="auto"/>
              <w:jc w:val="center"/>
              <w:rPr>
                <w:rFonts w:eastAsia="Times New Roman" w:cs="Arial"/>
                <w:color w:val="000000"/>
                <w:kern w:val="0"/>
                <w:sz w:val="20"/>
                <w:szCs w:val="20"/>
                <w:lang w:val="en-US"/>
                <w14:ligatures w14:val="none"/>
              </w:rPr>
            </w:pPr>
            <w:r>
              <w:rPr>
                <w:rFonts w:eastAsia="Times New Roman" w:cs="Arial"/>
                <w:color w:val="000000"/>
                <w:kern w:val="0"/>
                <w:sz w:val="20"/>
                <w:szCs w:val="20"/>
                <w:lang w:val="en-US"/>
                <w14:ligatures w14:val="none"/>
              </w:rPr>
              <w:t>All</w:t>
            </w:r>
          </w:p>
        </w:tc>
        <w:tc>
          <w:tcPr>
            <w:tcW w:w="1134" w:type="dxa"/>
            <w:shd w:val="clear" w:color="auto" w:fill="auto"/>
            <w:noWrap/>
            <w:vAlign w:val="center"/>
            <w:hideMark/>
          </w:tcPr>
          <w:p w14:paraId="1E6842A4" w14:textId="77777777" w:rsidR="00580FFB" w:rsidRPr="00C45008" w:rsidRDefault="00580FFB" w:rsidP="0006518C">
            <w:pPr>
              <w:spacing w:after="0" w:line="240" w:lineRule="auto"/>
              <w:jc w:val="center"/>
              <w:rPr>
                <w:rFonts w:eastAsia="Times New Roman" w:cs="Arial"/>
                <w:color w:val="000000"/>
                <w:kern w:val="0"/>
                <w:sz w:val="20"/>
                <w:szCs w:val="20"/>
                <w14:ligatures w14:val="none"/>
              </w:rPr>
            </w:pPr>
            <w:r w:rsidRPr="00C45008">
              <w:rPr>
                <w:rFonts w:eastAsia="Times New Roman" w:cs="Arial"/>
                <w:color w:val="000000"/>
                <w:kern w:val="0"/>
                <w:sz w:val="20"/>
                <w:szCs w:val="20"/>
                <w14:ligatures w14:val="none"/>
              </w:rPr>
              <w:t>180</w:t>
            </w:r>
          </w:p>
        </w:tc>
        <w:tc>
          <w:tcPr>
            <w:tcW w:w="964" w:type="dxa"/>
            <w:shd w:val="clear" w:color="auto" w:fill="auto"/>
            <w:noWrap/>
            <w:vAlign w:val="center"/>
            <w:hideMark/>
          </w:tcPr>
          <w:p w14:paraId="20D15BBB" w14:textId="77777777" w:rsidR="00580FFB" w:rsidRPr="00C45008" w:rsidRDefault="00580FFB" w:rsidP="0006518C">
            <w:pPr>
              <w:spacing w:after="0" w:line="240" w:lineRule="auto"/>
              <w:jc w:val="right"/>
              <w:rPr>
                <w:rFonts w:eastAsia="Times New Roman" w:cs="Arial"/>
                <w:color w:val="000000"/>
                <w:kern w:val="0"/>
                <w:sz w:val="20"/>
                <w:szCs w:val="20"/>
                <w14:ligatures w14:val="none"/>
              </w:rPr>
            </w:pPr>
            <w:r w:rsidRPr="00C45008">
              <w:rPr>
                <w:rFonts w:eastAsia="Times New Roman" w:cs="Arial"/>
                <w:color w:val="000000"/>
                <w:kern w:val="0"/>
                <w:sz w:val="20"/>
                <w:szCs w:val="20"/>
                <w14:ligatures w14:val="none"/>
              </w:rPr>
              <w:t>0.0442</w:t>
            </w:r>
          </w:p>
        </w:tc>
        <w:tc>
          <w:tcPr>
            <w:tcW w:w="1134" w:type="dxa"/>
            <w:shd w:val="clear" w:color="auto" w:fill="auto"/>
            <w:noWrap/>
            <w:vAlign w:val="center"/>
            <w:hideMark/>
          </w:tcPr>
          <w:p w14:paraId="1AB8D9B8" w14:textId="77777777" w:rsidR="00580FFB" w:rsidRPr="00C45008" w:rsidRDefault="00580FFB" w:rsidP="0006518C">
            <w:pPr>
              <w:spacing w:after="0" w:line="240" w:lineRule="auto"/>
              <w:jc w:val="right"/>
              <w:rPr>
                <w:rFonts w:eastAsia="Times New Roman" w:cs="Arial"/>
                <w:color w:val="000000"/>
                <w:kern w:val="0"/>
                <w:sz w:val="20"/>
                <w:szCs w:val="20"/>
                <w14:ligatures w14:val="none"/>
              </w:rPr>
            </w:pPr>
            <w:r w:rsidRPr="00C45008">
              <w:rPr>
                <w:rFonts w:eastAsia="Times New Roman" w:cs="Arial"/>
                <w:color w:val="000000"/>
                <w:kern w:val="0"/>
                <w:sz w:val="20"/>
                <w:szCs w:val="20"/>
                <w14:ligatures w14:val="none"/>
              </w:rPr>
              <w:t>0.0656</w:t>
            </w:r>
          </w:p>
        </w:tc>
        <w:tc>
          <w:tcPr>
            <w:tcW w:w="1020" w:type="dxa"/>
            <w:shd w:val="clear" w:color="auto" w:fill="auto"/>
            <w:noWrap/>
            <w:vAlign w:val="center"/>
            <w:hideMark/>
          </w:tcPr>
          <w:p w14:paraId="408537F1" w14:textId="77777777" w:rsidR="00580FFB" w:rsidRPr="00C45008" w:rsidRDefault="00580FFB" w:rsidP="0006518C">
            <w:pPr>
              <w:spacing w:after="0" w:line="240" w:lineRule="auto"/>
              <w:jc w:val="right"/>
              <w:rPr>
                <w:rFonts w:eastAsia="Times New Roman" w:cs="Arial"/>
                <w:color w:val="000000"/>
                <w:kern w:val="0"/>
                <w:sz w:val="20"/>
                <w:szCs w:val="20"/>
                <w14:ligatures w14:val="none"/>
              </w:rPr>
            </w:pPr>
            <w:r w:rsidRPr="00C45008">
              <w:rPr>
                <w:rFonts w:eastAsia="Times New Roman" w:cs="Arial"/>
                <w:color w:val="000000"/>
                <w:kern w:val="0"/>
                <w:sz w:val="20"/>
                <w:szCs w:val="20"/>
                <w14:ligatures w14:val="none"/>
              </w:rPr>
              <w:t>-0.1531</w:t>
            </w:r>
          </w:p>
        </w:tc>
        <w:tc>
          <w:tcPr>
            <w:tcW w:w="1020" w:type="dxa"/>
            <w:shd w:val="clear" w:color="auto" w:fill="auto"/>
            <w:noWrap/>
            <w:vAlign w:val="center"/>
            <w:hideMark/>
          </w:tcPr>
          <w:p w14:paraId="51BFF90F" w14:textId="77777777" w:rsidR="00580FFB" w:rsidRPr="00C45008" w:rsidRDefault="00580FFB" w:rsidP="0006518C">
            <w:pPr>
              <w:spacing w:after="0" w:line="240" w:lineRule="auto"/>
              <w:jc w:val="right"/>
              <w:rPr>
                <w:rFonts w:eastAsia="Times New Roman" w:cs="Arial"/>
                <w:color w:val="000000"/>
                <w:kern w:val="0"/>
                <w:sz w:val="20"/>
                <w:szCs w:val="20"/>
                <w14:ligatures w14:val="none"/>
              </w:rPr>
            </w:pPr>
            <w:r w:rsidRPr="00C45008">
              <w:rPr>
                <w:rFonts w:eastAsia="Times New Roman" w:cs="Arial"/>
                <w:color w:val="000000"/>
                <w:kern w:val="0"/>
                <w:sz w:val="20"/>
                <w:szCs w:val="20"/>
                <w14:ligatures w14:val="none"/>
              </w:rPr>
              <w:t>0.2781</w:t>
            </w:r>
          </w:p>
        </w:tc>
      </w:tr>
      <w:tr w:rsidR="00580FFB" w:rsidRPr="00C45008" w14:paraId="75FD5410" w14:textId="77777777" w:rsidTr="00331E27">
        <w:trPr>
          <w:trHeight w:val="255"/>
          <w:jc w:val="center"/>
        </w:trPr>
        <w:tc>
          <w:tcPr>
            <w:tcW w:w="3118" w:type="dxa"/>
            <w:vMerge/>
            <w:shd w:val="clear" w:color="auto" w:fill="auto"/>
            <w:noWrap/>
            <w:vAlign w:val="center"/>
          </w:tcPr>
          <w:p w14:paraId="5E9481A8" w14:textId="77777777" w:rsidR="00580FFB" w:rsidRPr="00C45008" w:rsidRDefault="00580FFB" w:rsidP="0006518C">
            <w:pPr>
              <w:spacing w:after="0" w:line="240" w:lineRule="auto"/>
              <w:rPr>
                <w:rFonts w:eastAsia="Times New Roman" w:cs="Arial"/>
                <w:color w:val="000000"/>
                <w:kern w:val="0"/>
                <w:sz w:val="20"/>
                <w:szCs w:val="20"/>
                <w14:ligatures w14:val="none"/>
              </w:rPr>
            </w:pPr>
          </w:p>
        </w:tc>
        <w:tc>
          <w:tcPr>
            <w:tcW w:w="1077" w:type="dxa"/>
            <w:shd w:val="clear" w:color="auto" w:fill="auto"/>
            <w:noWrap/>
            <w:vAlign w:val="center"/>
            <w:hideMark/>
          </w:tcPr>
          <w:p w14:paraId="023EF99B" w14:textId="3D79B728" w:rsidR="00580FFB" w:rsidRPr="00151A18" w:rsidRDefault="00151A18" w:rsidP="0006518C">
            <w:pPr>
              <w:spacing w:after="0" w:line="240" w:lineRule="auto"/>
              <w:jc w:val="center"/>
              <w:rPr>
                <w:rFonts w:eastAsia="Times New Roman" w:cs="Arial"/>
                <w:color w:val="000000"/>
                <w:kern w:val="0"/>
                <w:sz w:val="20"/>
                <w:szCs w:val="20"/>
                <w:lang w:val="en-US"/>
                <w14:ligatures w14:val="none"/>
              </w:rPr>
            </w:pPr>
            <w:r>
              <w:rPr>
                <w:rFonts w:eastAsia="Times New Roman" w:cs="Arial"/>
                <w:color w:val="000000"/>
                <w:kern w:val="0"/>
                <w:sz w:val="20"/>
                <w:szCs w:val="20"/>
                <w:lang w:val="en-US"/>
                <w14:ligatures w14:val="none"/>
              </w:rPr>
              <w:t>No</w:t>
            </w:r>
          </w:p>
        </w:tc>
        <w:tc>
          <w:tcPr>
            <w:tcW w:w="1134" w:type="dxa"/>
            <w:shd w:val="clear" w:color="auto" w:fill="auto"/>
            <w:noWrap/>
            <w:vAlign w:val="center"/>
            <w:hideMark/>
          </w:tcPr>
          <w:p w14:paraId="44FA4E2E" w14:textId="77777777" w:rsidR="00580FFB" w:rsidRPr="00C45008" w:rsidRDefault="00580FFB" w:rsidP="0006518C">
            <w:pPr>
              <w:spacing w:after="0" w:line="240" w:lineRule="auto"/>
              <w:jc w:val="center"/>
              <w:rPr>
                <w:rFonts w:eastAsia="Times New Roman" w:cs="Arial"/>
                <w:color w:val="000000"/>
                <w:kern w:val="0"/>
                <w:sz w:val="20"/>
                <w:szCs w:val="20"/>
                <w14:ligatures w14:val="none"/>
              </w:rPr>
            </w:pPr>
            <w:r w:rsidRPr="00C45008">
              <w:rPr>
                <w:rFonts w:eastAsia="Times New Roman" w:cs="Arial"/>
                <w:color w:val="000000"/>
                <w:kern w:val="0"/>
                <w:sz w:val="20"/>
                <w:szCs w:val="20"/>
                <w14:ligatures w14:val="none"/>
              </w:rPr>
              <w:t>92</w:t>
            </w:r>
          </w:p>
        </w:tc>
        <w:tc>
          <w:tcPr>
            <w:tcW w:w="964" w:type="dxa"/>
            <w:shd w:val="clear" w:color="auto" w:fill="auto"/>
            <w:noWrap/>
            <w:vAlign w:val="center"/>
            <w:hideMark/>
          </w:tcPr>
          <w:p w14:paraId="51960E42" w14:textId="77777777" w:rsidR="00580FFB" w:rsidRPr="00C45008" w:rsidRDefault="00580FFB" w:rsidP="0006518C">
            <w:pPr>
              <w:spacing w:after="0" w:line="240" w:lineRule="auto"/>
              <w:jc w:val="right"/>
              <w:rPr>
                <w:rFonts w:eastAsia="Times New Roman" w:cs="Arial"/>
                <w:color w:val="000000"/>
                <w:kern w:val="0"/>
                <w:sz w:val="20"/>
                <w:szCs w:val="20"/>
                <w14:ligatures w14:val="none"/>
              </w:rPr>
            </w:pPr>
            <w:r w:rsidRPr="00C45008">
              <w:rPr>
                <w:rFonts w:eastAsia="Times New Roman" w:cs="Arial"/>
                <w:color w:val="000000"/>
                <w:kern w:val="0"/>
                <w:sz w:val="20"/>
                <w:szCs w:val="20"/>
                <w14:ligatures w14:val="none"/>
              </w:rPr>
              <w:t>0.0408</w:t>
            </w:r>
          </w:p>
        </w:tc>
        <w:tc>
          <w:tcPr>
            <w:tcW w:w="1134" w:type="dxa"/>
            <w:shd w:val="clear" w:color="auto" w:fill="auto"/>
            <w:noWrap/>
            <w:vAlign w:val="center"/>
            <w:hideMark/>
          </w:tcPr>
          <w:p w14:paraId="04ADD8C4" w14:textId="77777777" w:rsidR="00580FFB" w:rsidRPr="00C45008" w:rsidRDefault="00580FFB" w:rsidP="0006518C">
            <w:pPr>
              <w:spacing w:after="0" w:line="240" w:lineRule="auto"/>
              <w:jc w:val="right"/>
              <w:rPr>
                <w:rFonts w:eastAsia="Times New Roman" w:cs="Arial"/>
                <w:color w:val="000000"/>
                <w:kern w:val="0"/>
                <w:sz w:val="20"/>
                <w:szCs w:val="20"/>
                <w14:ligatures w14:val="none"/>
              </w:rPr>
            </w:pPr>
            <w:r w:rsidRPr="00C45008">
              <w:rPr>
                <w:rFonts w:eastAsia="Times New Roman" w:cs="Arial"/>
                <w:color w:val="000000"/>
                <w:kern w:val="0"/>
                <w:sz w:val="20"/>
                <w:szCs w:val="20"/>
                <w14:ligatures w14:val="none"/>
              </w:rPr>
              <w:t>0.0656</w:t>
            </w:r>
          </w:p>
        </w:tc>
        <w:tc>
          <w:tcPr>
            <w:tcW w:w="1020" w:type="dxa"/>
            <w:shd w:val="clear" w:color="auto" w:fill="auto"/>
            <w:noWrap/>
            <w:vAlign w:val="center"/>
            <w:hideMark/>
          </w:tcPr>
          <w:p w14:paraId="1C618211" w14:textId="77777777" w:rsidR="00580FFB" w:rsidRPr="00C45008" w:rsidRDefault="00580FFB" w:rsidP="0006518C">
            <w:pPr>
              <w:spacing w:after="0" w:line="240" w:lineRule="auto"/>
              <w:jc w:val="right"/>
              <w:rPr>
                <w:rFonts w:eastAsia="Times New Roman" w:cs="Arial"/>
                <w:color w:val="000000"/>
                <w:kern w:val="0"/>
                <w:sz w:val="20"/>
                <w:szCs w:val="20"/>
                <w14:ligatures w14:val="none"/>
              </w:rPr>
            </w:pPr>
            <w:r w:rsidRPr="00C45008">
              <w:rPr>
                <w:rFonts w:eastAsia="Times New Roman" w:cs="Arial"/>
                <w:color w:val="000000"/>
                <w:kern w:val="0"/>
                <w:sz w:val="20"/>
                <w:szCs w:val="20"/>
                <w14:ligatures w14:val="none"/>
              </w:rPr>
              <w:t>-0.1531</w:t>
            </w:r>
          </w:p>
        </w:tc>
        <w:tc>
          <w:tcPr>
            <w:tcW w:w="1020" w:type="dxa"/>
            <w:shd w:val="clear" w:color="auto" w:fill="auto"/>
            <w:noWrap/>
            <w:vAlign w:val="center"/>
            <w:hideMark/>
          </w:tcPr>
          <w:p w14:paraId="63C775C1" w14:textId="77777777" w:rsidR="00580FFB" w:rsidRPr="00C45008" w:rsidRDefault="00580FFB" w:rsidP="0006518C">
            <w:pPr>
              <w:spacing w:after="0" w:line="240" w:lineRule="auto"/>
              <w:jc w:val="right"/>
              <w:rPr>
                <w:rFonts w:eastAsia="Times New Roman" w:cs="Arial"/>
                <w:color w:val="000000"/>
                <w:kern w:val="0"/>
                <w:sz w:val="20"/>
                <w:szCs w:val="20"/>
                <w14:ligatures w14:val="none"/>
              </w:rPr>
            </w:pPr>
            <w:r w:rsidRPr="00C45008">
              <w:rPr>
                <w:rFonts w:eastAsia="Times New Roman" w:cs="Arial"/>
                <w:color w:val="000000"/>
                <w:kern w:val="0"/>
                <w:sz w:val="20"/>
                <w:szCs w:val="20"/>
                <w14:ligatures w14:val="none"/>
              </w:rPr>
              <w:t>0.2090</w:t>
            </w:r>
          </w:p>
        </w:tc>
      </w:tr>
      <w:tr w:rsidR="00580FFB" w:rsidRPr="00C45008" w14:paraId="2F9C1AA7" w14:textId="77777777" w:rsidTr="00331E27">
        <w:trPr>
          <w:trHeight w:val="255"/>
          <w:jc w:val="center"/>
        </w:trPr>
        <w:tc>
          <w:tcPr>
            <w:tcW w:w="3118" w:type="dxa"/>
            <w:vMerge/>
            <w:shd w:val="clear" w:color="auto" w:fill="auto"/>
            <w:noWrap/>
            <w:vAlign w:val="center"/>
          </w:tcPr>
          <w:p w14:paraId="128ED9AF" w14:textId="77777777" w:rsidR="00580FFB" w:rsidRPr="00C45008" w:rsidRDefault="00580FFB" w:rsidP="0006518C">
            <w:pPr>
              <w:spacing w:after="0" w:line="240" w:lineRule="auto"/>
              <w:rPr>
                <w:rFonts w:eastAsia="Times New Roman" w:cs="Arial"/>
                <w:color w:val="000000"/>
                <w:kern w:val="0"/>
                <w:sz w:val="20"/>
                <w:szCs w:val="20"/>
                <w14:ligatures w14:val="none"/>
              </w:rPr>
            </w:pPr>
          </w:p>
        </w:tc>
        <w:tc>
          <w:tcPr>
            <w:tcW w:w="1077" w:type="dxa"/>
            <w:shd w:val="clear" w:color="auto" w:fill="auto"/>
            <w:noWrap/>
            <w:vAlign w:val="center"/>
            <w:hideMark/>
          </w:tcPr>
          <w:p w14:paraId="0D41C965" w14:textId="31055BE7" w:rsidR="00580FFB" w:rsidRPr="00151A18" w:rsidRDefault="00151A18" w:rsidP="0006518C">
            <w:pPr>
              <w:spacing w:after="0" w:line="240" w:lineRule="auto"/>
              <w:jc w:val="center"/>
              <w:rPr>
                <w:rFonts w:eastAsia="Times New Roman" w:cs="Arial"/>
                <w:color w:val="000000"/>
                <w:kern w:val="0"/>
                <w:sz w:val="20"/>
                <w:szCs w:val="20"/>
                <w:lang w:val="en-US"/>
                <w14:ligatures w14:val="none"/>
              </w:rPr>
            </w:pPr>
            <w:r>
              <w:rPr>
                <w:rFonts w:eastAsia="Times New Roman" w:cs="Arial"/>
                <w:color w:val="000000"/>
                <w:kern w:val="0"/>
                <w:sz w:val="20"/>
                <w:szCs w:val="20"/>
                <w:lang w:val="en-US"/>
                <w14:ligatures w14:val="none"/>
              </w:rPr>
              <w:t>Yes</w:t>
            </w:r>
          </w:p>
        </w:tc>
        <w:tc>
          <w:tcPr>
            <w:tcW w:w="1134" w:type="dxa"/>
            <w:shd w:val="clear" w:color="auto" w:fill="auto"/>
            <w:noWrap/>
            <w:vAlign w:val="center"/>
            <w:hideMark/>
          </w:tcPr>
          <w:p w14:paraId="2FD7F1B9" w14:textId="77777777" w:rsidR="00580FFB" w:rsidRPr="00C45008" w:rsidRDefault="00580FFB" w:rsidP="0006518C">
            <w:pPr>
              <w:spacing w:after="0" w:line="240" w:lineRule="auto"/>
              <w:jc w:val="center"/>
              <w:rPr>
                <w:rFonts w:eastAsia="Times New Roman" w:cs="Arial"/>
                <w:color w:val="000000"/>
                <w:kern w:val="0"/>
                <w:sz w:val="20"/>
                <w:szCs w:val="20"/>
                <w14:ligatures w14:val="none"/>
              </w:rPr>
            </w:pPr>
            <w:r w:rsidRPr="00C45008">
              <w:rPr>
                <w:rFonts w:eastAsia="Times New Roman" w:cs="Arial"/>
                <w:color w:val="000000"/>
                <w:kern w:val="0"/>
                <w:sz w:val="20"/>
                <w:szCs w:val="20"/>
                <w14:ligatures w14:val="none"/>
              </w:rPr>
              <w:t>88</w:t>
            </w:r>
          </w:p>
        </w:tc>
        <w:tc>
          <w:tcPr>
            <w:tcW w:w="964" w:type="dxa"/>
            <w:shd w:val="clear" w:color="auto" w:fill="auto"/>
            <w:noWrap/>
            <w:vAlign w:val="center"/>
            <w:hideMark/>
          </w:tcPr>
          <w:p w14:paraId="0A610B5F" w14:textId="77777777" w:rsidR="00580FFB" w:rsidRPr="00C45008" w:rsidRDefault="00580FFB" w:rsidP="0006518C">
            <w:pPr>
              <w:spacing w:after="0" w:line="240" w:lineRule="auto"/>
              <w:jc w:val="right"/>
              <w:rPr>
                <w:rFonts w:eastAsia="Times New Roman" w:cs="Arial"/>
                <w:color w:val="000000"/>
                <w:kern w:val="0"/>
                <w:sz w:val="20"/>
                <w:szCs w:val="20"/>
                <w14:ligatures w14:val="none"/>
              </w:rPr>
            </w:pPr>
            <w:r w:rsidRPr="00C45008">
              <w:rPr>
                <w:rFonts w:eastAsia="Times New Roman" w:cs="Arial"/>
                <w:color w:val="000000"/>
                <w:kern w:val="0"/>
                <w:sz w:val="20"/>
                <w:szCs w:val="20"/>
                <w14:ligatures w14:val="none"/>
              </w:rPr>
              <w:t>0.0478</w:t>
            </w:r>
          </w:p>
        </w:tc>
        <w:tc>
          <w:tcPr>
            <w:tcW w:w="1134" w:type="dxa"/>
            <w:shd w:val="clear" w:color="auto" w:fill="auto"/>
            <w:noWrap/>
            <w:vAlign w:val="center"/>
            <w:hideMark/>
          </w:tcPr>
          <w:p w14:paraId="47FDE1BA" w14:textId="77777777" w:rsidR="00580FFB" w:rsidRPr="00C45008" w:rsidRDefault="00580FFB" w:rsidP="0006518C">
            <w:pPr>
              <w:spacing w:after="0" w:line="240" w:lineRule="auto"/>
              <w:jc w:val="right"/>
              <w:rPr>
                <w:rFonts w:eastAsia="Times New Roman" w:cs="Arial"/>
                <w:color w:val="000000"/>
                <w:kern w:val="0"/>
                <w:sz w:val="20"/>
                <w:szCs w:val="20"/>
                <w14:ligatures w14:val="none"/>
              </w:rPr>
            </w:pPr>
            <w:r w:rsidRPr="00C45008">
              <w:rPr>
                <w:rFonts w:eastAsia="Times New Roman" w:cs="Arial"/>
                <w:color w:val="000000"/>
                <w:kern w:val="0"/>
                <w:sz w:val="20"/>
                <w:szCs w:val="20"/>
                <w14:ligatures w14:val="none"/>
              </w:rPr>
              <w:t>0.0658</w:t>
            </w:r>
          </w:p>
        </w:tc>
        <w:tc>
          <w:tcPr>
            <w:tcW w:w="1020" w:type="dxa"/>
            <w:shd w:val="clear" w:color="auto" w:fill="auto"/>
            <w:noWrap/>
            <w:vAlign w:val="center"/>
            <w:hideMark/>
          </w:tcPr>
          <w:p w14:paraId="71C96878" w14:textId="77777777" w:rsidR="00580FFB" w:rsidRPr="00C45008" w:rsidRDefault="00580FFB" w:rsidP="0006518C">
            <w:pPr>
              <w:spacing w:after="0" w:line="240" w:lineRule="auto"/>
              <w:jc w:val="right"/>
              <w:rPr>
                <w:rFonts w:eastAsia="Times New Roman" w:cs="Arial"/>
                <w:color w:val="000000"/>
                <w:kern w:val="0"/>
                <w:sz w:val="20"/>
                <w:szCs w:val="20"/>
                <w14:ligatures w14:val="none"/>
              </w:rPr>
            </w:pPr>
            <w:r w:rsidRPr="00C45008">
              <w:rPr>
                <w:rFonts w:eastAsia="Times New Roman" w:cs="Arial"/>
                <w:color w:val="000000"/>
                <w:kern w:val="0"/>
                <w:sz w:val="20"/>
                <w:szCs w:val="20"/>
                <w14:ligatures w14:val="none"/>
              </w:rPr>
              <w:t>-0.1047</w:t>
            </w:r>
          </w:p>
        </w:tc>
        <w:tc>
          <w:tcPr>
            <w:tcW w:w="1020" w:type="dxa"/>
            <w:shd w:val="clear" w:color="auto" w:fill="auto"/>
            <w:noWrap/>
            <w:vAlign w:val="center"/>
            <w:hideMark/>
          </w:tcPr>
          <w:p w14:paraId="56B9C3DF" w14:textId="77777777" w:rsidR="00580FFB" w:rsidRPr="00C45008" w:rsidRDefault="00580FFB" w:rsidP="0006518C">
            <w:pPr>
              <w:spacing w:after="0" w:line="240" w:lineRule="auto"/>
              <w:jc w:val="right"/>
              <w:rPr>
                <w:rFonts w:eastAsia="Times New Roman" w:cs="Arial"/>
                <w:color w:val="000000"/>
                <w:kern w:val="0"/>
                <w:sz w:val="20"/>
                <w:szCs w:val="20"/>
                <w14:ligatures w14:val="none"/>
              </w:rPr>
            </w:pPr>
            <w:r w:rsidRPr="00C45008">
              <w:rPr>
                <w:rFonts w:eastAsia="Times New Roman" w:cs="Arial"/>
                <w:color w:val="000000"/>
                <w:kern w:val="0"/>
                <w:sz w:val="20"/>
                <w:szCs w:val="20"/>
                <w14:ligatures w14:val="none"/>
              </w:rPr>
              <w:t>0.2781</w:t>
            </w:r>
          </w:p>
        </w:tc>
      </w:tr>
      <w:tr w:rsidR="00151A18" w:rsidRPr="00C45008" w14:paraId="25B3DBC3" w14:textId="77777777" w:rsidTr="00331E27">
        <w:trPr>
          <w:trHeight w:val="255"/>
          <w:jc w:val="center"/>
        </w:trPr>
        <w:tc>
          <w:tcPr>
            <w:tcW w:w="3118" w:type="dxa"/>
            <w:vMerge w:val="restart"/>
            <w:shd w:val="clear" w:color="auto" w:fill="auto"/>
            <w:noWrap/>
            <w:vAlign w:val="center"/>
            <w:hideMark/>
          </w:tcPr>
          <w:p w14:paraId="12B74DF1" w14:textId="79436FA6" w:rsidR="00151A18" w:rsidRPr="00151A18" w:rsidRDefault="00151A18" w:rsidP="0006518C">
            <w:pPr>
              <w:spacing w:after="0" w:line="240" w:lineRule="auto"/>
              <w:rPr>
                <w:rFonts w:eastAsia="Times New Roman" w:cs="Arial"/>
                <w:color w:val="000000"/>
                <w:kern w:val="0"/>
                <w:sz w:val="20"/>
                <w:szCs w:val="20"/>
                <w:lang w:val="en-US"/>
                <w14:ligatures w14:val="none"/>
              </w:rPr>
            </w:pPr>
            <m:oMath>
              <m:r>
                <w:rPr>
                  <w:rFonts w:ascii="Cambria Math" w:eastAsia="Times New Roman" w:hAnsi="Cambria Math" w:cs="Arial"/>
                  <w:color w:val="000000"/>
                  <w:kern w:val="0"/>
                  <w:sz w:val="20"/>
                  <w:szCs w:val="20"/>
                  <w14:ligatures w14:val="none"/>
                </w:rPr>
                <m:t>roe</m:t>
              </m:r>
            </m:oMath>
            <w:r w:rsidRPr="00C45008">
              <w:rPr>
                <w:rFonts w:eastAsia="Times New Roman" w:cs="Arial"/>
                <w:color w:val="000000"/>
                <w:kern w:val="0"/>
                <w:sz w:val="20"/>
                <w:szCs w:val="20"/>
                <w14:ligatures w14:val="none"/>
              </w:rPr>
              <w:t xml:space="preserve"> – </w:t>
            </w:r>
            <w:r w:rsidRPr="00151A18">
              <w:rPr>
                <w:rFonts w:eastAsia="Times New Roman" w:cs="Arial"/>
                <w:b/>
                <w:bCs/>
                <w:color w:val="000000"/>
                <w:kern w:val="0"/>
                <w:sz w:val="20"/>
                <w:szCs w:val="20"/>
                <w14:ligatures w14:val="none"/>
              </w:rPr>
              <w:t>Return on Equity</w:t>
            </w:r>
            <w:r w:rsidRPr="00C45008">
              <w:rPr>
                <w:rFonts w:eastAsia="Times New Roman" w:cs="Arial"/>
                <w:color w:val="000000"/>
                <w:kern w:val="0"/>
                <w:sz w:val="20"/>
                <w:szCs w:val="20"/>
                <w14:ligatures w14:val="none"/>
              </w:rPr>
              <w:t xml:space="preserve">, </w:t>
            </w:r>
            <w:r>
              <w:rPr>
                <w:rFonts w:eastAsia="Times New Roman" w:cs="Arial"/>
                <w:color w:val="000000"/>
                <w:kern w:val="0"/>
                <w:sz w:val="20"/>
                <w:szCs w:val="20"/>
                <w:lang w:val="en-US"/>
                <w14:ligatures w14:val="none"/>
              </w:rPr>
              <w:t>net income divided by total equity</w:t>
            </w:r>
          </w:p>
        </w:tc>
        <w:tc>
          <w:tcPr>
            <w:tcW w:w="1077" w:type="dxa"/>
            <w:shd w:val="clear" w:color="auto" w:fill="auto"/>
            <w:noWrap/>
            <w:vAlign w:val="center"/>
            <w:hideMark/>
          </w:tcPr>
          <w:p w14:paraId="1D35BECA" w14:textId="0DC35D78" w:rsidR="00151A18" w:rsidRPr="00C45008" w:rsidRDefault="00151A18" w:rsidP="0006518C">
            <w:pPr>
              <w:spacing w:after="0" w:line="240" w:lineRule="auto"/>
              <w:jc w:val="center"/>
              <w:rPr>
                <w:rFonts w:eastAsia="Times New Roman" w:cs="Arial"/>
                <w:color w:val="000000"/>
                <w:kern w:val="0"/>
                <w:sz w:val="20"/>
                <w:szCs w:val="20"/>
                <w14:ligatures w14:val="none"/>
              </w:rPr>
            </w:pPr>
            <w:r>
              <w:rPr>
                <w:rFonts w:eastAsia="Times New Roman" w:cs="Arial"/>
                <w:color w:val="000000"/>
                <w:kern w:val="0"/>
                <w:sz w:val="20"/>
                <w:szCs w:val="20"/>
                <w:lang w:val="en-US"/>
                <w14:ligatures w14:val="none"/>
              </w:rPr>
              <w:t>All</w:t>
            </w:r>
          </w:p>
        </w:tc>
        <w:tc>
          <w:tcPr>
            <w:tcW w:w="1134" w:type="dxa"/>
            <w:shd w:val="clear" w:color="auto" w:fill="auto"/>
            <w:noWrap/>
            <w:vAlign w:val="center"/>
            <w:hideMark/>
          </w:tcPr>
          <w:p w14:paraId="31E5139D" w14:textId="77777777" w:rsidR="00151A18" w:rsidRPr="00C45008" w:rsidRDefault="00151A18" w:rsidP="0006518C">
            <w:pPr>
              <w:spacing w:after="0" w:line="240" w:lineRule="auto"/>
              <w:jc w:val="center"/>
              <w:rPr>
                <w:rFonts w:eastAsia="Times New Roman" w:cs="Arial"/>
                <w:color w:val="000000"/>
                <w:kern w:val="0"/>
                <w:sz w:val="20"/>
                <w:szCs w:val="20"/>
                <w14:ligatures w14:val="none"/>
              </w:rPr>
            </w:pPr>
            <w:r w:rsidRPr="00C45008">
              <w:rPr>
                <w:rFonts w:eastAsia="Times New Roman" w:cs="Arial"/>
                <w:color w:val="000000"/>
                <w:kern w:val="0"/>
                <w:sz w:val="20"/>
                <w:szCs w:val="20"/>
                <w14:ligatures w14:val="none"/>
              </w:rPr>
              <w:t>180</w:t>
            </w:r>
          </w:p>
        </w:tc>
        <w:tc>
          <w:tcPr>
            <w:tcW w:w="964" w:type="dxa"/>
            <w:shd w:val="clear" w:color="auto" w:fill="auto"/>
            <w:noWrap/>
            <w:vAlign w:val="center"/>
            <w:hideMark/>
          </w:tcPr>
          <w:p w14:paraId="3C2E4BC5" w14:textId="77777777" w:rsidR="00151A18" w:rsidRPr="00C45008" w:rsidRDefault="00151A18" w:rsidP="0006518C">
            <w:pPr>
              <w:spacing w:after="0" w:line="240" w:lineRule="auto"/>
              <w:jc w:val="right"/>
              <w:rPr>
                <w:rFonts w:eastAsia="Times New Roman" w:cs="Arial"/>
                <w:color w:val="000000"/>
                <w:kern w:val="0"/>
                <w:sz w:val="20"/>
                <w:szCs w:val="20"/>
                <w14:ligatures w14:val="none"/>
              </w:rPr>
            </w:pPr>
            <w:r w:rsidRPr="00C45008">
              <w:rPr>
                <w:rFonts w:eastAsia="Times New Roman" w:cs="Arial"/>
                <w:color w:val="000000"/>
                <w:kern w:val="0"/>
                <w:sz w:val="20"/>
                <w:szCs w:val="20"/>
                <w14:ligatures w14:val="none"/>
              </w:rPr>
              <w:t>0.0894</w:t>
            </w:r>
          </w:p>
        </w:tc>
        <w:tc>
          <w:tcPr>
            <w:tcW w:w="1134" w:type="dxa"/>
            <w:shd w:val="clear" w:color="auto" w:fill="auto"/>
            <w:noWrap/>
            <w:vAlign w:val="center"/>
            <w:hideMark/>
          </w:tcPr>
          <w:p w14:paraId="571DA752" w14:textId="77777777" w:rsidR="00151A18" w:rsidRPr="00C45008" w:rsidRDefault="00151A18" w:rsidP="0006518C">
            <w:pPr>
              <w:spacing w:after="0" w:line="240" w:lineRule="auto"/>
              <w:jc w:val="right"/>
              <w:rPr>
                <w:rFonts w:eastAsia="Times New Roman" w:cs="Arial"/>
                <w:color w:val="000000"/>
                <w:kern w:val="0"/>
                <w:sz w:val="20"/>
                <w:szCs w:val="20"/>
                <w14:ligatures w14:val="none"/>
              </w:rPr>
            </w:pPr>
            <w:r w:rsidRPr="00C45008">
              <w:rPr>
                <w:rFonts w:eastAsia="Times New Roman" w:cs="Arial"/>
                <w:color w:val="000000"/>
                <w:kern w:val="0"/>
                <w:sz w:val="20"/>
                <w:szCs w:val="20"/>
                <w14:ligatures w14:val="none"/>
              </w:rPr>
              <w:t>0.1625</w:t>
            </w:r>
          </w:p>
        </w:tc>
        <w:tc>
          <w:tcPr>
            <w:tcW w:w="1020" w:type="dxa"/>
            <w:shd w:val="clear" w:color="auto" w:fill="auto"/>
            <w:noWrap/>
            <w:vAlign w:val="center"/>
            <w:hideMark/>
          </w:tcPr>
          <w:p w14:paraId="27A8DE11" w14:textId="77777777" w:rsidR="00151A18" w:rsidRPr="00C45008" w:rsidRDefault="00151A18" w:rsidP="0006518C">
            <w:pPr>
              <w:spacing w:after="0" w:line="240" w:lineRule="auto"/>
              <w:jc w:val="right"/>
              <w:rPr>
                <w:rFonts w:eastAsia="Times New Roman" w:cs="Arial"/>
                <w:color w:val="000000"/>
                <w:kern w:val="0"/>
                <w:sz w:val="20"/>
                <w:szCs w:val="20"/>
                <w14:ligatures w14:val="none"/>
              </w:rPr>
            </w:pPr>
            <w:r w:rsidRPr="00C45008">
              <w:rPr>
                <w:rFonts w:eastAsia="Times New Roman" w:cs="Arial"/>
                <w:color w:val="000000"/>
                <w:kern w:val="0"/>
                <w:sz w:val="20"/>
                <w:szCs w:val="20"/>
                <w14:ligatures w14:val="none"/>
              </w:rPr>
              <w:t>-0.5907</w:t>
            </w:r>
          </w:p>
        </w:tc>
        <w:tc>
          <w:tcPr>
            <w:tcW w:w="1020" w:type="dxa"/>
            <w:shd w:val="clear" w:color="auto" w:fill="auto"/>
            <w:noWrap/>
            <w:vAlign w:val="center"/>
            <w:hideMark/>
          </w:tcPr>
          <w:p w14:paraId="145BED86" w14:textId="77777777" w:rsidR="00151A18" w:rsidRPr="00C45008" w:rsidRDefault="00151A18" w:rsidP="0006518C">
            <w:pPr>
              <w:spacing w:after="0" w:line="240" w:lineRule="auto"/>
              <w:jc w:val="right"/>
              <w:rPr>
                <w:rFonts w:eastAsia="Times New Roman" w:cs="Arial"/>
                <w:color w:val="000000"/>
                <w:kern w:val="0"/>
                <w:sz w:val="20"/>
                <w:szCs w:val="20"/>
                <w14:ligatures w14:val="none"/>
              </w:rPr>
            </w:pPr>
            <w:r w:rsidRPr="00C45008">
              <w:rPr>
                <w:rFonts w:eastAsia="Times New Roman" w:cs="Arial"/>
                <w:color w:val="000000"/>
                <w:kern w:val="0"/>
                <w:sz w:val="20"/>
                <w:szCs w:val="20"/>
                <w14:ligatures w14:val="none"/>
              </w:rPr>
              <w:t>0.5712</w:t>
            </w:r>
          </w:p>
        </w:tc>
      </w:tr>
      <w:tr w:rsidR="00151A18" w:rsidRPr="00C45008" w14:paraId="7FC8F7C4" w14:textId="77777777" w:rsidTr="00331E27">
        <w:trPr>
          <w:trHeight w:val="255"/>
          <w:jc w:val="center"/>
        </w:trPr>
        <w:tc>
          <w:tcPr>
            <w:tcW w:w="3118" w:type="dxa"/>
            <w:vMerge/>
            <w:shd w:val="clear" w:color="auto" w:fill="auto"/>
            <w:noWrap/>
            <w:vAlign w:val="center"/>
          </w:tcPr>
          <w:p w14:paraId="00029685" w14:textId="77777777" w:rsidR="00151A18" w:rsidRPr="00C45008" w:rsidRDefault="00151A18" w:rsidP="0006518C">
            <w:pPr>
              <w:spacing w:after="0" w:line="240" w:lineRule="auto"/>
              <w:rPr>
                <w:rFonts w:eastAsia="Times New Roman" w:cs="Arial"/>
                <w:color w:val="000000"/>
                <w:kern w:val="0"/>
                <w:sz w:val="20"/>
                <w:szCs w:val="20"/>
                <w14:ligatures w14:val="none"/>
              </w:rPr>
            </w:pPr>
          </w:p>
        </w:tc>
        <w:tc>
          <w:tcPr>
            <w:tcW w:w="1077" w:type="dxa"/>
            <w:shd w:val="clear" w:color="auto" w:fill="auto"/>
            <w:noWrap/>
            <w:vAlign w:val="center"/>
            <w:hideMark/>
          </w:tcPr>
          <w:p w14:paraId="7E551526" w14:textId="6EBDCD69" w:rsidR="00151A18" w:rsidRPr="00C45008" w:rsidRDefault="00151A18" w:rsidP="0006518C">
            <w:pPr>
              <w:spacing w:after="0" w:line="240" w:lineRule="auto"/>
              <w:jc w:val="center"/>
              <w:rPr>
                <w:rFonts w:eastAsia="Times New Roman" w:cs="Arial"/>
                <w:color w:val="000000"/>
                <w:kern w:val="0"/>
                <w:sz w:val="20"/>
                <w:szCs w:val="20"/>
                <w14:ligatures w14:val="none"/>
              </w:rPr>
            </w:pPr>
            <w:r>
              <w:rPr>
                <w:rFonts w:eastAsia="Times New Roman" w:cs="Arial"/>
                <w:color w:val="000000"/>
                <w:kern w:val="0"/>
                <w:sz w:val="20"/>
                <w:szCs w:val="20"/>
                <w:lang w:val="en-US"/>
                <w14:ligatures w14:val="none"/>
              </w:rPr>
              <w:t>No</w:t>
            </w:r>
          </w:p>
        </w:tc>
        <w:tc>
          <w:tcPr>
            <w:tcW w:w="1134" w:type="dxa"/>
            <w:shd w:val="clear" w:color="auto" w:fill="auto"/>
            <w:noWrap/>
            <w:vAlign w:val="center"/>
            <w:hideMark/>
          </w:tcPr>
          <w:p w14:paraId="211952C9" w14:textId="77777777" w:rsidR="00151A18" w:rsidRPr="00C45008" w:rsidRDefault="00151A18" w:rsidP="0006518C">
            <w:pPr>
              <w:spacing w:after="0" w:line="240" w:lineRule="auto"/>
              <w:jc w:val="center"/>
              <w:rPr>
                <w:rFonts w:eastAsia="Times New Roman" w:cs="Arial"/>
                <w:color w:val="000000"/>
                <w:kern w:val="0"/>
                <w:sz w:val="20"/>
                <w:szCs w:val="20"/>
                <w14:ligatures w14:val="none"/>
              </w:rPr>
            </w:pPr>
            <w:r w:rsidRPr="00C45008">
              <w:rPr>
                <w:rFonts w:eastAsia="Times New Roman" w:cs="Arial"/>
                <w:color w:val="000000"/>
                <w:kern w:val="0"/>
                <w:sz w:val="20"/>
                <w:szCs w:val="20"/>
                <w14:ligatures w14:val="none"/>
              </w:rPr>
              <w:t>92</w:t>
            </w:r>
          </w:p>
        </w:tc>
        <w:tc>
          <w:tcPr>
            <w:tcW w:w="964" w:type="dxa"/>
            <w:shd w:val="clear" w:color="auto" w:fill="auto"/>
            <w:noWrap/>
            <w:vAlign w:val="center"/>
            <w:hideMark/>
          </w:tcPr>
          <w:p w14:paraId="6389B3B9" w14:textId="77777777" w:rsidR="00151A18" w:rsidRPr="00C45008" w:rsidRDefault="00151A18" w:rsidP="0006518C">
            <w:pPr>
              <w:spacing w:after="0" w:line="240" w:lineRule="auto"/>
              <w:jc w:val="right"/>
              <w:rPr>
                <w:rFonts w:eastAsia="Times New Roman" w:cs="Arial"/>
                <w:color w:val="000000"/>
                <w:kern w:val="0"/>
                <w:sz w:val="20"/>
                <w:szCs w:val="20"/>
                <w14:ligatures w14:val="none"/>
              </w:rPr>
            </w:pPr>
            <w:r w:rsidRPr="00C45008">
              <w:rPr>
                <w:rFonts w:eastAsia="Times New Roman" w:cs="Arial"/>
                <w:color w:val="000000"/>
                <w:kern w:val="0"/>
                <w:sz w:val="20"/>
                <w:szCs w:val="20"/>
                <w14:ligatures w14:val="none"/>
              </w:rPr>
              <w:t>0.0758</w:t>
            </w:r>
          </w:p>
        </w:tc>
        <w:tc>
          <w:tcPr>
            <w:tcW w:w="1134" w:type="dxa"/>
            <w:shd w:val="clear" w:color="auto" w:fill="auto"/>
            <w:noWrap/>
            <w:vAlign w:val="center"/>
            <w:hideMark/>
          </w:tcPr>
          <w:p w14:paraId="34C09DB8" w14:textId="77777777" w:rsidR="00151A18" w:rsidRPr="00C45008" w:rsidRDefault="00151A18" w:rsidP="0006518C">
            <w:pPr>
              <w:spacing w:after="0" w:line="240" w:lineRule="auto"/>
              <w:jc w:val="right"/>
              <w:rPr>
                <w:rFonts w:eastAsia="Times New Roman" w:cs="Arial"/>
                <w:color w:val="000000"/>
                <w:kern w:val="0"/>
                <w:sz w:val="20"/>
                <w:szCs w:val="20"/>
                <w14:ligatures w14:val="none"/>
              </w:rPr>
            </w:pPr>
            <w:r w:rsidRPr="00C45008">
              <w:rPr>
                <w:rFonts w:eastAsia="Times New Roman" w:cs="Arial"/>
                <w:color w:val="000000"/>
                <w:kern w:val="0"/>
                <w:sz w:val="20"/>
                <w:szCs w:val="20"/>
                <w14:ligatures w14:val="none"/>
              </w:rPr>
              <w:t>0.1712</w:t>
            </w:r>
          </w:p>
        </w:tc>
        <w:tc>
          <w:tcPr>
            <w:tcW w:w="1020" w:type="dxa"/>
            <w:shd w:val="clear" w:color="auto" w:fill="auto"/>
            <w:noWrap/>
            <w:vAlign w:val="center"/>
            <w:hideMark/>
          </w:tcPr>
          <w:p w14:paraId="5C6F69B1" w14:textId="77777777" w:rsidR="00151A18" w:rsidRPr="00C45008" w:rsidRDefault="00151A18" w:rsidP="0006518C">
            <w:pPr>
              <w:spacing w:after="0" w:line="240" w:lineRule="auto"/>
              <w:jc w:val="right"/>
              <w:rPr>
                <w:rFonts w:eastAsia="Times New Roman" w:cs="Arial"/>
                <w:color w:val="000000"/>
                <w:kern w:val="0"/>
                <w:sz w:val="20"/>
                <w:szCs w:val="20"/>
                <w14:ligatures w14:val="none"/>
              </w:rPr>
            </w:pPr>
            <w:r w:rsidRPr="00C45008">
              <w:rPr>
                <w:rFonts w:eastAsia="Times New Roman" w:cs="Arial"/>
                <w:color w:val="000000"/>
                <w:kern w:val="0"/>
                <w:sz w:val="20"/>
                <w:szCs w:val="20"/>
                <w14:ligatures w14:val="none"/>
              </w:rPr>
              <w:t>-0.5907</w:t>
            </w:r>
          </w:p>
        </w:tc>
        <w:tc>
          <w:tcPr>
            <w:tcW w:w="1020" w:type="dxa"/>
            <w:shd w:val="clear" w:color="auto" w:fill="auto"/>
            <w:noWrap/>
            <w:vAlign w:val="center"/>
            <w:hideMark/>
          </w:tcPr>
          <w:p w14:paraId="3936A0F0" w14:textId="77777777" w:rsidR="00151A18" w:rsidRPr="00C45008" w:rsidRDefault="00151A18" w:rsidP="0006518C">
            <w:pPr>
              <w:spacing w:after="0" w:line="240" w:lineRule="auto"/>
              <w:jc w:val="right"/>
              <w:rPr>
                <w:rFonts w:eastAsia="Times New Roman" w:cs="Arial"/>
                <w:color w:val="000000"/>
                <w:kern w:val="0"/>
                <w:sz w:val="20"/>
                <w:szCs w:val="20"/>
                <w14:ligatures w14:val="none"/>
              </w:rPr>
            </w:pPr>
            <w:r w:rsidRPr="00C45008">
              <w:rPr>
                <w:rFonts w:eastAsia="Times New Roman" w:cs="Arial"/>
                <w:color w:val="000000"/>
                <w:kern w:val="0"/>
                <w:sz w:val="20"/>
                <w:szCs w:val="20"/>
                <w14:ligatures w14:val="none"/>
              </w:rPr>
              <w:t>0.5712</w:t>
            </w:r>
          </w:p>
        </w:tc>
      </w:tr>
      <w:tr w:rsidR="00151A18" w:rsidRPr="00C45008" w14:paraId="7D72C5B9" w14:textId="77777777" w:rsidTr="00331E27">
        <w:trPr>
          <w:trHeight w:val="255"/>
          <w:jc w:val="center"/>
        </w:trPr>
        <w:tc>
          <w:tcPr>
            <w:tcW w:w="3118" w:type="dxa"/>
            <w:vMerge/>
            <w:shd w:val="clear" w:color="auto" w:fill="auto"/>
            <w:noWrap/>
            <w:vAlign w:val="center"/>
          </w:tcPr>
          <w:p w14:paraId="5BD61F93" w14:textId="77777777" w:rsidR="00151A18" w:rsidRPr="00C45008" w:rsidRDefault="00151A18" w:rsidP="0006518C">
            <w:pPr>
              <w:spacing w:after="0" w:line="240" w:lineRule="auto"/>
              <w:rPr>
                <w:rFonts w:eastAsia="Times New Roman" w:cs="Arial"/>
                <w:color w:val="000000"/>
                <w:kern w:val="0"/>
                <w:sz w:val="20"/>
                <w:szCs w:val="20"/>
                <w14:ligatures w14:val="none"/>
              </w:rPr>
            </w:pPr>
          </w:p>
        </w:tc>
        <w:tc>
          <w:tcPr>
            <w:tcW w:w="1077" w:type="dxa"/>
            <w:shd w:val="clear" w:color="auto" w:fill="auto"/>
            <w:noWrap/>
            <w:vAlign w:val="center"/>
            <w:hideMark/>
          </w:tcPr>
          <w:p w14:paraId="40863088" w14:textId="3AA6F8FC" w:rsidR="00151A18" w:rsidRPr="00C45008" w:rsidRDefault="00151A18" w:rsidP="0006518C">
            <w:pPr>
              <w:spacing w:after="0" w:line="240" w:lineRule="auto"/>
              <w:jc w:val="center"/>
              <w:rPr>
                <w:rFonts w:eastAsia="Times New Roman" w:cs="Arial"/>
                <w:color w:val="000000"/>
                <w:kern w:val="0"/>
                <w:sz w:val="20"/>
                <w:szCs w:val="20"/>
                <w14:ligatures w14:val="none"/>
              </w:rPr>
            </w:pPr>
            <w:r>
              <w:rPr>
                <w:rFonts w:eastAsia="Times New Roman" w:cs="Arial"/>
                <w:color w:val="000000"/>
                <w:kern w:val="0"/>
                <w:sz w:val="20"/>
                <w:szCs w:val="20"/>
                <w:lang w:val="en-US"/>
                <w14:ligatures w14:val="none"/>
              </w:rPr>
              <w:t>Yes</w:t>
            </w:r>
          </w:p>
        </w:tc>
        <w:tc>
          <w:tcPr>
            <w:tcW w:w="1134" w:type="dxa"/>
            <w:shd w:val="clear" w:color="auto" w:fill="auto"/>
            <w:noWrap/>
            <w:vAlign w:val="center"/>
            <w:hideMark/>
          </w:tcPr>
          <w:p w14:paraId="77009AFC" w14:textId="77777777" w:rsidR="00151A18" w:rsidRPr="00C45008" w:rsidRDefault="00151A18" w:rsidP="0006518C">
            <w:pPr>
              <w:spacing w:after="0" w:line="240" w:lineRule="auto"/>
              <w:jc w:val="center"/>
              <w:rPr>
                <w:rFonts w:eastAsia="Times New Roman" w:cs="Arial"/>
                <w:color w:val="000000"/>
                <w:kern w:val="0"/>
                <w:sz w:val="20"/>
                <w:szCs w:val="20"/>
                <w14:ligatures w14:val="none"/>
              </w:rPr>
            </w:pPr>
            <w:r w:rsidRPr="00C45008">
              <w:rPr>
                <w:rFonts w:eastAsia="Times New Roman" w:cs="Arial"/>
                <w:color w:val="000000"/>
                <w:kern w:val="0"/>
                <w:sz w:val="20"/>
                <w:szCs w:val="20"/>
                <w14:ligatures w14:val="none"/>
              </w:rPr>
              <w:t>88</w:t>
            </w:r>
          </w:p>
        </w:tc>
        <w:tc>
          <w:tcPr>
            <w:tcW w:w="964" w:type="dxa"/>
            <w:shd w:val="clear" w:color="auto" w:fill="auto"/>
            <w:noWrap/>
            <w:vAlign w:val="center"/>
            <w:hideMark/>
          </w:tcPr>
          <w:p w14:paraId="6D469D9F" w14:textId="77777777" w:rsidR="00151A18" w:rsidRPr="00C45008" w:rsidRDefault="00151A18" w:rsidP="0006518C">
            <w:pPr>
              <w:spacing w:after="0" w:line="240" w:lineRule="auto"/>
              <w:jc w:val="right"/>
              <w:rPr>
                <w:rFonts w:eastAsia="Times New Roman" w:cs="Arial"/>
                <w:color w:val="000000"/>
                <w:kern w:val="0"/>
                <w:sz w:val="20"/>
                <w:szCs w:val="20"/>
                <w14:ligatures w14:val="none"/>
              </w:rPr>
            </w:pPr>
            <w:r w:rsidRPr="00C45008">
              <w:rPr>
                <w:rFonts w:eastAsia="Times New Roman" w:cs="Arial"/>
                <w:color w:val="000000"/>
                <w:kern w:val="0"/>
                <w:sz w:val="20"/>
                <w:szCs w:val="20"/>
                <w14:ligatures w14:val="none"/>
              </w:rPr>
              <w:t>0.1036</w:t>
            </w:r>
          </w:p>
        </w:tc>
        <w:tc>
          <w:tcPr>
            <w:tcW w:w="1134" w:type="dxa"/>
            <w:shd w:val="clear" w:color="auto" w:fill="auto"/>
            <w:noWrap/>
            <w:vAlign w:val="center"/>
            <w:hideMark/>
          </w:tcPr>
          <w:p w14:paraId="4919C224" w14:textId="77777777" w:rsidR="00151A18" w:rsidRPr="00C45008" w:rsidRDefault="00151A18" w:rsidP="0006518C">
            <w:pPr>
              <w:spacing w:after="0" w:line="240" w:lineRule="auto"/>
              <w:jc w:val="right"/>
              <w:rPr>
                <w:rFonts w:eastAsia="Times New Roman" w:cs="Arial"/>
                <w:color w:val="000000"/>
                <w:kern w:val="0"/>
                <w:sz w:val="20"/>
                <w:szCs w:val="20"/>
                <w14:ligatures w14:val="none"/>
              </w:rPr>
            </w:pPr>
            <w:r w:rsidRPr="00C45008">
              <w:rPr>
                <w:rFonts w:eastAsia="Times New Roman" w:cs="Arial"/>
                <w:color w:val="000000"/>
                <w:kern w:val="0"/>
                <w:sz w:val="20"/>
                <w:szCs w:val="20"/>
                <w14:ligatures w14:val="none"/>
              </w:rPr>
              <w:t>0.1525</w:t>
            </w:r>
          </w:p>
        </w:tc>
        <w:tc>
          <w:tcPr>
            <w:tcW w:w="1020" w:type="dxa"/>
            <w:shd w:val="clear" w:color="auto" w:fill="auto"/>
            <w:noWrap/>
            <w:vAlign w:val="center"/>
            <w:hideMark/>
          </w:tcPr>
          <w:p w14:paraId="7C39AFC6" w14:textId="77777777" w:rsidR="00151A18" w:rsidRPr="00C45008" w:rsidRDefault="00151A18" w:rsidP="0006518C">
            <w:pPr>
              <w:spacing w:after="0" w:line="240" w:lineRule="auto"/>
              <w:jc w:val="right"/>
              <w:rPr>
                <w:rFonts w:eastAsia="Times New Roman" w:cs="Arial"/>
                <w:color w:val="000000"/>
                <w:kern w:val="0"/>
                <w:sz w:val="20"/>
                <w:szCs w:val="20"/>
                <w14:ligatures w14:val="none"/>
              </w:rPr>
            </w:pPr>
            <w:r w:rsidRPr="00C45008">
              <w:rPr>
                <w:rFonts w:eastAsia="Times New Roman" w:cs="Arial"/>
                <w:color w:val="000000"/>
                <w:kern w:val="0"/>
                <w:sz w:val="20"/>
                <w:szCs w:val="20"/>
                <w14:ligatures w14:val="none"/>
              </w:rPr>
              <w:t>-0.5907</w:t>
            </w:r>
          </w:p>
        </w:tc>
        <w:tc>
          <w:tcPr>
            <w:tcW w:w="1020" w:type="dxa"/>
            <w:shd w:val="clear" w:color="auto" w:fill="auto"/>
            <w:noWrap/>
            <w:vAlign w:val="center"/>
            <w:hideMark/>
          </w:tcPr>
          <w:p w14:paraId="4C1930D2" w14:textId="77777777" w:rsidR="00151A18" w:rsidRPr="00C45008" w:rsidRDefault="00151A18" w:rsidP="0006518C">
            <w:pPr>
              <w:spacing w:after="0" w:line="240" w:lineRule="auto"/>
              <w:jc w:val="right"/>
              <w:rPr>
                <w:rFonts w:eastAsia="Times New Roman" w:cs="Arial"/>
                <w:color w:val="000000"/>
                <w:kern w:val="0"/>
                <w:sz w:val="20"/>
                <w:szCs w:val="20"/>
                <w14:ligatures w14:val="none"/>
              </w:rPr>
            </w:pPr>
            <w:r w:rsidRPr="00C45008">
              <w:rPr>
                <w:rFonts w:eastAsia="Times New Roman" w:cs="Arial"/>
                <w:color w:val="000000"/>
                <w:kern w:val="0"/>
                <w:sz w:val="20"/>
                <w:szCs w:val="20"/>
                <w14:ligatures w14:val="none"/>
              </w:rPr>
              <w:t>0.5008</w:t>
            </w:r>
          </w:p>
        </w:tc>
      </w:tr>
      <w:tr w:rsidR="00580FFB" w:rsidRPr="00C45008" w14:paraId="371430B0" w14:textId="77777777" w:rsidTr="00331E27">
        <w:trPr>
          <w:trHeight w:val="255"/>
          <w:jc w:val="center"/>
        </w:trPr>
        <w:tc>
          <w:tcPr>
            <w:tcW w:w="9467" w:type="dxa"/>
            <w:gridSpan w:val="7"/>
            <w:shd w:val="clear" w:color="auto" w:fill="D9D9D9" w:themeFill="background1" w:themeFillShade="D9"/>
            <w:noWrap/>
            <w:vAlign w:val="center"/>
          </w:tcPr>
          <w:p w14:paraId="37183774" w14:textId="6545B216" w:rsidR="00580FFB" w:rsidRPr="00C45008" w:rsidRDefault="00151A18" w:rsidP="0006518C">
            <w:pPr>
              <w:spacing w:after="0" w:line="240" w:lineRule="auto"/>
              <w:rPr>
                <w:rFonts w:eastAsia="Times New Roman" w:cs="Arial"/>
                <w:i/>
                <w:iCs/>
                <w:color w:val="000000"/>
                <w:kern w:val="0"/>
                <w:sz w:val="20"/>
                <w:szCs w:val="20"/>
                <w14:ligatures w14:val="none"/>
              </w:rPr>
            </w:pPr>
            <w:r w:rsidRPr="00151A18">
              <w:rPr>
                <w:rFonts w:eastAsia="Times New Roman" w:cs="Arial"/>
                <w:i/>
                <w:iCs/>
                <w:color w:val="000000"/>
                <w:kern w:val="0"/>
                <w:sz w:val="20"/>
                <w:szCs w:val="20"/>
                <w14:ligatures w14:val="none"/>
              </w:rPr>
              <w:t>Amoeba Adoption</w:t>
            </w:r>
            <w:r w:rsidR="004A585A">
              <w:rPr>
                <w:rFonts w:eastAsia="Times New Roman" w:cs="Arial"/>
                <w:i/>
                <w:iCs/>
                <w:color w:val="000000"/>
                <w:kern w:val="0"/>
                <w:sz w:val="20"/>
                <w:szCs w:val="20"/>
                <w:lang w:val="en-US"/>
                <w14:ligatures w14:val="none"/>
              </w:rPr>
              <w:t>-</w:t>
            </w:r>
            <w:r w:rsidRPr="00151A18">
              <w:rPr>
                <w:rFonts w:eastAsia="Times New Roman" w:cs="Arial"/>
                <w:i/>
                <w:iCs/>
                <w:color w:val="000000"/>
                <w:kern w:val="0"/>
                <w:sz w:val="20"/>
                <w:szCs w:val="20"/>
                <w14:ligatures w14:val="none"/>
              </w:rPr>
              <w:t>Related Variables</w:t>
            </w:r>
          </w:p>
        </w:tc>
      </w:tr>
      <w:tr w:rsidR="00151A18" w:rsidRPr="00C45008" w14:paraId="00798D0C" w14:textId="77777777" w:rsidTr="00331E27">
        <w:trPr>
          <w:trHeight w:val="255"/>
          <w:jc w:val="center"/>
        </w:trPr>
        <w:tc>
          <w:tcPr>
            <w:tcW w:w="3118" w:type="dxa"/>
            <w:vMerge w:val="restart"/>
            <w:shd w:val="clear" w:color="auto" w:fill="auto"/>
            <w:noWrap/>
            <w:vAlign w:val="center"/>
            <w:hideMark/>
          </w:tcPr>
          <w:p w14:paraId="1C9C97B9" w14:textId="34968625" w:rsidR="00151A18" w:rsidRPr="00C45008" w:rsidRDefault="00151A18" w:rsidP="0006518C">
            <w:pPr>
              <w:spacing w:after="0" w:line="240" w:lineRule="auto"/>
              <w:rPr>
                <w:rFonts w:eastAsia="Times New Roman" w:cs="Arial"/>
                <w:color w:val="000000"/>
                <w:kern w:val="0"/>
                <w:sz w:val="20"/>
                <w:szCs w:val="20"/>
                <w14:ligatures w14:val="none"/>
              </w:rPr>
            </w:pPr>
            <m:oMath>
              <m:r>
                <w:rPr>
                  <w:rFonts w:ascii="Cambria Math" w:eastAsia="Times New Roman" w:hAnsi="Cambria Math" w:cs="Arial"/>
                  <w:color w:val="000000"/>
                  <w:kern w:val="0"/>
                  <w:sz w:val="20"/>
                  <w:szCs w:val="20"/>
                  <w14:ligatures w14:val="none"/>
                </w:rPr>
                <m:t>did</m:t>
              </m:r>
            </m:oMath>
            <w:r w:rsidRPr="00C45008">
              <w:rPr>
                <w:rFonts w:eastAsia="Times New Roman" w:cs="Arial"/>
                <w:color w:val="000000"/>
                <w:kern w:val="0"/>
                <w:sz w:val="20"/>
                <w:szCs w:val="20"/>
                <w14:ligatures w14:val="none"/>
              </w:rPr>
              <w:t xml:space="preserve"> – </w:t>
            </w:r>
            <w:r>
              <w:rPr>
                <w:rFonts w:eastAsia="Times New Roman" w:cs="Arial"/>
                <w:color w:val="000000"/>
                <w:kern w:val="0"/>
                <w:sz w:val="20"/>
                <w:szCs w:val="20"/>
                <w14:ligatures w14:val="none"/>
              </w:rPr>
              <w:t>d</w:t>
            </w:r>
            <w:r>
              <w:rPr>
                <w:rFonts w:eastAsia="Times New Roman" w:cs="Arial"/>
                <w:color w:val="000000"/>
                <w:kern w:val="0"/>
                <w:sz w:val="20"/>
                <w:szCs w:val="20"/>
                <w:lang w:val="en-US"/>
                <w14:ligatures w14:val="none"/>
              </w:rPr>
              <w:t xml:space="preserve">ummy </w:t>
            </w:r>
            <w:r w:rsidRPr="00151A18">
              <w:rPr>
                <w:rFonts w:eastAsia="Times New Roman" w:cs="Arial"/>
                <w:color w:val="000000"/>
                <w:kern w:val="0"/>
                <w:sz w:val="20"/>
                <w:szCs w:val="20"/>
                <w14:ligatures w14:val="none"/>
              </w:rPr>
              <w:t>variable capturing the difference between firms that have adopted the Amoeba model and those that have not</w:t>
            </w:r>
          </w:p>
        </w:tc>
        <w:tc>
          <w:tcPr>
            <w:tcW w:w="1077" w:type="dxa"/>
            <w:shd w:val="clear" w:color="auto" w:fill="auto"/>
            <w:noWrap/>
            <w:vAlign w:val="center"/>
            <w:hideMark/>
          </w:tcPr>
          <w:p w14:paraId="3E754822" w14:textId="03430994" w:rsidR="00151A18" w:rsidRPr="00C45008" w:rsidRDefault="00151A18" w:rsidP="0006518C">
            <w:pPr>
              <w:spacing w:after="0" w:line="240" w:lineRule="auto"/>
              <w:jc w:val="center"/>
              <w:rPr>
                <w:rFonts w:eastAsia="Times New Roman" w:cs="Arial"/>
                <w:color w:val="000000"/>
                <w:kern w:val="0"/>
                <w:sz w:val="20"/>
                <w:szCs w:val="20"/>
                <w14:ligatures w14:val="none"/>
              </w:rPr>
            </w:pPr>
            <w:r>
              <w:rPr>
                <w:rFonts w:eastAsia="Times New Roman" w:cs="Arial"/>
                <w:color w:val="000000"/>
                <w:kern w:val="0"/>
                <w:sz w:val="20"/>
                <w:szCs w:val="20"/>
                <w:lang w:val="en-US"/>
                <w14:ligatures w14:val="none"/>
              </w:rPr>
              <w:t>All</w:t>
            </w:r>
          </w:p>
        </w:tc>
        <w:tc>
          <w:tcPr>
            <w:tcW w:w="1134" w:type="dxa"/>
            <w:shd w:val="clear" w:color="auto" w:fill="auto"/>
            <w:noWrap/>
            <w:vAlign w:val="center"/>
            <w:hideMark/>
          </w:tcPr>
          <w:p w14:paraId="345D1579" w14:textId="77777777" w:rsidR="00151A18" w:rsidRPr="00C45008" w:rsidRDefault="00151A18" w:rsidP="0006518C">
            <w:pPr>
              <w:spacing w:after="0" w:line="240" w:lineRule="auto"/>
              <w:jc w:val="center"/>
              <w:rPr>
                <w:rFonts w:eastAsia="Times New Roman" w:cs="Arial"/>
                <w:color w:val="000000"/>
                <w:kern w:val="0"/>
                <w:sz w:val="20"/>
                <w:szCs w:val="20"/>
                <w14:ligatures w14:val="none"/>
              </w:rPr>
            </w:pPr>
            <w:r w:rsidRPr="00C45008">
              <w:rPr>
                <w:rFonts w:eastAsia="Times New Roman" w:cs="Arial"/>
                <w:color w:val="000000"/>
                <w:kern w:val="0"/>
                <w:sz w:val="20"/>
                <w:szCs w:val="20"/>
                <w14:ligatures w14:val="none"/>
              </w:rPr>
              <w:t>180</w:t>
            </w:r>
          </w:p>
        </w:tc>
        <w:tc>
          <w:tcPr>
            <w:tcW w:w="964" w:type="dxa"/>
            <w:shd w:val="clear" w:color="auto" w:fill="auto"/>
            <w:noWrap/>
            <w:vAlign w:val="center"/>
            <w:hideMark/>
          </w:tcPr>
          <w:p w14:paraId="720D839E" w14:textId="77777777" w:rsidR="00151A18" w:rsidRPr="00C45008" w:rsidRDefault="00151A18" w:rsidP="0006518C">
            <w:pPr>
              <w:spacing w:after="0" w:line="240" w:lineRule="auto"/>
              <w:jc w:val="right"/>
              <w:rPr>
                <w:rFonts w:eastAsia="Times New Roman" w:cs="Arial"/>
                <w:color w:val="000000"/>
                <w:kern w:val="0"/>
                <w:sz w:val="20"/>
                <w:szCs w:val="20"/>
                <w14:ligatures w14:val="none"/>
              </w:rPr>
            </w:pPr>
            <w:r w:rsidRPr="00C45008">
              <w:rPr>
                <w:rFonts w:eastAsia="Times New Roman" w:cs="Arial"/>
                <w:color w:val="000000"/>
                <w:kern w:val="0"/>
                <w:sz w:val="20"/>
                <w:szCs w:val="20"/>
                <w14:ligatures w14:val="none"/>
              </w:rPr>
              <w:t>0.3222</w:t>
            </w:r>
          </w:p>
        </w:tc>
        <w:tc>
          <w:tcPr>
            <w:tcW w:w="1134" w:type="dxa"/>
            <w:shd w:val="clear" w:color="auto" w:fill="auto"/>
            <w:noWrap/>
            <w:vAlign w:val="center"/>
            <w:hideMark/>
          </w:tcPr>
          <w:p w14:paraId="0B7F3B3D" w14:textId="77777777" w:rsidR="00151A18" w:rsidRPr="00C45008" w:rsidRDefault="00151A18" w:rsidP="0006518C">
            <w:pPr>
              <w:spacing w:after="0" w:line="240" w:lineRule="auto"/>
              <w:jc w:val="right"/>
              <w:rPr>
                <w:rFonts w:eastAsia="Times New Roman" w:cs="Arial"/>
                <w:color w:val="000000"/>
                <w:kern w:val="0"/>
                <w:sz w:val="20"/>
                <w:szCs w:val="20"/>
                <w14:ligatures w14:val="none"/>
              </w:rPr>
            </w:pPr>
            <w:r w:rsidRPr="00C45008">
              <w:rPr>
                <w:rFonts w:eastAsia="Times New Roman" w:cs="Arial"/>
                <w:color w:val="000000"/>
                <w:kern w:val="0"/>
                <w:sz w:val="20"/>
                <w:szCs w:val="20"/>
                <w14:ligatures w14:val="none"/>
              </w:rPr>
              <w:t>0.4686</w:t>
            </w:r>
          </w:p>
        </w:tc>
        <w:tc>
          <w:tcPr>
            <w:tcW w:w="1020" w:type="dxa"/>
            <w:shd w:val="clear" w:color="auto" w:fill="auto"/>
            <w:noWrap/>
            <w:vAlign w:val="center"/>
            <w:hideMark/>
          </w:tcPr>
          <w:p w14:paraId="2B1049EF" w14:textId="77777777" w:rsidR="00151A18" w:rsidRPr="00C45008" w:rsidRDefault="00151A18" w:rsidP="0006518C">
            <w:pPr>
              <w:spacing w:after="0" w:line="240" w:lineRule="auto"/>
              <w:jc w:val="right"/>
              <w:rPr>
                <w:rFonts w:eastAsia="Times New Roman" w:cs="Arial"/>
                <w:color w:val="000000"/>
                <w:kern w:val="0"/>
                <w:sz w:val="20"/>
                <w:szCs w:val="20"/>
                <w14:ligatures w14:val="none"/>
              </w:rPr>
            </w:pPr>
            <w:r w:rsidRPr="00C45008">
              <w:rPr>
                <w:rFonts w:eastAsia="Times New Roman" w:cs="Arial"/>
                <w:color w:val="000000"/>
                <w:kern w:val="0"/>
                <w:sz w:val="20"/>
                <w:szCs w:val="20"/>
                <w14:ligatures w14:val="none"/>
              </w:rPr>
              <w:t>0.0000</w:t>
            </w:r>
          </w:p>
        </w:tc>
        <w:tc>
          <w:tcPr>
            <w:tcW w:w="1020" w:type="dxa"/>
            <w:shd w:val="clear" w:color="auto" w:fill="auto"/>
            <w:noWrap/>
            <w:vAlign w:val="center"/>
            <w:hideMark/>
          </w:tcPr>
          <w:p w14:paraId="2AF12733" w14:textId="77777777" w:rsidR="00151A18" w:rsidRPr="00C45008" w:rsidRDefault="00151A18" w:rsidP="0006518C">
            <w:pPr>
              <w:spacing w:after="0" w:line="240" w:lineRule="auto"/>
              <w:jc w:val="right"/>
              <w:rPr>
                <w:rFonts w:eastAsia="Times New Roman" w:cs="Arial"/>
                <w:color w:val="000000"/>
                <w:kern w:val="0"/>
                <w:sz w:val="20"/>
                <w:szCs w:val="20"/>
                <w14:ligatures w14:val="none"/>
              </w:rPr>
            </w:pPr>
            <w:r w:rsidRPr="00C45008">
              <w:rPr>
                <w:rFonts w:eastAsia="Times New Roman" w:cs="Arial"/>
                <w:color w:val="000000"/>
                <w:kern w:val="0"/>
                <w:sz w:val="20"/>
                <w:szCs w:val="20"/>
                <w14:ligatures w14:val="none"/>
              </w:rPr>
              <w:t>1.0000</w:t>
            </w:r>
          </w:p>
        </w:tc>
      </w:tr>
      <w:tr w:rsidR="00151A18" w:rsidRPr="00C45008" w14:paraId="711645A5" w14:textId="77777777" w:rsidTr="00331E27">
        <w:trPr>
          <w:trHeight w:val="255"/>
          <w:jc w:val="center"/>
        </w:trPr>
        <w:tc>
          <w:tcPr>
            <w:tcW w:w="3118" w:type="dxa"/>
            <w:vMerge/>
            <w:shd w:val="clear" w:color="auto" w:fill="auto"/>
            <w:noWrap/>
            <w:vAlign w:val="center"/>
          </w:tcPr>
          <w:p w14:paraId="5224BDB4" w14:textId="77777777" w:rsidR="00151A18" w:rsidRPr="00C45008" w:rsidRDefault="00151A18" w:rsidP="0006518C">
            <w:pPr>
              <w:spacing w:after="0" w:line="240" w:lineRule="auto"/>
              <w:rPr>
                <w:rFonts w:eastAsia="Times New Roman" w:cs="Arial"/>
                <w:color w:val="000000"/>
                <w:kern w:val="0"/>
                <w:sz w:val="20"/>
                <w:szCs w:val="20"/>
                <w14:ligatures w14:val="none"/>
              </w:rPr>
            </w:pPr>
          </w:p>
        </w:tc>
        <w:tc>
          <w:tcPr>
            <w:tcW w:w="1077" w:type="dxa"/>
            <w:shd w:val="clear" w:color="auto" w:fill="auto"/>
            <w:noWrap/>
            <w:vAlign w:val="center"/>
            <w:hideMark/>
          </w:tcPr>
          <w:p w14:paraId="668E9302" w14:textId="65ABCA03" w:rsidR="00151A18" w:rsidRPr="00C45008" w:rsidRDefault="00151A18" w:rsidP="0006518C">
            <w:pPr>
              <w:spacing w:after="0" w:line="240" w:lineRule="auto"/>
              <w:jc w:val="center"/>
              <w:rPr>
                <w:rFonts w:eastAsia="Times New Roman" w:cs="Arial"/>
                <w:color w:val="000000"/>
                <w:kern w:val="0"/>
                <w:sz w:val="20"/>
                <w:szCs w:val="20"/>
                <w14:ligatures w14:val="none"/>
              </w:rPr>
            </w:pPr>
            <w:r>
              <w:rPr>
                <w:rFonts w:eastAsia="Times New Roman" w:cs="Arial"/>
                <w:color w:val="000000"/>
                <w:kern w:val="0"/>
                <w:sz w:val="20"/>
                <w:szCs w:val="20"/>
                <w:lang w:val="en-US"/>
                <w14:ligatures w14:val="none"/>
              </w:rPr>
              <w:t>No</w:t>
            </w:r>
          </w:p>
        </w:tc>
        <w:tc>
          <w:tcPr>
            <w:tcW w:w="1134" w:type="dxa"/>
            <w:shd w:val="clear" w:color="auto" w:fill="auto"/>
            <w:noWrap/>
            <w:vAlign w:val="center"/>
            <w:hideMark/>
          </w:tcPr>
          <w:p w14:paraId="06AA9942" w14:textId="77777777" w:rsidR="00151A18" w:rsidRPr="00C45008" w:rsidRDefault="00151A18" w:rsidP="0006518C">
            <w:pPr>
              <w:spacing w:after="0" w:line="240" w:lineRule="auto"/>
              <w:jc w:val="center"/>
              <w:rPr>
                <w:rFonts w:eastAsia="Times New Roman" w:cs="Arial"/>
                <w:color w:val="000000"/>
                <w:kern w:val="0"/>
                <w:sz w:val="20"/>
                <w:szCs w:val="20"/>
                <w14:ligatures w14:val="none"/>
              </w:rPr>
            </w:pPr>
            <w:r w:rsidRPr="00C45008">
              <w:rPr>
                <w:rFonts w:eastAsia="Times New Roman" w:cs="Arial"/>
                <w:color w:val="000000"/>
                <w:kern w:val="0"/>
                <w:sz w:val="20"/>
                <w:szCs w:val="20"/>
                <w14:ligatures w14:val="none"/>
              </w:rPr>
              <w:t>92</w:t>
            </w:r>
          </w:p>
        </w:tc>
        <w:tc>
          <w:tcPr>
            <w:tcW w:w="964" w:type="dxa"/>
            <w:shd w:val="clear" w:color="auto" w:fill="auto"/>
            <w:noWrap/>
            <w:vAlign w:val="center"/>
            <w:hideMark/>
          </w:tcPr>
          <w:p w14:paraId="59C6312C" w14:textId="77777777" w:rsidR="00151A18" w:rsidRPr="00C45008" w:rsidRDefault="00151A18" w:rsidP="0006518C">
            <w:pPr>
              <w:spacing w:after="0" w:line="240" w:lineRule="auto"/>
              <w:jc w:val="right"/>
              <w:rPr>
                <w:rFonts w:eastAsia="Times New Roman" w:cs="Arial"/>
                <w:color w:val="000000"/>
                <w:kern w:val="0"/>
                <w:sz w:val="20"/>
                <w:szCs w:val="20"/>
                <w14:ligatures w14:val="none"/>
              </w:rPr>
            </w:pPr>
            <w:r w:rsidRPr="00C45008">
              <w:rPr>
                <w:rFonts w:eastAsia="Times New Roman" w:cs="Arial"/>
                <w:color w:val="000000"/>
                <w:kern w:val="0"/>
                <w:sz w:val="20"/>
                <w:szCs w:val="20"/>
                <w14:ligatures w14:val="none"/>
              </w:rPr>
              <w:t>0.0000</w:t>
            </w:r>
          </w:p>
        </w:tc>
        <w:tc>
          <w:tcPr>
            <w:tcW w:w="1134" w:type="dxa"/>
            <w:shd w:val="clear" w:color="auto" w:fill="auto"/>
            <w:noWrap/>
            <w:vAlign w:val="center"/>
            <w:hideMark/>
          </w:tcPr>
          <w:p w14:paraId="235947AB" w14:textId="77777777" w:rsidR="00151A18" w:rsidRPr="00C45008" w:rsidRDefault="00151A18" w:rsidP="0006518C">
            <w:pPr>
              <w:spacing w:after="0" w:line="240" w:lineRule="auto"/>
              <w:jc w:val="right"/>
              <w:rPr>
                <w:rFonts w:eastAsia="Times New Roman" w:cs="Arial"/>
                <w:color w:val="000000"/>
                <w:kern w:val="0"/>
                <w:sz w:val="20"/>
                <w:szCs w:val="20"/>
                <w14:ligatures w14:val="none"/>
              </w:rPr>
            </w:pPr>
            <w:r w:rsidRPr="00C45008">
              <w:rPr>
                <w:rFonts w:eastAsia="Times New Roman" w:cs="Arial"/>
                <w:color w:val="000000"/>
                <w:kern w:val="0"/>
                <w:sz w:val="20"/>
                <w:szCs w:val="20"/>
                <w14:ligatures w14:val="none"/>
              </w:rPr>
              <w:t>0.0000</w:t>
            </w:r>
          </w:p>
        </w:tc>
        <w:tc>
          <w:tcPr>
            <w:tcW w:w="1020" w:type="dxa"/>
            <w:shd w:val="clear" w:color="auto" w:fill="auto"/>
            <w:noWrap/>
            <w:vAlign w:val="center"/>
            <w:hideMark/>
          </w:tcPr>
          <w:p w14:paraId="331F2711" w14:textId="77777777" w:rsidR="00151A18" w:rsidRPr="00C45008" w:rsidRDefault="00151A18" w:rsidP="0006518C">
            <w:pPr>
              <w:spacing w:after="0" w:line="240" w:lineRule="auto"/>
              <w:jc w:val="right"/>
              <w:rPr>
                <w:rFonts w:eastAsia="Times New Roman" w:cs="Arial"/>
                <w:color w:val="000000"/>
                <w:kern w:val="0"/>
                <w:sz w:val="20"/>
                <w:szCs w:val="20"/>
                <w14:ligatures w14:val="none"/>
              </w:rPr>
            </w:pPr>
            <w:r w:rsidRPr="00C45008">
              <w:rPr>
                <w:rFonts w:eastAsia="Times New Roman" w:cs="Arial"/>
                <w:color w:val="000000"/>
                <w:kern w:val="0"/>
                <w:sz w:val="20"/>
                <w:szCs w:val="20"/>
                <w14:ligatures w14:val="none"/>
              </w:rPr>
              <w:t>0.0000</w:t>
            </w:r>
          </w:p>
        </w:tc>
        <w:tc>
          <w:tcPr>
            <w:tcW w:w="1020" w:type="dxa"/>
            <w:shd w:val="clear" w:color="auto" w:fill="auto"/>
            <w:noWrap/>
            <w:vAlign w:val="center"/>
            <w:hideMark/>
          </w:tcPr>
          <w:p w14:paraId="4D2A76A4" w14:textId="77777777" w:rsidR="00151A18" w:rsidRPr="00C45008" w:rsidRDefault="00151A18" w:rsidP="0006518C">
            <w:pPr>
              <w:spacing w:after="0" w:line="240" w:lineRule="auto"/>
              <w:jc w:val="right"/>
              <w:rPr>
                <w:rFonts w:eastAsia="Times New Roman" w:cs="Arial"/>
                <w:color w:val="000000"/>
                <w:kern w:val="0"/>
                <w:sz w:val="20"/>
                <w:szCs w:val="20"/>
                <w14:ligatures w14:val="none"/>
              </w:rPr>
            </w:pPr>
            <w:r w:rsidRPr="00C45008">
              <w:rPr>
                <w:rFonts w:eastAsia="Times New Roman" w:cs="Arial"/>
                <w:color w:val="000000"/>
                <w:kern w:val="0"/>
                <w:sz w:val="20"/>
                <w:szCs w:val="20"/>
                <w14:ligatures w14:val="none"/>
              </w:rPr>
              <w:t>0.0000</w:t>
            </w:r>
          </w:p>
        </w:tc>
      </w:tr>
      <w:tr w:rsidR="00151A18" w:rsidRPr="00C45008" w14:paraId="796F5F58" w14:textId="77777777" w:rsidTr="00331E27">
        <w:trPr>
          <w:trHeight w:val="255"/>
          <w:jc w:val="center"/>
        </w:trPr>
        <w:tc>
          <w:tcPr>
            <w:tcW w:w="3118" w:type="dxa"/>
            <w:vMerge/>
            <w:shd w:val="clear" w:color="auto" w:fill="auto"/>
            <w:noWrap/>
            <w:vAlign w:val="center"/>
          </w:tcPr>
          <w:p w14:paraId="7E7AC37F" w14:textId="77777777" w:rsidR="00151A18" w:rsidRPr="00C45008" w:rsidRDefault="00151A18" w:rsidP="0006518C">
            <w:pPr>
              <w:spacing w:after="0" w:line="240" w:lineRule="auto"/>
              <w:rPr>
                <w:rFonts w:eastAsia="Times New Roman" w:cs="Arial"/>
                <w:color w:val="000000"/>
                <w:kern w:val="0"/>
                <w:sz w:val="20"/>
                <w:szCs w:val="20"/>
                <w14:ligatures w14:val="none"/>
              </w:rPr>
            </w:pPr>
          </w:p>
        </w:tc>
        <w:tc>
          <w:tcPr>
            <w:tcW w:w="1077" w:type="dxa"/>
            <w:shd w:val="clear" w:color="auto" w:fill="auto"/>
            <w:noWrap/>
            <w:vAlign w:val="center"/>
            <w:hideMark/>
          </w:tcPr>
          <w:p w14:paraId="46AAE961" w14:textId="4664D13A" w:rsidR="00151A18" w:rsidRPr="00C45008" w:rsidRDefault="00151A18" w:rsidP="0006518C">
            <w:pPr>
              <w:spacing w:after="0" w:line="240" w:lineRule="auto"/>
              <w:jc w:val="center"/>
              <w:rPr>
                <w:rFonts w:eastAsia="Times New Roman" w:cs="Arial"/>
                <w:color w:val="000000"/>
                <w:kern w:val="0"/>
                <w:sz w:val="20"/>
                <w:szCs w:val="20"/>
                <w14:ligatures w14:val="none"/>
              </w:rPr>
            </w:pPr>
            <w:r>
              <w:rPr>
                <w:rFonts w:eastAsia="Times New Roman" w:cs="Arial"/>
                <w:color w:val="000000"/>
                <w:kern w:val="0"/>
                <w:sz w:val="20"/>
                <w:szCs w:val="20"/>
                <w:lang w:val="en-US"/>
                <w14:ligatures w14:val="none"/>
              </w:rPr>
              <w:t>Yes</w:t>
            </w:r>
          </w:p>
        </w:tc>
        <w:tc>
          <w:tcPr>
            <w:tcW w:w="1134" w:type="dxa"/>
            <w:shd w:val="clear" w:color="auto" w:fill="auto"/>
            <w:noWrap/>
            <w:vAlign w:val="center"/>
            <w:hideMark/>
          </w:tcPr>
          <w:p w14:paraId="25C80D06" w14:textId="77777777" w:rsidR="00151A18" w:rsidRPr="00C45008" w:rsidRDefault="00151A18" w:rsidP="0006518C">
            <w:pPr>
              <w:spacing w:after="0" w:line="240" w:lineRule="auto"/>
              <w:jc w:val="center"/>
              <w:rPr>
                <w:rFonts w:eastAsia="Times New Roman" w:cs="Arial"/>
                <w:color w:val="000000"/>
                <w:kern w:val="0"/>
                <w:sz w:val="20"/>
                <w:szCs w:val="20"/>
                <w14:ligatures w14:val="none"/>
              </w:rPr>
            </w:pPr>
            <w:r w:rsidRPr="00C45008">
              <w:rPr>
                <w:rFonts w:eastAsia="Times New Roman" w:cs="Arial"/>
                <w:color w:val="000000"/>
                <w:kern w:val="0"/>
                <w:sz w:val="20"/>
                <w:szCs w:val="20"/>
                <w14:ligatures w14:val="none"/>
              </w:rPr>
              <w:t>88</w:t>
            </w:r>
          </w:p>
        </w:tc>
        <w:tc>
          <w:tcPr>
            <w:tcW w:w="964" w:type="dxa"/>
            <w:shd w:val="clear" w:color="auto" w:fill="auto"/>
            <w:noWrap/>
            <w:vAlign w:val="center"/>
            <w:hideMark/>
          </w:tcPr>
          <w:p w14:paraId="06A87068" w14:textId="77777777" w:rsidR="00151A18" w:rsidRPr="00C45008" w:rsidRDefault="00151A18" w:rsidP="0006518C">
            <w:pPr>
              <w:spacing w:after="0" w:line="240" w:lineRule="auto"/>
              <w:jc w:val="right"/>
              <w:rPr>
                <w:rFonts w:eastAsia="Times New Roman" w:cs="Arial"/>
                <w:color w:val="000000"/>
                <w:kern w:val="0"/>
                <w:sz w:val="20"/>
                <w:szCs w:val="20"/>
                <w14:ligatures w14:val="none"/>
              </w:rPr>
            </w:pPr>
            <w:r w:rsidRPr="00C45008">
              <w:rPr>
                <w:rFonts w:eastAsia="Times New Roman" w:cs="Arial"/>
                <w:color w:val="000000"/>
                <w:kern w:val="0"/>
                <w:sz w:val="20"/>
                <w:szCs w:val="20"/>
                <w14:ligatures w14:val="none"/>
              </w:rPr>
              <w:t>0.6591</w:t>
            </w:r>
          </w:p>
        </w:tc>
        <w:tc>
          <w:tcPr>
            <w:tcW w:w="1134" w:type="dxa"/>
            <w:shd w:val="clear" w:color="auto" w:fill="auto"/>
            <w:noWrap/>
            <w:vAlign w:val="center"/>
            <w:hideMark/>
          </w:tcPr>
          <w:p w14:paraId="06ECF55D" w14:textId="77777777" w:rsidR="00151A18" w:rsidRPr="00C45008" w:rsidRDefault="00151A18" w:rsidP="0006518C">
            <w:pPr>
              <w:spacing w:after="0" w:line="240" w:lineRule="auto"/>
              <w:jc w:val="right"/>
              <w:rPr>
                <w:rFonts w:eastAsia="Times New Roman" w:cs="Arial"/>
                <w:color w:val="000000"/>
                <w:kern w:val="0"/>
                <w:sz w:val="20"/>
                <w:szCs w:val="20"/>
                <w14:ligatures w14:val="none"/>
              </w:rPr>
            </w:pPr>
            <w:r w:rsidRPr="00C45008">
              <w:rPr>
                <w:rFonts w:eastAsia="Times New Roman" w:cs="Arial"/>
                <w:color w:val="000000"/>
                <w:kern w:val="0"/>
                <w:sz w:val="20"/>
                <w:szCs w:val="20"/>
                <w14:ligatures w14:val="none"/>
              </w:rPr>
              <w:t>0.4767</w:t>
            </w:r>
          </w:p>
        </w:tc>
        <w:tc>
          <w:tcPr>
            <w:tcW w:w="1020" w:type="dxa"/>
            <w:shd w:val="clear" w:color="auto" w:fill="auto"/>
            <w:noWrap/>
            <w:vAlign w:val="center"/>
            <w:hideMark/>
          </w:tcPr>
          <w:p w14:paraId="4B8DB15F" w14:textId="77777777" w:rsidR="00151A18" w:rsidRPr="00C45008" w:rsidRDefault="00151A18" w:rsidP="0006518C">
            <w:pPr>
              <w:spacing w:after="0" w:line="240" w:lineRule="auto"/>
              <w:jc w:val="right"/>
              <w:rPr>
                <w:rFonts w:eastAsia="Times New Roman" w:cs="Arial"/>
                <w:color w:val="000000"/>
                <w:kern w:val="0"/>
                <w:sz w:val="20"/>
                <w:szCs w:val="20"/>
                <w14:ligatures w14:val="none"/>
              </w:rPr>
            </w:pPr>
            <w:r w:rsidRPr="00C45008">
              <w:rPr>
                <w:rFonts w:eastAsia="Times New Roman" w:cs="Arial"/>
                <w:color w:val="000000"/>
                <w:kern w:val="0"/>
                <w:sz w:val="20"/>
                <w:szCs w:val="20"/>
                <w14:ligatures w14:val="none"/>
              </w:rPr>
              <w:t>0.0000</w:t>
            </w:r>
          </w:p>
        </w:tc>
        <w:tc>
          <w:tcPr>
            <w:tcW w:w="1020" w:type="dxa"/>
            <w:shd w:val="clear" w:color="auto" w:fill="auto"/>
            <w:noWrap/>
            <w:vAlign w:val="center"/>
            <w:hideMark/>
          </w:tcPr>
          <w:p w14:paraId="15DA7962" w14:textId="77777777" w:rsidR="00151A18" w:rsidRPr="00C45008" w:rsidRDefault="00151A18" w:rsidP="0006518C">
            <w:pPr>
              <w:spacing w:after="0" w:line="240" w:lineRule="auto"/>
              <w:jc w:val="right"/>
              <w:rPr>
                <w:rFonts w:eastAsia="Times New Roman" w:cs="Arial"/>
                <w:color w:val="000000"/>
                <w:kern w:val="0"/>
                <w:sz w:val="20"/>
                <w:szCs w:val="20"/>
                <w14:ligatures w14:val="none"/>
              </w:rPr>
            </w:pPr>
            <w:r w:rsidRPr="00C45008">
              <w:rPr>
                <w:rFonts w:eastAsia="Times New Roman" w:cs="Arial"/>
                <w:color w:val="000000"/>
                <w:kern w:val="0"/>
                <w:sz w:val="20"/>
                <w:szCs w:val="20"/>
                <w14:ligatures w14:val="none"/>
              </w:rPr>
              <w:t>1.0000</w:t>
            </w:r>
          </w:p>
        </w:tc>
      </w:tr>
      <w:tr w:rsidR="00151A18" w:rsidRPr="00C45008" w14:paraId="72337582" w14:textId="77777777" w:rsidTr="00331E27">
        <w:trPr>
          <w:trHeight w:val="255"/>
          <w:jc w:val="center"/>
        </w:trPr>
        <w:tc>
          <w:tcPr>
            <w:tcW w:w="3118" w:type="dxa"/>
            <w:vMerge w:val="restart"/>
            <w:shd w:val="clear" w:color="auto" w:fill="auto"/>
            <w:noWrap/>
            <w:vAlign w:val="center"/>
            <w:hideMark/>
          </w:tcPr>
          <w:p w14:paraId="40A99C65" w14:textId="571A90EC" w:rsidR="00151A18" w:rsidRPr="00C45008" w:rsidRDefault="00151A18" w:rsidP="0006518C">
            <w:pPr>
              <w:spacing w:after="0" w:line="240" w:lineRule="auto"/>
              <w:rPr>
                <w:rFonts w:eastAsia="Times New Roman" w:cs="Arial"/>
                <w:color w:val="000000"/>
                <w:kern w:val="0"/>
                <w:sz w:val="20"/>
                <w:szCs w:val="20"/>
                <w14:ligatures w14:val="none"/>
              </w:rPr>
            </w:pPr>
            <m:oMath>
              <m:r>
                <w:rPr>
                  <w:rFonts w:ascii="Cambria Math" w:eastAsia="Times New Roman" w:hAnsi="Cambria Math" w:cs="Arial"/>
                  <w:color w:val="000000"/>
                  <w:kern w:val="0"/>
                  <w:sz w:val="20"/>
                  <w:szCs w:val="20"/>
                  <w14:ligatures w14:val="none"/>
                </w:rPr>
                <m:t>treated</m:t>
              </m:r>
            </m:oMath>
            <w:r w:rsidRPr="00C45008">
              <w:rPr>
                <w:rFonts w:eastAsia="Times New Roman" w:cs="Arial"/>
                <w:color w:val="000000"/>
                <w:kern w:val="0"/>
                <w:sz w:val="20"/>
                <w:szCs w:val="20"/>
                <w14:ligatures w14:val="none"/>
              </w:rPr>
              <w:t xml:space="preserve"> – </w:t>
            </w:r>
            <w:r w:rsidRPr="00151A18">
              <w:rPr>
                <w:rFonts w:eastAsia="Times New Roman" w:cs="Arial"/>
                <w:color w:val="000000"/>
                <w:kern w:val="0"/>
                <w:sz w:val="20"/>
                <w:szCs w:val="20"/>
                <w14:ligatures w14:val="none"/>
              </w:rPr>
              <w:t>dummy variable equal to 1 for firms that adopted the Amoeba model, 0 otherwise.</w:t>
            </w:r>
          </w:p>
        </w:tc>
        <w:tc>
          <w:tcPr>
            <w:tcW w:w="1077" w:type="dxa"/>
            <w:shd w:val="clear" w:color="auto" w:fill="auto"/>
            <w:noWrap/>
            <w:vAlign w:val="center"/>
            <w:hideMark/>
          </w:tcPr>
          <w:p w14:paraId="45E1980C" w14:textId="484FC7AB" w:rsidR="00151A18" w:rsidRPr="00C45008" w:rsidRDefault="00151A18" w:rsidP="0006518C">
            <w:pPr>
              <w:spacing w:after="0" w:line="240" w:lineRule="auto"/>
              <w:jc w:val="center"/>
              <w:rPr>
                <w:rFonts w:eastAsia="Times New Roman" w:cs="Arial"/>
                <w:color w:val="000000"/>
                <w:kern w:val="0"/>
                <w:sz w:val="20"/>
                <w:szCs w:val="20"/>
                <w14:ligatures w14:val="none"/>
              </w:rPr>
            </w:pPr>
            <w:r>
              <w:rPr>
                <w:rFonts w:eastAsia="Times New Roman" w:cs="Arial"/>
                <w:color w:val="000000"/>
                <w:kern w:val="0"/>
                <w:sz w:val="20"/>
                <w:szCs w:val="20"/>
                <w:lang w:val="en-US"/>
                <w14:ligatures w14:val="none"/>
              </w:rPr>
              <w:t>All</w:t>
            </w:r>
          </w:p>
        </w:tc>
        <w:tc>
          <w:tcPr>
            <w:tcW w:w="1134" w:type="dxa"/>
            <w:shd w:val="clear" w:color="auto" w:fill="auto"/>
            <w:noWrap/>
            <w:vAlign w:val="center"/>
            <w:hideMark/>
          </w:tcPr>
          <w:p w14:paraId="7A92D787" w14:textId="77777777" w:rsidR="00151A18" w:rsidRPr="00C45008" w:rsidRDefault="00151A18" w:rsidP="0006518C">
            <w:pPr>
              <w:spacing w:after="0" w:line="240" w:lineRule="auto"/>
              <w:jc w:val="center"/>
              <w:rPr>
                <w:rFonts w:eastAsia="Times New Roman" w:cs="Arial"/>
                <w:color w:val="000000"/>
                <w:kern w:val="0"/>
                <w:sz w:val="20"/>
                <w:szCs w:val="20"/>
                <w14:ligatures w14:val="none"/>
              </w:rPr>
            </w:pPr>
            <w:r w:rsidRPr="00C45008">
              <w:rPr>
                <w:rFonts w:eastAsia="Times New Roman" w:cs="Arial"/>
                <w:color w:val="000000"/>
                <w:kern w:val="0"/>
                <w:sz w:val="20"/>
                <w:szCs w:val="20"/>
                <w14:ligatures w14:val="none"/>
              </w:rPr>
              <w:t>180</w:t>
            </w:r>
          </w:p>
        </w:tc>
        <w:tc>
          <w:tcPr>
            <w:tcW w:w="964" w:type="dxa"/>
            <w:shd w:val="clear" w:color="auto" w:fill="auto"/>
            <w:noWrap/>
            <w:vAlign w:val="center"/>
            <w:hideMark/>
          </w:tcPr>
          <w:p w14:paraId="6E6347B5" w14:textId="77777777" w:rsidR="00151A18" w:rsidRPr="00C45008" w:rsidRDefault="00151A18" w:rsidP="0006518C">
            <w:pPr>
              <w:spacing w:after="0" w:line="240" w:lineRule="auto"/>
              <w:jc w:val="right"/>
              <w:rPr>
                <w:rFonts w:eastAsia="Times New Roman" w:cs="Arial"/>
                <w:color w:val="000000"/>
                <w:kern w:val="0"/>
                <w:sz w:val="20"/>
                <w:szCs w:val="20"/>
                <w14:ligatures w14:val="none"/>
              </w:rPr>
            </w:pPr>
            <w:r w:rsidRPr="00C45008">
              <w:rPr>
                <w:rFonts w:eastAsia="Times New Roman" w:cs="Arial"/>
                <w:color w:val="000000"/>
                <w:kern w:val="0"/>
                <w:sz w:val="20"/>
                <w:szCs w:val="20"/>
                <w14:ligatures w14:val="none"/>
              </w:rPr>
              <w:t>0.4889</w:t>
            </w:r>
          </w:p>
        </w:tc>
        <w:tc>
          <w:tcPr>
            <w:tcW w:w="1134" w:type="dxa"/>
            <w:shd w:val="clear" w:color="auto" w:fill="auto"/>
            <w:noWrap/>
            <w:vAlign w:val="center"/>
            <w:hideMark/>
          </w:tcPr>
          <w:p w14:paraId="71C2D9B8" w14:textId="77777777" w:rsidR="00151A18" w:rsidRPr="00C45008" w:rsidRDefault="00151A18" w:rsidP="0006518C">
            <w:pPr>
              <w:spacing w:after="0" w:line="240" w:lineRule="auto"/>
              <w:jc w:val="right"/>
              <w:rPr>
                <w:rFonts w:eastAsia="Times New Roman" w:cs="Arial"/>
                <w:color w:val="000000"/>
                <w:kern w:val="0"/>
                <w:sz w:val="20"/>
                <w:szCs w:val="20"/>
                <w14:ligatures w14:val="none"/>
              </w:rPr>
            </w:pPr>
            <w:r w:rsidRPr="00C45008">
              <w:rPr>
                <w:rFonts w:eastAsia="Times New Roman" w:cs="Arial"/>
                <w:color w:val="000000"/>
                <w:kern w:val="0"/>
                <w:sz w:val="20"/>
                <w:szCs w:val="20"/>
                <w14:ligatures w14:val="none"/>
              </w:rPr>
              <w:t>0.5013</w:t>
            </w:r>
          </w:p>
        </w:tc>
        <w:tc>
          <w:tcPr>
            <w:tcW w:w="1020" w:type="dxa"/>
            <w:shd w:val="clear" w:color="auto" w:fill="auto"/>
            <w:noWrap/>
            <w:vAlign w:val="center"/>
            <w:hideMark/>
          </w:tcPr>
          <w:p w14:paraId="5B27687F" w14:textId="77777777" w:rsidR="00151A18" w:rsidRPr="00C45008" w:rsidRDefault="00151A18" w:rsidP="0006518C">
            <w:pPr>
              <w:spacing w:after="0" w:line="240" w:lineRule="auto"/>
              <w:jc w:val="right"/>
              <w:rPr>
                <w:rFonts w:eastAsia="Times New Roman" w:cs="Arial"/>
                <w:color w:val="000000"/>
                <w:kern w:val="0"/>
                <w:sz w:val="20"/>
                <w:szCs w:val="20"/>
                <w14:ligatures w14:val="none"/>
              </w:rPr>
            </w:pPr>
            <w:r w:rsidRPr="00C45008">
              <w:rPr>
                <w:rFonts w:eastAsia="Times New Roman" w:cs="Arial"/>
                <w:color w:val="000000"/>
                <w:kern w:val="0"/>
                <w:sz w:val="20"/>
                <w:szCs w:val="20"/>
                <w14:ligatures w14:val="none"/>
              </w:rPr>
              <w:t>0.0000</w:t>
            </w:r>
          </w:p>
        </w:tc>
        <w:tc>
          <w:tcPr>
            <w:tcW w:w="1020" w:type="dxa"/>
            <w:shd w:val="clear" w:color="auto" w:fill="auto"/>
            <w:noWrap/>
            <w:vAlign w:val="center"/>
            <w:hideMark/>
          </w:tcPr>
          <w:p w14:paraId="11E0A555" w14:textId="77777777" w:rsidR="00151A18" w:rsidRPr="00C45008" w:rsidRDefault="00151A18" w:rsidP="0006518C">
            <w:pPr>
              <w:spacing w:after="0" w:line="240" w:lineRule="auto"/>
              <w:jc w:val="right"/>
              <w:rPr>
                <w:rFonts w:eastAsia="Times New Roman" w:cs="Arial"/>
                <w:color w:val="000000"/>
                <w:kern w:val="0"/>
                <w:sz w:val="20"/>
                <w:szCs w:val="20"/>
                <w14:ligatures w14:val="none"/>
              </w:rPr>
            </w:pPr>
            <w:r w:rsidRPr="00C45008">
              <w:rPr>
                <w:rFonts w:eastAsia="Times New Roman" w:cs="Arial"/>
                <w:color w:val="000000"/>
                <w:kern w:val="0"/>
                <w:sz w:val="20"/>
                <w:szCs w:val="20"/>
                <w14:ligatures w14:val="none"/>
              </w:rPr>
              <w:t>1.0000</w:t>
            </w:r>
          </w:p>
        </w:tc>
      </w:tr>
      <w:tr w:rsidR="00151A18" w:rsidRPr="00C45008" w14:paraId="0CD4FE6E" w14:textId="77777777" w:rsidTr="00331E27">
        <w:trPr>
          <w:trHeight w:val="255"/>
          <w:jc w:val="center"/>
        </w:trPr>
        <w:tc>
          <w:tcPr>
            <w:tcW w:w="3118" w:type="dxa"/>
            <w:vMerge/>
            <w:shd w:val="clear" w:color="auto" w:fill="auto"/>
            <w:noWrap/>
            <w:vAlign w:val="center"/>
          </w:tcPr>
          <w:p w14:paraId="3B2FEEF1" w14:textId="77777777" w:rsidR="00151A18" w:rsidRPr="00C45008" w:rsidRDefault="00151A18" w:rsidP="0006518C">
            <w:pPr>
              <w:spacing w:after="0" w:line="240" w:lineRule="auto"/>
              <w:rPr>
                <w:rFonts w:eastAsia="Times New Roman" w:cs="Arial"/>
                <w:color w:val="000000"/>
                <w:kern w:val="0"/>
                <w:sz w:val="20"/>
                <w:szCs w:val="20"/>
                <w14:ligatures w14:val="none"/>
              </w:rPr>
            </w:pPr>
          </w:p>
        </w:tc>
        <w:tc>
          <w:tcPr>
            <w:tcW w:w="1077" w:type="dxa"/>
            <w:shd w:val="clear" w:color="auto" w:fill="auto"/>
            <w:noWrap/>
            <w:vAlign w:val="center"/>
            <w:hideMark/>
          </w:tcPr>
          <w:p w14:paraId="38EE70FD" w14:textId="53A183AF" w:rsidR="00151A18" w:rsidRPr="00C45008" w:rsidRDefault="00151A18" w:rsidP="0006518C">
            <w:pPr>
              <w:spacing w:after="0" w:line="240" w:lineRule="auto"/>
              <w:jc w:val="center"/>
              <w:rPr>
                <w:rFonts w:eastAsia="Times New Roman" w:cs="Arial"/>
                <w:color w:val="000000"/>
                <w:kern w:val="0"/>
                <w:sz w:val="20"/>
                <w:szCs w:val="20"/>
                <w14:ligatures w14:val="none"/>
              </w:rPr>
            </w:pPr>
            <w:r>
              <w:rPr>
                <w:rFonts w:eastAsia="Times New Roman" w:cs="Arial"/>
                <w:color w:val="000000"/>
                <w:kern w:val="0"/>
                <w:sz w:val="20"/>
                <w:szCs w:val="20"/>
                <w:lang w:val="en-US"/>
                <w14:ligatures w14:val="none"/>
              </w:rPr>
              <w:t>No</w:t>
            </w:r>
          </w:p>
        </w:tc>
        <w:tc>
          <w:tcPr>
            <w:tcW w:w="1134" w:type="dxa"/>
            <w:shd w:val="clear" w:color="auto" w:fill="auto"/>
            <w:noWrap/>
            <w:vAlign w:val="center"/>
            <w:hideMark/>
          </w:tcPr>
          <w:p w14:paraId="2E7160CB" w14:textId="77777777" w:rsidR="00151A18" w:rsidRPr="00C45008" w:rsidRDefault="00151A18" w:rsidP="0006518C">
            <w:pPr>
              <w:spacing w:after="0" w:line="240" w:lineRule="auto"/>
              <w:jc w:val="center"/>
              <w:rPr>
                <w:rFonts w:eastAsia="Times New Roman" w:cs="Arial"/>
                <w:color w:val="000000"/>
                <w:kern w:val="0"/>
                <w:sz w:val="20"/>
                <w:szCs w:val="20"/>
                <w14:ligatures w14:val="none"/>
              </w:rPr>
            </w:pPr>
            <w:r w:rsidRPr="00C45008">
              <w:rPr>
                <w:rFonts w:eastAsia="Times New Roman" w:cs="Arial"/>
                <w:color w:val="000000"/>
                <w:kern w:val="0"/>
                <w:sz w:val="20"/>
                <w:szCs w:val="20"/>
                <w14:ligatures w14:val="none"/>
              </w:rPr>
              <w:t>92</w:t>
            </w:r>
          </w:p>
        </w:tc>
        <w:tc>
          <w:tcPr>
            <w:tcW w:w="964" w:type="dxa"/>
            <w:shd w:val="clear" w:color="auto" w:fill="auto"/>
            <w:noWrap/>
            <w:vAlign w:val="center"/>
            <w:hideMark/>
          </w:tcPr>
          <w:p w14:paraId="4E9B1F24" w14:textId="77777777" w:rsidR="00151A18" w:rsidRPr="00C45008" w:rsidRDefault="00151A18" w:rsidP="0006518C">
            <w:pPr>
              <w:spacing w:after="0" w:line="240" w:lineRule="auto"/>
              <w:jc w:val="right"/>
              <w:rPr>
                <w:rFonts w:eastAsia="Times New Roman" w:cs="Arial"/>
                <w:color w:val="000000"/>
                <w:kern w:val="0"/>
                <w:sz w:val="20"/>
                <w:szCs w:val="20"/>
                <w14:ligatures w14:val="none"/>
              </w:rPr>
            </w:pPr>
            <w:r w:rsidRPr="00C45008">
              <w:rPr>
                <w:rFonts w:eastAsia="Times New Roman" w:cs="Arial"/>
                <w:color w:val="000000"/>
                <w:kern w:val="0"/>
                <w:sz w:val="20"/>
                <w:szCs w:val="20"/>
                <w14:ligatures w14:val="none"/>
              </w:rPr>
              <w:t>0.0000</w:t>
            </w:r>
          </w:p>
        </w:tc>
        <w:tc>
          <w:tcPr>
            <w:tcW w:w="1134" w:type="dxa"/>
            <w:shd w:val="clear" w:color="auto" w:fill="auto"/>
            <w:noWrap/>
            <w:vAlign w:val="center"/>
            <w:hideMark/>
          </w:tcPr>
          <w:p w14:paraId="3006884A" w14:textId="77777777" w:rsidR="00151A18" w:rsidRPr="00C45008" w:rsidRDefault="00151A18" w:rsidP="0006518C">
            <w:pPr>
              <w:spacing w:after="0" w:line="240" w:lineRule="auto"/>
              <w:jc w:val="right"/>
              <w:rPr>
                <w:rFonts w:eastAsia="Times New Roman" w:cs="Arial"/>
                <w:color w:val="000000"/>
                <w:kern w:val="0"/>
                <w:sz w:val="20"/>
                <w:szCs w:val="20"/>
                <w14:ligatures w14:val="none"/>
              </w:rPr>
            </w:pPr>
            <w:r w:rsidRPr="00C45008">
              <w:rPr>
                <w:rFonts w:eastAsia="Times New Roman" w:cs="Arial"/>
                <w:color w:val="000000"/>
                <w:kern w:val="0"/>
                <w:sz w:val="20"/>
                <w:szCs w:val="20"/>
                <w14:ligatures w14:val="none"/>
              </w:rPr>
              <w:t>0.0000</w:t>
            </w:r>
          </w:p>
        </w:tc>
        <w:tc>
          <w:tcPr>
            <w:tcW w:w="1020" w:type="dxa"/>
            <w:shd w:val="clear" w:color="auto" w:fill="auto"/>
            <w:noWrap/>
            <w:vAlign w:val="center"/>
            <w:hideMark/>
          </w:tcPr>
          <w:p w14:paraId="05A73B0E" w14:textId="77777777" w:rsidR="00151A18" w:rsidRPr="00C45008" w:rsidRDefault="00151A18" w:rsidP="0006518C">
            <w:pPr>
              <w:spacing w:after="0" w:line="240" w:lineRule="auto"/>
              <w:jc w:val="right"/>
              <w:rPr>
                <w:rFonts w:eastAsia="Times New Roman" w:cs="Arial"/>
                <w:color w:val="000000"/>
                <w:kern w:val="0"/>
                <w:sz w:val="20"/>
                <w:szCs w:val="20"/>
                <w14:ligatures w14:val="none"/>
              </w:rPr>
            </w:pPr>
            <w:r w:rsidRPr="00C45008">
              <w:rPr>
                <w:rFonts w:eastAsia="Times New Roman" w:cs="Arial"/>
                <w:color w:val="000000"/>
                <w:kern w:val="0"/>
                <w:sz w:val="20"/>
                <w:szCs w:val="20"/>
                <w14:ligatures w14:val="none"/>
              </w:rPr>
              <w:t>0.0000</w:t>
            </w:r>
          </w:p>
        </w:tc>
        <w:tc>
          <w:tcPr>
            <w:tcW w:w="1020" w:type="dxa"/>
            <w:shd w:val="clear" w:color="auto" w:fill="auto"/>
            <w:noWrap/>
            <w:vAlign w:val="center"/>
            <w:hideMark/>
          </w:tcPr>
          <w:p w14:paraId="7B913617" w14:textId="77777777" w:rsidR="00151A18" w:rsidRPr="00C45008" w:rsidRDefault="00151A18" w:rsidP="0006518C">
            <w:pPr>
              <w:spacing w:after="0" w:line="240" w:lineRule="auto"/>
              <w:jc w:val="right"/>
              <w:rPr>
                <w:rFonts w:eastAsia="Times New Roman" w:cs="Arial"/>
                <w:color w:val="000000"/>
                <w:kern w:val="0"/>
                <w:sz w:val="20"/>
                <w:szCs w:val="20"/>
                <w14:ligatures w14:val="none"/>
              </w:rPr>
            </w:pPr>
            <w:r w:rsidRPr="00C45008">
              <w:rPr>
                <w:rFonts w:eastAsia="Times New Roman" w:cs="Arial"/>
                <w:color w:val="000000"/>
                <w:kern w:val="0"/>
                <w:sz w:val="20"/>
                <w:szCs w:val="20"/>
                <w14:ligatures w14:val="none"/>
              </w:rPr>
              <w:t>0.0000</w:t>
            </w:r>
          </w:p>
        </w:tc>
      </w:tr>
      <w:tr w:rsidR="00151A18" w:rsidRPr="00C45008" w14:paraId="1BF84835" w14:textId="77777777" w:rsidTr="00331E27">
        <w:trPr>
          <w:trHeight w:val="255"/>
          <w:jc w:val="center"/>
        </w:trPr>
        <w:tc>
          <w:tcPr>
            <w:tcW w:w="3118" w:type="dxa"/>
            <w:vMerge/>
            <w:shd w:val="clear" w:color="auto" w:fill="auto"/>
            <w:noWrap/>
            <w:vAlign w:val="center"/>
          </w:tcPr>
          <w:p w14:paraId="62316EFE" w14:textId="77777777" w:rsidR="00151A18" w:rsidRPr="00C45008" w:rsidRDefault="00151A18" w:rsidP="0006518C">
            <w:pPr>
              <w:spacing w:after="0" w:line="240" w:lineRule="auto"/>
              <w:rPr>
                <w:rFonts w:eastAsia="Times New Roman" w:cs="Arial"/>
                <w:color w:val="000000"/>
                <w:kern w:val="0"/>
                <w:sz w:val="20"/>
                <w:szCs w:val="20"/>
                <w14:ligatures w14:val="none"/>
              </w:rPr>
            </w:pPr>
          </w:p>
        </w:tc>
        <w:tc>
          <w:tcPr>
            <w:tcW w:w="1077" w:type="dxa"/>
            <w:shd w:val="clear" w:color="auto" w:fill="auto"/>
            <w:noWrap/>
            <w:vAlign w:val="center"/>
            <w:hideMark/>
          </w:tcPr>
          <w:p w14:paraId="1D7BE67C" w14:textId="6CACB363" w:rsidR="00151A18" w:rsidRPr="00C45008" w:rsidRDefault="00151A18" w:rsidP="0006518C">
            <w:pPr>
              <w:spacing w:after="0" w:line="240" w:lineRule="auto"/>
              <w:jc w:val="center"/>
              <w:rPr>
                <w:rFonts w:eastAsia="Times New Roman" w:cs="Arial"/>
                <w:color w:val="000000"/>
                <w:kern w:val="0"/>
                <w:sz w:val="20"/>
                <w:szCs w:val="20"/>
                <w14:ligatures w14:val="none"/>
              </w:rPr>
            </w:pPr>
            <w:r>
              <w:rPr>
                <w:rFonts w:eastAsia="Times New Roman" w:cs="Arial"/>
                <w:color w:val="000000"/>
                <w:kern w:val="0"/>
                <w:sz w:val="20"/>
                <w:szCs w:val="20"/>
                <w:lang w:val="en-US"/>
                <w14:ligatures w14:val="none"/>
              </w:rPr>
              <w:t>Yes</w:t>
            </w:r>
          </w:p>
        </w:tc>
        <w:tc>
          <w:tcPr>
            <w:tcW w:w="1134" w:type="dxa"/>
            <w:shd w:val="clear" w:color="auto" w:fill="auto"/>
            <w:noWrap/>
            <w:vAlign w:val="center"/>
            <w:hideMark/>
          </w:tcPr>
          <w:p w14:paraId="3545DF37" w14:textId="77777777" w:rsidR="00151A18" w:rsidRPr="00C45008" w:rsidRDefault="00151A18" w:rsidP="0006518C">
            <w:pPr>
              <w:spacing w:after="0" w:line="240" w:lineRule="auto"/>
              <w:jc w:val="center"/>
              <w:rPr>
                <w:rFonts w:eastAsia="Times New Roman" w:cs="Arial"/>
                <w:color w:val="000000"/>
                <w:kern w:val="0"/>
                <w:sz w:val="20"/>
                <w:szCs w:val="20"/>
                <w14:ligatures w14:val="none"/>
              </w:rPr>
            </w:pPr>
            <w:r w:rsidRPr="00C45008">
              <w:rPr>
                <w:rFonts w:eastAsia="Times New Roman" w:cs="Arial"/>
                <w:color w:val="000000"/>
                <w:kern w:val="0"/>
                <w:sz w:val="20"/>
                <w:szCs w:val="20"/>
                <w14:ligatures w14:val="none"/>
              </w:rPr>
              <w:t>88</w:t>
            </w:r>
          </w:p>
        </w:tc>
        <w:tc>
          <w:tcPr>
            <w:tcW w:w="964" w:type="dxa"/>
            <w:shd w:val="clear" w:color="auto" w:fill="auto"/>
            <w:noWrap/>
            <w:vAlign w:val="center"/>
            <w:hideMark/>
          </w:tcPr>
          <w:p w14:paraId="54911559" w14:textId="77777777" w:rsidR="00151A18" w:rsidRPr="00C45008" w:rsidRDefault="00151A18" w:rsidP="0006518C">
            <w:pPr>
              <w:spacing w:after="0" w:line="240" w:lineRule="auto"/>
              <w:jc w:val="right"/>
              <w:rPr>
                <w:rFonts w:eastAsia="Times New Roman" w:cs="Arial"/>
                <w:color w:val="000000"/>
                <w:kern w:val="0"/>
                <w:sz w:val="20"/>
                <w:szCs w:val="20"/>
                <w14:ligatures w14:val="none"/>
              </w:rPr>
            </w:pPr>
            <w:r w:rsidRPr="00C45008">
              <w:rPr>
                <w:rFonts w:eastAsia="Times New Roman" w:cs="Arial"/>
                <w:color w:val="000000"/>
                <w:kern w:val="0"/>
                <w:sz w:val="20"/>
                <w:szCs w:val="20"/>
                <w14:ligatures w14:val="none"/>
              </w:rPr>
              <w:t>1.0000</w:t>
            </w:r>
          </w:p>
        </w:tc>
        <w:tc>
          <w:tcPr>
            <w:tcW w:w="1134" w:type="dxa"/>
            <w:shd w:val="clear" w:color="auto" w:fill="auto"/>
            <w:noWrap/>
            <w:vAlign w:val="center"/>
            <w:hideMark/>
          </w:tcPr>
          <w:p w14:paraId="5CECE566" w14:textId="77777777" w:rsidR="00151A18" w:rsidRPr="00C45008" w:rsidRDefault="00151A18" w:rsidP="0006518C">
            <w:pPr>
              <w:spacing w:after="0" w:line="240" w:lineRule="auto"/>
              <w:jc w:val="right"/>
              <w:rPr>
                <w:rFonts w:eastAsia="Times New Roman" w:cs="Arial"/>
                <w:color w:val="000000"/>
                <w:kern w:val="0"/>
                <w:sz w:val="20"/>
                <w:szCs w:val="20"/>
                <w14:ligatures w14:val="none"/>
              </w:rPr>
            </w:pPr>
            <w:r w:rsidRPr="00C45008">
              <w:rPr>
                <w:rFonts w:eastAsia="Times New Roman" w:cs="Arial"/>
                <w:color w:val="000000"/>
                <w:kern w:val="0"/>
                <w:sz w:val="20"/>
                <w:szCs w:val="20"/>
                <w14:ligatures w14:val="none"/>
              </w:rPr>
              <w:t>0.0000</w:t>
            </w:r>
          </w:p>
        </w:tc>
        <w:tc>
          <w:tcPr>
            <w:tcW w:w="1020" w:type="dxa"/>
            <w:shd w:val="clear" w:color="auto" w:fill="auto"/>
            <w:noWrap/>
            <w:vAlign w:val="center"/>
            <w:hideMark/>
          </w:tcPr>
          <w:p w14:paraId="072973BE" w14:textId="77777777" w:rsidR="00151A18" w:rsidRPr="00C45008" w:rsidRDefault="00151A18" w:rsidP="0006518C">
            <w:pPr>
              <w:spacing w:after="0" w:line="240" w:lineRule="auto"/>
              <w:jc w:val="right"/>
              <w:rPr>
                <w:rFonts w:eastAsia="Times New Roman" w:cs="Arial"/>
                <w:color w:val="000000"/>
                <w:kern w:val="0"/>
                <w:sz w:val="20"/>
                <w:szCs w:val="20"/>
                <w14:ligatures w14:val="none"/>
              </w:rPr>
            </w:pPr>
            <w:r w:rsidRPr="00C45008">
              <w:rPr>
                <w:rFonts w:eastAsia="Times New Roman" w:cs="Arial"/>
                <w:color w:val="000000"/>
                <w:kern w:val="0"/>
                <w:sz w:val="20"/>
                <w:szCs w:val="20"/>
                <w14:ligatures w14:val="none"/>
              </w:rPr>
              <w:t>1.0000</w:t>
            </w:r>
          </w:p>
        </w:tc>
        <w:tc>
          <w:tcPr>
            <w:tcW w:w="1020" w:type="dxa"/>
            <w:shd w:val="clear" w:color="auto" w:fill="auto"/>
            <w:noWrap/>
            <w:vAlign w:val="center"/>
            <w:hideMark/>
          </w:tcPr>
          <w:p w14:paraId="5C49F2E6" w14:textId="77777777" w:rsidR="00151A18" w:rsidRPr="00C45008" w:rsidRDefault="00151A18" w:rsidP="0006518C">
            <w:pPr>
              <w:spacing w:after="0" w:line="240" w:lineRule="auto"/>
              <w:jc w:val="right"/>
              <w:rPr>
                <w:rFonts w:eastAsia="Times New Roman" w:cs="Arial"/>
                <w:color w:val="000000"/>
                <w:kern w:val="0"/>
                <w:sz w:val="20"/>
                <w:szCs w:val="20"/>
                <w14:ligatures w14:val="none"/>
              </w:rPr>
            </w:pPr>
            <w:r w:rsidRPr="00C45008">
              <w:rPr>
                <w:rFonts w:eastAsia="Times New Roman" w:cs="Arial"/>
                <w:color w:val="000000"/>
                <w:kern w:val="0"/>
                <w:sz w:val="20"/>
                <w:szCs w:val="20"/>
                <w14:ligatures w14:val="none"/>
              </w:rPr>
              <w:t>1.0000</w:t>
            </w:r>
          </w:p>
        </w:tc>
      </w:tr>
      <w:tr w:rsidR="00151A18" w:rsidRPr="00C45008" w14:paraId="12F6E47F" w14:textId="77777777" w:rsidTr="00331E27">
        <w:trPr>
          <w:trHeight w:val="255"/>
          <w:jc w:val="center"/>
        </w:trPr>
        <w:tc>
          <w:tcPr>
            <w:tcW w:w="3118" w:type="dxa"/>
            <w:vMerge w:val="restart"/>
            <w:shd w:val="clear" w:color="auto" w:fill="auto"/>
            <w:noWrap/>
            <w:vAlign w:val="center"/>
            <w:hideMark/>
          </w:tcPr>
          <w:p w14:paraId="1EF6ED40" w14:textId="4431A7E3" w:rsidR="00151A18" w:rsidRPr="00C45008" w:rsidRDefault="00151A18" w:rsidP="0006518C">
            <w:pPr>
              <w:spacing w:after="0" w:line="240" w:lineRule="auto"/>
              <w:rPr>
                <w:rFonts w:eastAsia="Times New Roman" w:cs="Arial"/>
                <w:color w:val="000000"/>
                <w:kern w:val="0"/>
                <w:sz w:val="20"/>
                <w:szCs w:val="20"/>
                <w14:ligatures w14:val="none"/>
              </w:rPr>
            </w:pPr>
            <m:oMath>
              <m:r>
                <w:rPr>
                  <w:rFonts w:ascii="Cambria Math" w:eastAsia="Times New Roman" w:hAnsi="Cambria Math" w:cs="Arial"/>
                  <w:color w:val="000000"/>
                  <w:kern w:val="0"/>
                  <w:sz w:val="20"/>
                  <w:szCs w:val="20"/>
                  <w14:ligatures w14:val="none"/>
                </w:rPr>
                <m:t>period</m:t>
              </m:r>
            </m:oMath>
            <w:r w:rsidRPr="00C45008">
              <w:rPr>
                <w:rFonts w:eastAsia="Times New Roman" w:cs="Arial"/>
                <w:color w:val="000000"/>
                <w:kern w:val="0"/>
                <w:sz w:val="20"/>
                <w:szCs w:val="20"/>
                <w14:ligatures w14:val="none"/>
              </w:rPr>
              <w:t xml:space="preserve"> – </w:t>
            </w:r>
            <w:r w:rsidRPr="00151A18">
              <w:rPr>
                <w:rFonts w:eastAsia="Times New Roman" w:cs="Arial"/>
                <w:color w:val="000000"/>
                <w:kern w:val="0"/>
                <w:sz w:val="20"/>
                <w:szCs w:val="20"/>
                <w14:ligatures w14:val="none"/>
              </w:rPr>
              <w:t>dummy variable equal to 1 for all years from the adoption year, 0 otherwise.</w:t>
            </w:r>
          </w:p>
        </w:tc>
        <w:tc>
          <w:tcPr>
            <w:tcW w:w="1077" w:type="dxa"/>
            <w:shd w:val="clear" w:color="auto" w:fill="auto"/>
            <w:noWrap/>
            <w:vAlign w:val="center"/>
            <w:hideMark/>
          </w:tcPr>
          <w:p w14:paraId="01F87B7B" w14:textId="773D8628" w:rsidR="00151A18" w:rsidRPr="00C45008" w:rsidRDefault="00151A18" w:rsidP="0006518C">
            <w:pPr>
              <w:spacing w:after="0" w:line="240" w:lineRule="auto"/>
              <w:jc w:val="center"/>
              <w:rPr>
                <w:rFonts w:eastAsia="Times New Roman" w:cs="Arial"/>
                <w:color w:val="000000"/>
                <w:kern w:val="0"/>
                <w:sz w:val="20"/>
                <w:szCs w:val="20"/>
                <w14:ligatures w14:val="none"/>
              </w:rPr>
            </w:pPr>
            <w:r>
              <w:rPr>
                <w:rFonts w:eastAsia="Times New Roman" w:cs="Arial"/>
                <w:color w:val="000000"/>
                <w:kern w:val="0"/>
                <w:sz w:val="20"/>
                <w:szCs w:val="20"/>
                <w:lang w:val="en-US"/>
                <w14:ligatures w14:val="none"/>
              </w:rPr>
              <w:t>All</w:t>
            </w:r>
          </w:p>
        </w:tc>
        <w:tc>
          <w:tcPr>
            <w:tcW w:w="1134" w:type="dxa"/>
            <w:shd w:val="clear" w:color="auto" w:fill="auto"/>
            <w:noWrap/>
            <w:vAlign w:val="center"/>
            <w:hideMark/>
          </w:tcPr>
          <w:p w14:paraId="34A5DF3F" w14:textId="77777777" w:rsidR="00151A18" w:rsidRPr="00C45008" w:rsidRDefault="00151A18" w:rsidP="0006518C">
            <w:pPr>
              <w:spacing w:after="0" w:line="240" w:lineRule="auto"/>
              <w:jc w:val="center"/>
              <w:rPr>
                <w:rFonts w:eastAsia="Times New Roman" w:cs="Arial"/>
                <w:color w:val="000000"/>
                <w:kern w:val="0"/>
                <w:sz w:val="20"/>
                <w:szCs w:val="20"/>
                <w14:ligatures w14:val="none"/>
              </w:rPr>
            </w:pPr>
            <w:r w:rsidRPr="00C45008">
              <w:rPr>
                <w:rFonts w:eastAsia="Times New Roman" w:cs="Arial"/>
                <w:color w:val="000000"/>
                <w:kern w:val="0"/>
                <w:sz w:val="20"/>
                <w:szCs w:val="20"/>
                <w14:ligatures w14:val="none"/>
              </w:rPr>
              <w:t>180</w:t>
            </w:r>
          </w:p>
        </w:tc>
        <w:tc>
          <w:tcPr>
            <w:tcW w:w="964" w:type="dxa"/>
            <w:shd w:val="clear" w:color="auto" w:fill="auto"/>
            <w:noWrap/>
            <w:vAlign w:val="center"/>
            <w:hideMark/>
          </w:tcPr>
          <w:p w14:paraId="5A724B41" w14:textId="77777777" w:rsidR="00151A18" w:rsidRPr="00C45008" w:rsidRDefault="00151A18" w:rsidP="0006518C">
            <w:pPr>
              <w:spacing w:after="0" w:line="240" w:lineRule="auto"/>
              <w:jc w:val="right"/>
              <w:rPr>
                <w:rFonts w:eastAsia="Times New Roman" w:cs="Arial"/>
                <w:color w:val="000000"/>
                <w:kern w:val="0"/>
                <w:sz w:val="20"/>
                <w:szCs w:val="20"/>
                <w14:ligatures w14:val="none"/>
              </w:rPr>
            </w:pPr>
            <w:r w:rsidRPr="00C45008">
              <w:rPr>
                <w:rFonts w:eastAsia="Times New Roman" w:cs="Arial"/>
                <w:color w:val="000000"/>
                <w:kern w:val="0"/>
                <w:sz w:val="20"/>
                <w:szCs w:val="20"/>
                <w14:ligatures w14:val="none"/>
              </w:rPr>
              <w:t>0.6444</w:t>
            </w:r>
          </w:p>
        </w:tc>
        <w:tc>
          <w:tcPr>
            <w:tcW w:w="1134" w:type="dxa"/>
            <w:shd w:val="clear" w:color="auto" w:fill="auto"/>
            <w:noWrap/>
            <w:vAlign w:val="center"/>
            <w:hideMark/>
          </w:tcPr>
          <w:p w14:paraId="6DBDE583" w14:textId="77777777" w:rsidR="00151A18" w:rsidRPr="00C45008" w:rsidRDefault="00151A18" w:rsidP="0006518C">
            <w:pPr>
              <w:spacing w:after="0" w:line="240" w:lineRule="auto"/>
              <w:jc w:val="right"/>
              <w:rPr>
                <w:rFonts w:eastAsia="Times New Roman" w:cs="Arial"/>
                <w:color w:val="000000"/>
                <w:kern w:val="0"/>
                <w:sz w:val="20"/>
                <w:szCs w:val="20"/>
                <w14:ligatures w14:val="none"/>
              </w:rPr>
            </w:pPr>
            <w:r w:rsidRPr="00C45008">
              <w:rPr>
                <w:rFonts w:eastAsia="Times New Roman" w:cs="Arial"/>
                <w:color w:val="000000"/>
                <w:kern w:val="0"/>
                <w:sz w:val="20"/>
                <w:szCs w:val="20"/>
                <w14:ligatures w14:val="none"/>
              </w:rPr>
              <w:t>0.4800</w:t>
            </w:r>
          </w:p>
        </w:tc>
        <w:tc>
          <w:tcPr>
            <w:tcW w:w="1020" w:type="dxa"/>
            <w:shd w:val="clear" w:color="auto" w:fill="auto"/>
            <w:noWrap/>
            <w:vAlign w:val="center"/>
            <w:hideMark/>
          </w:tcPr>
          <w:p w14:paraId="291AB7D2" w14:textId="77777777" w:rsidR="00151A18" w:rsidRPr="00C45008" w:rsidRDefault="00151A18" w:rsidP="0006518C">
            <w:pPr>
              <w:spacing w:after="0" w:line="240" w:lineRule="auto"/>
              <w:jc w:val="right"/>
              <w:rPr>
                <w:rFonts w:eastAsia="Times New Roman" w:cs="Arial"/>
                <w:color w:val="000000"/>
                <w:kern w:val="0"/>
                <w:sz w:val="20"/>
                <w:szCs w:val="20"/>
                <w14:ligatures w14:val="none"/>
              </w:rPr>
            </w:pPr>
            <w:r w:rsidRPr="00C45008">
              <w:rPr>
                <w:rFonts w:eastAsia="Times New Roman" w:cs="Arial"/>
                <w:color w:val="000000"/>
                <w:kern w:val="0"/>
                <w:sz w:val="20"/>
                <w:szCs w:val="20"/>
                <w14:ligatures w14:val="none"/>
              </w:rPr>
              <w:t>0.0000</w:t>
            </w:r>
          </w:p>
        </w:tc>
        <w:tc>
          <w:tcPr>
            <w:tcW w:w="1020" w:type="dxa"/>
            <w:shd w:val="clear" w:color="auto" w:fill="auto"/>
            <w:noWrap/>
            <w:vAlign w:val="center"/>
            <w:hideMark/>
          </w:tcPr>
          <w:p w14:paraId="010AB60E" w14:textId="77777777" w:rsidR="00151A18" w:rsidRPr="00C45008" w:rsidRDefault="00151A18" w:rsidP="0006518C">
            <w:pPr>
              <w:spacing w:after="0" w:line="240" w:lineRule="auto"/>
              <w:jc w:val="right"/>
              <w:rPr>
                <w:rFonts w:eastAsia="Times New Roman" w:cs="Arial"/>
                <w:color w:val="000000"/>
                <w:kern w:val="0"/>
                <w:sz w:val="20"/>
                <w:szCs w:val="20"/>
                <w14:ligatures w14:val="none"/>
              </w:rPr>
            </w:pPr>
            <w:r w:rsidRPr="00C45008">
              <w:rPr>
                <w:rFonts w:eastAsia="Times New Roman" w:cs="Arial"/>
                <w:color w:val="000000"/>
                <w:kern w:val="0"/>
                <w:sz w:val="20"/>
                <w:szCs w:val="20"/>
                <w14:ligatures w14:val="none"/>
              </w:rPr>
              <w:t>1.0000</w:t>
            </w:r>
          </w:p>
        </w:tc>
      </w:tr>
      <w:tr w:rsidR="00151A18" w:rsidRPr="00C45008" w14:paraId="4ECB8E46" w14:textId="77777777" w:rsidTr="00331E27">
        <w:trPr>
          <w:trHeight w:val="255"/>
          <w:jc w:val="center"/>
        </w:trPr>
        <w:tc>
          <w:tcPr>
            <w:tcW w:w="3118" w:type="dxa"/>
            <w:vMerge/>
            <w:shd w:val="clear" w:color="auto" w:fill="auto"/>
            <w:noWrap/>
            <w:vAlign w:val="center"/>
          </w:tcPr>
          <w:p w14:paraId="24A89277" w14:textId="77777777" w:rsidR="00151A18" w:rsidRPr="00C45008" w:rsidRDefault="00151A18" w:rsidP="0006518C">
            <w:pPr>
              <w:spacing w:after="0" w:line="240" w:lineRule="auto"/>
              <w:rPr>
                <w:rFonts w:eastAsia="Times New Roman" w:cs="Arial"/>
                <w:color w:val="000000"/>
                <w:kern w:val="0"/>
                <w:sz w:val="20"/>
                <w:szCs w:val="20"/>
                <w14:ligatures w14:val="none"/>
              </w:rPr>
            </w:pPr>
          </w:p>
        </w:tc>
        <w:tc>
          <w:tcPr>
            <w:tcW w:w="1077" w:type="dxa"/>
            <w:shd w:val="clear" w:color="auto" w:fill="auto"/>
            <w:noWrap/>
            <w:vAlign w:val="center"/>
            <w:hideMark/>
          </w:tcPr>
          <w:p w14:paraId="7207924B" w14:textId="48139937" w:rsidR="00151A18" w:rsidRPr="00C45008" w:rsidRDefault="00151A18" w:rsidP="0006518C">
            <w:pPr>
              <w:spacing w:after="0" w:line="240" w:lineRule="auto"/>
              <w:jc w:val="center"/>
              <w:rPr>
                <w:rFonts w:eastAsia="Times New Roman" w:cs="Arial"/>
                <w:color w:val="000000"/>
                <w:kern w:val="0"/>
                <w:sz w:val="20"/>
                <w:szCs w:val="20"/>
                <w14:ligatures w14:val="none"/>
              </w:rPr>
            </w:pPr>
            <w:r>
              <w:rPr>
                <w:rFonts w:eastAsia="Times New Roman" w:cs="Arial"/>
                <w:color w:val="000000"/>
                <w:kern w:val="0"/>
                <w:sz w:val="20"/>
                <w:szCs w:val="20"/>
                <w:lang w:val="en-US"/>
                <w14:ligatures w14:val="none"/>
              </w:rPr>
              <w:t>No</w:t>
            </w:r>
          </w:p>
        </w:tc>
        <w:tc>
          <w:tcPr>
            <w:tcW w:w="1134" w:type="dxa"/>
            <w:shd w:val="clear" w:color="auto" w:fill="auto"/>
            <w:noWrap/>
            <w:vAlign w:val="center"/>
            <w:hideMark/>
          </w:tcPr>
          <w:p w14:paraId="27842C24" w14:textId="77777777" w:rsidR="00151A18" w:rsidRPr="00C45008" w:rsidRDefault="00151A18" w:rsidP="0006518C">
            <w:pPr>
              <w:spacing w:after="0" w:line="240" w:lineRule="auto"/>
              <w:jc w:val="center"/>
              <w:rPr>
                <w:rFonts w:eastAsia="Times New Roman" w:cs="Arial"/>
                <w:color w:val="000000"/>
                <w:kern w:val="0"/>
                <w:sz w:val="20"/>
                <w:szCs w:val="20"/>
                <w14:ligatures w14:val="none"/>
              </w:rPr>
            </w:pPr>
            <w:r w:rsidRPr="00C45008">
              <w:rPr>
                <w:rFonts w:eastAsia="Times New Roman" w:cs="Arial"/>
                <w:color w:val="000000"/>
                <w:kern w:val="0"/>
                <w:sz w:val="20"/>
                <w:szCs w:val="20"/>
                <w14:ligatures w14:val="none"/>
              </w:rPr>
              <w:t>92</w:t>
            </w:r>
          </w:p>
        </w:tc>
        <w:tc>
          <w:tcPr>
            <w:tcW w:w="964" w:type="dxa"/>
            <w:shd w:val="clear" w:color="auto" w:fill="auto"/>
            <w:noWrap/>
            <w:vAlign w:val="center"/>
            <w:hideMark/>
          </w:tcPr>
          <w:p w14:paraId="149E17B4" w14:textId="77777777" w:rsidR="00151A18" w:rsidRPr="00C45008" w:rsidRDefault="00151A18" w:rsidP="0006518C">
            <w:pPr>
              <w:spacing w:after="0" w:line="240" w:lineRule="auto"/>
              <w:jc w:val="right"/>
              <w:rPr>
                <w:rFonts w:eastAsia="Times New Roman" w:cs="Arial"/>
                <w:color w:val="000000"/>
                <w:kern w:val="0"/>
                <w:sz w:val="20"/>
                <w:szCs w:val="20"/>
                <w14:ligatures w14:val="none"/>
              </w:rPr>
            </w:pPr>
            <w:r w:rsidRPr="00C45008">
              <w:rPr>
                <w:rFonts w:eastAsia="Times New Roman" w:cs="Arial"/>
                <w:color w:val="000000"/>
                <w:kern w:val="0"/>
                <w:sz w:val="20"/>
                <w:szCs w:val="20"/>
                <w14:ligatures w14:val="none"/>
              </w:rPr>
              <w:t>0.6304</w:t>
            </w:r>
          </w:p>
        </w:tc>
        <w:tc>
          <w:tcPr>
            <w:tcW w:w="1134" w:type="dxa"/>
            <w:shd w:val="clear" w:color="auto" w:fill="auto"/>
            <w:noWrap/>
            <w:vAlign w:val="center"/>
            <w:hideMark/>
          </w:tcPr>
          <w:p w14:paraId="100017D4" w14:textId="77777777" w:rsidR="00151A18" w:rsidRPr="00C45008" w:rsidRDefault="00151A18" w:rsidP="0006518C">
            <w:pPr>
              <w:spacing w:after="0" w:line="240" w:lineRule="auto"/>
              <w:jc w:val="right"/>
              <w:rPr>
                <w:rFonts w:eastAsia="Times New Roman" w:cs="Arial"/>
                <w:color w:val="000000"/>
                <w:kern w:val="0"/>
                <w:sz w:val="20"/>
                <w:szCs w:val="20"/>
                <w14:ligatures w14:val="none"/>
              </w:rPr>
            </w:pPr>
            <w:r w:rsidRPr="00C45008">
              <w:rPr>
                <w:rFonts w:eastAsia="Times New Roman" w:cs="Arial"/>
                <w:color w:val="000000"/>
                <w:kern w:val="0"/>
                <w:sz w:val="20"/>
                <w:szCs w:val="20"/>
                <w14:ligatures w14:val="none"/>
              </w:rPr>
              <w:t>0.4853</w:t>
            </w:r>
          </w:p>
        </w:tc>
        <w:tc>
          <w:tcPr>
            <w:tcW w:w="1020" w:type="dxa"/>
            <w:shd w:val="clear" w:color="auto" w:fill="auto"/>
            <w:noWrap/>
            <w:vAlign w:val="center"/>
            <w:hideMark/>
          </w:tcPr>
          <w:p w14:paraId="6E9EE5C5" w14:textId="77777777" w:rsidR="00151A18" w:rsidRPr="00C45008" w:rsidRDefault="00151A18" w:rsidP="0006518C">
            <w:pPr>
              <w:spacing w:after="0" w:line="240" w:lineRule="auto"/>
              <w:jc w:val="right"/>
              <w:rPr>
                <w:rFonts w:eastAsia="Times New Roman" w:cs="Arial"/>
                <w:color w:val="000000"/>
                <w:kern w:val="0"/>
                <w:sz w:val="20"/>
                <w:szCs w:val="20"/>
                <w14:ligatures w14:val="none"/>
              </w:rPr>
            </w:pPr>
            <w:r w:rsidRPr="00C45008">
              <w:rPr>
                <w:rFonts w:eastAsia="Times New Roman" w:cs="Arial"/>
                <w:color w:val="000000"/>
                <w:kern w:val="0"/>
                <w:sz w:val="20"/>
                <w:szCs w:val="20"/>
                <w14:ligatures w14:val="none"/>
              </w:rPr>
              <w:t>0.0000</w:t>
            </w:r>
          </w:p>
        </w:tc>
        <w:tc>
          <w:tcPr>
            <w:tcW w:w="1020" w:type="dxa"/>
            <w:shd w:val="clear" w:color="auto" w:fill="auto"/>
            <w:noWrap/>
            <w:vAlign w:val="center"/>
            <w:hideMark/>
          </w:tcPr>
          <w:p w14:paraId="60E1BAE3" w14:textId="77777777" w:rsidR="00151A18" w:rsidRPr="00C45008" w:rsidRDefault="00151A18" w:rsidP="0006518C">
            <w:pPr>
              <w:spacing w:after="0" w:line="240" w:lineRule="auto"/>
              <w:jc w:val="right"/>
              <w:rPr>
                <w:rFonts w:eastAsia="Times New Roman" w:cs="Arial"/>
                <w:color w:val="000000"/>
                <w:kern w:val="0"/>
                <w:sz w:val="20"/>
                <w:szCs w:val="20"/>
                <w14:ligatures w14:val="none"/>
              </w:rPr>
            </w:pPr>
            <w:r w:rsidRPr="00C45008">
              <w:rPr>
                <w:rFonts w:eastAsia="Times New Roman" w:cs="Arial"/>
                <w:color w:val="000000"/>
                <w:kern w:val="0"/>
                <w:sz w:val="20"/>
                <w:szCs w:val="20"/>
                <w14:ligatures w14:val="none"/>
              </w:rPr>
              <w:t>1.0000</w:t>
            </w:r>
          </w:p>
        </w:tc>
      </w:tr>
      <w:tr w:rsidR="00151A18" w:rsidRPr="00C45008" w14:paraId="79698797" w14:textId="77777777" w:rsidTr="00331E27">
        <w:trPr>
          <w:trHeight w:val="255"/>
          <w:jc w:val="center"/>
        </w:trPr>
        <w:tc>
          <w:tcPr>
            <w:tcW w:w="3118" w:type="dxa"/>
            <w:vMerge/>
            <w:shd w:val="clear" w:color="auto" w:fill="auto"/>
            <w:noWrap/>
            <w:vAlign w:val="center"/>
          </w:tcPr>
          <w:p w14:paraId="721DFE46" w14:textId="77777777" w:rsidR="00151A18" w:rsidRPr="00C45008" w:rsidRDefault="00151A18" w:rsidP="0006518C">
            <w:pPr>
              <w:spacing w:after="0" w:line="240" w:lineRule="auto"/>
              <w:rPr>
                <w:rFonts w:eastAsia="Times New Roman" w:cs="Arial"/>
                <w:color w:val="000000"/>
                <w:kern w:val="0"/>
                <w:sz w:val="20"/>
                <w:szCs w:val="20"/>
                <w14:ligatures w14:val="none"/>
              </w:rPr>
            </w:pPr>
          </w:p>
        </w:tc>
        <w:tc>
          <w:tcPr>
            <w:tcW w:w="1077" w:type="dxa"/>
            <w:shd w:val="clear" w:color="auto" w:fill="auto"/>
            <w:noWrap/>
            <w:vAlign w:val="center"/>
            <w:hideMark/>
          </w:tcPr>
          <w:p w14:paraId="03B0C463" w14:textId="474A8079" w:rsidR="00151A18" w:rsidRPr="00C45008" w:rsidRDefault="00151A18" w:rsidP="0006518C">
            <w:pPr>
              <w:spacing w:after="0" w:line="240" w:lineRule="auto"/>
              <w:jc w:val="center"/>
              <w:rPr>
                <w:rFonts w:eastAsia="Times New Roman" w:cs="Arial"/>
                <w:color w:val="000000"/>
                <w:kern w:val="0"/>
                <w:sz w:val="20"/>
                <w:szCs w:val="20"/>
                <w14:ligatures w14:val="none"/>
              </w:rPr>
            </w:pPr>
            <w:r>
              <w:rPr>
                <w:rFonts w:eastAsia="Times New Roman" w:cs="Arial"/>
                <w:color w:val="000000"/>
                <w:kern w:val="0"/>
                <w:sz w:val="20"/>
                <w:szCs w:val="20"/>
                <w:lang w:val="en-US"/>
                <w14:ligatures w14:val="none"/>
              </w:rPr>
              <w:t>Yes</w:t>
            </w:r>
          </w:p>
        </w:tc>
        <w:tc>
          <w:tcPr>
            <w:tcW w:w="1134" w:type="dxa"/>
            <w:shd w:val="clear" w:color="auto" w:fill="auto"/>
            <w:noWrap/>
            <w:vAlign w:val="center"/>
            <w:hideMark/>
          </w:tcPr>
          <w:p w14:paraId="2F6AAE4E" w14:textId="77777777" w:rsidR="00151A18" w:rsidRPr="00C45008" w:rsidRDefault="00151A18" w:rsidP="0006518C">
            <w:pPr>
              <w:spacing w:after="0" w:line="240" w:lineRule="auto"/>
              <w:jc w:val="center"/>
              <w:rPr>
                <w:rFonts w:eastAsia="Times New Roman" w:cs="Arial"/>
                <w:color w:val="000000"/>
                <w:kern w:val="0"/>
                <w:sz w:val="20"/>
                <w:szCs w:val="20"/>
                <w14:ligatures w14:val="none"/>
              </w:rPr>
            </w:pPr>
            <w:r w:rsidRPr="00C45008">
              <w:rPr>
                <w:rFonts w:eastAsia="Times New Roman" w:cs="Arial"/>
                <w:color w:val="000000"/>
                <w:kern w:val="0"/>
                <w:sz w:val="20"/>
                <w:szCs w:val="20"/>
                <w14:ligatures w14:val="none"/>
              </w:rPr>
              <w:t>88</w:t>
            </w:r>
          </w:p>
        </w:tc>
        <w:tc>
          <w:tcPr>
            <w:tcW w:w="964" w:type="dxa"/>
            <w:shd w:val="clear" w:color="auto" w:fill="auto"/>
            <w:noWrap/>
            <w:vAlign w:val="center"/>
            <w:hideMark/>
          </w:tcPr>
          <w:p w14:paraId="2AADC3D9" w14:textId="77777777" w:rsidR="00151A18" w:rsidRPr="00C45008" w:rsidRDefault="00151A18" w:rsidP="0006518C">
            <w:pPr>
              <w:spacing w:after="0" w:line="240" w:lineRule="auto"/>
              <w:jc w:val="right"/>
              <w:rPr>
                <w:rFonts w:eastAsia="Times New Roman" w:cs="Arial"/>
                <w:color w:val="000000"/>
                <w:kern w:val="0"/>
                <w:sz w:val="20"/>
                <w:szCs w:val="20"/>
                <w14:ligatures w14:val="none"/>
              </w:rPr>
            </w:pPr>
            <w:r w:rsidRPr="00C45008">
              <w:rPr>
                <w:rFonts w:eastAsia="Times New Roman" w:cs="Arial"/>
                <w:color w:val="000000"/>
                <w:kern w:val="0"/>
                <w:sz w:val="20"/>
                <w:szCs w:val="20"/>
                <w14:ligatures w14:val="none"/>
              </w:rPr>
              <w:t>0.6591</w:t>
            </w:r>
          </w:p>
        </w:tc>
        <w:tc>
          <w:tcPr>
            <w:tcW w:w="1134" w:type="dxa"/>
            <w:shd w:val="clear" w:color="auto" w:fill="auto"/>
            <w:noWrap/>
            <w:vAlign w:val="center"/>
            <w:hideMark/>
          </w:tcPr>
          <w:p w14:paraId="673F29AE" w14:textId="77777777" w:rsidR="00151A18" w:rsidRPr="00C45008" w:rsidRDefault="00151A18" w:rsidP="0006518C">
            <w:pPr>
              <w:spacing w:after="0" w:line="240" w:lineRule="auto"/>
              <w:jc w:val="right"/>
              <w:rPr>
                <w:rFonts w:eastAsia="Times New Roman" w:cs="Arial"/>
                <w:color w:val="000000"/>
                <w:kern w:val="0"/>
                <w:sz w:val="20"/>
                <w:szCs w:val="20"/>
                <w14:ligatures w14:val="none"/>
              </w:rPr>
            </w:pPr>
            <w:r w:rsidRPr="00C45008">
              <w:rPr>
                <w:rFonts w:eastAsia="Times New Roman" w:cs="Arial"/>
                <w:color w:val="000000"/>
                <w:kern w:val="0"/>
                <w:sz w:val="20"/>
                <w:szCs w:val="20"/>
                <w14:ligatures w14:val="none"/>
              </w:rPr>
              <w:t>0.4767</w:t>
            </w:r>
          </w:p>
        </w:tc>
        <w:tc>
          <w:tcPr>
            <w:tcW w:w="1020" w:type="dxa"/>
            <w:shd w:val="clear" w:color="auto" w:fill="auto"/>
            <w:noWrap/>
            <w:vAlign w:val="center"/>
            <w:hideMark/>
          </w:tcPr>
          <w:p w14:paraId="7D2EEDD8" w14:textId="77777777" w:rsidR="00151A18" w:rsidRPr="00C45008" w:rsidRDefault="00151A18" w:rsidP="0006518C">
            <w:pPr>
              <w:spacing w:after="0" w:line="240" w:lineRule="auto"/>
              <w:jc w:val="right"/>
              <w:rPr>
                <w:rFonts w:eastAsia="Times New Roman" w:cs="Arial"/>
                <w:color w:val="000000"/>
                <w:kern w:val="0"/>
                <w:sz w:val="20"/>
                <w:szCs w:val="20"/>
                <w14:ligatures w14:val="none"/>
              </w:rPr>
            </w:pPr>
            <w:r w:rsidRPr="00C45008">
              <w:rPr>
                <w:rFonts w:eastAsia="Times New Roman" w:cs="Arial"/>
                <w:color w:val="000000"/>
                <w:kern w:val="0"/>
                <w:sz w:val="20"/>
                <w:szCs w:val="20"/>
                <w14:ligatures w14:val="none"/>
              </w:rPr>
              <w:t>0.0000</w:t>
            </w:r>
          </w:p>
        </w:tc>
        <w:tc>
          <w:tcPr>
            <w:tcW w:w="1020" w:type="dxa"/>
            <w:shd w:val="clear" w:color="auto" w:fill="auto"/>
            <w:noWrap/>
            <w:vAlign w:val="center"/>
            <w:hideMark/>
          </w:tcPr>
          <w:p w14:paraId="0C677E6B" w14:textId="77777777" w:rsidR="00151A18" w:rsidRPr="00C45008" w:rsidRDefault="00151A18" w:rsidP="0006518C">
            <w:pPr>
              <w:spacing w:after="0" w:line="240" w:lineRule="auto"/>
              <w:jc w:val="right"/>
              <w:rPr>
                <w:rFonts w:eastAsia="Times New Roman" w:cs="Arial"/>
                <w:color w:val="000000"/>
                <w:kern w:val="0"/>
                <w:sz w:val="20"/>
                <w:szCs w:val="20"/>
                <w14:ligatures w14:val="none"/>
              </w:rPr>
            </w:pPr>
            <w:r w:rsidRPr="00C45008">
              <w:rPr>
                <w:rFonts w:eastAsia="Times New Roman" w:cs="Arial"/>
                <w:color w:val="000000"/>
                <w:kern w:val="0"/>
                <w:sz w:val="20"/>
                <w:szCs w:val="20"/>
                <w14:ligatures w14:val="none"/>
              </w:rPr>
              <w:t>1.0000</w:t>
            </w:r>
          </w:p>
        </w:tc>
      </w:tr>
      <w:tr w:rsidR="00580FFB" w:rsidRPr="00C45008" w14:paraId="10B8AC40" w14:textId="77777777" w:rsidTr="00331E27">
        <w:trPr>
          <w:trHeight w:val="255"/>
          <w:jc w:val="center"/>
        </w:trPr>
        <w:tc>
          <w:tcPr>
            <w:tcW w:w="3118" w:type="dxa"/>
            <w:shd w:val="clear" w:color="auto" w:fill="D9D9D9" w:themeFill="background1" w:themeFillShade="D9"/>
            <w:noWrap/>
            <w:vAlign w:val="center"/>
          </w:tcPr>
          <w:p w14:paraId="608398F3" w14:textId="77E6DAB4" w:rsidR="00580FFB" w:rsidRPr="003E65A0" w:rsidRDefault="003E65A0" w:rsidP="0006518C">
            <w:pPr>
              <w:spacing w:after="0" w:line="240" w:lineRule="auto"/>
              <w:rPr>
                <w:rFonts w:eastAsia="Times New Roman" w:cs="Arial"/>
                <w:i/>
                <w:iCs/>
                <w:color w:val="000000"/>
                <w:kern w:val="0"/>
                <w:sz w:val="20"/>
                <w:szCs w:val="20"/>
                <w:lang w:val="en-US"/>
                <w14:ligatures w14:val="none"/>
              </w:rPr>
            </w:pPr>
            <w:r>
              <w:rPr>
                <w:rFonts w:eastAsia="Times New Roman" w:cs="Arial"/>
                <w:i/>
                <w:iCs/>
                <w:color w:val="000000"/>
                <w:kern w:val="0"/>
                <w:sz w:val="20"/>
                <w:szCs w:val="20"/>
                <w:lang w:val="en-US"/>
                <w14:ligatures w14:val="none"/>
              </w:rPr>
              <w:t>Control variables</w:t>
            </w:r>
          </w:p>
        </w:tc>
        <w:tc>
          <w:tcPr>
            <w:tcW w:w="1077" w:type="dxa"/>
            <w:shd w:val="clear" w:color="auto" w:fill="D9D9D9" w:themeFill="background1" w:themeFillShade="D9"/>
            <w:noWrap/>
            <w:vAlign w:val="center"/>
          </w:tcPr>
          <w:p w14:paraId="338F8E1A" w14:textId="77777777" w:rsidR="00580FFB" w:rsidRPr="00C45008" w:rsidRDefault="00580FFB" w:rsidP="0006518C">
            <w:pPr>
              <w:spacing w:after="0" w:line="240" w:lineRule="auto"/>
              <w:jc w:val="center"/>
              <w:rPr>
                <w:rFonts w:eastAsia="Times New Roman" w:cs="Arial"/>
                <w:i/>
                <w:iCs/>
                <w:color w:val="000000"/>
                <w:kern w:val="0"/>
                <w:sz w:val="20"/>
                <w:szCs w:val="20"/>
                <w14:ligatures w14:val="none"/>
              </w:rPr>
            </w:pPr>
          </w:p>
        </w:tc>
        <w:tc>
          <w:tcPr>
            <w:tcW w:w="1134" w:type="dxa"/>
            <w:shd w:val="clear" w:color="auto" w:fill="D9D9D9" w:themeFill="background1" w:themeFillShade="D9"/>
            <w:noWrap/>
            <w:vAlign w:val="center"/>
          </w:tcPr>
          <w:p w14:paraId="254B3D89" w14:textId="77777777" w:rsidR="00580FFB" w:rsidRPr="00C45008" w:rsidRDefault="00580FFB" w:rsidP="0006518C">
            <w:pPr>
              <w:spacing w:after="0" w:line="240" w:lineRule="auto"/>
              <w:jc w:val="center"/>
              <w:rPr>
                <w:rFonts w:eastAsia="Times New Roman" w:cs="Arial"/>
                <w:i/>
                <w:iCs/>
                <w:color w:val="000000"/>
                <w:kern w:val="0"/>
                <w:sz w:val="20"/>
                <w:szCs w:val="20"/>
                <w14:ligatures w14:val="none"/>
              </w:rPr>
            </w:pPr>
          </w:p>
        </w:tc>
        <w:tc>
          <w:tcPr>
            <w:tcW w:w="964" w:type="dxa"/>
            <w:shd w:val="clear" w:color="auto" w:fill="D9D9D9" w:themeFill="background1" w:themeFillShade="D9"/>
            <w:noWrap/>
            <w:vAlign w:val="center"/>
          </w:tcPr>
          <w:p w14:paraId="52846C30" w14:textId="77777777" w:rsidR="00580FFB" w:rsidRPr="00C45008" w:rsidRDefault="00580FFB" w:rsidP="0006518C">
            <w:pPr>
              <w:spacing w:after="0" w:line="240" w:lineRule="auto"/>
              <w:jc w:val="right"/>
              <w:rPr>
                <w:rFonts w:eastAsia="Times New Roman" w:cs="Arial"/>
                <w:i/>
                <w:iCs/>
                <w:color w:val="000000"/>
                <w:kern w:val="0"/>
                <w:sz w:val="20"/>
                <w:szCs w:val="20"/>
                <w14:ligatures w14:val="none"/>
              </w:rPr>
            </w:pPr>
          </w:p>
        </w:tc>
        <w:tc>
          <w:tcPr>
            <w:tcW w:w="1134" w:type="dxa"/>
            <w:shd w:val="clear" w:color="auto" w:fill="D9D9D9" w:themeFill="background1" w:themeFillShade="D9"/>
            <w:noWrap/>
            <w:vAlign w:val="center"/>
          </w:tcPr>
          <w:p w14:paraId="3D3748DA" w14:textId="77777777" w:rsidR="00580FFB" w:rsidRPr="00C45008" w:rsidRDefault="00580FFB" w:rsidP="0006518C">
            <w:pPr>
              <w:spacing w:after="0" w:line="240" w:lineRule="auto"/>
              <w:jc w:val="right"/>
              <w:rPr>
                <w:rFonts w:eastAsia="Times New Roman" w:cs="Arial"/>
                <w:i/>
                <w:iCs/>
                <w:color w:val="000000"/>
                <w:kern w:val="0"/>
                <w:sz w:val="20"/>
                <w:szCs w:val="20"/>
                <w14:ligatures w14:val="none"/>
              </w:rPr>
            </w:pPr>
          </w:p>
        </w:tc>
        <w:tc>
          <w:tcPr>
            <w:tcW w:w="1020" w:type="dxa"/>
            <w:shd w:val="clear" w:color="auto" w:fill="D9D9D9" w:themeFill="background1" w:themeFillShade="D9"/>
            <w:noWrap/>
            <w:vAlign w:val="center"/>
          </w:tcPr>
          <w:p w14:paraId="0CF29DC1" w14:textId="77777777" w:rsidR="00580FFB" w:rsidRPr="00C45008" w:rsidRDefault="00580FFB" w:rsidP="0006518C">
            <w:pPr>
              <w:spacing w:after="0" w:line="240" w:lineRule="auto"/>
              <w:jc w:val="right"/>
              <w:rPr>
                <w:rFonts w:eastAsia="Times New Roman" w:cs="Arial"/>
                <w:i/>
                <w:iCs/>
                <w:color w:val="000000"/>
                <w:kern w:val="0"/>
                <w:sz w:val="20"/>
                <w:szCs w:val="20"/>
                <w14:ligatures w14:val="none"/>
              </w:rPr>
            </w:pPr>
          </w:p>
        </w:tc>
        <w:tc>
          <w:tcPr>
            <w:tcW w:w="1020" w:type="dxa"/>
            <w:shd w:val="clear" w:color="auto" w:fill="D9D9D9" w:themeFill="background1" w:themeFillShade="D9"/>
            <w:noWrap/>
            <w:vAlign w:val="center"/>
          </w:tcPr>
          <w:p w14:paraId="529A9E53" w14:textId="77777777" w:rsidR="00580FFB" w:rsidRPr="00C45008" w:rsidRDefault="00580FFB" w:rsidP="0006518C">
            <w:pPr>
              <w:spacing w:after="0" w:line="240" w:lineRule="auto"/>
              <w:jc w:val="right"/>
              <w:rPr>
                <w:rFonts w:eastAsia="Times New Roman" w:cs="Arial"/>
                <w:i/>
                <w:iCs/>
                <w:color w:val="000000"/>
                <w:kern w:val="0"/>
                <w:sz w:val="20"/>
                <w:szCs w:val="20"/>
                <w14:ligatures w14:val="none"/>
              </w:rPr>
            </w:pPr>
          </w:p>
        </w:tc>
      </w:tr>
      <w:tr w:rsidR="00151A18" w:rsidRPr="00C45008" w14:paraId="75DBC125" w14:textId="77777777" w:rsidTr="00331E27">
        <w:trPr>
          <w:trHeight w:val="255"/>
          <w:jc w:val="center"/>
        </w:trPr>
        <w:tc>
          <w:tcPr>
            <w:tcW w:w="3118" w:type="dxa"/>
            <w:vMerge w:val="restart"/>
            <w:shd w:val="clear" w:color="auto" w:fill="auto"/>
            <w:noWrap/>
            <w:vAlign w:val="center"/>
            <w:hideMark/>
          </w:tcPr>
          <w:p w14:paraId="17B4BB6A" w14:textId="2DF9BCB2" w:rsidR="00151A18" w:rsidRPr="0046564E" w:rsidRDefault="00151A18" w:rsidP="0006518C">
            <w:pPr>
              <w:spacing w:after="0" w:line="240" w:lineRule="auto"/>
              <w:rPr>
                <w:rFonts w:eastAsia="Times New Roman" w:cs="Arial"/>
                <w:color w:val="000000"/>
                <w:kern w:val="0"/>
                <w:sz w:val="20"/>
                <w:szCs w:val="20"/>
                <w:lang w:val="en-US"/>
                <w14:ligatures w14:val="none"/>
              </w:rPr>
            </w:pPr>
            <m:oMath>
              <m:r>
                <w:rPr>
                  <w:rFonts w:ascii="Cambria Math" w:eastAsia="Times New Roman" w:hAnsi="Cambria Math" w:cs="Arial"/>
                  <w:color w:val="000000"/>
                  <w:kern w:val="0"/>
                  <w:sz w:val="20"/>
                  <w:szCs w:val="20"/>
                  <w14:ligatures w14:val="none"/>
                </w:rPr>
                <m:t>lev</m:t>
              </m:r>
            </m:oMath>
            <w:r w:rsidRPr="00C45008">
              <w:rPr>
                <w:rFonts w:eastAsia="Times New Roman" w:cs="Arial"/>
                <w:color w:val="000000"/>
                <w:kern w:val="0"/>
                <w:sz w:val="20"/>
                <w:szCs w:val="20"/>
                <w14:ligatures w14:val="none"/>
              </w:rPr>
              <w:t xml:space="preserve"> – </w:t>
            </w:r>
            <w:r w:rsidR="0046564E">
              <w:rPr>
                <w:rFonts w:eastAsia="Times New Roman" w:cs="Arial"/>
                <w:color w:val="000000"/>
                <w:kern w:val="0"/>
                <w:sz w:val="20"/>
                <w:szCs w:val="20"/>
                <w:lang w:val="en-US"/>
                <w14:ligatures w14:val="none"/>
              </w:rPr>
              <w:t>ratio of total liabilities to total assets</w:t>
            </w:r>
          </w:p>
        </w:tc>
        <w:tc>
          <w:tcPr>
            <w:tcW w:w="1077" w:type="dxa"/>
            <w:shd w:val="clear" w:color="auto" w:fill="auto"/>
            <w:noWrap/>
            <w:vAlign w:val="center"/>
            <w:hideMark/>
          </w:tcPr>
          <w:p w14:paraId="0B8692C6" w14:textId="7A3001A9" w:rsidR="00151A18" w:rsidRPr="00C45008" w:rsidRDefault="00151A18" w:rsidP="0006518C">
            <w:pPr>
              <w:spacing w:after="0" w:line="240" w:lineRule="auto"/>
              <w:jc w:val="center"/>
              <w:rPr>
                <w:rFonts w:eastAsia="Times New Roman" w:cs="Arial"/>
                <w:color w:val="000000"/>
                <w:kern w:val="0"/>
                <w:sz w:val="20"/>
                <w:szCs w:val="20"/>
                <w14:ligatures w14:val="none"/>
              </w:rPr>
            </w:pPr>
            <w:r>
              <w:rPr>
                <w:rFonts w:eastAsia="Times New Roman" w:cs="Arial"/>
                <w:color w:val="000000"/>
                <w:kern w:val="0"/>
                <w:sz w:val="20"/>
                <w:szCs w:val="20"/>
                <w:lang w:val="en-US"/>
                <w14:ligatures w14:val="none"/>
              </w:rPr>
              <w:t>All</w:t>
            </w:r>
          </w:p>
        </w:tc>
        <w:tc>
          <w:tcPr>
            <w:tcW w:w="1134" w:type="dxa"/>
            <w:shd w:val="clear" w:color="auto" w:fill="auto"/>
            <w:noWrap/>
            <w:vAlign w:val="center"/>
            <w:hideMark/>
          </w:tcPr>
          <w:p w14:paraId="44B9716C" w14:textId="77777777" w:rsidR="00151A18" w:rsidRPr="00C45008" w:rsidRDefault="00151A18" w:rsidP="0006518C">
            <w:pPr>
              <w:spacing w:after="0" w:line="240" w:lineRule="auto"/>
              <w:jc w:val="center"/>
              <w:rPr>
                <w:rFonts w:eastAsia="Times New Roman" w:cs="Arial"/>
                <w:color w:val="000000"/>
                <w:kern w:val="0"/>
                <w:sz w:val="20"/>
                <w:szCs w:val="20"/>
                <w14:ligatures w14:val="none"/>
              </w:rPr>
            </w:pPr>
            <w:r w:rsidRPr="00C45008">
              <w:rPr>
                <w:rFonts w:eastAsia="Times New Roman" w:cs="Arial"/>
                <w:color w:val="000000"/>
                <w:kern w:val="0"/>
                <w:sz w:val="20"/>
                <w:szCs w:val="20"/>
                <w14:ligatures w14:val="none"/>
              </w:rPr>
              <w:t>180</w:t>
            </w:r>
          </w:p>
        </w:tc>
        <w:tc>
          <w:tcPr>
            <w:tcW w:w="964" w:type="dxa"/>
            <w:shd w:val="clear" w:color="auto" w:fill="auto"/>
            <w:noWrap/>
            <w:vAlign w:val="center"/>
            <w:hideMark/>
          </w:tcPr>
          <w:p w14:paraId="19411E9E" w14:textId="77777777" w:rsidR="00151A18" w:rsidRPr="00C45008" w:rsidRDefault="00151A18" w:rsidP="0006518C">
            <w:pPr>
              <w:spacing w:after="0" w:line="240" w:lineRule="auto"/>
              <w:jc w:val="right"/>
              <w:rPr>
                <w:rFonts w:eastAsia="Times New Roman" w:cs="Arial"/>
                <w:color w:val="000000"/>
                <w:kern w:val="0"/>
                <w:sz w:val="20"/>
                <w:szCs w:val="20"/>
                <w14:ligatures w14:val="none"/>
              </w:rPr>
            </w:pPr>
            <w:r w:rsidRPr="00C45008">
              <w:rPr>
                <w:rFonts w:eastAsia="Times New Roman" w:cs="Arial"/>
                <w:color w:val="000000"/>
                <w:kern w:val="0"/>
                <w:sz w:val="20"/>
                <w:szCs w:val="20"/>
                <w14:ligatures w14:val="none"/>
              </w:rPr>
              <w:t>0.5755</w:t>
            </w:r>
          </w:p>
        </w:tc>
        <w:tc>
          <w:tcPr>
            <w:tcW w:w="1134" w:type="dxa"/>
            <w:shd w:val="clear" w:color="auto" w:fill="auto"/>
            <w:noWrap/>
            <w:vAlign w:val="center"/>
            <w:hideMark/>
          </w:tcPr>
          <w:p w14:paraId="724059D4" w14:textId="77777777" w:rsidR="00151A18" w:rsidRPr="00C45008" w:rsidRDefault="00151A18" w:rsidP="0006518C">
            <w:pPr>
              <w:spacing w:after="0" w:line="240" w:lineRule="auto"/>
              <w:jc w:val="right"/>
              <w:rPr>
                <w:rFonts w:eastAsia="Times New Roman" w:cs="Arial"/>
                <w:color w:val="000000"/>
                <w:kern w:val="0"/>
                <w:sz w:val="20"/>
                <w:szCs w:val="20"/>
                <w14:ligatures w14:val="none"/>
              </w:rPr>
            </w:pPr>
            <w:r w:rsidRPr="00C45008">
              <w:rPr>
                <w:rFonts w:eastAsia="Times New Roman" w:cs="Arial"/>
                <w:color w:val="000000"/>
                <w:kern w:val="0"/>
                <w:sz w:val="20"/>
                <w:szCs w:val="20"/>
                <w14:ligatures w14:val="none"/>
              </w:rPr>
              <w:t>0.1359</w:t>
            </w:r>
          </w:p>
        </w:tc>
        <w:tc>
          <w:tcPr>
            <w:tcW w:w="1020" w:type="dxa"/>
            <w:shd w:val="clear" w:color="auto" w:fill="auto"/>
            <w:noWrap/>
            <w:vAlign w:val="center"/>
            <w:hideMark/>
          </w:tcPr>
          <w:p w14:paraId="29C31054" w14:textId="77777777" w:rsidR="00151A18" w:rsidRPr="00C45008" w:rsidRDefault="00151A18" w:rsidP="0006518C">
            <w:pPr>
              <w:spacing w:after="0" w:line="240" w:lineRule="auto"/>
              <w:jc w:val="right"/>
              <w:rPr>
                <w:rFonts w:eastAsia="Times New Roman" w:cs="Arial"/>
                <w:color w:val="000000"/>
                <w:kern w:val="0"/>
                <w:sz w:val="20"/>
                <w:szCs w:val="20"/>
                <w14:ligatures w14:val="none"/>
              </w:rPr>
            </w:pPr>
            <w:r w:rsidRPr="00C45008">
              <w:rPr>
                <w:rFonts w:eastAsia="Times New Roman" w:cs="Arial"/>
                <w:color w:val="000000"/>
                <w:kern w:val="0"/>
                <w:sz w:val="20"/>
                <w:szCs w:val="20"/>
                <w14:ligatures w14:val="none"/>
              </w:rPr>
              <w:t>0.2315</w:t>
            </w:r>
          </w:p>
        </w:tc>
        <w:tc>
          <w:tcPr>
            <w:tcW w:w="1020" w:type="dxa"/>
            <w:shd w:val="clear" w:color="auto" w:fill="auto"/>
            <w:noWrap/>
            <w:vAlign w:val="center"/>
            <w:hideMark/>
          </w:tcPr>
          <w:p w14:paraId="3B56392A" w14:textId="77777777" w:rsidR="00151A18" w:rsidRPr="00C45008" w:rsidRDefault="00151A18" w:rsidP="0006518C">
            <w:pPr>
              <w:spacing w:after="0" w:line="240" w:lineRule="auto"/>
              <w:jc w:val="right"/>
              <w:rPr>
                <w:rFonts w:eastAsia="Times New Roman" w:cs="Arial"/>
                <w:color w:val="000000"/>
                <w:kern w:val="0"/>
                <w:sz w:val="20"/>
                <w:szCs w:val="20"/>
                <w14:ligatures w14:val="none"/>
              </w:rPr>
            </w:pPr>
            <w:r w:rsidRPr="00C45008">
              <w:rPr>
                <w:rFonts w:eastAsia="Times New Roman" w:cs="Arial"/>
                <w:color w:val="000000"/>
                <w:kern w:val="0"/>
                <w:sz w:val="20"/>
                <w:szCs w:val="20"/>
                <w14:ligatures w14:val="none"/>
              </w:rPr>
              <w:t>0.9269</w:t>
            </w:r>
          </w:p>
        </w:tc>
      </w:tr>
      <w:tr w:rsidR="00151A18" w:rsidRPr="00C45008" w14:paraId="3142DBA0" w14:textId="77777777" w:rsidTr="00331E27">
        <w:trPr>
          <w:trHeight w:val="255"/>
          <w:jc w:val="center"/>
        </w:trPr>
        <w:tc>
          <w:tcPr>
            <w:tcW w:w="3118" w:type="dxa"/>
            <w:vMerge/>
            <w:shd w:val="clear" w:color="auto" w:fill="auto"/>
            <w:noWrap/>
            <w:vAlign w:val="center"/>
          </w:tcPr>
          <w:p w14:paraId="0A8D8DD3" w14:textId="77777777" w:rsidR="00151A18" w:rsidRPr="00C45008" w:rsidRDefault="00151A18" w:rsidP="0006518C">
            <w:pPr>
              <w:spacing w:after="0" w:line="240" w:lineRule="auto"/>
              <w:rPr>
                <w:rFonts w:eastAsia="Times New Roman" w:cs="Arial"/>
                <w:color w:val="000000"/>
                <w:kern w:val="0"/>
                <w:sz w:val="20"/>
                <w:szCs w:val="20"/>
                <w14:ligatures w14:val="none"/>
              </w:rPr>
            </w:pPr>
          </w:p>
        </w:tc>
        <w:tc>
          <w:tcPr>
            <w:tcW w:w="1077" w:type="dxa"/>
            <w:shd w:val="clear" w:color="auto" w:fill="auto"/>
            <w:noWrap/>
            <w:vAlign w:val="center"/>
            <w:hideMark/>
          </w:tcPr>
          <w:p w14:paraId="738681FC" w14:textId="462C0236" w:rsidR="00151A18" w:rsidRPr="00C45008" w:rsidRDefault="00151A18" w:rsidP="0006518C">
            <w:pPr>
              <w:spacing w:after="0" w:line="240" w:lineRule="auto"/>
              <w:jc w:val="center"/>
              <w:rPr>
                <w:rFonts w:eastAsia="Times New Roman" w:cs="Arial"/>
                <w:color w:val="000000"/>
                <w:kern w:val="0"/>
                <w:sz w:val="20"/>
                <w:szCs w:val="20"/>
                <w14:ligatures w14:val="none"/>
              </w:rPr>
            </w:pPr>
            <w:r>
              <w:rPr>
                <w:rFonts w:eastAsia="Times New Roman" w:cs="Arial"/>
                <w:color w:val="000000"/>
                <w:kern w:val="0"/>
                <w:sz w:val="20"/>
                <w:szCs w:val="20"/>
                <w:lang w:val="en-US"/>
                <w14:ligatures w14:val="none"/>
              </w:rPr>
              <w:t>No</w:t>
            </w:r>
          </w:p>
        </w:tc>
        <w:tc>
          <w:tcPr>
            <w:tcW w:w="1134" w:type="dxa"/>
            <w:shd w:val="clear" w:color="auto" w:fill="auto"/>
            <w:noWrap/>
            <w:vAlign w:val="center"/>
            <w:hideMark/>
          </w:tcPr>
          <w:p w14:paraId="0A359271" w14:textId="77777777" w:rsidR="00151A18" w:rsidRPr="00C45008" w:rsidRDefault="00151A18" w:rsidP="0006518C">
            <w:pPr>
              <w:spacing w:after="0" w:line="240" w:lineRule="auto"/>
              <w:jc w:val="center"/>
              <w:rPr>
                <w:rFonts w:eastAsia="Times New Roman" w:cs="Arial"/>
                <w:color w:val="000000"/>
                <w:kern w:val="0"/>
                <w:sz w:val="20"/>
                <w:szCs w:val="20"/>
                <w14:ligatures w14:val="none"/>
              </w:rPr>
            </w:pPr>
            <w:r w:rsidRPr="00C45008">
              <w:rPr>
                <w:rFonts w:eastAsia="Times New Roman" w:cs="Arial"/>
                <w:color w:val="000000"/>
                <w:kern w:val="0"/>
                <w:sz w:val="20"/>
                <w:szCs w:val="20"/>
                <w14:ligatures w14:val="none"/>
              </w:rPr>
              <w:t>92</w:t>
            </w:r>
          </w:p>
        </w:tc>
        <w:tc>
          <w:tcPr>
            <w:tcW w:w="964" w:type="dxa"/>
            <w:shd w:val="clear" w:color="auto" w:fill="auto"/>
            <w:noWrap/>
            <w:vAlign w:val="center"/>
            <w:hideMark/>
          </w:tcPr>
          <w:p w14:paraId="443FB020" w14:textId="77777777" w:rsidR="00151A18" w:rsidRPr="00C45008" w:rsidRDefault="00151A18" w:rsidP="0006518C">
            <w:pPr>
              <w:spacing w:after="0" w:line="240" w:lineRule="auto"/>
              <w:jc w:val="right"/>
              <w:rPr>
                <w:rFonts w:eastAsia="Times New Roman" w:cs="Arial"/>
                <w:color w:val="000000"/>
                <w:kern w:val="0"/>
                <w:sz w:val="20"/>
                <w:szCs w:val="20"/>
                <w14:ligatures w14:val="none"/>
              </w:rPr>
            </w:pPr>
            <w:r w:rsidRPr="00C45008">
              <w:rPr>
                <w:rFonts w:eastAsia="Times New Roman" w:cs="Arial"/>
                <w:color w:val="000000"/>
                <w:kern w:val="0"/>
                <w:sz w:val="20"/>
                <w:szCs w:val="20"/>
                <w14:ligatures w14:val="none"/>
              </w:rPr>
              <w:t>0.5500</w:t>
            </w:r>
          </w:p>
        </w:tc>
        <w:tc>
          <w:tcPr>
            <w:tcW w:w="1134" w:type="dxa"/>
            <w:shd w:val="clear" w:color="auto" w:fill="auto"/>
            <w:noWrap/>
            <w:vAlign w:val="center"/>
            <w:hideMark/>
          </w:tcPr>
          <w:p w14:paraId="5A548282" w14:textId="77777777" w:rsidR="00151A18" w:rsidRPr="00C45008" w:rsidRDefault="00151A18" w:rsidP="0006518C">
            <w:pPr>
              <w:spacing w:after="0" w:line="240" w:lineRule="auto"/>
              <w:jc w:val="right"/>
              <w:rPr>
                <w:rFonts w:eastAsia="Times New Roman" w:cs="Arial"/>
                <w:color w:val="000000"/>
                <w:kern w:val="0"/>
                <w:sz w:val="20"/>
                <w:szCs w:val="20"/>
                <w14:ligatures w14:val="none"/>
              </w:rPr>
            </w:pPr>
            <w:r w:rsidRPr="00C45008">
              <w:rPr>
                <w:rFonts w:eastAsia="Times New Roman" w:cs="Arial"/>
                <w:color w:val="000000"/>
                <w:kern w:val="0"/>
                <w:sz w:val="20"/>
                <w:szCs w:val="20"/>
                <w14:ligatures w14:val="none"/>
              </w:rPr>
              <w:t>0.1380</w:t>
            </w:r>
          </w:p>
        </w:tc>
        <w:tc>
          <w:tcPr>
            <w:tcW w:w="1020" w:type="dxa"/>
            <w:shd w:val="clear" w:color="auto" w:fill="auto"/>
            <w:noWrap/>
            <w:vAlign w:val="center"/>
            <w:hideMark/>
          </w:tcPr>
          <w:p w14:paraId="771F889E" w14:textId="77777777" w:rsidR="00151A18" w:rsidRPr="00C45008" w:rsidRDefault="00151A18" w:rsidP="0006518C">
            <w:pPr>
              <w:spacing w:after="0" w:line="240" w:lineRule="auto"/>
              <w:jc w:val="right"/>
              <w:rPr>
                <w:rFonts w:eastAsia="Times New Roman" w:cs="Arial"/>
                <w:color w:val="000000"/>
                <w:kern w:val="0"/>
                <w:sz w:val="20"/>
                <w:szCs w:val="20"/>
                <w14:ligatures w14:val="none"/>
              </w:rPr>
            </w:pPr>
            <w:r w:rsidRPr="00C45008">
              <w:rPr>
                <w:rFonts w:eastAsia="Times New Roman" w:cs="Arial"/>
                <w:color w:val="000000"/>
                <w:kern w:val="0"/>
                <w:sz w:val="20"/>
                <w:szCs w:val="20"/>
                <w14:ligatures w14:val="none"/>
              </w:rPr>
              <w:t>0.2315</w:t>
            </w:r>
          </w:p>
        </w:tc>
        <w:tc>
          <w:tcPr>
            <w:tcW w:w="1020" w:type="dxa"/>
            <w:shd w:val="clear" w:color="auto" w:fill="auto"/>
            <w:noWrap/>
            <w:vAlign w:val="center"/>
            <w:hideMark/>
          </w:tcPr>
          <w:p w14:paraId="0FC91BF9" w14:textId="77777777" w:rsidR="00151A18" w:rsidRPr="00C45008" w:rsidRDefault="00151A18" w:rsidP="0006518C">
            <w:pPr>
              <w:spacing w:after="0" w:line="240" w:lineRule="auto"/>
              <w:jc w:val="right"/>
              <w:rPr>
                <w:rFonts w:eastAsia="Times New Roman" w:cs="Arial"/>
                <w:color w:val="000000"/>
                <w:kern w:val="0"/>
                <w:sz w:val="20"/>
                <w:szCs w:val="20"/>
                <w14:ligatures w14:val="none"/>
              </w:rPr>
            </w:pPr>
            <w:r w:rsidRPr="00C45008">
              <w:rPr>
                <w:rFonts w:eastAsia="Times New Roman" w:cs="Arial"/>
                <w:color w:val="000000"/>
                <w:kern w:val="0"/>
                <w:sz w:val="20"/>
                <w:szCs w:val="20"/>
                <w14:ligatures w14:val="none"/>
              </w:rPr>
              <w:t>0.9269</w:t>
            </w:r>
          </w:p>
        </w:tc>
      </w:tr>
      <w:tr w:rsidR="00151A18" w:rsidRPr="00C45008" w14:paraId="51E6E214" w14:textId="77777777" w:rsidTr="00331E27">
        <w:trPr>
          <w:trHeight w:val="255"/>
          <w:jc w:val="center"/>
        </w:trPr>
        <w:tc>
          <w:tcPr>
            <w:tcW w:w="3118" w:type="dxa"/>
            <w:vMerge/>
            <w:shd w:val="clear" w:color="auto" w:fill="auto"/>
            <w:noWrap/>
            <w:vAlign w:val="center"/>
          </w:tcPr>
          <w:p w14:paraId="6CF05D7E" w14:textId="77777777" w:rsidR="00151A18" w:rsidRPr="00C45008" w:rsidRDefault="00151A18" w:rsidP="0006518C">
            <w:pPr>
              <w:spacing w:after="0" w:line="240" w:lineRule="auto"/>
              <w:rPr>
                <w:rFonts w:eastAsia="Times New Roman" w:cs="Arial"/>
                <w:color w:val="000000"/>
                <w:kern w:val="0"/>
                <w:sz w:val="20"/>
                <w:szCs w:val="20"/>
                <w14:ligatures w14:val="none"/>
              </w:rPr>
            </w:pPr>
          </w:p>
        </w:tc>
        <w:tc>
          <w:tcPr>
            <w:tcW w:w="1077" w:type="dxa"/>
            <w:shd w:val="clear" w:color="auto" w:fill="auto"/>
            <w:noWrap/>
            <w:vAlign w:val="center"/>
            <w:hideMark/>
          </w:tcPr>
          <w:p w14:paraId="5C3F98D7" w14:textId="20AFE2E1" w:rsidR="00151A18" w:rsidRPr="00C45008" w:rsidRDefault="00151A18" w:rsidP="0006518C">
            <w:pPr>
              <w:spacing w:after="0" w:line="240" w:lineRule="auto"/>
              <w:jc w:val="center"/>
              <w:rPr>
                <w:rFonts w:eastAsia="Times New Roman" w:cs="Arial"/>
                <w:color w:val="000000"/>
                <w:kern w:val="0"/>
                <w:sz w:val="20"/>
                <w:szCs w:val="20"/>
                <w14:ligatures w14:val="none"/>
              </w:rPr>
            </w:pPr>
            <w:r>
              <w:rPr>
                <w:rFonts w:eastAsia="Times New Roman" w:cs="Arial"/>
                <w:color w:val="000000"/>
                <w:kern w:val="0"/>
                <w:sz w:val="20"/>
                <w:szCs w:val="20"/>
                <w:lang w:val="en-US"/>
                <w14:ligatures w14:val="none"/>
              </w:rPr>
              <w:t>Yes</w:t>
            </w:r>
          </w:p>
        </w:tc>
        <w:tc>
          <w:tcPr>
            <w:tcW w:w="1134" w:type="dxa"/>
            <w:shd w:val="clear" w:color="auto" w:fill="auto"/>
            <w:noWrap/>
            <w:vAlign w:val="center"/>
            <w:hideMark/>
          </w:tcPr>
          <w:p w14:paraId="0ED769DE" w14:textId="77777777" w:rsidR="00151A18" w:rsidRPr="00C45008" w:rsidRDefault="00151A18" w:rsidP="0006518C">
            <w:pPr>
              <w:spacing w:after="0" w:line="240" w:lineRule="auto"/>
              <w:jc w:val="center"/>
              <w:rPr>
                <w:rFonts w:eastAsia="Times New Roman" w:cs="Arial"/>
                <w:color w:val="000000"/>
                <w:kern w:val="0"/>
                <w:sz w:val="20"/>
                <w:szCs w:val="20"/>
                <w14:ligatures w14:val="none"/>
              </w:rPr>
            </w:pPr>
            <w:r w:rsidRPr="00C45008">
              <w:rPr>
                <w:rFonts w:eastAsia="Times New Roman" w:cs="Arial"/>
                <w:color w:val="000000"/>
                <w:kern w:val="0"/>
                <w:sz w:val="20"/>
                <w:szCs w:val="20"/>
                <w14:ligatures w14:val="none"/>
              </w:rPr>
              <w:t>88</w:t>
            </w:r>
          </w:p>
        </w:tc>
        <w:tc>
          <w:tcPr>
            <w:tcW w:w="964" w:type="dxa"/>
            <w:shd w:val="clear" w:color="auto" w:fill="auto"/>
            <w:noWrap/>
            <w:vAlign w:val="center"/>
            <w:hideMark/>
          </w:tcPr>
          <w:p w14:paraId="7905237D" w14:textId="77777777" w:rsidR="00151A18" w:rsidRPr="00C45008" w:rsidRDefault="00151A18" w:rsidP="0006518C">
            <w:pPr>
              <w:spacing w:after="0" w:line="240" w:lineRule="auto"/>
              <w:jc w:val="right"/>
              <w:rPr>
                <w:rFonts w:eastAsia="Times New Roman" w:cs="Arial"/>
                <w:color w:val="000000"/>
                <w:kern w:val="0"/>
                <w:sz w:val="20"/>
                <w:szCs w:val="20"/>
                <w14:ligatures w14:val="none"/>
              </w:rPr>
            </w:pPr>
            <w:r w:rsidRPr="00C45008">
              <w:rPr>
                <w:rFonts w:eastAsia="Times New Roman" w:cs="Arial"/>
                <w:color w:val="000000"/>
                <w:kern w:val="0"/>
                <w:sz w:val="20"/>
                <w:szCs w:val="20"/>
                <w14:ligatures w14:val="none"/>
              </w:rPr>
              <w:t>0.6023</w:t>
            </w:r>
          </w:p>
        </w:tc>
        <w:tc>
          <w:tcPr>
            <w:tcW w:w="1134" w:type="dxa"/>
            <w:shd w:val="clear" w:color="auto" w:fill="auto"/>
            <w:noWrap/>
            <w:vAlign w:val="center"/>
            <w:hideMark/>
          </w:tcPr>
          <w:p w14:paraId="552F7B4E" w14:textId="77777777" w:rsidR="00151A18" w:rsidRPr="00C45008" w:rsidRDefault="00151A18" w:rsidP="0006518C">
            <w:pPr>
              <w:spacing w:after="0" w:line="240" w:lineRule="auto"/>
              <w:jc w:val="right"/>
              <w:rPr>
                <w:rFonts w:eastAsia="Times New Roman" w:cs="Arial"/>
                <w:color w:val="000000"/>
                <w:kern w:val="0"/>
                <w:sz w:val="20"/>
                <w:szCs w:val="20"/>
                <w14:ligatures w14:val="none"/>
              </w:rPr>
            </w:pPr>
            <w:r w:rsidRPr="00C45008">
              <w:rPr>
                <w:rFonts w:eastAsia="Times New Roman" w:cs="Arial"/>
                <w:color w:val="000000"/>
                <w:kern w:val="0"/>
                <w:sz w:val="20"/>
                <w:szCs w:val="20"/>
                <w14:ligatures w14:val="none"/>
              </w:rPr>
              <w:t>0.1290</w:t>
            </w:r>
          </w:p>
        </w:tc>
        <w:tc>
          <w:tcPr>
            <w:tcW w:w="1020" w:type="dxa"/>
            <w:shd w:val="clear" w:color="auto" w:fill="auto"/>
            <w:noWrap/>
            <w:vAlign w:val="center"/>
            <w:hideMark/>
          </w:tcPr>
          <w:p w14:paraId="199A33C8" w14:textId="77777777" w:rsidR="00151A18" w:rsidRPr="00C45008" w:rsidRDefault="00151A18" w:rsidP="0006518C">
            <w:pPr>
              <w:spacing w:after="0" w:line="240" w:lineRule="auto"/>
              <w:jc w:val="right"/>
              <w:rPr>
                <w:rFonts w:eastAsia="Times New Roman" w:cs="Arial"/>
                <w:color w:val="000000"/>
                <w:kern w:val="0"/>
                <w:sz w:val="20"/>
                <w:szCs w:val="20"/>
                <w14:ligatures w14:val="none"/>
              </w:rPr>
            </w:pPr>
            <w:r w:rsidRPr="00C45008">
              <w:rPr>
                <w:rFonts w:eastAsia="Times New Roman" w:cs="Arial"/>
                <w:color w:val="000000"/>
                <w:kern w:val="0"/>
                <w:sz w:val="20"/>
                <w:szCs w:val="20"/>
                <w14:ligatures w14:val="none"/>
              </w:rPr>
              <w:t>0.3119</w:t>
            </w:r>
          </w:p>
        </w:tc>
        <w:tc>
          <w:tcPr>
            <w:tcW w:w="1020" w:type="dxa"/>
            <w:shd w:val="clear" w:color="auto" w:fill="auto"/>
            <w:noWrap/>
            <w:vAlign w:val="center"/>
            <w:hideMark/>
          </w:tcPr>
          <w:p w14:paraId="4BC14E55" w14:textId="77777777" w:rsidR="00151A18" w:rsidRPr="00C45008" w:rsidRDefault="00151A18" w:rsidP="0006518C">
            <w:pPr>
              <w:spacing w:after="0" w:line="240" w:lineRule="auto"/>
              <w:jc w:val="right"/>
              <w:rPr>
                <w:rFonts w:eastAsia="Times New Roman" w:cs="Arial"/>
                <w:color w:val="000000"/>
                <w:kern w:val="0"/>
                <w:sz w:val="20"/>
                <w:szCs w:val="20"/>
                <w14:ligatures w14:val="none"/>
              </w:rPr>
            </w:pPr>
            <w:r w:rsidRPr="00C45008">
              <w:rPr>
                <w:rFonts w:eastAsia="Times New Roman" w:cs="Arial"/>
                <w:color w:val="000000"/>
                <w:kern w:val="0"/>
                <w:sz w:val="20"/>
                <w:szCs w:val="20"/>
                <w14:ligatures w14:val="none"/>
              </w:rPr>
              <w:t>0.8408</w:t>
            </w:r>
          </w:p>
        </w:tc>
      </w:tr>
      <w:tr w:rsidR="00151A18" w:rsidRPr="00C45008" w14:paraId="58716CDA" w14:textId="77777777" w:rsidTr="00331E27">
        <w:trPr>
          <w:trHeight w:val="255"/>
          <w:jc w:val="center"/>
        </w:trPr>
        <w:tc>
          <w:tcPr>
            <w:tcW w:w="3118" w:type="dxa"/>
            <w:vMerge w:val="restart"/>
            <w:shd w:val="clear" w:color="auto" w:fill="auto"/>
            <w:noWrap/>
            <w:vAlign w:val="center"/>
            <w:hideMark/>
          </w:tcPr>
          <w:p w14:paraId="217BF2E2" w14:textId="2E6B4E6B" w:rsidR="00151A18" w:rsidRPr="0046564E" w:rsidRDefault="00151A18" w:rsidP="0006518C">
            <w:pPr>
              <w:spacing w:after="0" w:line="240" w:lineRule="auto"/>
              <w:rPr>
                <w:rFonts w:eastAsia="Times New Roman" w:cs="Arial"/>
                <w:color w:val="000000"/>
                <w:kern w:val="0"/>
                <w:sz w:val="20"/>
                <w:szCs w:val="20"/>
                <w:lang w:val="en-US"/>
                <w14:ligatures w14:val="none"/>
              </w:rPr>
            </w:pPr>
            <m:oMath>
              <m:r>
                <w:rPr>
                  <w:rFonts w:ascii="Cambria Math" w:eastAsia="Times New Roman" w:hAnsi="Cambria Math" w:cs="Arial"/>
                  <w:color w:val="000000"/>
                  <w:kern w:val="0"/>
                  <w:sz w:val="20"/>
                  <w:szCs w:val="20"/>
                  <w14:ligatures w14:val="none"/>
                </w:rPr>
                <m:t>ocfta</m:t>
              </m:r>
            </m:oMath>
            <w:r w:rsidRPr="00C45008">
              <w:rPr>
                <w:rFonts w:eastAsia="Times New Roman" w:cs="Arial"/>
                <w:color w:val="000000"/>
                <w:kern w:val="0"/>
                <w:sz w:val="20"/>
                <w:szCs w:val="20"/>
                <w14:ligatures w14:val="none"/>
              </w:rPr>
              <w:t xml:space="preserve"> – </w:t>
            </w:r>
            <w:r w:rsidR="0046564E">
              <w:rPr>
                <w:rFonts w:eastAsia="Times New Roman" w:cs="Arial"/>
                <w:color w:val="000000"/>
                <w:kern w:val="0"/>
                <w:sz w:val="20"/>
                <w:szCs w:val="20"/>
                <w:lang w:val="en-US"/>
                <w14:ligatures w14:val="none"/>
              </w:rPr>
              <w:t>ratio of operating cash flow to total assets</w:t>
            </w:r>
          </w:p>
        </w:tc>
        <w:tc>
          <w:tcPr>
            <w:tcW w:w="1077" w:type="dxa"/>
            <w:shd w:val="clear" w:color="auto" w:fill="auto"/>
            <w:noWrap/>
            <w:vAlign w:val="center"/>
            <w:hideMark/>
          </w:tcPr>
          <w:p w14:paraId="2B2184DF" w14:textId="01087DAF" w:rsidR="00151A18" w:rsidRPr="00C45008" w:rsidRDefault="00151A18" w:rsidP="0006518C">
            <w:pPr>
              <w:spacing w:after="0" w:line="240" w:lineRule="auto"/>
              <w:jc w:val="center"/>
              <w:rPr>
                <w:rFonts w:eastAsia="Times New Roman" w:cs="Arial"/>
                <w:color w:val="000000"/>
                <w:kern w:val="0"/>
                <w:sz w:val="20"/>
                <w:szCs w:val="20"/>
                <w14:ligatures w14:val="none"/>
              </w:rPr>
            </w:pPr>
            <w:r>
              <w:rPr>
                <w:rFonts w:eastAsia="Times New Roman" w:cs="Arial"/>
                <w:color w:val="000000"/>
                <w:kern w:val="0"/>
                <w:sz w:val="20"/>
                <w:szCs w:val="20"/>
                <w:lang w:val="en-US"/>
                <w14:ligatures w14:val="none"/>
              </w:rPr>
              <w:t>All</w:t>
            </w:r>
          </w:p>
        </w:tc>
        <w:tc>
          <w:tcPr>
            <w:tcW w:w="1134" w:type="dxa"/>
            <w:shd w:val="clear" w:color="auto" w:fill="auto"/>
            <w:noWrap/>
            <w:vAlign w:val="center"/>
            <w:hideMark/>
          </w:tcPr>
          <w:p w14:paraId="3FF31E67" w14:textId="77777777" w:rsidR="00151A18" w:rsidRPr="00C45008" w:rsidRDefault="00151A18" w:rsidP="0006518C">
            <w:pPr>
              <w:spacing w:after="0" w:line="240" w:lineRule="auto"/>
              <w:jc w:val="center"/>
              <w:rPr>
                <w:rFonts w:eastAsia="Times New Roman" w:cs="Arial"/>
                <w:color w:val="000000"/>
                <w:kern w:val="0"/>
                <w:sz w:val="20"/>
                <w:szCs w:val="20"/>
                <w14:ligatures w14:val="none"/>
              </w:rPr>
            </w:pPr>
            <w:r w:rsidRPr="00C45008">
              <w:rPr>
                <w:rFonts w:eastAsia="Times New Roman" w:cs="Arial"/>
                <w:color w:val="000000"/>
                <w:kern w:val="0"/>
                <w:sz w:val="20"/>
                <w:szCs w:val="20"/>
                <w14:ligatures w14:val="none"/>
              </w:rPr>
              <w:t>180</w:t>
            </w:r>
          </w:p>
        </w:tc>
        <w:tc>
          <w:tcPr>
            <w:tcW w:w="964" w:type="dxa"/>
            <w:shd w:val="clear" w:color="auto" w:fill="auto"/>
            <w:noWrap/>
            <w:vAlign w:val="center"/>
            <w:hideMark/>
          </w:tcPr>
          <w:p w14:paraId="6CE22284" w14:textId="77777777" w:rsidR="00151A18" w:rsidRPr="00C45008" w:rsidRDefault="00151A18" w:rsidP="0006518C">
            <w:pPr>
              <w:spacing w:after="0" w:line="240" w:lineRule="auto"/>
              <w:jc w:val="right"/>
              <w:rPr>
                <w:rFonts w:eastAsia="Times New Roman" w:cs="Arial"/>
                <w:color w:val="000000"/>
                <w:kern w:val="0"/>
                <w:sz w:val="20"/>
                <w:szCs w:val="20"/>
                <w14:ligatures w14:val="none"/>
              </w:rPr>
            </w:pPr>
            <w:r w:rsidRPr="00C45008">
              <w:rPr>
                <w:rFonts w:eastAsia="Times New Roman" w:cs="Arial"/>
                <w:color w:val="000000"/>
                <w:kern w:val="0"/>
                <w:sz w:val="20"/>
                <w:szCs w:val="20"/>
                <w14:ligatures w14:val="none"/>
              </w:rPr>
              <w:t>0.0904</w:t>
            </w:r>
          </w:p>
        </w:tc>
        <w:tc>
          <w:tcPr>
            <w:tcW w:w="1134" w:type="dxa"/>
            <w:shd w:val="clear" w:color="auto" w:fill="auto"/>
            <w:noWrap/>
            <w:vAlign w:val="center"/>
            <w:hideMark/>
          </w:tcPr>
          <w:p w14:paraId="3A531EA2" w14:textId="77777777" w:rsidR="00151A18" w:rsidRPr="00C45008" w:rsidRDefault="00151A18" w:rsidP="0006518C">
            <w:pPr>
              <w:spacing w:after="0" w:line="240" w:lineRule="auto"/>
              <w:jc w:val="right"/>
              <w:rPr>
                <w:rFonts w:eastAsia="Times New Roman" w:cs="Arial"/>
                <w:color w:val="000000"/>
                <w:kern w:val="0"/>
                <w:sz w:val="20"/>
                <w:szCs w:val="20"/>
                <w14:ligatures w14:val="none"/>
              </w:rPr>
            </w:pPr>
            <w:r w:rsidRPr="00C45008">
              <w:rPr>
                <w:rFonts w:eastAsia="Times New Roman" w:cs="Arial"/>
                <w:color w:val="000000"/>
                <w:kern w:val="0"/>
                <w:sz w:val="20"/>
                <w:szCs w:val="20"/>
                <w14:ligatures w14:val="none"/>
              </w:rPr>
              <w:t>0.0823</w:t>
            </w:r>
          </w:p>
        </w:tc>
        <w:tc>
          <w:tcPr>
            <w:tcW w:w="1020" w:type="dxa"/>
            <w:shd w:val="clear" w:color="auto" w:fill="auto"/>
            <w:noWrap/>
            <w:vAlign w:val="center"/>
            <w:hideMark/>
          </w:tcPr>
          <w:p w14:paraId="21CB1049" w14:textId="77777777" w:rsidR="00151A18" w:rsidRPr="00C45008" w:rsidRDefault="00151A18" w:rsidP="0006518C">
            <w:pPr>
              <w:spacing w:after="0" w:line="240" w:lineRule="auto"/>
              <w:jc w:val="right"/>
              <w:rPr>
                <w:rFonts w:eastAsia="Times New Roman" w:cs="Arial"/>
                <w:color w:val="000000"/>
                <w:kern w:val="0"/>
                <w:sz w:val="20"/>
                <w:szCs w:val="20"/>
                <w14:ligatures w14:val="none"/>
              </w:rPr>
            </w:pPr>
            <w:r w:rsidRPr="00C45008">
              <w:rPr>
                <w:rFonts w:eastAsia="Times New Roman" w:cs="Arial"/>
                <w:color w:val="000000"/>
                <w:kern w:val="0"/>
                <w:sz w:val="20"/>
                <w:szCs w:val="20"/>
                <w14:ligatures w14:val="none"/>
              </w:rPr>
              <w:t>-0.1288</w:t>
            </w:r>
          </w:p>
        </w:tc>
        <w:tc>
          <w:tcPr>
            <w:tcW w:w="1020" w:type="dxa"/>
            <w:shd w:val="clear" w:color="auto" w:fill="auto"/>
            <w:noWrap/>
            <w:vAlign w:val="center"/>
            <w:hideMark/>
          </w:tcPr>
          <w:p w14:paraId="063C756C" w14:textId="77777777" w:rsidR="00151A18" w:rsidRPr="00C45008" w:rsidRDefault="00151A18" w:rsidP="0006518C">
            <w:pPr>
              <w:spacing w:after="0" w:line="240" w:lineRule="auto"/>
              <w:jc w:val="right"/>
              <w:rPr>
                <w:rFonts w:eastAsia="Times New Roman" w:cs="Arial"/>
                <w:color w:val="000000"/>
                <w:kern w:val="0"/>
                <w:sz w:val="20"/>
                <w:szCs w:val="20"/>
                <w14:ligatures w14:val="none"/>
              </w:rPr>
            </w:pPr>
            <w:r w:rsidRPr="00C45008">
              <w:rPr>
                <w:rFonts w:eastAsia="Times New Roman" w:cs="Arial"/>
                <w:color w:val="000000"/>
                <w:kern w:val="0"/>
                <w:sz w:val="20"/>
                <w:szCs w:val="20"/>
                <w14:ligatures w14:val="none"/>
              </w:rPr>
              <w:t>0.4198</w:t>
            </w:r>
          </w:p>
        </w:tc>
      </w:tr>
      <w:tr w:rsidR="00151A18" w:rsidRPr="00C45008" w14:paraId="08DC03EB" w14:textId="77777777" w:rsidTr="00331E27">
        <w:trPr>
          <w:trHeight w:val="255"/>
          <w:jc w:val="center"/>
        </w:trPr>
        <w:tc>
          <w:tcPr>
            <w:tcW w:w="3118" w:type="dxa"/>
            <w:vMerge/>
            <w:shd w:val="clear" w:color="auto" w:fill="auto"/>
            <w:noWrap/>
            <w:vAlign w:val="center"/>
          </w:tcPr>
          <w:p w14:paraId="1269BF04" w14:textId="77777777" w:rsidR="00151A18" w:rsidRPr="00C45008" w:rsidRDefault="00151A18" w:rsidP="0006518C">
            <w:pPr>
              <w:spacing w:after="0" w:line="240" w:lineRule="auto"/>
              <w:rPr>
                <w:rFonts w:eastAsia="Times New Roman" w:cs="Arial"/>
                <w:color w:val="000000"/>
                <w:kern w:val="0"/>
                <w:sz w:val="20"/>
                <w:szCs w:val="20"/>
                <w14:ligatures w14:val="none"/>
              </w:rPr>
            </w:pPr>
          </w:p>
        </w:tc>
        <w:tc>
          <w:tcPr>
            <w:tcW w:w="1077" w:type="dxa"/>
            <w:shd w:val="clear" w:color="auto" w:fill="auto"/>
            <w:noWrap/>
            <w:vAlign w:val="center"/>
            <w:hideMark/>
          </w:tcPr>
          <w:p w14:paraId="7DD1AB6E" w14:textId="138E0258" w:rsidR="00151A18" w:rsidRPr="00C45008" w:rsidRDefault="00151A18" w:rsidP="0006518C">
            <w:pPr>
              <w:spacing w:after="0" w:line="240" w:lineRule="auto"/>
              <w:jc w:val="center"/>
              <w:rPr>
                <w:rFonts w:eastAsia="Times New Roman" w:cs="Arial"/>
                <w:color w:val="000000"/>
                <w:kern w:val="0"/>
                <w:sz w:val="20"/>
                <w:szCs w:val="20"/>
                <w14:ligatures w14:val="none"/>
              </w:rPr>
            </w:pPr>
            <w:r>
              <w:rPr>
                <w:rFonts w:eastAsia="Times New Roman" w:cs="Arial"/>
                <w:color w:val="000000"/>
                <w:kern w:val="0"/>
                <w:sz w:val="20"/>
                <w:szCs w:val="20"/>
                <w:lang w:val="en-US"/>
                <w14:ligatures w14:val="none"/>
              </w:rPr>
              <w:t>No</w:t>
            </w:r>
          </w:p>
        </w:tc>
        <w:tc>
          <w:tcPr>
            <w:tcW w:w="1134" w:type="dxa"/>
            <w:shd w:val="clear" w:color="auto" w:fill="auto"/>
            <w:noWrap/>
            <w:vAlign w:val="center"/>
            <w:hideMark/>
          </w:tcPr>
          <w:p w14:paraId="6FAA96E4" w14:textId="77777777" w:rsidR="00151A18" w:rsidRPr="00C45008" w:rsidRDefault="00151A18" w:rsidP="0006518C">
            <w:pPr>
              <w:spacing w:after="0" w:line="240" w:lineRule="auto"/>
              <w:jc w:val="center"/>
              <w:rPr>
                <w:rFonts w:eastAsia="Times New Roman" w:cs="Arial"/>
                <w:color w:val="000000"/>
                <w:kern w:val="0"/>
                <w:sz w:val="20"/>
                <w:szCs w:val="20"/>
                <w14:ligatures w14:val="none"/>
              </w:rPr>
            </w:pPr>
            <w:r w:rsidRPr="00C45008">
              <w:rPr>
                <w:rFonts w:eastAsia="Times New Roman" w:cs="Arial"/>
                <w:color w:val="000000"/>
                <w:kern w:val="0"/>
                <w:sz w:val="20"/>
                <w:szCs w:val="20"/>
                <w14:ligatures w14:val="none"/>
              </w:rPr>
              <w:t>92</w:t>
            </w:r>
          </w:p>
        </w:tc>
        <w:tc>
          <w:tcPr>
            <w:tcW w:w="964" w:type="dxa"/>
            <w:shd w:val="clear" w:color="auto" w:fill="auto"/>
            <w:noWrap/>
            <w:vAlign w:val="center"/>
            <w:hideMark/>
          </w:tcPr>
          <w:p w14:paraId="7E6B9373" w14:textId="77777777" w:rsidR="00151A18" w:rsidRPr="00C45008" w:rsidRDefault="00151A18" w:rsidP="0006518C">
            <w:pPr>
              <w:spacing w:after="0" w:line="240" w:lineRule="auto"/>
              <w:jc w:val="right"/>
              <w:rPr>
                <w:rFonts w:eastAsia="Times New Roman" w:cs="Arial"/>
                <w:color w:val="000000"/>
                <w:kern w:val="0"/>
                <w:sz w:val="20"/>
                <w:szCs w:val="20"/>
                <w14:ligatures w14:val="none"/>
              </w:rPr>
            </w:pPr>
            <w:r w:rsidRPr="00C45008">
              <w:rPr>
                <w:rFonts w:eastAsia="Times New Roman" w:cs="Arial"/>
                <w:color w:val="000000"/>
                <w:kern w:val="0"/>
                <w:sz w:val="20"/>
                <w:szCs w:val="20"/>
                <w14:ligatures w14:val="none"/>
              </w:rPr>
              <w:t>0.0809</w:t>
            </w:r>
          </w:p>
        </w:tc>
        <w:tc>
          <w:tcPr>
            <w:tcW w:w="1134" w:type="dxa"/>
            <w:shd w:val="clear" w:color="auto" w:fill="auto"/>
            <w:noWrap/>
            <w:vAlign w:val="center"/>
            <w:hideMark/>
          </w:tcPr>
          <w:p w14:paraId="00048EE7" w14:textId="77777777" w:rsidR="00151A18" w:rsidRPr="00C45008" w:rsidRDefault="00151A18" w:rsidP="0006518C">
            <w:pPr>
              <w:spacing w:after="0" w:line="240" w:lineRule="auto"/>
              <w:jc w:val="right"/>
              <w:rPr>
                <w:rFonts w:eastAsia="Times New Roman" w:cs="Arial"/>
                <w:color w:val="000000"/>
                <w:kern w:val="0"/>
                <w:sz w:val="20"/>
                <w:szCs w:val="20"/>
                <w14:ligatures w14:val="none"/>
              </w:rPr>
            </w:pPr>
            <w:r w:rsidRPr="00C45008">
              <w:rPr>
                <w:rFonts w:eastAsia="Times New Roman" w:cs="Arial"/>
                <w:color w:val="000000"/>
                <w:kern w:val="0"/>
                <w:sz w:val="20"/>
                <w:szCs w:val="20"/>
                <w14:ligatures w14:val="none"/>
              </w:rPr>
              <w:t>0.0657</w:t>
            </w:r>
          </w:p>
        </w:tc>
        <w:tc>
          <w:tcPr>
            <w:tcW w:w="1020" w:type="dxa"/>
            <w:shd w:val="clear" w:color="auto" w:fill="auto"/>
            <w:noWrap/>
            <w:vAlign w:val="center"/>
            <w:hideMark/>
          </w:tcPr>
          <w:p w14:paraId="49EAEB97" w14:textId="77777777" w:rsidR="00151A18" w:rsidRPr="00C45008" w:rsidRDefault="00151A18" w:rsidP="0006518C">
            <w:pPr>
              <w:spacing w:after="0" w:line="240" w:lineRule="auto"/>
              <w:jc w:val="right"/>
              <w:rPr>
                <w:rFonts w:eastAsia="Times New Roman" w:cs="Arial"/>
                <w:color w:val="000000"/>
                <w:kern w:val="0"/>
                <w:sz w:val="20"/>
                <w:szCs w:val="20"/>
                <w14:ligatures w14:val="none"/>
              </w:rPr>
            </w:pPr>
            <w:r w:rsidRPr="00C45008">
              <w:rPr>
                <w:rFonts w:eastAsia="Times New Roman" w:cs="Arial"/>
                <w:color w:val="000000"/>
                <w:kern w:val="0"/>
                <w:sz w:val="20"/>
                <w:szCs w:val="20"/>
                <w14:ligatures w14:val="none"/>
              </w:rPr>
              <w:t>-0.0705</w:t>
            </w:r>
          </w:p>
        </w:tc>
        <w:tc>
          <w:tcPr>
            <w:tcW w:w="1020" w:type="dxa"/>
            <w:shd w:val="clear" w:color="auto" w:fill="auto"/>
            <w:noWrap/>
            <w:vAlign w:val="center"/>
            <w:hideMark/>
          </w:tcPr>
          <w:p w14:paraId="545CD81F" w14:textId="77777777" w:rsidR="00151A18" w:rsidRPr="00C45008" w:rsidRDefault="00151A18" w:rsidP="0006518C">
            <w:pPr>
              <w:spacing w:after="0" w:line="240" w:lineRule="auto"/>
              <w:jc w:val="right"/>
              <w:rPr>
                <w:rFonts w:eastAsia="Times New Roman" w:cs="Arial"/>
                <w:color w:val="000000"/>
                <w:kern w:val="0"/>
                <w:sz w:val="20"/>
                <w:szCs w:val="20"/>
                <w14:ligatures w14:val="none"/>
              </w:rPr>
            </w:pPr>
            <w:r w:rsidRPr="00C45008">
              <w:rPr>
                <w:rFonts w:eastAsia="Times New Roman" w:cs="Arial"/>
                <w:color w:val="000000"/>
                <w:kern w:val="0"/>
                <w:sz w:val="20"/>
                <w:szCs w:val="20"/>
                <w14:ligatures w14:val="none"/>
              </w:rPr>
              <w:t>0.2365</w:t>
            </w:r>
          </w:p>
        </w:tc>
      </w:tr>
      <w:tr w:rsidR="00151A18" w:rsidRPr="00C45008" w14:paraId="738F3B9B" w14:textId="77777777" w:rsidTr="00331E27">
        <w:trPr>
          <w:trHeight w:val="255"/>
          <w:jc w:val="center"/>
        </w:trPr>
        <w:tc>
          <w:tcPr>
            <w:tcW w:w="3118" w:type="dxa"/>
            <w:vMerge/>
            <w:shd w:val="clear" w:color="auto" w:fill="auto"/>
            <w:noWrap/>
            <w:vAlign w:val="center"/>
          </w:tcPr>
          <w:p w14:paraId="7B8EFC00" w14:textId="77777777" w:rsidR="00151A18" w:rsidRPr="00C45008" w:rsidRDefault="00151A18" w:rsidP="0006518C">
            <w:pPr>
              <w:spacing w:after="0" w:line="240" w:lineRule="auto"/>
              <w:rPr>
                <w:rFonts w:eastAsia="Times New Roman" w:cs="Arial"/>
                <w:color w:val="000000"/>
                <w:kern w:val="0"/>
                <w:sz w:val="20"/>
                <w:szCs w:val="20"/>
                <w14:ligatures w14:val="none"/>
              </w:rPr>
            </w:pPr>
          </w:p>
        </w:tc>
        <w:tc>
          <w:tcPr>
            <w:tcW w:w="1077" w:type="dxa"/>
            <w:shd w:val="clear" w:color="auto" w:fill="auto"/>
            <w:noWrap/>
            <w:vAlign w:val="center"/>
            <w:hideMark/>
          </w:tcPr>
          <w:p w14:paraId="37667D98" w14:textId="7A287BFB" w:rsidR="00151A18" w:rsidRPr="00C45008" w:rsidRDefault="00151A18" w:rsidP="0006518C">
            <w:pPr>
              <w:spacing w:after="0" w:line="240" w:lineRule="auto"/>
              <w:jc w:val="center"/>
              <w:rPr>
                <w:rFonts w:eastAsia="Times New Roman" w:cs="Arial"/>
                <w:color w:val="000000"/>
                <w:kern w:val="0"/>
                <w:sz w:val="20"/>
                <w:szCs w:val="20"/>
                <w14:ligatures w14:val="none"/>
              </w:rPr>
            </w:pPr>
            <w:r>
              <w:rPr>
                <w:rFonts w:eastAsia="Times New Roman" w:cs="Arial"/>
                <w:color w:val="000000"/>
                <w:kern w:val="0"/>
                <w:sz w:val="20"/>
                <w:szCs w:val="20"/>
                <w:lang w:val="en-US"/>
                <w14:ligatures w14:val="none"/>
              </w:rPr>
              <w:t>Yes</w:t>
            </w:r>
          </w:p>
        </w:tc>
        <w:tc>
          <w:tcPr>
            <w:tcW w:w="1134" w:type="dxa"/>
            <w:shd w:val="clear" w:color="auto" w:fill="auto"/>
            <w:noWrap/>
            <w:vAlign w:val="center"/>
            <w:hideMark/>
          </w:tcPr>
          <w:p w14:paraId="71ECF1C7" w14:textId="77777777" w:rsidR="00151A18" w:rsidRPr="00C45008" w:rsidRDefault="00151A18" w:rsidP="0006518C">
            <w:pPr>
              <w:spacing w:after="0" w:line="240" w:lineRule="auto"/>
              <w:jc w:val="center"/>
              <w:rPr>
                <w:rFonts w:eastAsia="Times New Roman" w:cs="Arial"/>
                <w:color w:val="000000"/>
                <w:kern w:val="0"/>
                <w:sz w:val="20"/>
                <w:szCs w:val="20"/>
                <w14:ligatures w14:val="none"/>
              </w:rPr>
            </w:pPr>
            <w:r w:rsidRPr="00C45008">
              <w:rPr>
                <w:rFonts w:eastAsia="Times New Roman" w:cs="Arial"/>
                <w:color w:val="000000"/>
                <w:kern w:val="0"/>
                <w:sz w:val="20"/>
                <w:szCs w:val="20"/>
                <w14:ligatures w14:val="none"/>
              </w:rPr>
              <w:t>88</w:t>
            </w:r>
          </w:p>
        </w:tc>
        <w:tc>
          <w:tcPr>
            <w:tcW w:w="964" w:type="dxa"/>
            <w:shd w:val="clear" w:color="auto" w:fill="auto"/>
            <w:noWrap/>
            <w:vAlign w:val="center"/>
            <w:hideMark/>
          </w:tcPr>
          <w:p w14:paraId="2A045D06" w14:textId="77777777" w:rsidR="00151A18" w:rsidRPr="00C45008" w:rsidRDefault="00151A18" w:rsidP="0006518C">
            <w:pPr>
              <w:spacing w:after="0" w:line="240" w:lineRule="auto"/>
              <w:jc w:val="right"/>
              <w:rPr>
                <w:rFonts w:eastAsia="Times New Roman" w:cs="Arial"/>
                <w:color w:val="000000"/>
                <w:kern w:val="0"/>
                <w:sz w:val="20"/>
                <w:szCs w:val="20"/>
                <w14:ligatures w14:val="none"/>
              </w:rPr>
            </w:pPr>
            <w:r w:rsidRPr="00C45008">
              <w:rPr>
                <w:rFonts w:eastAsia="Times New Roman" w:cs="Arial"/>
                <w:color w:val="000000"/>
                <w:kern w:val="0"/>
                <w:sz w:val="20"/>
                <w:szCs w:val="20"/>
                <w14:ligatures w14:val="none"/>
              </w:rPr>
              <w:t>0.1002</w:t>
            </w:r>
          </w:p>
        </w:tc>
        <w:tc>
          <w:tcPr>
            <w:tcW w:w="1134" w:type="dxa"/>
            <w:shd w:val="clear" w:color="auto" w:fill="auto"/>
            <w:noWrap/>
            <w:vAlign w:val="center"/>
            <w:hideMark/>
          </w:tcPr>
          <w:p w14:paraId="0471813B" w14:textId="77777777" w:rsidR="00151A18" w:rsidRPr="00C45008" w:rsidRDefault="00151A18" w:rsidP="0006518C">
            <w:pPr>
              <w:spacing w:after="0" w:line="240" w:lineRule="auto"/>
              <w:jc w:val="right"/>
              <w:rPr>
                <w:rFonts w:eastAsia="Times New Roman" w:cs="Arial"/>
                <w:color w:val="000000"/>
                <w:kern w:val="0"/>
                <w:sz w:val="20"/>
                <w:szCs w:val="20"/>
                <w14:ligatures w14:val="none"/>
              </w:rPr>
            </w:pPr>
            <w:r w:rsidRPr="00C45008">
              <w:rPr>
                <w:rFonts w:eastAsia="Times New Roman" w:cs="Arial"/>
                <w:color w:val="000000"/>
                <w:kern w:val="0"/>
                <w:sz w:val="20"/>
                <w:szCs w:val="20"/>
                <w14:ligatures w14:val="none"/>
              </w:rPr>
              <w:t>0.0961</w:t>
            </w:r>
          </w:p>
        </w:tc>
        <w:tc>
          <w:tcPr>
            <w:tcW w:w="1020" w:type="dxa"/>
            <w:shd w:val="clear" w:color="auto" w:fill="auto"/>
            <w:noWrap/>
            <w:vAlign w:val="center"/>
            <w:hideMark/>
          </w:tcPr>
          <w:p w14:paraId="117763F1" w14:textId="77777777" w:rsidR="00151A18" w:rsidRPr="00C45008" w:rsidRDefault="00151A18" w:rsidP="0006518C">
            <w:pPr>
              <w:spacing w:after="0" w:line="240" w:lineRule="auto"/>
              <w:jc w:val="right"/>
              <w:rPr>
                <w:rFonts w:eastAsia="Times New Roman" w:cs="Arial"/>
                <w:color w:val="000000"/>
                <w:kern w:val="0"/>
                <w:sz w:val="20"/>
                <w:szCs w:val="20"/>
                <w14:ligatures w14:val="none"/>
              </w:rPr>
            </w:pPr>
            <w:r w:rsidRPr="00C45008">
              <w:rPr>
                <w:rFonts w:eastAsia="Times New Roman" w:cs="Arial"/>
                <w:color w:val="000000"/>
                <w:kern w:val="0"/>
                <w:sz w:val="20"/>
                <w:szCs w:val="20"/>
                <w14:ligatures w14:val="none"/>
              </w:rPr>
              <w:t>-0.1288</w:t>
            </w:r>
          </w:p>
        </w:tc>
        <w:tc>
          <w:tcPr>
            <w:tcW w:w="1020" w:type="dxa"/>
            <w:shd w:val="clear" w:color="auto" w:fill="auto"/>
            <w:noWrap/>
            <w:vAlign w:val="center"/>
            <w:hideMark/>
          </w:tcPr>
          <w:p w14:paraId="2C41CE2C" w14:textId="77777777" w:rsidR="00151A18" w:rsidRPr="00C45008" w:rsidRDefault="00151A18" w:rsidP="0006518C">
            <w:pPr>
              <w:spacing w:after="0" w:line="240" w:lineRule="auto"/>
              <w:jc w:val="right"/>
              <w:rPr>
                <w:rFonts w:eastAsia="Times New Roman" w:cs="Arial"/>
                <w:color w:val="000000"/>
                <w:kern w:val="0"/>
                <w:sz w:val="20"/>
                <w:szCs w:val="20"/>
                <w14:ligatures w14:val="none"/>
              </w:rPr>
            </w:pPr>
            <w:r w:rsidRPr="00C45008">
              <w:rPr>
                <w:rFonts w:eastAsia="Times New Roman" w:cs="Arial"/>
                <w:color w:val="000000"/>
                <w:kern w:val="0"/>
                <w:sz w:val="20"/>
                <w:szCs w:val="20"/>
                <w14:ligatures w14:val="none"/>
              </w:rPr>
              <w:t>0.4198</w:t>
            </w:r>
          </w:p>
        </w:tc>
      </w:tr>
      <w:tr w:rsidR="00151A18" w:rsidRPr="00C45008" w14:paraId="7D0A6761" w14:textId="77777777" w:rsidTr="00331E27">
        <w:trPr>
          <w:trHeight w:val="255"/>
          <w:jc w:val="center"/>
        </w:trPr>
        <w:tc>
          <w:tcPr>
            <w:tcW w:w="3118" w:type="dxa"/>
            <w:vMerge w:val="restart"/>
            <w:shd w:val="clear" w:color="auto" w:fill="auto"/>
            <w:noWrap/>
            <w:vAlign w:val="center"/>
            <w:hideMark/>
          </w:tcPr>
          <w:p w14:paraId="58EEB067" w14:textId="6171C04A" w:rsidR="00151A18" w:rsidRPr="0046564E" w:rsidRDefault="00151A18" w:rsidP="0006518C">
            <w:pPr>
              <w:spacing w:after="0" w:line="240" w:lineRule="auto"/>
              <w:rPr>
                <w:rFonts w:eastAsia="Times New Roman" w:cs="Arial"/>
                <w:color w:val="000000"/>
                <w:kern w:val="0"/>
                <w:sz w:val="20"/>
                <w:szCs w:val="20"/>
                <w:lang w:val="en-US"/>
                <w14:ligatures w14:val="none"/>
              </w:rPr>
            </w:pPr>
            <m:oMath>
              <m:r>
                <w:rPr>
                  <w:rFonts w:ascii="Cambria Math" w:eastAsia="Times New Roman" w:hAnsi="Cambria Math" w:cs="Arial"/>
                  <w:color w:val="000000"/>
                  <w:kern w:val="0"/>
                  <w:sz w:val="20"/>
                  <w:szCs w:val="20"/>
                  <w14:ligatures w14:val="none"/>
                </w:rPr>
                <m:t>size</m:t>
              </m:r>
            </m:oMath>
            <w:r w:rsidRPr="00C45008">
              <w:rPr>
                <w:rFonts w:eastAsia="Times New Roman" w:cs="Arial"/>
                <w:color w:val="000000"/>
                <w:kern w:val="0"/>
                <w:sz w:val="20"/>
                <w:szCs w:val="20"/>
                <w14:ligatures w14:val="none"/>
              </w:rPr>
              <w:t xml:space="preserve"> – </w:t>
            </w:r>
            <w:r w:rsidR="0046564E">
              <w:rPr>
                <w:rFonts w:eastAsia="Times New Roman" w:cs="Arial"/>
                <w:color w:val="000000"/>
                <w:kern w:val="0"/>
                <w:sz w:val="20"/>
                <w:szCs w:val="20"/>
                <w:lang w:val="en-US"/>
                <w14:ligatures w14:val="none"/>
              </w:rPr>
              <w:t>natural logarithm of total assets</w:t>
            </w:r>
          </w:p>
        </w:tc>
        <w:tc>
          <w:tcPr>
            <w:tcW w:w="1077" w:type="dxa"/>
            <w:shd w:val="clear" w:color="auto" w:fill="auto"/>
            <w:noWrap/>
            <w:vAlign w:val="center"/>
            <w:hideMark/>
          </w:tcPr>
          <w:p w14:paraId="57F24C70" w14:textId="10A68C40" w:rsidR="00151A18" w:rsidRPr="00C45008" w:rsidRDefault="00151A18" w:rsidP="0006518C">
            <w:pPr>
              <w:spacing w:after="0" w:line="240" w:lineRule="auto"/>
              <w:jc w:val="center"/>
              <w:rPr>
                <w:rFonts w:eastAsia="Times New Roman" w:cs="Arial"/>
                <w:color w:val="000000"/>
                <w:kern w:val="0"/>
                <w:sz w:val="20"/>
                <w:szCs w:val="20"/>
                <w14:ligatures w14:val="none"/>
              </w:rPr>
            </w:pPr>
            <w:r>
              <w:rPr>
                <w:rFonts w:eastAsia="Times New Roman" w:cs="Arial"/>
                <w:color w:val="000000"/>
                <w:kern w:val="0"/>
                <w:sz w:val="20"/>
                <w:szCs w:val="20"/>
                <w:lang w:val="en-US"/>
                <w14:ligatures w14:val="none"/>
              </w:rPr>
              <w:t>All</w:t>
            </w:r>
          </w:p>
        </w:tc>
        <w:tc>
          <w:tcPr>
            <w:tcW w:w="1134" w:type="dxa"/>
            <w:shd w:val="clear" w:color="auto" w:fill="auto"/>
            <w:noWrap/>
            <w:vAlign w:val="center"/>
            <w:hideMark/>
          </w:tcPr>
          <w:p w14:paraId="056B498B" w14:textId="77777777" w:rsidR="00151A18" w:rsidRPr="00C45008" w:rsidRDefault="00151A18" w:rsidP="0006518C">
            <w:pPr>
              <w:spacing w:after="0" w:line="240" w:lineRule="auto"/>
              <w:jc w:val="center"/>
              <w:rPr>
                <w:rFonts w:eastAsia="Times New Roman" w:cs="Arial"/>
                <w:color w:val="000000"/>
                <w:kern w:val="0"/>
                <w:sz w:val="20"/>
                <w:szCs w:val="20"/>
                <w14:ligatures w14:val="none"/>
              </w:rPr>
            </w:pPr>
            <w:r w:rsidRPr="00C45008">
              <w:rPr>
                <w:rFonts w:eastAsia="Times New Roman" w:cs="Arial"/>
                <w:color w:val="000000"/>
                <w:kern w:val="0"/>
                <w:sz w:val="20"/>
                <w:szCs w:val="20"/>
                <w14:ligatures w14:val="none"/>
              </w:rPr>
              <w:t>180</w:t>
            </w:r>
          </w:p>
        </w:tc>
        <w:tc>
          <w:tcPr>
            <w:tcW w:w="964" w:type="dxa"/>
            <w:shd w:val="clear" w:color="auto" w:fill="auto"/>
            <w:noWrap/>
            <w:vAlign w:val="center"/>
            <w:hideMark/>
          </w:tcPr>
          <w:p w14:paraId="7FF11FB3" w14:textId="77777777" w:rsidR="00151A18" w:rsidRPr="00C45008" w:rsidRDefault="00151A18" w:rsidP="0006518C">
            <w:pPr>
              <w:spacing w:after="0" w:line="240" w:lineRule="auto"/>
              <w:jc w:val="right"/>
              <w:rPr>
                <w:rFonts w:eastAsia="Times New Roman" w:cs="Arial"/>
                <w:color w:val="000000"/>
                <w:kern w:val="0"/>
                <w:sz w:val="20"/>
                <w:szCs w:val="20"/>
                <w14:ligatures w14:val="none"/>
              </w:rPr>
            </w:pPr>
            <w:r w:rsidRPr="00C45008">
              <w:rPr>
                <w:rFonts w:eastAsia="Times New Roman" w:cs="Arial"/>
                <w:color w:val="000000"/>
                <w:kern w:val="0"/>
                <w:sz w:val="20"/>
                <w:szCs w:val="20"/>
                <w14:ligatures w14:val="none"/>
              </w:rPr>
              <w:t>24.4560</w:t>
            </w:r>
          </w:p>
        </w:tc>
        <w:tc>
          <w:tcPr>
            <w:tcW w:w="1134" w:type="dxa"/>
            <w:shd w:val="clear" w:color="auto" w:fill="auto"/>
            <w:noWrap/>
            <w:vAlign w:val="center"/>
            <w:hideMark/>
          </w:tcPr>
          <w:p w14:paraId="605A1DCC" w14:textId="77777777" w:rsidR="00151A18" w:rsidRPr="00C45008" w:rsidRDefault="00151A18" w:rsidP="0006518C">
            <w:pPr>
              <w:spacing w:after="0" w:line="240" w:lineRule="auto"/>
              <w:jc w:val="right"/>
              <w:rPr>
                <w:rFonts w:eastAsia="Times New Roman" w:cs="Arial"/>
                <w:color w:val="000000"/>
                <w:kern w:val="0"/>
                <w:sz w:val="20"/>
                <w:szCs w:val="20"/>
                <w14:ligatures w14:val="none"/>
              </w:rPr>
            </w:pPr>
            <w:r w:rsidRPr="00C45008">
              <w:rPr>
                <w:rFonts w:eastAsia="Times New Roman" w:cs="Arial"/>
                <w:color w:val="000000"/>
                <w:kern w:val="0"/>
                <w:sz w:val="20"/>
                <w:szCs w:val="20"/>
                <w14:ligatures w14:val="none"/>
              </w:rPr>
              <w:t>1.5763</w:t>
            </w:r>
          </w:p>
        </w:tc>
        <w:tc>
          <w:tcPr>
            <w:tcW w:w="1020" w:type="dxa"/>
            <w:shd w:val="clear" w:color="auto" w:fill="auto"/>
            <w:noWrap/>
            <w:vAlign w:val="center"/>
            <w:hideMark/>
          </w:tcPr>
          <w:p w14:paraId="7C35FA0A" w14:textId="77777777" w:rsidR="00151A18" w:rsidRPr="00C45008" w:rsidRDefault="00151A18" w:rsidP="0006518C">
            <w:pPr>
              <w:spacing w:after="0" w:line="240" w:lineRule="auto"/>
              <w:jc w:val="right"/>
              <w:rPr>
                <w:rFonts w:eastAsia="Times New Roman" w:cs="Arial"/>
                <w:color w:val="000000"/>
                <w:kern w:val="0"/>
                <w:sz w:val="20"/>
                <w:szCs w:val="20"/>
                <w14:ligatures w14:val="none"/>
              </w:rPr>
            </w:pPr>
            <w:r w:rsidRPr="00C45008">
              <w:rPr>
                <w:rFonts w:eastAsia="Times New Roman" w:cs="Arial"/>
                <w:color w:val="000000"/>
                <w:kern w:val="0"/>
                <w:sz w:val="20"/>
                <w:szCs w:val="20"/>
                <w14:ligatures w14:val="none"/>
              </w:rPr>
              <w:t>21.0643</w:t>
            </w:r>
          </w:p>
        </w:tc>
        <w:tc>
          <w:tcPr>
            <w:tcW w:w="1020" w:type="dxa"/>
            <w:shd w:val="clear" w:color="auto" w:fill="auto"/>
            <w:noWrap/>
            <w:vAlign w:val="center"/>
            <w:hideMark/>
          </w:tcPr>
          <w:p w14:paraId="3DC65728" w14:textId="77777777" w:rsidR="00151A18" w:rsidRPr="00C45008" w:rsidRDefault="00151A18" w:rsidP="0006518C">
            <w:pPr>
              <w:spacing w:after="0" w:line="240" w:lineRule="auto"/>
              <w:jc w:val="right"/>
              <w:rPr>
                <w:rFonts w:eastAsia="Times New Roman" w:cs="Arial"/>
                <w:color w:val="000000"/>
                <w:kern w:val="0"/>
                <w:sz w:val="20"/>
                <w:szCs w:val="20"/>
                <w14:ligatures w14:val="none"/>
              </w:rPr>
            </w:pPr>
            <w:r w:rsidRPr="00C45008">
              <w:rPr>
                <w:rFonts w:eastAsia="Times New Roman" w:cs="Arial"/>
                <w:color w:val="000000"/>
                <w:kern w:val="0"/>
                <w:sz w:val="20"/>
                <w:szCs w:val="20"/>
                <w14:ligatures w14:val="none"/>
              </w:rPr>
              <w:t>28.1924</w:t>
            </w:r>
          </w:p>
        </w:tc>
      </w:tr>
      <w:tr w:rsidR="00151A18" w:rsidRPr="00C45008" w14:paraId="3F62AC08" w14:textId="77777777" w:rsidTr="00331E27">
        <w:trPr>
          <w:trHeight w:val="255"/>
          <w:jc w:val="center"/>
        </w:trPr>
        <w:tc>
          <w:tcPr>
            <w:tcW w:w="3118" w:type="dxa"/>
            <w:vMerge/>
            <w:shd w:val="clear" w:color="auto" w:fill="auto"/>
            <w:noWrap/>
            <w:vAlign w:val="center"/>
          </w:tcPr>
          <w:p w14:paraId="132CE9E1" w14:textId="77777777" w:rsidR="00151A18" w:rsidRPr="00C45008" w:rsidRDefault="00151A18" w:rsidP="0006518C">
            <w:pPr>
              <w:spacing w:after="0" w:line="240" w:lineRule="auto"/>
              <w:rPr>
                <w:rFonts w:eastAsia="Times New Roman" w:cs="Arial"/>
                <w:color w:val="000000"/>
                <w:kern w:val="0"/>
                <w:sz w:val="20"/>
                <w:szCs w:val="20"/>
                <w14:ligatures w14:val="none"/>
              </w:rPr>
            </w:pPr>
          </w:p>
        </w:tc>
        <w:tc>
          <w:tcPr>
            <w:tcW w:w="1077" w:type="dxa"/>
            <w:shd w:val="clear" w:color="auto" w:fill="auto"/>
            <w:noWrap/>
            <w:vAlign w:val="center"/>
            <w:hideMark/>
          </w:tcPr>
          <w:p w14:paraId="3D15171C" w14:textId="3EDEADEA" w:rsidR="00151A18" w:rsidRPr="00C45008" w:rsidRDefault="00151A18" w:rsidP="0006518C">
            <w:pPr>
              <w:spacing w:after="0" w:line="240" w:lineRule="auto"/>
              <w:jc w:val="center"/>
              <w:rPr>
                <w:rFonts w:eastAsia="Times New Roman" w:cs="Arial"/>
                <w:color w:val="000000"/>
                <w:kern w:val="0"/>
                <w:sz w:val="20"/>
                <w:szCs w:val="20"/>
                <w14:ligatures w14:val="none"/>
              </w:rPr>
            </w:pPr>
            <w:r>
              <w:rPr>
                <w:rFonts w:eastAsia="Times New Roman" w:cs="Arial"/>
                <w:color w:val="000000"/>
                <w:kern w:val="0"/>
                <w:sz w:val="20"/>
                <w:szCs w:val="20"/>
                <w:lang w:val="en-US"/>
                <w14:ligatures w14:val="none"/>
              </w:rPr>
              <w:t>No</w:t>
            </w:r>
          </w:p>
        </w:tc>
        <w:tc>
          <w:tcPr>
            <w:tcW w:w="1134" w:type="dxa"/>
            <w:shd w:val="clear" w:color="auto" w:fill="auto"/>
            <w:noWrap/>
            <w:vAlign w:val="center"/>
            <w:hideMark/>
          </w:tcPr>
          <w:p w14:paraId="6D2453C0" w14:textId="77777777" w:rsidR="00151A18" w:rsidRPr="00C45008" w:rsidRDefault="00151A18" w:rsidP="0006518C">
            <w:pPr>
              <w:spacing w:after="0" w:line="240" w:lineRule="auto"/>
              <w:jc w:val="center"/>
              <w:rPr>
                <w:rFonts w:eastAsia="Times New Roman" w:cs="Arial"/>
                <w:color w:val="000000"/>
                <w:kern w:val="0"/>
                <w:sz w:val="20"/>
                <w:szCs w:val="20"/>
                <w14:ligatures w14:val="none"/>
              </w:rPr>
            </w:pPr>
            <w:r w:rsidRPr="00C45008">
              <w:rPr>
                <w:rFonts w:eastAsia="Times New Roman" w:cs="Arial"/>
                <w:color w:val="000000"/>
                <w:kern w:val="0"/>
                <w:sz w:val="20"/>
                <w:szCs w:val="20"/>
                <w14:ligatures w14:val="none"/>
              </w:rPr>
              <w:t>92</w:t>
            </w:r>
          </w:p>
        </w:tc>
        <w:tc>
          <w:tcPr>
            <w:tcW w:w="964" w:type="dxa"/>
            <w:shd w:val="clear" w:color="auto" w:fill="auto"/>
            <w:noWrap/>
            <w:vAlign w:val="center"/>
            <w:hideMark/>
          </w:tcPr>
          <w:p w14:paraId="25ADF100" w14:textId="77777777" w:rsidR="00151A18" w:rsidRPr="00C45008" w:rsidRDefault="00151A18" w:rsidP="0006518C">
            <w:pPr>
              <w:spacing w:after="0" w:line="240" w:lineRule="auto"/>
              <w:jc w:val="right"/>
              <w:rPr>
                <w:rFonts w:eastAsia="Times New Roman" w:cs="Arial"/>
                <w:color w:val="000000"/>
                <w:kern w:val="0"/>
                <w:sz w:val="20"/>
                <w:szCs w:val="20"/>
                <w14:ligatures w14:val="none"/>
              </w:rPr>
            </w:pPr>
            <w:r w:rsidRPr="00C45008">
              <w:rPr>
                <w:rFonts w:eastAsia="Times New Roman" w:cs="Arial"/>
                <w:color w:val="000000"/>
                <w:kern w:val="0"/>
                <w:sz w:val="20"/>
                <w:szCs w:val="20"/>
                <w14:ligatures w14:val="none"/>
              </w:rPr>
              <w:t>24.2262</w:t>
            </w:r>
          </w:p>
        </w:tc>
        <w:tc>
          <w:tcPr>
            <w:tcW w:w="1134" w:type="dxa"/>
            <w:shd w:val="clear" w:color="auto" w:fill="auto"/>
            <w:noWrap/>
            <w:vAlign w:val="center"/>
            <w:hideMark/>
          </w:tcPr>
          <w:p w14:paraId="1D035768" w14:textId="77777777" w:rsidR="00151A18" w:rsidRPr="00C45008" w:rsidRDefault="00151A18" w:rsidP="0006518C">
            <w:pPr>
              <w:spacing w:after="0" w:line="240" w:lineRule="auto"/>
              <w:jc w:val="right"/>
              <w:rPr>
                <w:rFonts w:eastAsia="Times New Roman" w:cs="Arial"/>
                <w:color w:val="000000"/>
                <w:kern w:val="0"/>
                <w:sz w:val="20"/>
                <w:szCs w:val="20"/>
                <w14:ligatures w14:val="none"/>
              </w:rPr>
            </w:pPr>
            <w:r w:rsidRPr="00C45008">
              <w:rPr>
                <w:rFonts w:eastAsia="Times New Roman" w:cs="Arial"/>
                <w:color w:val="000000"/>
                <w:kern w:val="0"/>
                <w:sz w:val="20"/>
                <w:szCs w:val="20"/>
                <w14:ligatures w14:val="none"/>
              </w:rPr>
              <w:t>1.7567</w:t>
            </w:r>
          </w:p>
        </w:tc>
        <w:tc>
          <w:tcPr>
            <w:tcW w:w="1020" w:type="dxa"/>
            <w:shd w:val="clear" w:color="auto" w:fill="auto"/>
            <w:noWrap/>
            <w:vAlign w:val="center"/>
            <w:hideMark/>
          </w:tcPr>
          <w:p w14:paraId="243CF26C" w14:textId="77777777" w:rsidR="00151A18" w:rsidRPr="00C45008" w:rsidRDefault="00151A18" w:rsidP="0006518C">
            <w:pPr>
              <w:spacing w:after="0" w:line="240" w:lineRule="auto"/>
              <w:jc w:val="right"/>
              <w:rPr>
                <w:rFonts w:eastAsia="Times New Roman" w:cs="Arial"/>
                <w:color w:val="000000"/>
                <w:kern w:val="0"/>
                <w:sz w:val="20"/>
                <w:szCs w:val="20"/>
                <w14:ligatures w14:val="none"/>
              </w:rPr>
            </w:pPr>
            <w:r w:rsidRPr="00C45008">
              <w:rPr>
                <w:rFonts w:eastAsia="Times New Roman" w:cs="Arial"/>
                <w:color w:val="000000"/>
                <w:kern w:val="0"/>
                <w:sz w:val="20"/>
                <w:szCs w:val="20"/>
                <w14:ligatures w14:val="none"/>
              </w:rPr>
              <w:t>21.0643</w:t>
            </w:r>
          </w:p>
        </w:tc>
        <w:tc>
          <w:tcPr>
            <w:tcW w:w="1020" w:type="dxa"/>
            <w:shd w:val="clear" w:color="auto" w:fill="auto"/>
            <w:noWrap/>
            <w:vAlign w:val="center"/>
            <w:hideMark/>
          </w:tcPr>
          <w:p w14:paraId="512CD135" w14:textId="77777777" w:rsidR="00151A18" w:rsidRPr="00C45008" w:rsidRDefault="00151A18" w:rsidP="0006518C">
            <w:pPr>
              <w:spacing w:after="0" w:line="240" w:lineRule="auto"/>
              <w:jc w:val="right"/>
              <w:rPr>
                <w:rFonts w:eastAsia="Times New Roman" w:cs="Arial"/>
                <w:color w:val="000000"/>
                <w:kern w:val="0"/>
                <w:sz w:val="20"/>
                <w:szCs w:val="20"/>
                <w14:ligatures w14:val="none"/>
              </w:rPr>
            </w:pPr>
            <w:r w:rsidRPr="00C45008">
              <w:rPr>
                <w:rFonts w:eastAsia="Times New Roman" w:cs="Arial"/>
                <w:color w:val="000000"/>
                <w:kern w:val="0"/>
                <w:sz w:val="20"/>
                <w:szCs w:val="20"/>
                <w14:ligatures w14:val="none"/>
              </w:rPr>
              <w:t>28.1924</w:t>
            </w:r>
          </w:p>
        </w:tc>
      </w:tr>
      <w:tr w:rsidR="00151A18" w:rsidRPr="00C45008" w14:paraId="364D6DA4" w14:textId="77777777" w:rsidTr="00331E27">
        <w:trPr>
          <w:trHeight w:val="255"/>
          <w:jc w:val="center"/>
        </w:trPr>
        <w:tc>
          <w:tcPr>
            <w:tcW w:w="3118" w:type="dxa"/>
            <w:vMerge/>
            <w:shd w:val="clear" w:color="auto" w:fill="auto"/>
            <w:noWrap/>
            <w:vAlign w:val="center"/>
          </w:tcPr>
          <w:p w14:paraId="476E7736" w14:textId="77777777" w:rsidR="00151A18" w:rsidRPr="00C45008" w:rsidRDefault="00151A18" w:rsidP="0006518C">
            <w:pPr>
              <w:spacing w:after="0" w:line="240" w:lineRule="auto"/>
              <w:rPr>
                <w:rFonts w:eastAsia="Times New Roman" w:cs="Arial"/>
                <w:color w:val="000000"/>
                <w:kern w:val="0"/>
                <w:sz w:val="20"/>
                <w:szCs w:val="20"/>
                <w14:ligatures w14:val="none"/>
              </w:rPr>
            </w:pPr>
          </w:p>
        </w:tc>
        <w:tc>
          <w:tcPr>
            <w:tcW w:w="1077" w:type="dxa"/>
            <w:shd w:val="clear" w:color="auto" w:fill="auto"/>
            <w:noWrap/>
            <w:vAlign w:val="center"/>
            <w:hideMark/>
          </w:tcPr>
          <w:p w14:paraId="73E03751" w14:textId="6B8A4867" w:rsidR="00151A18" w:rsidRPr="00C45008" w:rsidRDefault="00151A18" w:rsidP="0006518C">
            <w:pPr>
              <w:spacing w:after="0" w:line="240" w:lineRule="auto"/>
              <w:jc w:val="center"/>
              <w:rPr>
                <w:rFonts w:eastAsia="Times New Roman" w:cs="Arial"/>
                <w:color w:val="000000"/>
                <w:kern w:val="0"/>
                <w:sz w:val="20"/>
                <w:szCs w:val="20"/>
                <w14:ligatures w14:val="none"/>
              </w:rPr>
            </w:pPr>
            <w:r>
              <w:rPr>
                <w:rFonts w:eastAsia="Times New Roman" w:cs="Arial"/>
                <w:color w:val="000000"/>
                <w:kern w:val="0"/>
                <w:sz w:val="20"/>
                <w:szCs w:val="20"/>
                <w:lang w:val="en-US"/>
                <w14:ligatures w14:val="none"/>
              </w:rPr>
              <w:t>Yes</w:t>
            </w:r>
          </w:p>
        </w:tc>
        <w:tc>
          <w:tcPr>
            <w:tcW w:w="1134" w:type="dxa"/>
            <w:shd w:val="clear" w:color="auto" w:fill="auto"/>
            <w:noWrap/>
            <w:vAlign w:val="center"/>
            <w:hideMark/>
          </w:tcPr>
          <w:p w14:paraId="7BB7236C" w14:textId="77777777" w:rsidR="00151A18" w:rsidRPr="00C45008" w:rsidRDefault="00151A18" w:rsidP="0006518C">
            <w:pPr>
              <w:spacing w:after="0" w:line="240" w:lineRule="auto"/>
              <w:jc w:val="center"/>
              <w:rPr>
                <w:rFonts w:eastAsia="Times New Roman" w:cs="Arial"/>
                <w:color w:val="000000"/>
                <w:kern w:val="0"/>
                <w:sz w:val="20"/>
                <w:szCs w:val="20"/>
                <w14:ligatures w14:val="none"/>
              </w:rPr>
            </w:pPr>
            <w:r w:rsidRPr="00C45008">
              <w:rPr>
                <w:rFonts w:eastAsia="Times New Roman" w:cs="Arial"/>
                <w:color w:val="000000"/>
                <w:kern w:val="0"/>
                <w:sz w:val="20"/>
                <w:szCs w:val="20"/>
                <w14:ligatures w14:val="none"/>
              </w:rPr>
              <w:t>88</w:t>
            </w:r>
          </w:p>
        </w:tc>
        <w:tc>
          <w:tcPr>
            <w:tcW w:w="964" w:type="dxa"/>
            <w:shd w:val="clear" w:color="auto" w:fill="auto"/>
            <w:noWrap/>
            <w:vAlign w:val="center"/>
            <w:hideMark/>
          </w:tcPr>
          <w:p w14:paraId="3BD6CFF5" w14:textId="77777777" w:rsidR="00151A18" w:rsidRPr="00C45008" w:rsidRDefault="00151A18" w:rsidP="0006518C">
            <w:pPr>
              <w:spacing w:after="0" w:line="240" w:lineRule="auto"/>
              <w:jc w:val="right"/>
              <w:rPr>
                <w:rFonts w:eastAsia="Times New Roman" w:cs="Arial"/>
                <w:color w:val="000000"/>
                <w:kern w:val="0"/>
                <w:sz w:val="20"/>
                <w:szCs w:val="20"/>
                <w14:ligatures w14:val="none"/>
              </w:rPr>
            </w:pPr>
            <w:r w:rsidRPr="00C45008">
              <w:rPr>
                <w:rFonts w:eastAsia="Times New Roman" w:cs="Arial"/>
                <w:color w:val="000000"/>
                <w:kern w:val="0"/>
                <w:sz w:val="20"/>
                <w:szCs w:val="20"/>
                <w14:ligatures w14:val="none"/>
              </w:rPr>
              <w:t>24.6962</w:t>
            </w:r>
          </w:p>
        </w:tc>
        <w:tc>
          <w:tcPr>
            <w:tcW w:w="1134" w:type="dxa"/>
            <w:shd w:val="clear" w:color="auto" w:fill="auto"/>
            <w:noWrap/>
            <w:vAlign w:val="center"/>
            <w:hideMark/>
          </w:tcPr>
          <w:p w14:paraId="3AF4CF3C" w14:textId="77777777" w:rsidR="00151A18" w:rsidRPr="00C45008" w:rsidRDefault="00151A18" w:rsidP="0006518C">
            <w:pPr>
              <w:spacing w:after="0" w:line="240" w:lineRule="auto"/>
              <w:jc w:val="right"/>
              <w:rPr>
                <w:rFonts w:eastAsia="Times New Roman" w:cs="Arial"/>
                <w:color w:val="000000"/>
                <w:kern w:val="0"/>
                <w:sz w:val="20"/>
                <w:szCs w:val="20"/>
                <w14:ligatures w14:val="none"/>
              </w:rPr>
            </w:pPr>
            <w:r w:rsidRPr="00C45008">
              <w:rPr>
                <w:rFonts w:eastAsia="Times New Roman" w:cs="Arial"/>
                <w:color w:val="000000"/>
                <w:kern w:val="0"/>
                <w:sz w:val="20"/>
                <w:szCs w:val="20"/>
                <w14:ligatures w14:val="none"/>
              </w:rPr>
              <w:t>1.3304</w:t>
            </w:r>
          </w:p>
        </w:tc>
        <w:tc>
          <w:tcPr>
            <w:tcW w:w="1020" w:type="dxa"/>
            <w:shd w:val="clear" w:color="auto" w:fill="auto"/>
            <w:noWrap/>
            <w:vAlign w:val="center"/>
            <w:hideMark/>
          </w:tcPr>
          <w:p w14:paraId="5CBEF37B" w14:textId="77777777" w:rsidR="00151A18" w:rsidRPr="00C45008" w:rsidRDefault="00151A18" w:rsidP="0006518C">
            <w:pPr>
              <w:spacing w:after="0" w:line="240" w:lineRule="auto"/>
              <w:jc w:val="right"/>
              <w:rPr>
                <w:rFonts w:eastAsia="Times New Roman" w:cs="Arial"/>
                <w:color w:val="000000"/>
                <w:kern w:val="0"/>
                <w:sz w:val="20"/>
                <w:szCs w:val="20"/>
                <w14:ligatures w14:val="none"/>
              </w:rPr>
            </w:pPr>
            <w:r w:rsidRPr="00C45008">
              <w:rPr>
                <w:rFonts w:eastAsia="Times New Roman" w:cs="Arial"/>
                <w:color w:val="000000"/>
                <w:kern w:val="0"/>
                <w:sz w:val="20"/>
                <w:szCs w:val="20"/>
                <w14:ligatures w14:val="none"/>
              </w:rPr>
              <w:t>21.6425</w:t>
            </w:r>
          </w:p>
        </w:tc>
        <w:tc>
          <w:tcPr>
            <w:tcW w:w="1020" w:type="dxa"/>
            <w:shd w:val="clear" w:color="auto" w:fill="auto"/>
            <w:noWrap/>
            <w:vAlign w:val="center"/>
            <w:hideMark/>
          </w:tcPr>
          <w:p w14:paraId="248FA8DA" w14:textId="77777777" w:rsidR="00151A18" w:rsidRPr="00C45008" w:rsidRDefault="00151A18" w:rsidP="0006518C">
            <w:pPr>
              <w:spacing w:after="0" w:line="240" w:lineRule="auto"/>
              <w:jc w:val="right"/>
              <w:rPr>
                <w:rFonts w:eastAsia="Times New Roman" w:cs="Arial"/>
                <w:color w:val="000000"/>
                <w:kern w:val="0"/>
                <w:sz w:val="20"/>
                <w:szCs w:val="20"/>
                <w14:ligatures w14:val="none"/>
              </w:rPr>
            </w:pPr>
            <w:r w:rsidRPr="00C45008">
              <w:rPr>
                <w:rFonts w:eastAsia="Times New Roman" w:cs="Arial"/>
                <w:color w:val="000000"/>
                <w:kern w:val="0"/>
                <w:sz w:val="20"/>
                <w:szCs w:val="20"/>
                <w14:ligatures w14:val="none"/>
              </w:rPr>
              <w:t>26.7103</w:t>
            </w:r>
          </w:p>
        </w:tc>
      </w:tr>
      <w:tr w:rsidR="00151A18" w:rsidRPr="00C45008" w14:paraId="42E4F1DF" w14:textId="77777777" w:rsidTr="00331E27">
        <w:trPr>
          <w:trHeight w:val="255"/>
          <w:jc w:val="center"/>
        </w:trPr>
        <w:tc>
          <w:tcPr>
            <w:tcW w:w="3118" w:type="dxa"/>
            <w:vMerge w:val="restart"/>
            <w:shd w:val="clear" w:color="auto" w:fill="auto"/>
            <w:noWrap/>
            <w:vAlign w:val="center"/>
            <w:hideMark/>
          </w:tcPr>
          <w:p w14:paraId="5373FA21" w14:textId="5640925B" w:rsidR="00151A18" w:rsidRPr="0046564E" w:rsidRDefault="00151A18" w:rsidP="0006518C">
            <w:pPr>
              <w:spacing w:after="0" w:line="240" w:lineRule="auto"/>
              <w:rPr>
                <w:rFonts w:eastAsia="Times New Roman" w:cs="Arial"/>
                <w:color w:val="000000"/>
                <w:kern w:val="0"/>
                <w:sz w:val="20"/>
                <w:szCs w:val="20"/>
                <w:lang w:val="en-US"/>
                <w14:ligatures w14:val="none"/>
              </w:rPr>
            </w:pPr>
            <m:oMath>
              <m:r>
                <w:rPr>
                  <w:rFonts w:ascii="Cambria Math" w:eastAsia="Times New Roman" w:hAnsi="Cambria Math" w:cs="Arial"/>
                  <w:color w:val="000000"/>
                  <w:kern w:val="0"/>
                  <w:sz w:val="20"/>
                  <w:szCs w:val="20"/>
                  <w14:ligatures w14:val="none"/>
                </w:rPr>
                <m:t>ppeta</m:t>
              </m:r>
            </m:oMath>
            <w:r w:rsidRPr="00C45008">
              <w:rPr>
                <w:rFonts w:eastAsia="Times New Roman" w:cs="Arial"/>
                <w:color w:val="000000"/>
                <w:kern w:val="0"/>
                <w:sz w:val="20"/>
                <w:szCs w:val="20"/>
                <w14:ligatures w14:val="none"/>
              </w:rPr>
              <w:t xml:space="preserve"> – </w:t>
            </w:r>
            <w:r w:rsidR="0046564E">
              <w:rPr>
                <w:rFonts w:eastAsia="Times New Roman" w:cs="Arial"/>
                <w:color w:val="000000"/>
                <w:kern w:val="0"/>
                <w:sz w:val="20"/>
                <w:szCs w:val="20"/>
                <w:lang w:val="en-US"/>
                <w14:ligatures w14:val="none"/>
              </w:rPr>
              <w:t>ratio of property, plant, and equipment to total assets</w:t>
            </w:r>
          </w:p>
        </w:tc>
        <w:tc>
          <w:tcPr>
            <w:tcW w:w="1077" w:type="dxa"/>
            <w:shd w:val="clear" w:color="auto" w:fill="auto"/>
            <w:noWrap/>
            <w:vAlign w:val="center"/>
            <w:hideMark/>
          </w:tcPr>
          <w:p w14:paraId="234F9DC1" w14:textId="67DC2C7A" w:rsidR="00151A18" w:rsidRPr="00C45008" w:rsidRDefault="00151A18" w:rsidP="0006518C">
            <w:pPr>
              <w:spacing w:after="0" w:line="240" w:lineRule="auto"/>
              <w:jc w:val="center"/>
              <w:rPr>
                <w:rFonts w:eastAsia="Times New Roman" w:cs="Arial"/>
                <w:color w:val="000000"/>
                <w:kern w:val="0"/>
                <w:sz w:val="20"/>
                <w:szCs w:val="20"/>
                <w14:ligatures w14:val="none"/>
              </w:rPr>
            </w:pPr>
            <w:r>
              <w:rPr>
                <w:rFonts w:eastAsia="Times New Roman" w:cs="Arial"/>
                <w:color w:val="000000"/>
                <w:kern w:val="0"/>
                <w:sz w:val="20"/>
                <w:szCs w:val="20"/>
                <w:lang w:val="en-US"/>
                <w14:ligatures w14:val="none"/>
              </w:rPr>
              <w:t>All</w:t>
            </w:r>
          </w:p>
        </w:tc>
        <w:tc>
          <w:tcPr>
            <w:tcW w:w="1134" w:type="dxa"/>
            <w:shd w:val="clear" w:color="auto" w:fill="auto"/>
            <w:noWrap/>
            <w:vAlign w:val="center"/>
            <w:hideMark/>
          </w:tcPr>
          <w:p w14:paraId="4063BFD1" w14:textId="77777777" w:rsidR="00151A18" w:rsidRPr="00C45008" w:rsidRDefault="00151A18" w:rsidP="0006518C">
            <w:pPr>
              <w:spacing w:after="0" w:line="240" w:lineRule="auto"/>
              <w:jc w:val="center"/>
              <w:rPr>
                <w:rFonts w:eastAsia="Times New Roman" w:cs="Arial"/>
                <w:color w:val="000000"/>
                <w:kern w:val="0"/>
                <w:sz w:val="20"/>
                <w:szCs w:val="20"/>
                <w14:ligatures w14:val="none"/>
              </w:rPr>
            </w:pPr>
            <w:r w:rsidRPr="00C45008">
              <w:rPr>
                <w:rFonts w:eastAsia="Times New Roman" w:cs="Arial"/>
                <w:color w:val="000000"/>
                <w:kern w:val="0"/>
                <w:sz w:val="20"/>
                <w:szCs w:val="20"/>
                <w14:ligatures w14:val="none"/>
              </w:rPr>
              <w:t>180</w:t>
            </w:r>
          </w:p>
        </w:tc>
        <w:tc>
          <w:tcPr>
            <w:tcW w:w="964" w:type="dxa"/>
            <w:shd w:val="clear" w:color="auto" w:fill="auto"/>
            <w:noWrap/>
            <w:vAlign w:val="center"/>
            <w:hideMark/>
          </w:tcPr>
          <w:p w14:paraId="4DC29270" w14:textId="77777777" w:rsidR="00151A18" w:rsidRPr="00C45008" w:rsidRDefault="00151A18" w:rsidP="0006518C">
            <w:pPr>
              <w:spacing w:after="0" w:line="240" w:lineRule="auto"/>
              <w:jc w:val="right"/>
              <w:rPr>
                <w:rFonts w:eastAsia="Times New Roman" w:cs="Arial"/>
                <w:color w:val="000000"/>
                <w:kern w:val="0"/>
                <w:sz w:val="20"/>
                <w:szCs w:val="20"/>
                <w14:ligatures w14:val="none"/>
              </w:rPr>
            </w:pPr>
            <w:r w:rsidRPr="00C45008">
              <w:rPr>
                <w:rFonts w:eastAsia="Times New Roman" w:cs="Arial"/>
                <w:color w:val="000000"/>
                <w:kern w:val="0"/>
                <w:sz w:val="20"/>
                <w:szCs w:val="20"/>
                <w14:ligatures w14:val="none"/>
              </w:rPr>
              <w:t>0.2771</w:t>
            </w:r>
          </w:p>
        </w:tc>
        <w:tc>
          <w:tcPr>
            <w:tcW w:w="1134" w:type="dxa"/>
            <w:shd w:val="clear" w:color="auto" w:fill="auto"/>
            <w:noWrap/>
            <w:vAlign w:val="center"/>
            <w:hideMark/>
          </w:tcPr>
          <w:p w14:paraId="3C78A08A" w14:textId="77777777" w:rsidR="00151A18" w:rsidRPr="00C45008" w:rsidRDefault="00151A18" w:rsidP="0006518C">
            <w:pPr>
              <w:spacing w:after="0" w:line="240" w:lineRule="auto"/>
              <w:jc w:val="right"/>
              <w:rPr>
                <w:rFonts w:eastAsia="Times New Roman" w:cs="Arial"/>
                <w:color w:val="000000"/>
                <w:kern w:val="0"/>
                <w:sz w:val="20"/>
                <w:szCs w:val="20"/>
                <w14:ligatures w14:val="none"/>
              </w:rPr>
            </w:pPr>
            <w:r w:rsidRPr="00C45008">
              <w:rPr>
                <w:rFonts w:eastAsia="Times New Roman" w:cs="Arial"/>
                <w:color w:val="000000"/>
                <w:kern w:val="0"/>
                <w:sz w:val="20"/>
                <w:szCs w:val="20"/>
                <w14:ligatures w14:val="none"/>
              </w:rPr>
              <w:t>0.1990</w:t>
            </w:r>
          </w:p>
        </w:tc>
        <w:tc>
          <w:tcPr>
            <w:tcW w:w="1020" w:type="dxa"/>
            <w:shd w:val="clear" w:color="auto" w:fill="auto"/>
            <w:noWrap/>
            <w:vAlign w:val="center"/>
            <w:hideMark/>
          </w:tcPr>
          <w:p w14:paraId="7AB39D67" w14:textId="77777777" w:rsidR="00151A18" w:rsidRPr="00C45008" w:rsidRDefault="00151A18" w:rsidP="0006518C">
            <w:pPr>
              <w:spacing w:after="0" w:line="240" w:lineRule="auto"/>
              <w:jc w:val="right"/>
              <w:rPr>
                <w:rFonts w:eastAsia="Times New Roman" w:cs="Arial"/>
                <w:color w:val="000000"/>
                <w:kern w:val="0"/>
                <w:sz w:val="20"/>
                <w:szCs w:val="20"/>
                <w14:ligatures w14:val="none"/>
              </w:rPr>
            </w:pPr>
            <w:r w:rsidRPr="00C45008">
              <w:rPr>
                <w:rFonts w:eastAsia="Times New Roman" w:cs="Arial"/>
                <w:color w:val="000000"/>
                <w:kern w:val="0"/>
                <w:sz w:val="20"/>
                <w:szCs w:val="20"/>
                <w14:ligatures w14:val="none"/>
              </w:rPr>
              <w:t>0.0000</w:t>
            </w:r>
          </w:p>
        </w:tc>
        <w:tc>
          <w:tcPr>
            <w:tcW w:w="1020" w:type="dxa"/>
            <w:shd w:val="clear" w:color="auto" w:fill="auto"/>
            <w:noWrap/>
            <w:vAlign w:val="center"/>
            <w:hideMark/>
          </w:tcPr>
          <w:p w14:paraId="57AA7F5D" w14:textId="77777777" w:rsidR="00151A18" w:rsidRPr="00C45008" w:rsidRDefault="00151A18" w:rsidP="0006518C">
            <w:pPr>
              <w:spacing w:after="0" w:line="240" w:lineRule="auto"/>
              <w:jc w:val="right"/>
              <w:rPr>
                <w:rFonts w:eastAsia="Times New Roman" w:cs="Arial"/>
                <w:color w:val="000000"/>
                <w:kern w:val="0"/>
                <w:sz w:val="20"/>
                <w:szCs w:val="20"/>
                <w14:ligatures w14:val="none"/>
              </w:rPr>
            </w:pPr>
            <w:r w:rsidRPr="00C45008">
              <w:rPr>
                <w:rFonts w:eastAsia="Times New Roman" w:cs="Arial"/>
                <w:color w:val="000000"/>
                <w:kern w:val="0"/>
                <w:sz w:val="20"/>
                <w:szCs w:val="20"/>
                <w14:ligatures w14:val="none"/>
              </w:rPr>
              <w:t>0.8763</w:t>
            </w:r>
          </w:p>
        </w:tc>
      </w:tr>
      <w:tr w:rsidR="00151A18" w:rsidRPr="00C45008" w14:paraId="77FDBB19" w14:textId="77777777" w:rsidTr="00331E27">
        <w:trPr>
          <w:trHeight w:val="255"/>
          <w:jc w:val="center"/>
        </w:trPr>
        <w:tc>
          <w:tcPr>
            <w:tcW w:w="3118" w:type="dxa"/>
            <w:vMerge/>
            <w:shd w:val="clear" w:color="auto" w:fill="auto"/>
            <w:noWrap/>
            <w:vAlign w:val="center"/>
          </w:tcPr>
          <w:p w14:paraId="641FBEBE" w14:textId="77777777" w:rsidR="00151A18" w:rsidRPr="00C45008" w:rsidRDefault="00151A18" w:rsidP="0006518C">
            <w:pPr>
              <w:spacing w:after="0" w:line="240" w:lineRule="auto"/>
              <w:rPr>
                <w:rFonts w:eastAsia="Times New Roman" w:cs="Arial"/>
                <w:color w:val="000000"/>
                <w:kern w:val="0"/>
                <w:sz w:val="20"/>
                <w:szCs w:val="20"/>
                <w14:ligatures w14:val="none"/>
              </w:rPr>
            </w:pPr>
          </w:p>
        </w:tc>
        <w:tc>
          <w:tcPr>
            <w:tcW w:w="1077" w:type="dxa"/>
            <w:shd w:val="clear" w:color="auto" w:fill="auto"/>
            <w:noWrap/>
            <w:vAlign w:val="center"/>
            <w:hideMark/>
          </w:tcPr>
          <w:p w14:paraId="30E56AD9" w14:textId="04C54EA9" w:rsidR="00151A18" w:rsidRPr="00C45008" w:rsidRDefault="00151A18" w:rsidP="0006518C">
            <w:pPr>
              <w:spacing w:after="0" w:line="240" w:lineRule="auto"/>
              <w:jc w:val="center"/>
              <w:rPr>
                <w:rFonts w:eastAsia="Times New Roman" w:cs="Arial"/>
                <w:color w:val="000000"/>
                <w:kern w:val="0"/>
                <w:sz w:val="20"/>
                <w:szCs w:val="20"/>
                <w14:ligatures w14:val="none"/>
              </w:rPr>
            </w:pPr>
            <w:r>
              <w:rPr>
                <w:rFonts w:eastAsia="Times New Roman" w:cs="Arial"/>
                <w:color w:val="000000"/>
                <w:kern w:val="0"/>
                <w:sz w:val="20"/>
                <w:szCs w:val="20"/>
                <w:lang w:val="en-US"/>
                <w14:ligatures w14:val="none"/>
              </w:rPr>
              <w:t>No</w:t>
            </w:r>
          </w:p>
        </w:tc>
        <w:tc>
          <w:tcPr>
            <w:tcW w:w="1134" w:type="dxa"/>
            <w:shd w:val="clear" w:color="auto" w:fill="auto"/>
            <w:noWrap/>
            <w:vAlign w:val="center"/>
            <w:hideMark/>
          </w:tcPr>
          <w:p w14:paraId="6C40C8EB" w14:textId="77777777" w:rsidR="00151A18" w:rsidRPr="00C45008" w:rsidRDefault="00151A18" w:rsidP="0006518C">
            <w:pPr>
              <w:spacing w:after="0" w:line="240" w:lineRule="auto"/>
              <w:jc w:val="center"/>
              <w:rPr>
                <w:rFonts w:eastAsia="Times New Roman" w:cs="Arial"/>
                <w:color w:val="000000"/>
                <w:kern w:val="0"/>
                <w:sz w:val="20"/>
                <w:szCs w:val="20"/>
                <w14:ligatures w14:val="none"/>
              </w:rPr>
            </w:pPr>
            <w:r w:rsidRPr="00C45008">
              <w:rPr>
                <w:rFonts w:eastAsia="Times New Roman" w:cs="Arial"/>
                <w:color w:val="000000"/>
                <w:kern w:val="0"/>
                <w:sz w:val="20"/>
                <w:szCs w:val="20"/>
                <w14:ligatures w14:val="none"/>
              </w:rPr>
              <w:t>92</w:t>
            </w:r>
          </w:p>
        </w:tc>
        <w:tc>
          <w:tcPr>
            <w:tcW w:w="964" w:type="dxa"/>
            <w:shd w:val="clear" w:color="auto" w:fill="auto"/>
            <w:noWrap/>
            <w:vAlign w:val="center"/>
            <w:hideMark/>
          </w:tcPr>
          <w:p w14:paraId="0C68C128" w14:textId="77777777" w:rsidR="00151A18" w:rsidRPr="00C45008" w:rsidRDefault="00151A18" w:rsidP="0006518C">
            <w:pPr>
              <w:spacing w:after="0" w:line="240" w:lineRule="auto"/>
              <w:jc w:val="right"/>
              <w:rPr>
                <w:rFonts w:eastAsia="Times New Roman" w:cs="Arial"/>
                <w:color w:val="000000"/>
                <w:kern w:val="0"/>
                <w:sz w:val="20"/>
                <w:szCs w:val="20"/>
                <w14:ligatures w14:val="none"/>
              </w:rPr>
            </w:pPr>
            <w:r w:rsidRPr="00C45008">
              <w:rPr>
                <w:rFonts w:eastAsia="Times New Roman" w:cs="Arial"/>
                <w:color w:val="000000"/>
                <w:kern w:val="0"/>
                <w:sz w:val="20"/>
                <w:szCs w:val="20"/>
                <w14:ligatures w14:val="none"/>
              </w:rPr>
              <w:t>0.2854</w:t>
            </w:r>
          </w:p>
        </w:tc>
        <w:tc>
          <w:tcPr>
            <w:tcW w:w="1134" w:type="dxa"/>
            <w:shd w:val="clear" w:color="auto" w:fill="auto"/>
            <w:noWrap/>
            <w:vAlign w:val="center"/>
            <w:hideMark/>
          </w:tcPr>
          <w:p w14:paraId="29C6D0A8" w14:textId="77777777" w:rsidR="00151A18" w:rsidRPr="00C45008" w:rsidRDefault="00151A18" w:rsidP="0006518C">
            <w:pPr>
              <w:spacing w:after="0" w:line="240" w:lineRule="auto"/>
              <w:jc w:val="right"/>
              <w:rPr>
                <w:rFonts w:eastAsia="Times New Roman" w:cs="Arial"/>
                <w:color w:val="000000"/>
                <w:kern w:val="0"/>
                <w:sz w:val="20"/>
                <w:szCs w:val="20"/>
                <w14:ligatures w14:val="none"/>
              </w:rPr>
            </w:pPr>
            <w:r w:rsidRPr="00C45008">
              <w:rPr>
                <w:rFonts w:eastAsia="Times New Roman" w:cs="Arial"/>
                <w:color w:val="000000"/>
                <w:kern w:val="0"/>
                <w:sz w:val="20"/>
                <w:szCs w:val="20"/>
                <w14:ligatures w14:val="none"/>
              </w:rPr>
              <w:t>0.1741</w:t>
            </w:r>
          </w:p>
        </w:tc>
        <w:tc>
          <w:tcPr>
            <w:tcW w:w="1020" w:type="dxa"/>
            <w:shd w:val="clear" w:color="auto" w:fill="auto"/>
            <w:noWrap/>
            <w:vAlign w:val="center"/>
            <w:hideMark/>
          </w:tcPr>
          <w:p w14:paraId="4B3F8E8E" w14:textId="77777777" w:rsidR="00151A18" w:rsidRPr="00C45008" w:rsidRDefault="00151A18" w:rsidP="0006518C">
            <w:pPr>
              <w:spacing w:after="0" w:line="240" w:lineRule="auto"/>
              <w:jc w:val="right"/>
              <w:rPr>
                <w:rFonts w:eastAsia="Times New Roman" w:cs="Arial"/>
                <w:color w:val="000000"/>
                <w:kern w:val="0"/>
                <w:sz w:val="20"/>
                <w:szCs w:val="20"/>
                <w14:ligatures w14:val="none"/>
              </w:rPr>
            </w:pPr>
            <w:r w:rsidRPr="00C45008">
              <w:rPr>
                <w:rFonts w:eastAsia="Times New Roman" w:cs="Arial"/>
                <w:color w:val="000000"/>
                <w:kern w:val="0"/>
                <w:sz w:val="20"/>
                <w:szCs w:val="20"/>
                <w14:ligatures w14:val="none"/>
              </w:rPr>
              <w:t>0.0000</w:t>
            </w:r>
          </w:p>
        </w:tc>
        <w:tc>
          <w:tcPr>
            <w:tcW w:w="1020" w:type="dxa"/>
            <w:shd w:val="clear" w:color="auto" w:fill="auto"/>
            <w:noWrap/>
            <w:vAlign w:val="center"/>
            <w:hideMark/>
          </w:tcPr>
          <w:p w14:paraId="604CA909" w14:textId="77777777" w:rsidR="00151A18" w:rsidRPr="00C45008" w:rsidRDefault="00151A18" w:rsidP="0006518C">
            <w:pPr>
              <w:spacing w:after="0" w:line="240" w:lineRule="auto"/>
              <w:jc w:val="right"/>
              <w:rPr>
                <w:rFonts w:eastAsia="Times New Roman" w:cs="Arial"/>
                <w:color w:val="000000"/>
                <w:kern w:val="0"/>
                <w:sz w:val="20"/>
                <w:szCs w:val="20"/>
                <w14:ligatures w14:val="none"/>
              </w:rPr>
            </w:pPr>
            <w:r w:rsidRPr="00C45008">
              <w:rPr>
                <w:rFonts w:eastAsia="Times New Roman" w:cs="Arial"/>
                <w:color w:val="000000"/>
                <w:kern w:val="0"/>
                <w:sz w:val="20"/>
                <w:szCs w:val="20"/>
                <w14:ligatures w14:val="none"/>
              </w:rPr>
              <w:t>0.6985</w:t>
            </w:r>
          </w:p>
        </w:tc>
      </w:tr>
      <w:tr w:rsidR="00151A18" w:rsidRPr="00C45008" w14:paraId="43F66CC8" w14:textId="77777777" w:rsidTr="00331E27">
        <w:trPr>
          <w:trHeight w:val="255"/>
          <w:jc w:val="center"/>
        </w:trPr>
        <w:tc>
          <w:tcPr>
            <w:tcW w:w="3118" w:type="dxa"/>
            <w:vMerge/>
            <w:shd w:val="clear" w:color="auto" w:fill="auto"/>
            <w:noWrap/>
            <w:vAlign w:val="center"/>
          </w:tcPr>
          <w:p w14:paraId="5BFF9F72" w14:textId="77777777" w:rsidR="00151A18" w:rsidRPr="00C45008" w:rsidRDefault="00151A18" w:rsidP="0006518C">
            <w:pPr>
              <w:spacing w:after="0" w:line="240" w:lineRule="auto"/>
              <w:rPr>
                <w:rFonts w:eastAsia="Times New Roman" w:cs="Arial"/>
                <w:color w:val="000000"/>
                <w:kern w:val="0"/>
                <w:sz w:val="20"/>
                <w:szCs w:val="20"/>
                <w14:ligatures w14:val="none"/>
              </w:rPr>
            </w:pPr>
          </w:p>
        </w:tc>
        <w:tc>
          <w:tcPr>
            <w:tcW w:w="1077" w:type="dxa"/>
            <w:shd w:val="clear" w:color="auto" w:fill="auto"/>
            <w:noWrap/>
            <w:vAlign w:val="center"/>
            <w:hideMark/>
          </w:tcPr>
          <w:p w14:paraId="7894D1DF" w14:textId="378B1262" w:rsidR="00151A18" w:rsidRPr="00C45008" w:rsidRDefault="00151A18" w:rsidP="0006518C">
            <w:pPr>
              <w:spacing w:after="0" w:line="240" w:lineRule="auto"/>
              <w:jc w:val="center"/>
              <w:rPr>
                <w:rFonts w:eastAsia="Times New Roman" w:cs="Arial"/>
                <w:color w:val="000000"/>
                <w:kern w:val="0"/>
                <w:sz w:val="20"/>
                <w:szCs w:val="20"/>
                <w14:ligatures w14:val="none"/>
              </w:rPr>
            </w:pPr>
            <w:r>
              <w:rPr>
                <w:rFonts w:eastAsia="Times New Roman" w:cs="Arial"/>
                <w:color w:val="000000"/>
                <w:kern w:val="0"/>
                <w:sz w:val="20"/>
                <w:szCs w:val="20"/>
                <w:lang w:val="en-US"/>
                <w14:ligatures w14:val="none"/>
              </w:rPr>
              <w:t>Yes</w:t>
            </w:r>
          </w:p>
        </w:tc>
        <w:tc>
          <w:tcPr>
            <w:tcW w:w="1134" w:type="dxa"/>
            <w:shd w:val="clear" w:color="auto" w:fill="auto"/>
            <w:noWrap/>
            <w:vAlign w:val="center"/>
            <w:hideMark/>
          </w:tcPr>
          <w:p w14:paraId="004442B7" w14:textId="77777777" w:rsidR="00151A18" w:rsidRPr="00C45008" w:rsidRDefault="00151A18" w:rsidP="0006518C">
            <w:pPr>
              <w:spacing w:after="0" w:line="240" w:lineRule="auto"/>
              <w:jc w:val="center"/>
              <w:rPr>
                <w:rFonts w:eastAsia="Times New Roman" w:cs="Arial"/>
                <w:color w:val="000000"/>
                <w:kern w:val="0"/>
                <w:sz w:val="20"/>
                <w:szCs w:val="20"/>
                <w14:ligatures w14:val="none"/>
              </w:rPr>
            </w:pPr>
            <w:r w:rsidRPr="00C45008">
              <w:rPr>
                <w:rFonts w:eastAsia="Times New Roman" w:cs="Arial"/>
                <w:color w:val="000000"/>
                <w:kern w:val="0"/>
                <w:sz w:val="20"/>
                <w:szCs w:val="20"/>
                <w14:ligatures w14:val="none"/>
              </w:rPr>
              <w:t>88</w:t>
            </w:r>
          </w:p>
        </w:tc>
        <w:tc>
          <w:tcPr>
            <w:tcW w:w="964" w:type="dxa"/>
            <w:shd w:val="clear" w:color="auto" w:fill="auto"/>
            <w:noWrap/>
            <w:vAlign w:val="center"/>
            <w:hideMark/>
          </w:tcPr>
          <w:p w14:paraId="55C00CC5" w14:textId="77777777" w:rsidR="00151A18" w:rsidRPr="00C45008" w:rsidRDefault="00151A18" w:rsidP="0006518C">
            <w:pPr>
              <w:spacing w:after="0" w:line="240" w:lineRule="auto"/>
              <w:jc w:val="right"/>
              <w:rPr>
                <w:rFonts w:eastAsia="Times New Roman" w:cs="Arial"/>
                <w:color w:val="000000"/>
                <w:kern w:val="0"/>
                <w:sz w:val="20"/>
                <w:szCs w:val="20"/>
                <w14:ligatures w14:val="none"/>
              </w:rPr>
            </w:pPr>
            <w:r w:rsidRPr="00C45008">
              <w:rPr>
                <w:rFonts w:eastAsia="Times New Roman" w:cs="Arial"/>
                <w:color w:val="000000"/>
                <w:kern w:val="0"/>
                <w:sz w:val="20"/>
                <w:szCs w:val="20"/>
                <w14:ligatures w14:val="none"/>
              </w:rPr>
              <w:t>0.2683</w:t>
            </w:r>
          </w:p>
        </w:tc>
        <w:tc>
          <w:tcPr>
            <w:tcW w:w="1134" w:type="dxa"/>
            <w:shd w:val="clear" w:color="auto" w:fill="auto"/>
            <w:noWrap/>
            <w:vAlign w:val="center"/>
            <w:hideMark/>
          </w:tcPr>
          <w:p w14:paraId="43B6B470" w14:textId="77777777" w:rsidR="00151A18" w:rsidRPr="00C45008" w:rsidRDefault="00151A18" w:rsidP="0006518C">
            <w:pPr>
              <w:spacing w:after="0" w:line="240" w:lineRule="auto"/>
              <w:jc w:val="right"/>
              <w:rPr>
                <w:rFonts w:eastAsia="Times New Roman" w:cs="Arial"/>
                <w:color w:val="000000"/>
                <w:kern w:val="0"/>
                <w:sz w:val="20"/>
                <w:szCs w:val="20"/>
                <w14:ligatures w14:val="none"/>
              </w:rPr>
            </w:pPr>
            <w:r w:rsidRPr="00C45008">
              <w:rPr>
                <w:rFonts w:eastAsia="Times New Roman" w:cs="Arial"/>
                <w:color w:val="000000"/>
                <w:kern w:val="0"/>
                <w:sz w:val="20"/>
                <w:szCs w:val="20"/>
                <w14:ligatures w14:val="none"/>
              </w:rPr>
              <w:t>0.2227</w:t>
            </w:r>
          </w:p>
        </w:tc>
        <w:tc>
          <w:tcPr>
            <w:tcW w:w="1020" w:type="dxa"/>
            <w:shd w:val="clear" w:color="auto" w:fill="auto"/>
            <w:noWrap/>
            <w:vAlign w:val="center"/>
            <w:hideMark/>
          </w:tcPr>
          <w:p w14:paraId="533510DE" w14:textId="77777777" w:rsidR="00151A18" w:rsidRPr="00C45008" w:rsidRDefault="00151A18" w:rsidP="0006518C">
            <w:pPr>
              <w:spacing w:after="0" w:line="240" w:lineRule="auto"/>
              <w:jc w:val="right"/>
              <w:rPr>
                <w:rFonts w:eastAsia="Times New Roman" w:cs="Arial"/>
                <w:color w:val="000000"/>
                <w:kern w:val="0"/>
                <w:sz w:val="20"/>
                <w:szCs w:val="20"/>
                <w14:ligatures w14:val="none"/>
              </w:rPr>
            </w:pPr>
            <w:r w:rsidRPr="00C45008">
              <w:rPr>
                <w:rFonts w:eastAsia="Times New Roman" w:cs="Arial"/>
                <w:color w:val="000000"/>
                <w:kern w:val="0"/>
                <w:sz w:val="20"/>
                <w:szCs w:val="20"/>
                <w14:ligatures w14:val="none"/>
              </w:rPr>
              <w:t>0.0184</w:t>
            </w:r>
          </w:p>
        </w:tc>
        <w:tc>
          <w:tcPr>
            <w:tcW w:w="1020" w:type="dxa"/>
            <w:shd w:val="clear" w:color="auto" w:fill="auto"/>
            <w:noWrap/>
            <w:vAlign w:val="center"/>
            <w:hideMark/>
          </w:tcPr>
          <w:p w14:paraId="35D4E8DE" w14:textId="77777777" w:rsidR="00151A18" w:rsidRPr="00C45008" w:rsidRDefault="00151A18" w:rsidP="0006518C">
            <w:pPr>
              <w:spacing w:after="0" w:line="240" w:lineRule="auto"/>
              <w:jc w:val="right"/>
              <w:rPr>
                <w:rFonts w:eastAsia="Times New Roman" w:cs="Arial"/>
                <w:color w:val="000000"/>
                <w:kern w:val="0"/>
                <w:sz w:val="20"/>
                <w:szCs w:val="20"/>
                <w14:ligatures w14:val="none"/>
              </w:rPr>
            </w:pPr>
            <w:r w:rsidRPr="00C45008">
              <w:rPr>
                <w:rFonts w:eastAsia="Times New Roman" w:cs="Arial"/>
                <w:color w:val="000000"/>
                <w:kern w:val="0"/>
                <w:sz w:val="20"/>
                <w:szCs w:val="20"/>
                <w14:ligatures w14:val="none"/>
              </w:rPr>
              <w:t>0.8763</w:t>
            </w:r>
          </w:p>
        </w:tc>
      </w:tr>
      <w:tr w:rsidR="00151A18" w:rsidRPr="00C45008" w14:paraId="556B180E" w14:textId="77777777" w:rsidTr="00331E27">
        <w:trPr>
          <w:trHeight w:val="255"/>
          <w:jc w:val="center"/>
        </w:trPr>
        <w:tc>
          <w:tcPr>
            <w:tcW w:w="3118" w:type="dxa"/>
            <w:vMerge w:val="restart"/>
            <w:shd w:val="clear" w:color="auto" w:fill="auto"/>
            <w:noWrap/>
            <w:vAlign w:val="center"/>
            <w:hideMark/>
          </w:tcPr>
          <w:p w14:paraId="5FB81038" w14:textId="630A9483" w:rsidR="00151A18" w:rsidRPr="0046564E" w:rsidRDefault="00151A18" w:rsidP="0006518C">
            <w:pPr>
              <w:spacing w:after="0" w:line="240" w:lineRule="auto"/>
              <w:rPr>
                <w:rFonts w:eastAsia="Times New Roman" w:cs="Arial"/>
                <w:color w:val="000000"/>
                <w:kern w:val="0"/>
                <w:sz w:val="20"/>
                <w:szCs w:val="20"/>
                <w:lang w:val="en-US"/>
                <w14:ligatures w14:val="none"/>
              </w:rPr>
            </w:pPr>
            <m:oMath>
              <m:r>
                <w:rPr>
                  <w:rFonts w:ascii="Cambria Math" w:eastAsia="Times New Roman" w:hAnsi="Cambria Math" w:cs="Arial"/>
                  <w:color w:val="000000"/>
                  <w:kern w:val="0"/>
                  <w:sz w:val="20"/>
                  <w:szCs w:val="20"/>
                  <w14:ligatures w14:val="none"/>
                </w:rPr>
                <m:t>growth</m:t>
              </m:r>
            </m:oMath>
            <w:r w:rsidRPr="00C45008">
              <w:rPr>
                <w:rFonts w:eastAsia="Times New Roman" w:cs="Arial"/>
                <w:color w:val="000000"/>
                <w:kern w:val="0"/>
                <w:sz w:val="20"/>
                <w:szCs w:val="20"/>
                <w14:ligatures w14:val="none"/>
              </w:rPr>
              <w:t xml:space="preserve"> – </w:t>
            </w:r>
            <w:r w:rsidR="0046564E">
              <w:rPr>
                <w:rFonts w:eastAsia="Times New Roman" w:cs="Arial"/>
                <w:color w:val="000000"/>
                <w:kern w:val="0"/>
                <w:sz w:val="20"/>
                <w:szCs w:val="20"/>
                <w:lang w:val="en-US"/>
                <w14:ligatures w14:val="none"/>
              </w:rPr>
              <w:t>year-over-year percentage growth in sales</w:t>
            </w:r>
          </w:p>
        </w:tc>
        <w:tc>
          <w:tcPr>
            <w:tcW w:w="1077" w:type="dxa"/>
            <w:shd w:val="clear" w:color="auto" w:fill="auto"/>
            <w:noWrap/>
            <w:vAlign w:val="center"/>
            <w:hideMark/>
          </w:tcPr>
          <w:p w14:paraId="33530CD6" w14:textId="4131C4C0" w:rsidR="00151A18" w:rsidRPr="00C45008" w:rsidRDefault="00151A18" w:rsidP="0006518C">
            <w:pPr>
              <w:spacing w:after="0" w:line="240" w:lineRule="auto"/>
              <w:jc w:val="center"/>
              <w:rPr>
                <w:rFonts w:eastAsia="Times New Roman" w:cs="Arial"/>
                <w:color w:val="000000"/>
                <w:kern w:val="0"/>
                <w:sz w:val="20"/>
                <w:szCs w:val="20"/>
                <w14:ligatures w14:val="none"/>
              </w:rPr>
            </w:pPr>
            <w:r>
              <w:rPr>
                <w:rFonts w:eastAsia="Times New Roman" w:cs="Arial"/>
                <w:color w:val="000000"/>
                <w:kern w:val="0"/>
                <w:sz w:val="20"/>
                <w:szCs w:val="20"/>
                <w:lang w:val="en-US"/>
                <w14:ligatures w14:val="none"/>
              </w:rPr>
              <w:t>All</w:t>
            </w:r>
          </w:p>
        </w:tc>
        <w:tc>
          <w:tcPr>
            <w:tcW w:w="1134" w:type="dxa"/>
            <w:shd w:val="clear" w:color="auto" w:fill="auto"/>
            <w:noWrap/>
            <w:vAlign w:val="center"/>
            <w:hideMark/>
          </w:tcPr>
          <w:p w14:paraId="14203514" w14:textId="77777777" w:rsidR="00151A18" w:rsidRPr="00C45008" w:rsidRDefault="00151A18" w:rsidP="0006518C">
            <w:pPr>
              <w:spacing w:after="0" w:line="240" w:lineRule="auto"/>
              <w:jc w:val="center"/>
              <w:rPr>
                <w:rFonts w:eastAsia="Times New Roman" w:cs="Arial"/>
                <w:color w:val="000000"/>
                <w:kern w:val="0"/>
                <w:sz w:val="20"/>
                <w:szCs w:val="20"/>
                <w14:ligatures w14:val="none"/>
              </w:rPr>
            </w:pPr>
            <w:r w:rsidRPr="00C45008">
              <w:rPr>
                <w:rFonts w:eastAsia="Times New Roman" w:cs="Arial"/>
                <w:color w:val="000000"/>
                <w:kern w:val="0"/>
                <w:sz w:val="20"/>
                <w:szCs w:val="20"/>
                <w14:ligatures w14:val="none"/>
              </w:rPr>
              <w:t>164</w:t>
            </w:r>
          </w:p>
        </w:tc>
        <w:tc>
          <w:tcPr>
            <w:tcW w:w="964" w:type="dxa"/>
            <w:shd w:val="clear" w:color="auto" w:fill="auto"/>
            <w:noWrap/>
            <w:vAlign w:val="center"/>
            <w:hideMark/>
          </w:tcPr>
          <w:p w14:paraId="32A0F0BF" w14:textId="77777777" w:rsidR="00151A18" w:rsidRPr="00C45008" w:rsidRDefault="00151A18" w:rsidP="0006518C">
            <w:pPr>
              <w:spacing w:after="0" w:line="240" w:lineRule="auto"/>
              <w:jc w:val="right"/>
              <w:rPr>
                <w:rFonts w:eastAsia="Times New Roman" w:cs="Arial"/>
                <w:color w:val="000000"/>
                <w:kern w:val="0"/>
                <w:sz w:val="20"/>
                <w:szCs w:val="20"/>
                <w14:ligatures w14:val="none"/>
              </w:rPr>
            </w:pPr>
            <w:r w:rsidRPr="00C45008">
              <w:rPr>
                <w:rFonts w:eastAsia="Times New Roman" w:cs="Arial"/>
                <w:color w:val="000000"/>
                <w:kern w:val="0"/>
                <w:sz w:val="20"/>
                <w:szCs w:val="20"/>
                <w14:ligatures w14:val="none"/>
              </w:rPr>
              <w:t>0.1192</w:t>
            </w:r>
          </w:p>
        </w:tc>
        <w:tc>
          <w:tcPr>
            <w:tcW w:w="1134" w:type="dxa"/>
            <w:shd w:val="clear" w:color="auto" w:fill="auto"/>
            <w:noWrap/>
            <w:vAlign w:val="center"/>
            <w:hideMark/>
          </w:tcPr>
          <w:p w14:paraId="634096DE" w14:textId="77777777" w:rsidR="00151A18" w:rsidRPr="00C45008" w:rsidRDefault="00151A18" w:rsidP="0006518C">
            <w:pPr>
              <w:spacing w:after="0" w:line="240" w:lineRule="auto"/>
              <w:jc w:val="right"/>
              <w:rPr>
                <w:rFonts w:eastAsia="Times New Roman" w:cs="Arial"/>
                <w:color w:val="000000"/>
                <w:kern w:val="0"/>
                <w:sz w:val="20"/>
                <w:szCs w:val="20"/>
                <w14:ligatures w14:val="none"/>
              </w:rPr>
            </w:pPr>
            <w:r w:rsidRPr="00C45008">
              <w:rPr>
                <w:rFonts w:eastAsia="Times New Roman" w:cs="Arial"/>
                <w:color w:val="000000"/>
                <w:kern w:val="0"/>
                <w:sz w:val="20"/>
                <w:szCs w:val="20"/>
                <w14:ligatures w14:val="none"/>
              </w:rPr>
              <w:t>0.2829</w:t>
            </w:r>
          </w:p>
        </w:tc>
        <w:tc>
          <w:tcPr>
            <w:tcW w:w="1020" w:type="dxa"/>
            <w:shd w:val="clear" w:color="auto" w:fill="auto"/>
            <w:noWrap/>
            <w:vAlign w:val="center"/>
            <w:hideMark/>
          </w:tcPr>
          <w:p w14:paraId="3FE8A76D" w14:textId="77777777" w:rsidR="00151A18" w:rsidRPr="00C45008" w:rsidRDefault="00151A18" w:rsidP="0006518C">
            <w:pPr>
              <w:spacing w:after="0" w:line="240" w:lineRule="auto"/>
              <w:jc w:val="right"/>
              <w:rPr>
                <w:rFonts w:eastAsia="Times New Roman" w:cs="Arial"/>
                <w:color w:val="000000"/>
                <w:kern w:val="0"/>
                <w:sz w:val="20"/>
                <w:szCs w:val="20"/>
                <w14:ligatures w14:val="none"/>
              </w:rPr>
            </w:pPr>
            <w:r w:rsidRPr="00C45008">
              <w:rPr>
                <w:rFonts w:eastAsia="Times New Roman" w:cs="Arial"/>
                <w:color w:val="000000"/>
                <w:kern w:val="0"/>
                <w:sz w:val="20"/>
                <w:szCs w:val="20"/>
                <w14:ligatures w14:val="none"/>
              </w:rPr>
              <w:t>-0.4896</w:t>
            </w:r>
          </w:p>
        </w:tc>
        <w:tc>
          <w:tcPr>
            <w:tcW w:w="1020" w:type="dxa"/>
            <w:shd w:val="clear" w:color="auto" w:fill="auto"/>
            <w:noWrap/>
            <w:vAlign w:val="center"/>
            <w:hideMark/>
          </w:tcPr>
          <w:p w14:paraId="5B6BE633" w14:textId="77777777" w:rsidR="00151A18" w:rsidRPr="00C45008" w:rsidRDefault="00151A18" w:rsidP="0006518C">
            <w:pPr>
              <w:spacing w:after="0" w:line="240" w:lineRule="auto"/>
              <w:jc w:val="right"/>
              <w:rPr>
                <w:rFonts w:eastAsia="Times New Roman" w:cs="Arial"/>
                <w:color w:val="000000"/>
                <w:kern w:val="0"/>
                <w:sz w:val="20"/>
                <w:szCs w:val="20"/>
                <w14:ligatures w14:val="none"/>
              </w:rPr>
            </w:pPr>
            <w:r w:rsidRPr="00C45008">
              <w:rPr>
                <w:rFonts w:eastAsia="Times New Roman" w:cs="Arial"/>
                <w:color w:val="000000"/>
                <w:kern w:val="0"/>
                <w:sz w:val="20"/>
                <w:szCs w:val="20"/>
                <w14:ligatures w14:val="none"/>
              </w:rPr>
              <w:t>1.6674</w:t>
            </w:r>
          </w:p>
        </w:tc>
      </w:tr>
      <w:tr w:rsidR="00151A18" w:rsidRPr="00C45008" w14:paraId="0019C3E1" w14:textId="77777777" w:rsidTr="00331E27">
        <w:trPr>
          <w:trHeight w:val="255"/>
          <w:jc w:val="center"/>
        </w:trPr>
        <w:tc>
          <w:tcPr>
            <w:tcW w:w="3118" w:type="dxa"/>
            <w:vMerge/>
            <w:shd w:val="clear" w:color="auto" w:fill="auto"/>
            <w:noWrap/>
            <w:vAlign w:val="center"/>
          </w:tcPr>
          <w:p w14:paraId="0886AFA6" w14:textId="77777777" w:rsidR="00151A18" w:rsidRPr="00C45008" w:rsidRDefault="00151A18" w:rsidP="0006518C">
            <w:pPr>
              <w:spacing w:after="0" w:line="240" w:lineRule="auto"/>
              <w:rPr>
                <w:rFonts w:eastAsia="Times New Roman" w:cs="Arial"/>
                <w:color w:val="000000"/>
                <w:kern w:val="0"/>
                <w:sz w:val="20"/>
                <w:szCs w:val="20"/>
                <w14:ligatures w14:val="none"/>
              </w:rPr>
            </w:pPr>
          </w:p>
        </w:tc>
        <w:tc>
          <w:tcPr>
            <w:tcW w:w="1077" w:type="dxa"/>
            <w:shd w:val="clear" w:color="auto" w:fill="auto"/>
            <w:noWrap/>
            <w:vAlign w:val="center"/>
            <w:hideMark/>
          </w:tcPr>
          <w:p w14:paraId="320D2FA0" w14:textId="4DDFF957" w:rsidR="00151A18" w:rsidRPr="00C45008" w:rsidRDefault="00151A18" w:rsidP="0006518C">
            <w:pPr>
              <w:spacing w:after="0" w:line="240" w:lineRule="auto"/>
              <w:jc w:val="center"/>
              <w:rPr>
                <w:rFonts w:eastAsia="Times New Roman" w:cs="Arial"/>
                <w:color w:val="000000"/>
                <w:kern w:val="0"/>
                <w:sz w:val="20"/>
                <w:szCs w:val="20"/>
                <w14:ligatures w14:val="none"/>
              </w:rPr>
            </w:pPr>
            <w:r>
              <w:rPr>
                <w:rFonts w:eastAsia="Times New Roman" w:cs="Arial"/>
                <w:color w:val="000000"/>
                <w:kern w:val="0"/>
                <w:sz w:val="20"/>
                <w:szCs w:val="20"/>
                <w:lang w:val="en-US"/>
                <w14:ligatures w14:val="none"/>
              </w:rPr>
              <w:t>No</w:t>
            </w:r>
          </w:p>
        </w:tc>
        <w:tc>
          <w:tcPr>
            <w:tcW w:w="1134" w:type="dxa"/>
            <w:shd w:val="clear" w:color="auto" w:fill="auto"/>
            <w:noWrap/>
            <w:vAlign w:val="center"/>
            <w:hideMark/>
          </w:tcPr>
          <w:p w14:paraId="3EE8C911" w14:textId="77777777" w:rsidR="00151A18" w:rsidRPr="00C45008" w:rsidRDefault="00151A18" w:rsidP="0006518C">
            <w:pPr>
              <w:spacing w:after="0" w:line="240" w:lineRule="auto"/>
              <w:jc w:val="center"/>
              <w:rPr>
                <w:rFonts w:eastAsia="Times New Roman" w:cs="Arial"/>
                <w:color w:val="000000"/>
                <w:kern w:val="0"/>
                <w:sz w:val="20"/>
                <w:szCs w:val="20"/>
                <w14:ligatures w14:val="none"/>
              </w:rPr>
            </w:pPr>
            <w:r w:rsidRPr="00C45008">
              <w:rPr>
                <w:rFonts w:eastAsia="Times New Roman" w:cs="Arial"/>
                <w:color w:val="000000"/>
                <w:kern w:val="0"/>
                <w:sz w:val="20"/>
                <w:szCs w:val="20"/>
                <w14:ligatures w14:val="none"/>
              </w:rPr>
              <w:t>84</w:t>
            </w:r>
          </w:p>
        </w:tc>
        <w:tc>
          <w:tcPr>
            <w:tcW w:w="964" w:type="dxa"/>
            <w:shd w:val="clear" w:color="auto" w:fill="auto"/>
            <w:noWrap/>
            <w:vAlign w:val="center"/>
            <w:hideMark/>
          </w:tcPr>
          <w:p w14:paraId="03767702" w14:textId="77777777" w:rsidR="00151A18" w:rsidRPr="00C45008" w:rsidRDefault="00151A18" w:rsidP="0006518C">
            <w:pPr>
              <w:spacing w:after="0" w:line="240" w:lineRule="auto"/>
              <w:jc w:val="right"/>
              <w:rPr>
                <w:rFonts w:eastAsia="Times New Roman" w:cs="Arial"/>
                <w:color w:val="000000"/>
                <w:kern w:val="0"/>
                <w:sz w:val="20"/>
                <w:szCs w:val="20"/>
                <w14:ligatures w14:val="none"/>
              </w:rPr>
            </w:pPr>
            <w:r w:rsidRPr="00C45008">
              <w:rPr>
                <w:rFonts w:eastAsia="Times New Roman" w:cs="Arial"/>
                <w:color w:val="000000"/>
                <w:kern w:val="0"/>
                <w:sz w:val="20"/>
                <w:szCs w:val="20"/>
                <w14:ligatures w14:val="none"/>
              </w:rPr>
              <w:t>0.1127</w:t>
            </w:r>
          </w:p>
        </w:tc>
        <w:tc>
          <w:tcPr>
            <w:tcW w:w="1134" w:type="dxa"/>
            <w:shd w:val="clear" w:color="auto" w:fill="auto"/>
            <w:noWrap/>
            <w:vAlign w:val="center"/>
            <w:hideMark/>
          </w:tcPr>
          <w:p w14:paraId="72C0356E" w14:textId="77777777" w:rsidR="00151A18" w:rsidRPr="00C45008" w:rsidRDefault="00151A18" w:rsidP="0006518C">
            <w:pPr>
              <w:spacing w:after="0" w:line="240" w:lineRule="auto"/>
              <w:jc w:val="right"/>
              <w:rPr>
                <w:rFonts w:eastAsia="Times New Roman" w:cs="Arial"/>
                <w:color w:val="000000"/>
                <w:kern w:val="0"/>
                <w:sz w:val="20"/>
                <w:szCs w:val="20"/>
                <w14:ligatures w14:val="none"/>
              </w:rPr>
            </w:pPr>
            <w:r w:rsidRPr="00C45008">
              <w:rPr>
                <w:rFonts w:eastAsia="Times New Roman" w:cs="Arial"/>
                <w:color w:val="000000"/>
                <w:kern w:val="0"/>
                <w:sz w:val="20"/>
                <w:szCs w:val="20"/>
                <w14:ligatures w14:val="none"/>
              </w:rPr>
              <w:t>0.2888</w:t>
            </w:r>
          </w:p>
        </w:tc>
        <w:tc>
          <w:tcPr>
            <w:tcW w:w="1020" w:type="dxa"/>
            <w:shd w:val="clear" w:color="auto" w:fill="auto"/>
            <w:noWrap/>
            <w:vAlign w:val="center"/>
            <w:hideMark/>
          </w:tcPr>
          <w:p w14:paraId="52CEB585" w14:textId="77777777" w:rsidR="00151A18" w:rsidRPr="00C45008" w:rsidRDefault="00151A18" w:rsidP="0006518C">
            <w:pPr>
              <w:spacing w:after="0" w:line="240" w:lineRule="auto"/>
              <w:jc w:val="right"/>
              <w:rPr>
                <w:rFonts w:eastAsia="Times New Roman" w:cs="Arial"/>
                <w:color w:val="000000"/>
                <w:kern w:val="0"/>
                <w:sz w:val="20"/>
                <w:szCs w:val="20"/>
                <w14:ligatures w14:val="none"/>
              </w:rPr>
            </w:pPr>
            <w:r w:rsidRPr="00C45008">
              <w:rPr>
                <w:rFonts w:eastAsia="Times New Roman" w:cs="Arial"/>
                <w:color w:val="000000"/>
                <w:kern w:val="0"/>
                <w:sz w:val="20"/>
                <w:szCs w:val="20"/>
                <w14:ligatures w14:val="none"/>
              </w:rPr>
              <w:t>-0.4896</w:t>
            </w:r>
          </w:p>
        </w:tc>
        <w:tc>
          <w:tcPr>
            <w:tcW w:w="1020" w:type="dxa"/>
            <w:shd w:val="clear" w:color="auto" w:fill="auto"/>
            <w:noWrap/>
            <w:vAlign w:val="center"/>
            <w:hideMark/>
          </w:tcPr>
          <w:p w14:paraId="5F169332" w14:textId="77777777" w:rsidR="00151A18" w:rsidRPr="00C45008" w:rsidRDefault="00151A18" w:rsidP="0006518C">
            <w:pPr>
              <w:spacing w:after="0" w:line="240" w:lineRule="auto"/>
              <w:jc w:val="right"/>
              <w:rPr>
                <w:rFonts w:eastAsia="Times New Roman" w:cs="Arial"/>
                <w:color w:val="000000"/>
                <w:kern w:val="0"/>
                <w:sz w:val="20"/>
                <w:szCs w:val="20"/>
                <w14:ligatures w14:val="none"/>
              </w:rPr>
            </w:pPr>
            <w:r w:rsidRPr="00C45008">
              <w:rPr>
                <w:rFonts w:eastAsia="Times New Roman" w:cs="Arial"/>
                <w:color w:val="000000"/>
                <w:kern w:val="0"/>
                <w:sz w:val="20"/>
                <w:szCs w:val="20"/>
                <w14:ligatures w14:val="none"/>
              </w:rPr>
              <w:t>1.6674</w:t>
            </w:r>
          </w:p>
        </w:tc>
      </w:tr>
      <w:tr w:rsidR="00151A18" w:rsidRPr="00C45008" w14:paraId="7D750310" w14:textId="77777777" w:rsidTr="00331E27">
        <w:trPr>
          <w:trHeight w:val="255"/>
          <w:jc w:val="center"/>
        </w:trPr>
        <w:tc>
          <w:tcPr>
            <w:tcW w:w="3118" w:type="dxa"/>
            <w:vMerge/>
            <w:shd w:val="clear" w:color="auto" w:fill="auto"/>
            <w:noWrap/>
            <w:vAlign w:val="center"/>
          </w:tcPr>
          <w:p w14:paraId="777C32A0" w14:textId="77777777" w:rsidR="00151A18" w:rsidRPr="00C45008" w:rsidRDefault="00151A18" w:rsidP="0006518C">
            <w:pPr>
              <w:spacing w:after="0" w:line="240" w:lineRule="auto"/>
              <w:rPr>
                <w:rFonts w:eastAsia="Times New Roman" w:cs="Arial"/>
                <w:color w:val="000000"/>
                <w:kern w:val="0"/>
                <w:sz w:val="20"/>
                <w:szCs w:val="20"/>
                <w14:ligatures w14:val="none"/>
              </w:rPr>
            </w:pPr>
          </w:p>
        </w:tc>
        <w:tc>
          <w:tcPr>
            <w:tcW w:w="1077" w:type="dxa"/>
            <w:shd w:val="clear" w:color="auto" w:fill="auto"/>
            <w:noWrap/>
            <w:vAlign w:val="center"/>
            <w:hideMark/>
          </w:tcPr>
          <w:p w14:paraId="72AF248D" w14:textId="144843AC" w:rsidR="00151A18" w:rsidRPr="00C45008" w:rsidRDefault="00151A18" w:rsidP="0006518C">
            <w:pPr>
              <w:spacing w:after="0" w:line="240" w:lineRule="auto"/>
              <w:jc w:val="center"/>
              <w:rPr>
                <w:rFonts w:eastAsia="Times New Roman" w:cs="Arial"/>
                <w:color w:val="000000"/>
                <w:kern w:val="0"/>
                <w:sz w:val="20"/>
                <w:szCs w:val="20"/>
                <w14:ligatures w14:val="none"/>
              </w:rPr>
            </w:pPr>
            <w:r>
              <w:rPr>
                <w:rFonts w:eastAsia="Times New Roman" w:cs="Arial"/>
                <w:color w:val="000000"/>
                <w:kern w:val="0"/>
                <w:sz w:val="20"/>
                <w:szCs w:val="20"/>
                <w:lang w:val="en-US"/>
                <w14:ligatures w14:val="none"/>
              </w:rPr>
              <w:t>Yes</w:t>
            </w:r>
          </w:p>
        </w:tc>
        <w:tc>
          <w:tcPr>
            <w:tcW w:w="1134" w:type="dxa"/>
            <w:shd w:val="clear" w:color="auto" w:fill="auto"/>
            <w:noWrap/>
            <w:vAlign w:val="center"/>
            <w:hideMark/>
          </w:tcPr>
          <w:p w14:paraId="441A2996" w14:textId="77777777" w:rsidR="00151A18" w:rsidRPr="00C45008" w:rsidRDefault="00151A18" w:rsidP="0006518C">
            <w:pPr>
              <w:spacing w:after="0" w:line="240" w:lineRule="auto"/>
              <w:jc w:val="center"/>
              <w:rPr>
                <w:rFonts w:eastAsia="Times New Roman" w:cs="Arial"/>
                <w:color w:val="000000"/>
                <w:kern w:val="0"/>
                <w:sz w:val="20"/>
                <w:szCs w:val="20"/>
                <w14:ligatures w14:val="none"/>
              </w:rPr>
            </w:pPr>
            <w:r w:rsidRPr="00C45008">
              <w:rPr>
                <w:rFonts w:eastAsia="Times New Roman" w:cs="Arial"/>
                <w:color w:val="000000"/>
                <w:kern w:val="0"/>
                <w:sz w:val="20"/>
                <w:szCs w:val="20"/>
                <w14:ligatures w14:val="none"/>
              </w:rPr>
              <w:t>80</w:t>
            </w:r>
          </w:p>
        </w:tc>
        <w:tc>
          <w:tcPr>
            <w:tcW w:w="964" w:type="dxa"/>
            <w:shd w:val="clear" w:color="auto" w:fill="auto"/>
            <w:noWrap/>
            <w:vAlign w:val="center"/>
            <w:hideMark/>
          </w:tcPr>
          <w:p w14:paraId="3ABA3CC7" w14:textId="77777777" w:rsidR="00151A18" w:rsidRPr="00C45008" w:rsidRDefault="00151A18" w:rsidP="0006518C">
            <w:pPr>
              <w:spacing w:after="0" w:line="240" w:lineRule="auto"/>
              <w:jc w:val="right"/>
              <w:rPr>
                <w:rFonts w:eastAsia="Times New Roman" w:cs="Arial"/>
                <w:color w:val="000000"/>
                <w:kern w:val="0"/>
                <w:sz w:val="20"/>
                <w:szCs w:val="20"/>
                <w14:ligatures w14:val="none"/>
              </w:rPr>
            </w:pPr>
            <w:r w:rsidRPr="00C45008">
              <w:rPr>
                <w:rFonts w:eastAsia="Times New Roman" w:cs="Arial"/>
                <w:color w:val="000000"/>
                <w:kern w:val="0"/>
                <w:sz w:val="20"/>
                <w:szCs w:val="20"/>
                <w14:ligatures w14:val="none"/>
              </w:rPr>
              <w:t>0.1259</w:t>
            </w:r>
          </w:p>
        </w:tc>
        <w:tc>
          <w:tcPr>
            <w:tcW w:w="1134" w:type="dxa"/>
            <w:shd w:val="clear" w:color="auto" w:fill="auto"/>
            <w:noWrap/>
            <w:vAlign w:val="center"/>
            <w:hideMark/>
          </w:tcPr>
          <w:p w14:paraId="15BA7D9B" w14:textId="77777777" w:rsidR="00151A18" w:rsidRPr="00C45008" w:rsidRDefault="00151A18" w:rsidP="0006518C">
            <w:pPr>
              <w:spacing w:after="0" w:line="240" w:lineRule="auto"/>
              <w:jc w:val="right"/>
              <w:rPr>
                <w:rFonts w:eastAsia="Times New Roman" w:cs="Arial"/>
                <w:color w:val="000000"/>
                <w:kern w:val="0"/>
                <w:sz w:val="20"/>
                <w:szCs w:val="20"/>
                <w14:ligatures w14:val="none"/>
              </w:rPr>
            </w:pPr>
            <w:r w:rsidRPr="00C45008">
              <w:rPr>
                <w:rFonts w:eastAsia="Times New Roman" w:cs="Arial"/>
                <w:color w:val="000000"/>
                <w:kern w:val="0"/>
                <w:sz w:val="20"/>
                <w:szCs w:val="20"/>
                <w14:ligatures w14:val="none"/>
              </w:rPr>
              <w:t>0.2782</w:t>
            </w:r>
          </w:p>
        </w:tc>
        <w:tc>
          <w:tcPr>
            <w:tcW w:w="1020" w:type="dxa"/>
            <w:shd w:val="clear" w:color="auto" w:fill="auto"/>
            <w:noWrap/>
            <w:vAlign w:val="center"/>
            <w:hideMark/>
          </w:tcPr>
          <w:p w14:paraId="2E715896" w14:textId="77777777" w:rsidR="00151A18" w:rsidRPr="00C45008" w:rsidRDefault="00151A18" w:rsidP="0006518C">
            <w:pPr>
              <w:spacing w:after="0" w:line="240" w:lineRule="auto"/>
              <w:jc w:val="right"/>
              <w:rPr>
                <w:rFonts w:eastAsia="Times New Roman" w:cs="Arial"/>
                <w:color w:val="000000"/>
                <w:kern w:val="0"/>
                <w:sz w:val="20"/>
                <w:szCs w:val="20"/>
                <w14:ligatures w14:val="none"/>
              </w:rPr>
            </w:pPr>
            <w:r w:rsidRPr="00C45008">
              <w:rPr>
                <w:rFonts w:eastAsia="Times New Roman" w:cs="Arial"/>
                <w:color w:val="000000"/>
                <w:kern w:val="0"/>
                <w:sz w:val="20"/>
                <w:szCs w:val="20"/>
                <w14:ligatures w14:val="none"/>
              </w:rPr>
              <w:t>-0.4813</w:t>
            </w:r>
          </w:p>
        </w:tc>
        <w:tc>
          <w:tcPr>
            <w:tcW w:w="1020" w:type="dxa"/>
            <w:shd w:val="clear" w:color="auto" w:fill="auto"/>
            <w:noWrap/>
            <w:vAlign w:val="center"/>
            <w:hideMark/>
          </w:tcPr>
          <w:p w14:paraId="4D602B96" w14:textId="77777777" w:rsidR="00151A18" w:rsidRPr="00C45008" w:rsidRDefault="00151A18" w:rsidP="0006518C">
            <w:pPr>
              <w:spacing w:after="0" w:line="240" w:lineRule="auto"/>
              <w:jc w:val="right"/>
              <w:rPr>
                <w:rFonts w:eastAsia="Times New Roman" w:cs="Arial"/>
                <w:color w:val="000000"/>
                <w:kern w:val="0"/>
                <w:sz w:val="20"/>
                <w:szCs w:val="20"/>
                <w14:ligatures w14:val="none"/>
              </w:rPr>
            </w:pPr>
            <w:r w:rsidRPr="00C45008">
              <w:rPr>
                <w:rFonts w:eastAsia="Times New Roman" w:cs="Arial"/>
                <w:color w:val="000000"/>
                <w:kern w:val="0"/>
                <w:sz w:val="20"/>
                <w:szCs w:val="20"/>
                <w14:ligatures w14:val="none"/>
              </w:rPr>
              <w:t>1.3779</w:t>
            </w:r>
          </w:p>
        </w:tc>
      </w:tr>
      <w:tr w:rsidR="00151A18" w:rsidRPr="00C45008" w14:paraId="61A9066C" w14:textId="77777777" w:rsidTr="00331E27">
        <w:trPr>
          <w:trHeight w:val="255"/>
          <w:jc w:val="center"/>
        </w:trPr>
        <w:tc>
          <w:tcPr>
            <w:tcW w:w="3118" w:type="dxa"/>
            <w:vMerge w:val="restart"/>
            <w:shd w:val="clear" w:color="auto" w:fill="auto"/>
            <w:noWrap/>
            <w:vAlign w:val="center"/>
            <w:hideMark/>
          </w:tcPr>
          <w:p w14:paraId="0D037A65" w14:textId="726BC4AD" w:rsidR="00151A18" w:rsidRPr="0046564E" w:rsidRDefault="00151A18" w:rsidP="0006518C">
            <w:pPr>
              <w:spacing w:after="0" w:line="240" w:lineRule="auto"/>
              <w:rPr>
                <w:rFonts w:eastAsia="Times New Roman" w:cs="Arial"/>
                <w:color w:val="000000"/>
                <w:kern w:val="0"/>
                <w:sz w:val="20"/>
                <w:szCs w:val="20"/>
                <w:lang w:val="en-US"/>
                <w14:ligatures w14:val="none"/>
              </w:rPr>
            </w:pPr>
            <m:oMath>
              <m:r>
                <w:rPr>
                  <w:rFonts w:ascii="Cambria Math" w:eastAsia="Times New Roman" w:hAnsi="Cambria Math" w:cs="Arial"/>
                  <w:color w:val="000000"/>
                  <w:kern w:val="0"/>
                  <w:sz w:val="20"/>
                  <w:szCs w:val="20"/>
                  <w14:ligatures w14:val="none"/>
                </w:rPr>
                <m:t>lntr</m:t>
              </m:r>
            </m:oMath>
            <w:r w:rsidRPr="00C45008">
              <w:rPr>
                <w:rFonts w:eastAsia="Times New Roman" w:cs="Arial"/>
                <w:color w:val="000000"/>
                <w:kern w:val="0"/>
                <w:sz w:val="20"/>
                <w:szCs w:val="20"/>
                <w14:ligatures w14:val="none"/>
              </w:rPr>
              <w:t xml:space="preserve"> – </w:t>
            </w:r>
            <w:r w:rsidR="0046564E">
              <w:rPr>
                <w:rFonts w:eastAsia="Times New Roman" w:cs="Arial"/>
                <w:color w:val="000000"/>
                <w:kern w:val="0"/>
                <w:sz w:val="20"/>
                <w:szCs w:val="20"/>
                <w:lang w:val="en-US"/>
                <w14:ligatures w14:val="none"/>
              </w:rPr>
              <w:t>natural logarithm of receivables turnover</w:t>
            </w:r>
          </w:p>
        </w:tc>
        <w:tc>
          <w:tcPr>
            <w:tcW w:w="1077" w:type="dxa"/>
            <w:shd w:val="clear" w:color="auto" w:fill="auto"/>
            <w:noWrap/>
            <w:vAlign w:val="center"/>
            <w:hideMark/>
          </w:tcPr>
          <w:p w14:paraId="597B38A6" w14:textId="6244689E" w:rsidR="00151A18" w:rsidRPr="00C45008" w:rsidRDefault="00151A18" w:rsidP="0006518C">
            <w:pPr>
              <w:spacing w:after="0" w:line="240" w:lineRule="auto"/>
              <w:jc w:val="center"/>
              <w:rPr>
                <w:rFonts w:eastAsia="Times New Roman" w:cs="Arial"/>
                <w:color w:val="000000"/>
                <w:kern w:val="0"/>
                <w:sz w:val="20"/>
                <w:szCs w:val="20"/>
                <w14:ligatures w14:val="none"/>
              </w:rPr>
            </w:pPr>
            <w:r>
              <w:rPr>
                <w:rFonts w:eastAsia="Times New Roman" w:cs="Arial"/>
                <w:color w:val="000000"/>
                <w:kern w:val="0"/>
                <w:sz w:val="20"/>
                <w:szCs w:val="20"/>
                <w:lang w:val="en-US"/>
                <w14:ligatures w14:val="none"/>
              </w:rPr>
              <w:t>All</w:t>
            </w:r>
          </w:p>
        </w:tc>
        <w:tc>
          <w:tcPr>
            <w:tcW w:w="1134" w:type="dxa"/>
            <w:shd w:val="clear" w:color="auto" w:fill="auto"/>
            <w:noWrap/>
            <w:vAlign w:val="center"/>
            <w:hideMark/>
          </w:tcPr>
          <w:p w14:paraId="67392ED7" w14:textId="77777777" w:rsidR="00151A18" w:rsidRPr="00C45008" w:rsidRDefault="00151A18" w:rsidP="0006518C">
            <w:pPr>
              <w:spacing w:after="0" w:line="240" w:lineRule="auto"/>
              <w:jc w:val="center"/>
              <w:rPr>
                <w:rFonts w:eastAsia="Times New Roman" w:cs="Arial"/>
                <w:color w:val="000000"/>
                <w:kern w:val="0"/>
                <w:sz w:val="20"/>
                <w:szCs w:val="20"/>
                <w14:ligatures w14:val="none"/>
              </w:rPr>
            </w:pPr>
            <w:r w:rsidRPr="00C45008">
              <w:rPr>
                <w:rFonts w:eastAsia="Times New Roman" w:cs="Arial"/>
                <w:color w:val="000000"/>
                <w:kern w:val="0"/>
                <w:sz w:val="20"/>
                <w:szCs w:val="20"/>
                <w14:ligatures w14:val="none"/>
              </w:rPr>
              <w:t>164</w:t>
            </w:r>
          </w:p>
        </w:tc>
        <w:tc>
          <w:tcPr>
            <w:tcW w:w="964" w:type="dxa"/>
            <w:shd w:val="clear" w:color="auto" w:fill="auto"/>
            <w:noWrap/>
            <w:vAlign w:val="center"/>
            <w:hideMark/>
          </w:tcPr>
          <w:p w14:paraId="17C6D596" w14:textId="77777777" w:rsidR="00151A18" w:rsidRPr="00C45008" w:rsidRDefault="00151A18" w:rsidP="0006518C">
            <w:pPr>
              <w:spacing w:after="0" w:line="240" w:lineRule="auto"/>
              <w:jc w:val="right"/>
              <w:rPr>
                <w:rFonts w:eastAsia="Times New Roman" w:cs="Arial"/>
                <w:color w:val="000000"/>
                <w:kern w:val="0"/>
                <w:sz w:val="20"/>
                <w:szCs w:val="20"/>
                <w14:ligatures w14:val="none"/>
              </w:rPr>
            </w:pPr>
            <w:r w:rsidRPr="00C45008">
              <w:rPr>
                <w:rFonts w:eastAsia="Times New Roman" w:cs="Arial"/>
                <w:color w:val="000000"/>
                <w:kern w:val="0"/>
                <w:sz w:val="20"/>
                <w:szCs w:val="20"/>
                <w14:ligatures w14:val="none"/>
              </w:rPr>
              <w:t>2.8266</w:t>
            </w:r>
          </w:p>
        </w:tc>
        <w:tc>
          <w:tcPr>
            <w:tcW w:w="1134" w:type="dxa"/>
            <w:shd w:val="clear" w:color="auto" w:fill="auto"/>
            <w:noWrap/>
            <w:vAlign w:val="center"/>
            <w:hideMark/>
          </w:tcPr>
          <w:p w14:paraId="41FC890C" w14:textId="77777777" w:rsidR="00151A18" w:rsidRPr="00C45008" w:rsidRDefault="00151A18" w:rsidP="0006518C">
            <w:pPr>
              <w:spacing w:after="0" w:line="240" w:lineRule="auto"/>
              <w:jc w:val="right"/>
              <w:rPr>
                <w:rFonts w:eastAsia="Times New Roman" w:cs="Arial"/>
                <w:color w:val="000000"/>
                <w:kern w:val="0"/>
                <w:sz w:val="20"/>
                <w:szCs w:val="20"/>
                <w14:ligatures w14:val="none"/>
              </w:rPr>
            </w:pPr>
            <w:r w:rsidRPr="00C45008">
              <w:rPr>
                <w:rFonts w:eastAsia="Times New Roman" w:cs="Arial"/>
                <w:color w:val="000000"/>
                <w:kern w:val="0"/>
                <w:sz w:val="20"/>
                <w:szCs w:val="20"/>
                <w14:ligatures w14:val="none"/>
              </w:rPr>
              <w:t>1.4548</w:t>
            </w:r>
          </w:p>
        </w:tc>
        <w:tc>
          <w:tcPr>
            <w:tcW w:w="1020" w:type="dxa"/>
            <w:shd w:val="clear" w:color="auto" w:fill="auto"/>
            <w:noWrap/>
            <w:vAlign w:val="center"/>
            <w:hideMark/>
          </w:tcPr>
          <w:p w14:paraId="10227BFC" w14:textId="77777777" w:rsidR="00151A18" w:rsidRPr="00C45008" w:rsidRDefault="00151A18" w:rsidP="0006518C">
            <w:pPr>
              <w:spacing w:after="0" w:line="240" w:lineRule="auto"/>
              <w:jc w:val="right"/>
              <w:rPr>
                <w:rFonts w:eastAsia="Times New Roman" w:cs="Arial"/>
                <w:color w:val="000000"/>
                <w:kern w:val="0"/>
                <w:sz w:val="20"/>
                <w:szCs w:val="20"/>
                <w14:ligatures w14:val="none"/>
              </w:rPr>
            </w:pPr>
            <w:r w:rsidRPr="00C45008">
              <w:rPr>
                <w:rFonts w:eastAsia="Times New Roman" w:cs="Arial"/>
                <w:color w:val="000000"/>
                <w:kern w:val="0"/>
                <w:sz w:val="20"/>
                <w:szCs w:val="20"/>
                <w14:ligatures w14:val="none"/>
              </w:rPr>
              <w:t>0.0880</w:t>
            </w:r>
          </w:p>
        </w:tc>
        <w:tc>
          <w:tcPr>
            <w:tcW w:w="1020" w:type="dxa"/>
            <w:shd w:val="clear" w:color="auto" w:fill="auto"/>
            <w:noWrap/>
            <w:vAlign w:val="center"/>
            <w:hideMark/>
          </w:tcPr>
          <w:p w14:paraId="15FB383C" w14:textId="77777777" w:rsidR="00151A18" w:rsidRPr="00C45008" w:rsidRDefault="00151A18" w:rsidP="0006518C">
            <w:pPr>
              <w:spacing w:after="0" w:line="240" w:lineRule="auto"/>
              <w:jc w:val="right"/>
              <w:rPr>
                <w:rFonts w:eastAsia="Times New Roman" w:cs="Arial"/>
                <w:color w:val="000000"/>
                <w:kern w:val="0"/>
                <w:sz w:val="20"/>
                <w:szCs w:val="20"/>
                <w14:ligatures w14:val="none"/>
              </w:rPr>
            </w:pPr>
            <w:r w:rsidRPr="00C45008">
              <w:rPr>
                <w:rFonts w:eastAsia="Times New Roman" w:cs="Arial"/>
                <w:color w:val="000000"/>
                <w:kern w:val="0"/>
                <w:sz w:val="20"/>
                <w:szCs w:val="20"/>
                <w14:ligatures w14:val="none"/>
              </w:rPr>
              <w:t>7.8089</w:t>
            </w:r>
          </w:p>
        </w:tc>
      </w:tr>
      <w:tr w:rsidR="00151A18" w:rsidRPr="00C45008" w14:paraId="0EB88D22" w14:textId="77777777" w:rsidTr="00331E27">
        <w:trPr>
          <w:trHeight w:val="255"/>
          <w:jc w:val="center"/>
        </w:trPr>
        <w:tc>
          <w:tcPr>
            <w:tcW w:w="3118" w:type="dxa"/>
            <w:vMerge/>
            <w:shd w:val="clear" w:color="auto" w:fill="auto"/>
            <w:noWrap/>
            <w:vAlign w:val="center"/>
          </w:tcPr>
          <w:p w14:paraId="2C685904" w14:textId="77777777" w:rsidR="00151A18" w:rsidRPr="00C45008" w:rsidRDefault="00151A18" w:rsidP="0006518C">
            <w:pPr>
              <w:spacing w:after="0" w:line="240" w:lineRule="auto"/>
              <w:rPr>
                <w:rFonts w:eastAsia="Times New Roman" w:cs="Arial"/>
                <w:color w:val="000000"/>
                <w:kern w:val="0"/>
                <w:sz w:val="20"/>
                <w:szCs w:val="20"/>
                <w14:ligatures w14:val="none"/>
              </w:rPr>
            </w:pPr>
          </w:p>
        </w:tc>
        <w:tc>
          <w:tcPr>
            <w:tcW w:w="1077" w:type="dxa"/>
            <w:shd w:val="clear" w:color="auto" w:fill="auto"/>
            <w:noWrap/>
            <w:vAlign w:val="center"/>
            <w:hideMark/>
          </w:tcPr>
          <w:p w14:paraId="3A2BCAFE" w14:textId="25F0B12B" w:rsidR="00151A18" w:rsidRPr="00C45008" w:rsidRDefault="00151A18" w:rsidP="0006518C">
            <w:pPr>
              <w:spacing w:after="0" w:line="240" w:lineRule="auto"/>
              <w:jc w:val="center"/>
              <w:rPr>
                <w:rFonts w:eastAsia="Times New Roman" w:cs="Arial"/>
                <w:color w:val="000000"/>
                <w:kern w:val="0"/>
                <w:sz w:val="20"/>
                <w:szCs w:val="20"/>
                <w14:ligatures w14:val="none"/>
              </w:rPr>
            </w:pPr>
            <w:r>
              <w:rPr>
                <w:rFonts w:eastAsia="Times New Roman" w:cs="Arial"/>
                <w:color w:val="000000"/>
                <w:kern w:val="0"/>
                <w:sz w:val="20"/>
                <w:szCs w:val="20"/>
                <w:lang w:val="en-US"/>
                <w14:ligatures w14:val="none"/>
              </w:rPr>
              <w:t>No</w:t>
            </w:r>
          </w:p>
        </w:tc>
        <w:tc>
          <w:tcPr>
            <w:tcW w:w="1134" w:type="dxa"/>
            <w:shd w:val="clear" w:color="auto" w:fill="auto"/>
            <w:noWrap/>
            <w:vAlign w:val="center"/>
            <w:hideMark/>
          </w:tcPr>
          <w:p w14:paraId="3D173243" w14:textId="77777777" w:rsidR="00151A18" w:rsidRPr="00C45008" w:rsidRDefault="00151A18" w:rsidP="0006518C">
            <w:pPr>
              <w:spacing w:after="0" w:line="240" w:lineRule="auto"/>
              <w:jc w:val="center"/>
              <w:rPr>
                <w:rFonts w:eastAsia="Times New Roman" w:cs="Arial"/>
                <w:color w:val="000000"/>
                <w:kern w:val="0"/>
                <w:sz w:val="20"/>
                <w:szCs w:val="20"/>
                <w14:ligatures w14:val="none"/>
              </w:rPr>
            </w:pPr>
            <w:r w:rsidRPr="00C45008">
              <w:rPr>
                <w:rFonts w:eastAsia="Times New Roman" w:cs="Arial"/>
                <w:color w:val="000000"/>
                <w:kern w:val="0"/>
                <w:sz w:val="20"/>
                <w:szCs w:val="20"/>
                <w14:ligatures w14:val="none"/>
              </w:rPr>
              <w:t>84</w:t>
            </w:r>
          </w:p>
        </w:tc>
        <w:tc>
          <w:tcPr>
            <w:tcW w:w="964" w:type="dxa"/>
            <w:shd w:val="clear" w:color="auto" w:fill="auto"/>
            <w:noWrap/>
            <w:vAlign w:val="center"/>
            <w:hideMark/>
          </w:tcPr>
          <w:p w14:paraId="3DF012D3" w14:textId="77777777" w:rsidR="00151A18" w:rsidRPr="00C45008" w:rsidRDefault="00151A18" w:rsidP="0006518C">
            <w:pPr>
              <w:spacing w:after="0" w:line="240" w:lineRule="auto"/>
              <w:jc w:val="right"/>
              <w:rPr>
                <w:rFonts w:eastAsia="Times New Roman" w:cs="Arial"/>
                <w:color w:val="000000"/>
                <w:kern w:val="0"/>
                <w:sz w:val="20"/>
                <w:szCs w:val="20"/>
                <w14:ligatures w14:val="none"/>
              </w:rPr>
            </w:pPr>
            <w:r w:rsidRPr="00C45008">
              <w:rPr>
                <w:rFonts w:eastAsia="Times New Roman" w:cs="Arial"/>
                <w:color w:val="000000"/>
                <w:kern w:val="0"/>
                <w:sz w:val="20"/>
                <w:szCs w:val="20"/>
                <w14:ligatures w14:val="none"/>
              </w:rPr>
              <w:t>2.7695</w:t>
            </w:r>
          </w:p>
        </w:tc>
        <w:tc>
          <w:tcPr>
            <w:tcW w:w="1134" w:type="dxa"/>
            <w:shd w:val="clear" w:color="auto" w:fill="auto"/>
            <w:noWrap/>
            <w:vAlign w:val="center"/>
            <w:hideMark/>
          </w:tcPr>
          <w:p w14:paraId="3E0F045D" w14:textId="77777777" w:rsidR="00151A18" w:rsidRPr="00C45008" w:rsidRDefault="00151A18" w:rsidP="0006518C">
            <w:pPr>
              <w:spacing w:after="0" w:line="240" w:lineRule="auto"/>
              <w:jc w:val="right"/>
              <w:rPr>
                <w:rFonts w:eastAsia="Times New Roman" w:cs="Arial"/>
                <w:color w:val="000000"/>
                <w:kern w:val="0"/>
                <w:sz w:val="20"/>
                <w:szCs w:val="20"/>
                <w14:ligatures w14:val="none"/>
              </w:rPr>
            </w:pPr>
            <w:r w:rsidRPr="00C45008">
              <w:rPr>
                <w:rFonts w:eastAsia="Times New Roman" w:cs="Arial"/>
                <w:color w:val="000000"/>
                <w:kern w:val="0"/>
                <w:sz w:val="20"/>
                <w:szCs w:val="20"/>
                <w14:ligatures w14:val="none"/>
              </w:rPr>
              <w:t>1.5725</w:t>
            </w:r>
          </w:p>
        </w:tc>
        <w:tc>
          <w:tcPr>
            <w:tcW w:w="1020" w:type="dxa"/>
            <w:shd w:val="clear" w:color="auto" w:fill="auto"/>
            <w:noWrap/>
            <w:vAlign w:val="center"/>
            <w:hideMark/>
          </w:tcPr>
          <w:p w14:paraId="61274A36" w14:textId="77777777" w:rsidR="00151A18" w:rsidRPr="00C45008" w:rsidRDefault="00151A18" w:rsidP="0006518C">
            <w:pPr>
              <w:spacing w:after="0" w:line="240" w:lineRule="auto"/>
              <w:jc w:val="right"/>
              <w:rPr>
                <w:rFonts w:eastAsia="Times New Roman" w:cs="Arial"/>
                <w:color w:val="000000"/>
                <w:kern w:val="0"/>
                <w:sz w:val="20"/>
                <w:szCs w:val="20"/>
                <w14:ligatures w14:val="none"/>
              </w:rPr>
            </w:pPr>
            <w:r w:rsidRPr="00C45008">
              <w:rPr>
                <w:rFonts w:eastAsia="Times New Roman" w:cs="Arial"/>
                <w:color w:val="000000"/>
                <w:kern w:val="0"/>
                <w:sz w:val="20"/>
                <w:szCs w:val="20"/>
                <w14:ligatures w14:val="none"/>
              </w:rPr>
              <w:t>0.0880</w:t>
            </w:r>
          </w:p>
        </w:tc>
        <w:tc>
          <w:tcPr>
            <w:tcW w:w="1020" w:type="dxa"/>
            <w:shd w:val="clear" w:color="auto" w:fill="auto"/>
            <w:noWrap/>
            <w:vAlign w:val="center"/>
            <w:hideMark/>
          </w:tcPr>
          <w:p w14:paraId="3B56DF12" w14:textId="77777777" w:rsidR="00151A18" w:rsidRPr="00C45008" w:rsidRDefault="00151A18" w:rsidP="0006518C">
            <w:pPr>
              <w:spacing w:after="0" w:line="240" w:lineRule="auto"/>
              <w:jc w:val="right"/>
              <w:rPr>
                <w:rFonts w:eastAsia="Times New Roman" w:cs="Arial"/>
                <w:color w:val="000000"/>
                <w:kern w:val="0"/>
                <w:sz w:val="20"/>
                <w:szCs w:val="20"/>
                <w14:ligatures w14:val="none"/>
              </w:rPr>
            </w:pPr>
            <w:r w:rsidRPr="00C45008">
              <w:rPr>
                <w:rFonts w:eastAsia="Times New Roman" w:cs="Arial"/>
                <w:color w:val="000000"/>
                <w:kern w:val="0"/>
                <w:sz w:val="20"/>
                <w:szCs w:val="20"/>
                <w14:ligatures w14:val="none"/>
              </w:rPr>
              <w:t>7.8089</w:t>
            </w:r>
          </w:p>
        </w:tc>
      </w:tr>
      <w:tr w:rsidR="00151A18" w:rsidRPr="00C45008" w14:paraId="25ECDAA5" w14:textId="77777777" w:rsidTr="00331E27">
        <w:trPr>
          <w:trHeight w:val="255"/>
          <w:jc w:val="center"/>
        </w:trPr>
        <w:tc>
          <w:tcPr>
            <w:tcW w:w="3118" w:type="dxa"/>
            <w:vMerge/>
            <w:shd w:val="clear" w:color="auto" w:fill="auto"/>
            <w:noWrap/>
            <w:vAlign w:val="center"/>
          </w:tcPr>
          <w:p w14:paraId="590B11CA" w14:textId="77777777" w:rsidR="00151A18" w:rsidRPr="00C45008" w:rsidRDefault="00151A18" w:rsidP="0006518C">
            <w:pPr>
              <w:spacing w:after="0" w:line="240" w:lineRule="auto"/>
              <w:rPr>
                <w:rFonts w:eastAsia="Times New Roman" w:cs="Arial"/>
                <w:color w:val="000000"/>
                <w:kern w:val="0"/>
                <w:sz w:val="20"/>
                <w:szCs w:val="20"/>
                <w14:ligatures w14:val="none"/>
              </w:rPr>
            </w:pPr>
          </w:p>
        </w:tc>
        <w:tc>
          <w:tcPr>
            <w:tcW w:w="1077" w:type="dxa"/>
            <w:shd w:val="clear" w:color="auto" w:fill="auto"/>
            <w:noWrap/>
            <w:vAlign w:val="center"/>
            <w:hideMark/>
          </w:tcPr>
          <w:p w14:paraId="18B65451" w14:textId="5613A4C4" w:rsidR="00151A18" w:rsidRPr="00C45008" w:rsidRDefault="00151A18" w:rsidP="0006518C">
            <w:pPr>
              <w:spacing w:after="0" w:line="240" w:lineRule="auto"/>
              <w:jc w:val="center"/>
              <w:rPr>
                <w:rFonts w:eastAsia="Times New Roman" w:cs="Arial"/>
                <w:color w:val="000000"/>
                <w:kern w:val="0"/>
                <w:sz w:val="20"/>
                <w:szCs w:val="20"/>
                <w14:ligatures w14:val="none"/>
              </w:rPr>
            </w:pPr>
            <w:r>
              <w:rPr>
                <w:rFonts w:eastAsia="Times New Roman" w:cs="Arial"/>
                <w:color w:val="000000"/>
                <w:kern w:val="0"/>
                <w:sz w:val="20"/>
                <w:szCs w:val="20"/>
                <w:lang w:val="en-US"/>
                <w14:ligatures w14:val="none"/>
              </w:rPr>
              <w:t>Yes</w:t>
            </w:r>
          </w:p>
        </w:tc>
        <w:tc>
          <w:tcPr>
            <w:tcW w:w="1134" w:type="dxa"/>
            <w:shd w:val="clear" w:color="auto" w:fill="auto"/>
            <w:noWrap/>
            <w:vAlign w:val="center"/>
            <w:hideMark/>
          </w:tcPr>
          <w:p w14:paraId="25CD6A6A" w14:textId="77777777" w:rsidR="00151A18" w:rsidRPr="00C45008" w:rsidRDefault="00151A18" w:rsidP="0006518C">
            <w:pPr>
              <w:spacing w:after="0" w:line="240" w:lineRule="auto"/>
              <w:jc w:val="center"/>
              <w:rPr>
                <w:rFonts w:eastAsia="Times New Roman" w:cs="Arial"/>
                <w:color w:val="000000"/>
                <w:kern w:val="0"/>
                <w:sz w:val="20"/>
                <w:szCs w:val="20"/>
                <w14:ligatures w14:val="none"/>
              </w:rPr>
            </w:pPr>
            <w:r w:rsidRPr="00C45008">
              <w:rPr>
                <w:rFonts w:eastAsia="Times New Roman" w:cs="Arial"/>
                <w:color w:val="000000"/>
                <w:kern w:val="0"/>
                <w:sz w:val="20"/>
                <w:szCs w:val="20"/>
                <w14:ligatures w14:val="none"/>
              </w:rPr>
              <w:t>80</w:t>
            </w:r>
          </w:p>
        </w:tc>
        <w:tc>
          <w:tcPr>
            <w:tcW w:w="964" w:type="dxa"/>
            <w:shd w:val="clear" w:color="auto" w:fill="auto"/>
            <w:noWrap/>
            <w:vAlign w:val="center"/>
            <w:hideMark/>
          </w:tcPr>
          <w:p w14:paraId="547826D2" w14:textId="77777777" w:rsidR="00151A18" w:rsidRPr="00C45008" w:rsidRDefault="00151A18" w:rsidP="0006518C">
            <w:pPr>
              <w:spacing w:after="0" w:line="240" w:lineRule="auto"/>
              <w:jc w:val="right"/>
              <w:rPr>
                <w:rFonts w:eastAsia="Times New Roman" w:cs="Arial"/>
                <w:color w:val="000000"/>
                <w:kern w:val="0"/>
                <w:sz w:val="20"/>
                <w:szCs w:val="20"/>
                <w14:ligatures w14:val="none"/>
              </w:rPr>
            </w:pPr>
            <w:r w:rsidRPr="00C45008">
              <w:rPr>
                <w:rFonts w:eastAsia="Times New Roman" w:cs="Arial"/>
                <w:color w:val="000000"/>
                <w:kern w:val="0"/>
                <w:sz w:val="20"/>
                <w:szCs w:val="20"/>
                <w14:ligatures w14:val="none"/>
              </w:rPr>
              <w:t>2.8864</w:t>
            </w:r>
          </w:p>
        </w:tc>
        <w:tc>
          <w:tcPr>
            <w:tcW w:w="1134" w:type="dxa"/>
            <w:shd w:val="clear" w:color="auto" w:fill="auto"/>
            <w:noWrap/>
            <w:vAlign w:val="center"/>
            <w:hideMark/>
          </w:tcPr>
          <w:p w14:paraId="2076169D" w14:textId="77777777" w:rsidR="00151A18" w:rsidRPr="00C45008" w:rsidRDefault="00151A18" w:rsidP="0006518C">
            <w:pPr>
              <w:spacing w:after="0" w:line="240" w:lineRule="auto"/>
              <w:jc w:val="right"/>
              <w:rPr>
                <w:rFonts w:eastAsia="Times New Roman" w:cs="Arial"/>
                <w:color w:val="000000"/>
                <w:kern w:val="0"/>
                <w:sz w:val="20"/>
                <w:szCs w:val="20"/>
                <w14:ligatures w14:val="none"/>
              </w:rPr>
            </w:pPr>
            <w:r w:rsidRPr="00C45008">
              <w:rPr>
                <w:rFonts w:eastAsia="Times New Roman" w:cs="Arial"/>
                <w:color w:val="000000"/>
                <w:kern w:val="0"/>
                <w:sz w:val="20"/>
                <w:szCs w:val="20"/>
                <w14:ligatures w14:val="none"/>
              </w:rPr>
              <w:t>1.3273</w:t>
            </w:r>
          </w:p>
        </w:tc>
        <w:tc>
          <w:tcPr>
            <w:tcW w:w="1020" w:type="dxa"/>
            <w:shd w:val="clear" w:color="auto" w:fill="auto"/>
            <w:noWrap/>
            <w:vAlign w:val="center"/>
            <w:hideMark/>
          </w:tcPr>
          <w:p w14:paraId="6D4E5415" w14:textId="77777777" w:rsidR="00151A18" w:rsidRPr="00C45008" w:rsidRDefault="00151A18" w:rsidP="0006518C">
            <w:pPr>
              <w:spacing w:after="0" w:line="240" w:lineRule="auto"/>
              <w:jc w:val="right"/>
              <w:rPr>
                <w:rFonts w:eastAsia="Times New Roman" w:cs="Arial"/>
                <w:color w:val="000000"/>
                <w:kern w:val="0"/>
                <w:sz w:val="20"/>
                <w:szCs w:val="20"/>
                <w14:ligatures w14:val="none"/>
              </w:rPr>
            </w:pPr>
            <w:r w:rsidRPr="00C45008">
              <w:rPr>
                <w:rFonts w:eastAsia="Times New Roman" w:cs="Arial"/>
                <w:color w:val="000000"/>
                <w:kern w:val="0"/>
                <w:sz w:val="20"/>
                <w:szCs w:val="20"/>
                <w14:ligatures w14:val="none"/>
              </w:rPr>
              <w:t>0.5023</w:t>
            </w:r>
          </w:p>
        </w:tc>
        <w:tc>
          <w:tcPr>
            <w:tcW w:w="1020" w:type="dxa"/>
            <w:shd w:val="clear" w:color="auto" w:fill="auto"/>
            <w:noWrap/>
            <w:vAlign w:val="center"/>
            <w:hideMark/>
          </w:tcPr>
          <w:p w14:paraId="70FC9BAB" w14:textId="77777777" w:rsidR="00151A18" w:rsidRPr="00C45008" w:rsidRDefault="00151A18" w:rsidP="0006518C">
            <w:pPr>
              <w:spacing w:after="0" w:line="240" w:lineRule="auto"/>
              <w:jc w:val="right"/>
              <w:rPr>
                <w:rFonts w:eastAsia="Times New Roman" w:cs="Arial"/>
                <w:color w:val="000000"/>
                <w:kern w:val="0"/>
                <w:sz w:val="20"/>
                <w:szCs w:val="20"/>
                <w14:ligatures w14:val="none"/>
              </w:rPr>
            </w:pPr>
            <w:r w:rsidRPr="00C45008">
              <w:rPr>
                <w:rFonts w:eastAsia="Times New Roman" w:cs="Arial"/>
                <w:color w:val="000000"/>
                <w:kern w:val="0"/>
                <w:sz w:val="20"/>
                <w:szCs w:val="20"/>
                <w14:ligatures w14:val="none"/>
              </w:rPr>
              <w:t>5.8510</w:t>
            </w:r>
          </w:p>
        </w:tc>
      </w:tr>
      <w:tr w:rsidR="00151A18" w:rsidRPr="00C45008" w14:paraId="79BE3C6B" w14:textId="77777777" w:rsidTr="00331E27">
        <w:trPr>
          <w:trHeight w:val="255"/>
          <w:jc w:val="center"/>
        </w:trPr>
        <w:tc>
          <w:tcPr>
            <w:tcW w:w="3118" w:type="dxa"/>
            <w:vMerge w:val="restart"/>
            <w:shd w:val="clear" w:color="auto" w:fill="auto"/>
            <w:noWrap/>
            <w:vAlign w:val="center"/>
            <w:hideMark/>
          </w:tcPr>
          <w:p w14:paraId="0A8CB899" w14:textId="6AB1CAF8" w:rsidR="00151A18" w:rsidRPr="0046564E" w:rsidRDefault="00151A18" w:rsidP="0006518C">
            <w:pPr>
              <w:spacing w:after="0" w:line="240" w:lineRule="auto"/>
              <w:rPr>
                <w:rFonts w:eastAsia="Times New Roman" w:cs="Arial"/>
                <w:color w:val="000000"/>
                <w:kern w:val="0"/>
                <w:sz w:val="20"/>
                <w:szCs w:val="20"/>
                <w:lang w:val="en-US"/>
                <w14:ligatures w14:val="none"/>
              </w:rPr>
            </w:pPr>
            <m:oMath>
              <m:r>
                <w:rPr>
                  <w:rFonts w:ascii="Cambria Math" w:eastAsia="Times New Roman" w:hAnsi="Cambria Math" w:cs="Arial"/>
                  <w:color w:val="000000"/>
                  <w:kern w:val="0"/>
                  <w:sz w:val="20"/>
                  <w:szCs w:val="20"/>
                  <w14:ligatures w14:val="none"/>
                </w:rPr>
                <m:t>covid19</m:t>
              </m:r>
            </m:oMath>
            <w:r w:rsidRPr="00C45008">
              <w:rPr>
                <w:rFonts w:eastAsia="Times New Roman" w:cs="Arial"/>
                <w:color w:val="000000"/>
                <w:kern w:val="0"/>
                <w:sz w:val="20"/>
                <w:szCs w:val="20"/>
                <w14:ligatures w14:val="none"/>
              </w:rPr>
              <w:t xml:space="preserve"> – </w:t>
            </w:r>
            <w:r w:rsidR="0046564E">
              <w:rPr>
                <w:rFonts w:eastAsia="Times New Roman" w:cs="Arial"/>
                <w:color w:val="000000"/>
                <w:kern w:val="0"/>
                <w:sz w:val="20"/>
                <w:szCs w:val="20"/>
                <w:lang w:val="en-US"/>
                <w14:ligatures w14:val="none"/>
              </w:rPr>
              <w:t>dummy variable equal to 1 for pandemic years (2020 and 2021), 0 otherwise</w:t>
            </w:r>
          </w:p>
        </w:tc>
        <w:tc>
          <w:tcPr>
            <w:tcW w:w="1077" w:type="dxa"/>
            <w:shd w:val="clear" w:color="auto" w:fill="auto"/>
            <w:noWrap/>
            <w:vAlign w:val="center"/>
            <w:hideMark/>
          </w:tcPr>
          <w:p w14:paraId="53927217" w14:textId="3388408F" w:rsidR="00151A18" w:rsidRPr="00C45008" w:rsidRDefault="00151A18" w:rsidP="0006518C">
            <w:pPr>
              <w:spacing w:after="0" w:line="240" w:lineRule="auto"/>
              <w:jc w:val="center"/>
              <w:rPr>
                <w:rFonts w:eastAsia="Times New Roman" w:cs="Arial"/>
                <w:color w:val="000000"/>
                <w:kern w:val="0"/>
                <w:sz w:val="20"/>
                <w:szCs w:val="20"/>
                <w14:ligatures w14:val="none"/>
              </w:rPr>
            </w:pPr>
            <w:r>
              <w:rPr>
                <w:rFonts w:eastAsia="Times New Roman" w:cs="Arial"/>
                <w:color w:val="000000"/>
                <w:kern w:val="0"/>
                <w:sz w:val="20"/>
                <w:szCs w:val="20"/>
                <w:lang w:val="en-US"/>
                <w14:ligatures w14:val="none"/>
              </w:rPr>
              <w:t>All</w:t>
            </w:r>
          </w:p>
        </w:tc>
        <w:tc>
          <w:tcPr>
            <w:tcW w:w="1134" w:type="dxa"/>
            <w:shd w:val="clear" w:color="auto" w:fill="auto"/>
            <w:noWrap/>
            <w:vAlign w:val="center"/>
            <w:hideMark/>
          </w:tcPr>
          <w:p w14:paraId="342FB226" w14:textId="77777777" w:rsidR="00151A18" w:rsidRPr="00C45008" w:rsidRDefault="00151A18" w:rsidP="0006518C">
            <w:pPr>
              <w:spacing w:after="0" w:line="240" w:lineRule="auto"/>
              <w:jc w:val="center"/>
              <w:rPr>
                <w:rFonts w:eastAsia="Times New Roman" w:cs="Arial"/>
                <w:color w:val="000000"/>
                <w:kern w:val="0"/>
                <w:sz w:val="20"/>
                <w:szCs w:val="20"/>
                <w14:ligatures w14:val="none"/>
              </w:rPr>
            </w:pPr>
            <w:r w:rsidRPr="00C45008">
              <w:rPr>
                <w:rFonts w:eastAsia="Times New Roman" w:cs="Arial"/>
                <w:color w:val="000000"/>
                <w:kern w:val="0"/>
                <w:sz w:val="20"/>
                <w:szCs w:val="20"/>
                <w14:ligatures w14:val="none"/>
              </w:rPr>
              <w:t>180</w:t>
            </w:r>
          </w:p>
        </w:tc>
        <w:tc>
          <w:tcPr>
            <w:tcW w:w="964" w:type="dxa"/>
            <w:shd w:val="clear" w:color="auto" w:fill="auto"/>
            <w:noWrap/>
            <w:vAlign w:val="center"/>
            <w:hideMark/>
          </w:tcPr>
          <w:p w14:paraId="24D234D2" w14:textId="77777777" w:rsidR="00151A18" w:rsidRPr="00C45008" w:rsidRDefault="00151A18" w:rsidP="0006518C">
            <w:pPr>
              <w:spacing w:after="0" w:line="240" w:lineRule="auto"/>
              <w:jc w:val="right"/>
              <w:rPr>
                <w:rFonts w:eastAsia="Times New Roman" w:cs="Arial"/>
                <w:color w:val="000000"/>
                <w:kern w:val="0"/>
                <w:sz w:val="20"/>
                <w:szCs w:val="20"/>
                <w14:ligatures w14:val="none"/>
              </w:rPr>
            </w:pPr>
            <w:r w:rsidRPr="00C45008">
              <w:rPr>
                <w:rFonts w:eastAsia="Times New Roman" w:cs="Arial"/>
                <w:color w:val="000000"/>
                <w:kern w:val="0"/>
                <w:sz w:val="20"/>
                <w:szCs w:val="20"/>
                <w14:ligatures w14:val="none"/>
              </w:rPr>
              <w:t>0.1778</w:t>
            </w:r>
          </w:p>
        </w:tc>
        <w:tc>
          <w:tcPr>
            <w:tcW w:w="1134" w:type="dxa"/>
            <w:shd w:val="clear" w:color="auto" w:fill="auto"/>
            <w:noWrap/>
            <w:vAlign w:val="center"/>
            <w:hideMark/>
          </w:tcPr>
          <w:p w14:paraId="2F412E0A" w14:textId="77777777" w:rsidR="00151A18" w:rsidRPr="00C45008" w:rsidRDefault="00151A18" w:rsidP="0006518C">
            <w:pPr>
              <w:spacing w:after="0" w:line="240" w:lineRule="auto"/>
              <w:jc w:val="right"/>
              <w:rPr>
                <w:rFonts w:eastAsia="Times New Roman" w:cs="Arial"/>
                <w:color w:val="000000"/>
                <w:kern w:val="0"/>
                <w:sz w:val="20"/>
                <w:szCs w:val="20"/>
                <w14:ligatures w14:val="none"/>
              </w:rPr>
            </w:pPr>
            <w:r w:rsidRPr="00C45008">
              <w:rPr>
                <w:rFonts w:eastAsia="Times New Roman" w:cs="Arial"/>
                <w:color w:val="000000"/>
                <w:kern w:val="0"/>
                <w:sz w:val="20"/>
                <w:szCs w:val="20"/>
                <w14:ligatures w14:val="none"/>
              </w:rPr>
              <w:t>0.3834</w:t>
            </w:r>
          </w:p>
        </w:tc>
        <w:tc>
          <w:tcPr>
            <w:tcW w:w="1020" w:type="dxa"/>
            <w:shd w:val="clear" w:color="auto" w:fill="auto"/>
            <w:noWrap/>
            <w:vAlign w:val="center"/>
            <w:hideMark/>
          </w:tcPr>
          <w:p w14:paraId="728FEFA0" w14:textId="77777777" w:rsidR="00151A18" w:rsidRPr="00C45008" w:rsidRDefault="00151A18" w:rsidP="0006518C">
            <w:pPr>
              <w:spacing w:after="0" w:line="240" w:lineRule="auto"/>
              <w:jc w:val="right"/>
              <w:rPr>
                <w:rFonts w:eastAsia="Times New Roman" w:cs="Arial"/>
                <w:color w:val="000000"/>
                <w:kern w:val="0"/>
                <w:sz w:val="20"/>
                <w:szCs w:val="20"/>
                <w14:ligatures w14:val="none"/>
              </w:rPr>
            </w:pPr>
            <w:r w:rsidRPr="00C45008">
              <w:rPr>
                <w:rFonts w:eastAsia="Times New Roman" w:cs="Arial"/>
                <w:color w:val="000000"/>
                <w:kern w:val="0"/>
                <w:sz w:val="20"/>
                <w:szCs w:val="20"/>
                <w14:ligatures w14:val="none"/>
              </w:rPr>
              <w:t>0.0000</w:t>
            </w:r>
          </w:p>
        </w:tc>
        <w:tc>
          <w:tcPr>
            <w:tcW w:w="1020" w:type="dxa"/>
            <w:shd w:val="clear" w:color="auto" w:fill="auto"/>
            <w:noWrap/>
            <w:vAlign w:val="center"/>
            <w:hideMark/>
          </w:tcPr>
          <w:p w14:paraId="16E8BD98" w14:textId="77777777" w:rsidR="00151A18" w:rsidRPr="00C45008" w:rsidRDefault="00151A18" w:rsidP="0006518C">
            <w:pPr>
              <w:spacing w:after="0" w:line="240" w:lineRule="auto"/>
              <w:jc w:val="right"/>
              <w:rPr>
                <w:rFonts w:eastAsia="Times New Roman" w:cs="Arial"/>
                <w:color w:val="000000"/>
                <w:kern w:val="0"/>
                <w:sz w:val="20"/>
                <w:szCs w:val="20"/>
                <w14:ligatures w14:val="none"/>
              </w:rPr>
            </w:pPr>
            <w:r w:rsidRPr="00C45008">
              <w:rPr>
                <w:rFonts w:eastAsia="Times New Roman" w:cs="Arial"/>
                <w:color w:val="000000"/>
                <w:kern w:val="0"/>
                <w:sz w:val="20"/>
                <w:szCs w:val="20"/>
                <w14:ligatures w14:val="none"/>
              </w:rPr>
              <w:t>1.0000</w:t>
            </w:r>
          </w:p>
        </w:tc>
      </w:tr>
      <w:tr w:rsidR="00151A18" w:rsidRPr="00C45008" w14:paraId="4B628086" w14:textId="77777777" w:rsidTr="00331E27">
        <w:trPr>
          <w:trHeight w:val="255"/>
          <w:jc w:val="center"/>
        </w:trPr>
        <w:tc>
          <w:tcPr>
            <w:tcW w:w="3118" w:type="dxa"/>
            <w:vMerge/>
            <w:shd w:val="clear" w:color="auto" w:fill="auto"/>
            <w:noWrap/>
            <w:vAlign w:val="center"/>
          </w:tcPr>
          <w:p w14:paraId="1220CAA9" w14:textId="77777777" w:rsidR="00151A18" w:rsidRPr="00C45008" w:rsidRDefault="00151A18" w:rsidP="0006518C">
            <w:pPr>
              <w:spacing w:after="0" w:line="240" w:lineRule="auto"/>
              <w:rPr>
                <w:rFonts w:eastAsia="Times New Roman" w:cs="Arial"/>
                <w:color w:val="000000"/>
                <w:kern w:val="0"/>
                <w:sz w:val="20"/>
                <w:szCs w:val="20"/>
                <w14:ligatures w14:val="none"/>
              </w:rPr>
            </w:pPr>
          </w:p>
        </w:tc>
        <w:tc>
          <w:tcPr>
            <w:tcW w:w="1077" w:type="dxa"/>
            <w:shd w:val="clear" w:color="auto" w:fill="auto"/>
            <w:noWrap/>
            <w:vAlign w:val="center"/>
            <w:hideMark/>
          </w:tcPr>
          <w:p w14:paraId="0F0B7D8E" w14:textId="5A8B603E" w:rsidR="00151A18" w:rsidRPr="00C45008" w:rsidRDefault="00151A18" w:rsidP="0006518C">
            <w:pPr>
              <w:spacing w:after="0" w:line="240" w:lineRule="auto"/>
              <w:jc w:val="center"/>
              <w:rPr>
                <w:rFonts w:eastAsia="Times New Roman" w:cs="Arial"/>
                <w:color w:val="000000"/>
                <w:kern w:val="0"/>
                <w:sz w:val="20"/>
                <w:szCs w:val="20"/>
                <w14:ligatures w14:val="none"/>
              </w:rPr>
            </w:pPr>
            <w:r>
              <w:rPr>
                <w:rFonts w:eastAsia="Times New Roman" w:cs="Arial"/>
                <w:color w:val="000000"/>
                <w:kern w:val="0"/>
                <w:sz w:val="20"/>
                <w:szCs w:val="20"/>
                <w:lang w:val="en-US"/>
                <w14:ligatures w14:val="none"/>
              </w:rPr>
              <w:t>No</w:t>
            </w:r>
          </w:p>
        </w:tc>
        <w:tc>
          <w:tcPr>
            <w:tcW w:w="1134" w:type="dxa"/>
            <w:shd w:val="clear" w:color="auto" w:fill="auto"/>
            <w:noWrap/>
            <w:vAlign w:val="center"/>
            <w:hideMark/>
          </w:tcPr>
          <w:p w14:paraId="46DC60FD" w14:textId="77777777" w:rsidR="00151A18" w:rsidRPr="00C45008" w:rsidRDefault="00151A18" w:rsidP="0006518C">
            <w:pPr>
              <w:spacing w:after="0" w:line="240" w:lineRule="auto"/>
              <w:jc w:val="center"/>
              <w:rPr>
                <w:rFonts w:eastAsia="Times New Roman" w:cs="Arial"/>
                <w:color w:val="000000"/>
                <w:kern w:val="0"/>
                <w:sz w:val="20"/>
                <w:szCs w:val="20"/>
                <w14:ligatures w14:val="none"/>
              </w:rPr>
            </w:pPr>
            <w:r w:rsidRPr="00C45008">
              <w:rPr>
                <w:rFonts w:eastAsia="Times New Roman" w:cs="Arial"/>
                <w:color w:val="000000"/>
                <w:kern w:val="0"/>
                <w:sz w:val="20"/>
                <w:szCs w:val="20"/>
                <w14:ligatures w14:val="none"/>
              </w:rPr>
              <w:t>92</w:t>
            </w:r>
          </w:p>
        </w:tc>
        <w:tc>
          <w:tcPr>
            <w:tcW w:w="964" w:type="dxa"/>
            <w:shd w:val="clear" w:color="auto" w:fill="auto"/>
            <w:noWrap/>
            <w:vAlign w:val="center"/>
            <w:hideMark/>
          </w:tcPr>
          <w:p w14:paraId="0F81B0CA" w14:textId="77777777" w:rsidR="00151A18" w:rsidRPr="00C45008" w:rsidRDefault="00151A18" w:rsidP="0006518C">
            <w:pPr>
              <w:spacing w:after="0" w:line="240" w:lineRule="auto"/>
              <w:jc w:val="right"/>
              <w:rPr>
                <w:rFonts w:eastAsia="Times New Roman" w:cs="Arial"/>
                <w:color w:val="000000"/>
                <w:kern w:val="0"/>
                <w:sz w:val="20"/>
                <w:szCs w:val="20"/>
                <w14:ligatures w14:val="none"/>
              </w:rPr>
            </w:pPr>
            <w:r w:rsidRPr="00C45008">
              <w:rPr>
                <w:rFonts w:eastAsia="Times New Roman" w:cs="Arial"/>
                <w:color w:val="000000"/>
                <w:kern w:val="0"/>
                <w:sz w:val="20"/>
                <w:szCs w:val="20"/>
                <w14:ligatures w14:val="none"/>
              </w:rPr>
              <w:t>0.1739</w:t>
            </w:r>
          </w:p>
        </w:tc>
        <w:tc>
          <w:tcPr>
            <w:tcW w:w="1134" w:type="dxa"/>
            <w:shd w:val="clear" w:color="auto" w:fill="auto"/>
            <w:noWrap/>
            <w:vAlign w:val="center"/>
            <w:hideMark/>
          </w:tcPr>
          <w:p w14:paraId="7D67F7EA" w14:textId="77777777" w:rsidR="00151A18" w:rsidRPr="00C45008" w:rsidRDefault="00151A18" w:rsidP="0006518C">
            <w:pPr>
              <w:spacing w:after="0" w:line="240" w:lineRule="auto"/>
              <w:jc w:val="right"/>
              <w:rPr>
                <w:rFonts w:eastAsia="Times New Roman" w:cs="Arial"/>
                <w:color w:val="000000"/>
                <w:kern w:val="0"/>
                <w:sz w:val="20"/>
                <w:szCs w:val="20"/>
                <w14:ligatures w14:val="none"/>
              </w:rPr>
            </w:pPr>
            <w:r w:rsidRPr="00C45008">
              <w:rPr>
                <w:rFonts w:eastAsia="Times New Roman" w:cs="Arial"/>
                <w:color w:val="000000"/>
                <w:kern w:val="0"/>
                <w:sz w:val="20"/>
                <w:szCs w:val="20"/>
                <w14:ligatures w14:val="none"/>
              </w:rPr>
              <w:t>0.3811</w:t>
            </w:r>
          </w:p>
        </w:tc>
        <w:tc>
          <w:tcPr>
            <w:tcW w:w="1020" w:type="dxa"/>
            <w:shd w:val="clear" w:color="auto" w:fill="auto"/>
            <w:noWrap/>
            <w:vAlign w:val="center"/>
            <w:hideMark/>
          </w:tcPr>
          <w:p w14:paraId="189ED79A" w14:textId="77777777" w:rsidR="00151A18" w:rsidRPr="00C45008" w:rsidRDefault="00151A18" w:rsidP="0006518C">
            <w:pPr>
              <w:spacing w:after="0" w:line="240" w:lineRule="auto"/>
              <w:jc w:val="right"/>
              <w:rPr>
                <w:rFonts w:eastAsia="Times New Roman" w:cs="Arial"/>
                <w:color w:val="000000"/>
                <w:kern w:val="0"/>
                <w:sz w:val="20"/>
                <w:szCs w:val="20"/>
                <w14:ligatures w14:val="none"/>
              </w:rPr>
            </w:pPr>
            <w:r w:rsidRPr="00C45008">
              <w:rPr>
                <w:rFonts w:eastAsia="Times New Roman" w:cs="Arial"/>
                <w:color w:val="000000"/>
                <w:kern w:val="0"/>
                <w:sz w:val="20"/>
                <w:szCs w:val="20"/>
                <w14:ligatures w14:val="none"/>
              </w:rPr>
              <w:t>0.0000</w:t>
            </w:r>
          </w:p>
        </w:tc>
        <w:tc>
          <w:tcPr>
            <w:tcW w:w="1020" w:type="dxa"/>
            <w:shd w:val="clear" w:color="auto" w:fill="auto"/>
            <w:noWrap/>
            <w:vAlign w:val="center"/>
            <w:hideMark/>
          </w:tcPr>
          <w:p w14:paraId="20C1F1B5" w14:textId="77777777" w:rsidR="00151A18" w:rsidRPr="00C45008" w:rsidRDefault="00151A18" w:rsidP="0006518C">
            <w:pPr>
              <w:spacing w:after="0" w:line="240" w:lineRule="auto"/>
              <w:jc w:val="right"/>
              <w:rPr>
                <w:rFonts w:eastAsia="Times New Roman" w:cs="Arial"/>
                <w:color w:val="000000"/>
                <w:kern w:val="0"/>
                <w:sz w:val="20"/>
                <w:szCs w:val="20"/>
                <w14:ligatures w14:val="none"/>
              </w:rPr>
            </w:pPr>
            <w:r w:rsidRPr="00C45008">
              <w:rPr>
                <w:rFonts w:eastAsia="Times New Roman" w:cs="Arial"/>
                <w:color w:val="000000"/>
                <w:kern w:val="0"/>
                <w:sz w:val="20"/>
                <w:szCs w:val="20"/>
                <w14:ligatures w14:val="none"/>
              </w:rPr>
              <w:t>1.0000</w:t>
            </w:r>
          </w:p>
        </w:tc>
      </w:tr>
      <w:tr w:rsidR="00151A18" w:rsidRPr="00C45008" w14:paraId="7604F464" w14:textId="77777777" w:rsidTr="00331E27">
        <w:trPr>
          <w:trHeight w:val="255"/>
          <w:jc w:val="center"/>
        </w:trPr>
        <w:tc>
          <w:tcPr>
            <w:tcW w:w="3118" w:type="dxa"/>
            <w:vMerge/>
            <w:shd w:val="clear" w:color="auto" w:fill="auto"/>
            <w:noWrap/>
            <w:vAlign w:val="center"/>
          </w:tcPr>
          <w:p w14:paraId="1CE9715E" w14:textId="77777777" w:rsidR="00151A18" w:rsidRPr="00C45008" w:rsidRDefault="00151A18" w:rsidP="0006518C">
            <w:pPr>
              <w:spacing w:after="0" w:line="240" w:lineRule="auto"/>
              <w:rPr>
                <w:rFonts w:eastAsia="Times New Roman" w:cs="Arial"/>
                <w:color w:val="000000"/>
                <w:kern w:val="0"/>
                <w:sz w:val="20"/>
                <w:szCs w:val="20"/>
                <w14:ligatures w14:val="none"/>
              </w:rPr>
            </w:pPr>
          </w:p>
        </w:tc>
        <w:tc>
          <w:tcPr>
            <w:tcW w:w="1077" w:type="dxa"/>
            <w:shd w:val="clear" w:color="auto" w:fill="auto"/>
            <w:noWrap/>
            <w:vAlign w:val="center"/>
            <w:hideMark/>
          </w:tcPr>
          <w:p w14:paraId="42AEF113" w14:textId="5B951562" w:rsidR="00151A18" w:rsidRPr="00C45008" w:rsidRDefault="00151A18" w:rsidP="0006518C">
            <w:pPr>
              <w:spacing w:after="0" w:line="240" w:lineRule="auto"/>
              <w:jc w:val="center"/>
              <w:rPr>
                <w:rFonts w:eastAsia="Times New Roman" w:cs="Arial"/>
                <w:color w:val="000000"/>
                <w:kern w:val="0"/>
                <w:sz w:val="20"/>
                <w:szCs w:val="20"/>
                <w14:ligatures w14:val="none"/>
              </w:rPr>
            </w:pPr>
            <w:r>
              <w:rPr>
                <w:rFonts w:eastAsia="Times New Roman" w:cs="Arial"/>
                <w:color w:val="000000"/>
                <w:kern w:val="0"/>
                <w:sz w:val="20"/>
                <w:szCs w:val="20"/>
                <w:lang w:val="en-US"/>
                <w14:ligatures w14:val="none"/>
              </w:rPr>
              <w:t>Yes</w:t>
            </w:r>
          </w:p>
        </w:tc>
        <w:tc>
          <w:tcPr>
            <w:tcW w:w="1134" w:type="dxa"/>
            <w:shd w:val="clear" w:color="auto" w:fill="auto"/>
            <w:noWrap/>
            <w:vAlign w:val="center"/>
            <w:hideMark/>
          </w:tcPr>
          <w:p w14:paraId="4C633C25" w14:textId="77777777" w:rsidR="00151A18" w:rsidRPr="00C45008" w:rsidRDefault="00151A18" w:rsidP="0006518C">
            <w:pPr>
              <w:spacing w:after="0" w:line="240" w:lineRule="auto"/>
              <w:jc w:val="center"/>
              <w:rPr>
                <w:rFonts w:eastAsia="Times New Roman" w:cs="Arial"/>
                <w:color w:val="000000"/>
                <w:kern w:val="0"/>
                <w:sz w:val="20"/>
                <w:szCs w:val="20"/>
                <w14:ligatures w14:val="none"/>
              </w:rPr>
            </w:pPr>
            <w:r w:rsidRPr="00C45008">
              <w:rPr>
                <w:rFonts w:eastAsia="Times New Roman" w:cs="Arial"/>
                <w:color w:val="000000"/>
                <w:kern w:val="0"/>
                <w:sz w:val="20"/>
                <w:szCs w:val="20"/>
                <w14:ligatures w14:val="none"/>
              </w:rPr>
              <w:t>88</w:t>
            </w:r>
          </w:p>
        </w:tc>
        <w:tc>
          <w:tcPr>
            <w:tcW w:w="964" w:type="dxa"/>
            <w:shd w:val="clear" w:color="auto" w:fill="auto"/>
            <w:noWrap/>
            <w:vAlign w:val="center"/>
            <w:hideMark/>
          </w:tcPr>
          <w:p w14:paraId="160733E8" w14:textId="77777777" w:rsidR="00151A18" w:rsidRPr="00C45008" w:rsidRDefault="00151A18" w:rsidP="0006518C">
            <w:pPr>
              <w:spacing w:after="0" w:line="240" w:lineRule="auto"/>
              <w:jc w:val="right"/>
              <w:rPr>
                <w:rFonts w:eastAsia="Times New Roman" w:cs="Arial"/>
                <w:color w:val="000000"/>
                <w:kern w:val="0"/>
                <w:sz w:val="20"/>
                <w:szCs w:val="20"/>
                <w14:ligatures w14:val="none"/>
              </w:rPr>
            </w:pPr>
            <w:r w:rsidRPr="00C45008">
              <w:rPr>
                <w:rFonts w:eastAsia="Times New Roman" w:cs="Arial"/>
                <w:color w:val="000000"/>
                <w:kern w:val="0"/>
                <w:sz w:val="20"/>
                <w:szCs w:val="20"/>
                <w14:ligatures w14:val="none"/>
              </w:rPr>
              <w:t>0.1818</w:t>
            </w:r>
          </w:p>
        </w:tc>
        <w:tc>
          <w:tcPr>
            <w:tcW w:w="1134" w:type="dxa"/>
            <w:shd w:val="clear" w:color="auto" w:fill="auto"/>
            <w:noWrap/>
            <w:vAlign w:val="center"/>
            <w:hideMark/>
          </w:tcPr>
          <w:p w14:paraId="2D5F044E" w14:textId="77777777" w:rsidR="00151A18" w:rsidRPr="00C45008" w:rsidRDefault="00151A18" w:rsidP="0006518C">
            <w:pPr>
              <w:spacing w:after="0" w:line="240" w:lineRule="auto"/>
              <w:jc w:val="right"/>
              <w:rPr>
                <w:rFonts w:eastAsia="Times New Roman" w:cs="Arial"/>
                <w:color w:val="000000"/>
                <w:kern w:val="0"/>
                <w:sz w:val="20"/>
                <w:szCs w:val="20"/>
                <w14:ligatures w14:val="none"/>
              </w:rPr>
            </w:pPr>
            <w:r w:rsidRPr="00C45008">
              <w:rPr>
                <w:rFonts w:eastAsia="Times New Roman" w:cs="Arial"/>
                <w:color w:val="000000"/>
                <w:kern w:val="0"/>
                <w:sz w:val="20"/>
                <w:szCs w:val="20"/>
                <w14:ligatures w14:val="none"/>
              </w:rPr>
              <w:t>0.3879</w:t>
            </w:r>
          </w:p>
        </w:tc>
        <w:tc>
          <w:tcPr>
            <w:tcW w:w="1020" w:type="dxa"/>
            <w:shd w:val="clear" w:color="auto" w:fill="auto"/>
            <w:noWrap/>
            <w:vAlign w:val="center"/>
            <w:hideMark/>
          </w:tcPr>
          <w:p w14:paraId="3134E094" w14:textId="77777777" w:rsidR="00151A18" w:rsidRPr="00C45008" w:rsidRDefault="00151A18" w:rsidP="0006518C">
            <w:pPr>
              <w:spacing w:after="0" w:line="240" w:lineRule="auto"/>
              <w:jc w:val="right"/>
              <w:rPr>
                <w:rFonts w:eastAsia="Times New Roman" w:cs="Arial"/>
                <w:color w:val="000000"/>
                <w:kern w:val="0"/>
                <w:sz w:val="20"/>
                <w:szCs w:val="20"/>
                <w14:ligatures w14:val="none"/>
              </w:rPr>
            </w:pPr>
            <w:r w:rsidRPr="00C45008">
              <w:rPr>
                <w:rFonts w:eastAsia="Times New Roman" w:cs="Arial"/>
                <w:color w:val="000000"/>
                <w:kern w:val="0"/>
                <w:sz w:val="20"/>
                <w:szCs w:val="20"/>
                <w14:ligatures w14:val="none"/>
              </w:rPr>
              <w:t>0.0000</w:t>
            </w:r>
          </w:p>
        </w:tc>
        <w:tc>
          <w:tcPr>
            <w:tcW w:w="1020" w:type="dxa"/>
            <w:shd w:val="clear" w:color="auto" w:fill="auto"/>
            <w:noWrap/>
            <w:vAlign w:val="center"/>
            <w:hideMark/>
          </w:tcPr>
          <w:p w14:paraId="5498691A" w14:textId="77777777" w:rsidR="00151A18" w:rsidRPr="00C45008" w:rsidRDefault="00151A18" w:rsidP="0006518C">
            <w:pPr>
              <w:spacing w:after="0" w:line="240" w:lineRule="auto"/>
              <w:jc w:val="right"/>
              <w:rPr>
                <w:rFonts w:eastAsia="Times New Roman" w:cs="Arial"/>
                <w:color w:val="000000"/>
                <w:kern w:val="0"/>
                <w:sz w:val="20"/>
                <w:szCs w:val="20"/>
                <w14:ligatures w14:val="none"/>
              </w:rPr>
            </w:pPr>
            <w:r w:rsidRPr="00C45008">
              <w:rPr>
                <w:rFonts w:eastAsia="Times New Roman" w:cs="Arial"/>
                <w:color w:val="000000"/>
                <w:kern w:val="0"/>
                <w:sz w:val="20"/>
                <w:szCs w:val="20"/>
                <w14:ligatures w14:val="none"/>
              </w:rPr>
              <w:t>1.0000</w:t>
            </w:r>
          </w:p>
        </w:tc>
      </w:tr>
    </w:tbl>
    <w:p w14:paraId="32628F16" w14:textId="28FEECC2" w:rsidR="00C3345B" w:rsidRPr="00150D31" w:rsidRDefault="0046564E" w:rsidP="0006518C">
      <w:pPr>
        <w:spacing w:before="120" w:after="120" w:line="240" w:lineRule="auto"/>
        <w:jc w:val="both"/>
        <w:rPr>
          <w:rFonts w:cs="Arial"/>
          <w:szCs w:val="22"/>
          <w:lang w:val="en-US"/>
        </w:rPr>
        <w:sectPr w:rsidR="00C3345B" w:rsidRPr="00150D31" w:rsidSect="000050E7">
          <w:pgSz w:w="11907" w:h="16840" w:code="9"/>
          <w:pgMar w:top="1134" w:right="1134" w:bottom="1134" w:left="1418" w:header="720" w:footer="720" w:gutter="0"/>
          <w:cols w:space="720"/>
          <w:docGrid w:linePitch="360"/>
        </w:sectPr>
      </w:pPr>
      <w:r w:rsidRPr="0046564E">
        <w:rPr>
          <w:rFonts w:cs="Arial"/>
          <w:szCs w:val="22"/>
          <w:lang w:val="en-US"/>
        </w:rPr>
        <w:t>Among treated firms, 65.9% of observations fall in post</w:t>
      </w:r>
      <w:r w:rsidRPr="0046564E">
        <w:rPr>
          <w:rFonts w:ascii="Cambria Math" w:hAnsi="Cambria Math" w:cs="Cambria Math"/>
          <w:szCs w:val="22"/>
          <w:lang w:val="en-US"/>
        </w:rPr>
        <w:t>‑</w:t>
      </w:r>
      <w:r w:rsidRPr="0046564E">
        <w:rPr>
          <w:rFonts w:cs="Arial"/>
          <w:szCs w:val="22"/>
          <w:lang w:val="en-US"/>
        </w:rPr>
        <w:t>adoption years, compared with 63.0% for controls</w:t>
      </w:r>
      <w:r>
        <w:rPr>
          <w:rFonts w:cs="Arial"/>
          <w:szCs w:val="22"/>
          <w:lang w:val="en-US"/>
        </w:rPr>
        <w:t xml:space="preserve">. </w:t>
      </w:r>
      <w:r w:rsidRPr="0046564E">
        <w:rPr>
          <w:rFonts w:cs="Arial"/>
          <w:szCs w:val="22"/>
          <w:lang w:val="en-US"/>
        </w:rPr>
        <w:t xml:space="preserve">Treated firms tend to be larger (higher </w:t>
      </w:r>
      <m:oMath>
        <m:r>
          <w:rPr>
            <w:rFonts w:ascii="Cambria Math" w:hAnsi="Cambria Math" w:cs="Arial"/>
            <w:szCs w:val="22"/>
            <w:lang w:val="en-US"/>
          </w:rPr>
          <m:t>size</m:t>
        </m:r>
      </m:oMath>
      <w:r w:rsidRPr="0046564E">
        <w:rPr>
          <w:rFonts w:cs="Arial"/>
          <w:szCs w:val="22"/>
          <w:lang w:val="en-US"/>
        </w:rPr>
        <w:t xml:space="preserve">), more highly leveraged (higher </w:t>
      </w:r>
      <m:oMath>
        <m:r>
          <w:rPr>
            <w:rFonts w:ascii="Cambria Math" w:hAnsi="Cambria Math" w:cs="Arial"/>
            <w:szCs w:val="22"/>
            <w:lang w:val="en-US"/>
          </w:rPr>
          <m:t>lev</m:t>
        </m:r>
      </m:oMath>
      <w:r w:rsidRPr="0046564E">
        <w:rPr>
          <w:rFonts w:cs="Arial"/>
          <w:szCs w:val="22"/>
          <w:lang w:val="en-US"/>
        </w:rPr>
        <w:t xml:space="preserve">), generate more operating cash flow (higher </w:t>
      </w:r>
      <m:oMath>
        <m:r>
          <w:rPr>
            <w:rFonts w:ascii="Cambria Math" w:hAnsi="Cambria Math" w:cs="Arial"/>
            <w:szCs w:val="22"/>
            <w:lang w:val="en-US"/>
          </w:rPr>
          <m:t>ocfta</m:t>
        </m:r>
      </m:oMath>
      <w:r w:rsidRPr="0046564E">
        <w:rPr>
          <w:rFonts w:cs="Arial"/>
          <w:szCs w:val="22"/>
          <w:lang w:val="en-US"/>
        </w:rPr>
        <w:t xml:space="preserve">), exhibit stronger sales growth (higher </w:t>
      </w:r>
      <m:oMath>
        <m:r>
          <w:rPr>
            <w:rFonts w:ascii="Cambria Math" w:hAnsi="Cambria Math" w:cs="Arial"/>
            <w:szCs w:val="22"/>
            <w:lang w:val="en-US"/>
          </w:rPr>
          <m:t>growth</m:t>
        </m:r>
      </m:oMath>
      <w:r w:rsidRPr="0046564E">
        <w:rPr>
          <w:rFonts w:cs="Arial"/>
          <w:szCs w:val="22"/>
          <w:lang w:val="en-US"/>
        </w:rPr>
        <w:t xml:space="preserve">), and enjoy faster receivables turnover (higher </w:t>
      </w:r>
      <m:oMath>
        <m:r>
          <w:rPr>
            <w:rFonts w:ascii="Cambria Math" w:hAnsi="Cambria Math" w:cs="Arial"/>
            <w:szCs w:val="22"/>
            <w:lang w:val="en-US"/>
          </w:rPr>
          <m:t>lntr</m:t>
        </m:r>
      </m:oMath>
      <w:r w:rsidRPr="0046564E">
        <w:rPr>
          <w:rFonts w:cs="Arial"/>
          <w:szCs w:val="22"/>
          <w:lang w:val="en-US"/>
        </w:rPr>
        <w:t xml:space="preserve">), but invest proportionally less in PP&amp;E (lower </w:t>
      </w:r>
      <m:oMath>
        <m:r>
          <w:rPr>
            <w:rFonts w:ascii="Cambria Math" w:hAnsi="Cambria Math" w:cs="Arial"/>
            <w:szCs w:val="22"/>
            <w:lang w:val="en-US"/>
          </w:rPr>
          <m:t>ppeta</m:t>
        </m:r>
      </m:oMath>
      <w:r w:rsidRPr="0046564E">
        <w:rPr>
          <w:rFonts w:cs="Arial"/>
          <w:szCs w:val="22"/>
          <w:lang w:val="en-US"/>
        </w:rPr>
        <w:t>).</w:t>
      </w:r>
    </w:p>
    <w:p w14:paraId="20F1CFC5" w14:textId="77777777" w:rsidR="00D779EB" w:rsidRPr="00B128BC" w:rsidRDefault="00D779EB" w:rsidP="0006518C">
      <w:pPr>
        <w:spacing w:after="120" w:line="240" w:lineRule="auto"/>
        <w:jc w:val="center"/>
        <w:rPr>
          <w:rFonts w:cs="Arial"/>
          <w:b/>
          <w:bCs/>
          <w:szCs w:val="22"/>
        </w:rPr>
      </w:pPr>
      <w:r w:rsidRPr="00B128BC">
        <w:rPr>
          <w:rFonts w:cs="Arial"/>
          <w:b/>
          <w:bCs/>
          <w:szCs w:val="22"/>
        </w:rPr>
        <w:lastRenderedPageBreak/>
        <w:t>Results</w:t>
      </w:r>
    </w:p>
    <w:p w14:paraId="77BC8CA3" w14:textId="77777777" w:rsidR="00D779EB" w:rsidRPr="00B128BC" w:rsidRDefault="00D779EB" w:rsidP="0006518C">
      <w:pPr>
        <w:spacing w:before="120" w:after="120" w:line="240" w:lineRule="auto"/>
        <w:jc w:val="both"/>
        <w:rPr>
          <w:rFonts w:cs="Arial"/>
          <w:szCs w:val="22"/>
        </w:rPr>
      </w:pPr>
      <w:r w:rsidRPr="00B128BC">
        <w:rPr>
          <w:rFonts w:cs="Arial"/>
          <w:szCs w:val="22"/>
        </w:rPr>
        <w:t>This study estimates the effect of Amoeba management adoption on firms’ financial performance, measured by return on assets (ROA) and return on equity (ROE). We employ both correlation analysis and a fixed</w:t>
      </w:r>
      <w:r w:rsidRPr="00B128BC">
        <w:rPr>
          <w:rFonts w:ascii="Cambria Math" w:hAnsi="Cambria Math" w:cs="Cambria Math"/>
          <w:szCs w:val="22"/>
        </w:rPr>
        <w:t>‑</w:t>
      </w:r>
      <w:r w:rsidRPr="00B128BC">
        <w:rPr>
          <w:rFonts w:cs="Arial"/>
          <w:szCs w:val="22"/>
        </w:rPr>
        <w:t>effects regression framework with a Difference</w:t>
      </w:r>
      <w:r w:rsidRPr="00B128BC">
        <w:rPr>
          <w:rFonts w:ascii="Cambria Math" w:hAnsi="Cambria Math" w:cs="Cambria Math"/>
          <w:szCs w:val="22"/>
        </w:rPr>
        <w:t>‑</w:t>
      </w:r>
      <w:r w:rsidRPr="00B128BC">
        <w:rPr>
          <w:rFonts w:cs="Arial"/>
          <w:szCs w:val="22"/>
        </w:rPr>
        <w:t>in</w:t>
      </w:r>
      <w:r w:rsidRPr="00B128BC">
        <w:rPr>
          <w:rFonts w:ascii="Cambria Math" w:hAnsi="Cambria Math" w:cs="Cambria Math"/>
          <w:szCs w:val="22"/>
        </w:rPr>
        <w:t>‑</w:t>
      </w:r>
      <w:r w:rsidRPr="00B128BC">
        <w:rPr>
          <w:rFonts w:cs="Arial"/>
          <w:szCs w:val="22"/>
        </w:rPr>
        <w:t>Differences (DID) specification.</w:t>
      </w:r>
    </w:p>
    <w:p w14:paraId="176C326B" w14:textId="3A80C3AE" w:rsidR="00D779EB" w:rsidRPr="00B128BC" w:rsidRDefault="004843F8" w:rsidP="0006518C">
      <w:pPr>
        <w:spacing w:before="120" w:after="120" w:line="240" w:lineRule="auto"/>
        <w:jc w:val="both"/>
        <w:rPr>
          <w:rFonts w:cs="Arial"/>
          <w:szCs w:val="22"/>
        </w:rPr>
      </w:pPr>
      <w:r w:rsidRPr="004843F8">
        <w:rPr>
          <w:rFonts w:cs="Arial"/>
          <w:szCs w:val="22"/>
        </w:rPr>
        <w:t>Table 3 presents pairwise correlations among all key variables. Both ROA and ROE show statistically significant relationships with several control variables:</w:t>
      </w:r>
    </w:p>
    <w:p w14:paraId="2CD6E73F" w14:textId="77777777" w:rsidR="00D779EB" w:rsidRPr="0078433F" w:rsidRDefault="00D779EB" w:rsidP="0006518C">
      <w:pPr>
        <w:pStyle w:val="ListParagraph"/>
        <w:numPr>
          <w:ilvl w:val="0"/>
          <w:numId w:val="4"/>
        </w:numPr>
        <w:spacing w:line="240" w:lineRule="auto"/>
        <w:ind w:left="284" w:hanging="284"/>
        <w:jc w:val="both"/>
        <w:rPr>
          <w:rFonts w:cs="Arial"/>
          <w:szCs w:val="22"/>
        </w:rPr>
      </w:pPr>
      <m:oMath>
        <m:r>
          <w:rPr>
            <w:rFonts w:ascii="Cambria Math" w:hAnsi="Cambria Math" w:cs="Arial"/>
            <w:szCs w:val="22"/>
            <w:lang w:val="en-US"/>
          </w:rPr>
          <m:t>ocfta</m:t>
        </m:r>
      </m:oMath>
      <w:r w:rsidRPr="00B128BC">
        <w:rPr>
          <w:rFonts w:cs="Arial"/>
          <w:szCs w:val="22"/>
        </w:rPr>
        <w:t xml:space="preserve">, </w:t>
      </w:r>
      <m:oMath>
        <m:r>
          <w:rPr>
            <w:rFonts w:ascii="Cambria Math" w:hAnsi="Cambria Math" w:cs="Arial"/>
            <w:szCs w:val="22"/>
            <w:lang w:val="en-US"/>
          </w:rPr>
          <m:t>g</m:t>
        </m:r>
        <m:r>
          <w:rPr>
            <w:rFonts w:ascii="Cambria Math" w:hAnsi="Cambria Math" w:cs="Arial"/>
            <w:szCs w:val="22"/>
          </w:rPr>
          <m:t>rowth</m:t>
        </m:r>
      </m:oMath>
      <w:r w:rsidRPr="00B128BC">
        <w:rPr>
          <w:rFonts w:cs="Arial"/>
          <w:szCs w:val="22"/>
        </w:rPr>
        <w:t xml:space="preserve">, and </w:t>
      </w:r>
      <m:oMath>
        <m:r>
          <w:rPr>
            <w:rFonts w:ascii="Cambria Math" w:hAnsi="Cambria Math" w:cs="Arial"/>
            <w:szCs w:val="22"/>
            <w:lang w:val="en-US"/>
          </w:rPr>
          <m:t>l</m:t>
        </m:r>
        <m:r>
          <w:rPr>
            <w:rFonts w:ascii="Cambria Math" w:hAnsi="Cambria Math" w:cs="Arial"/>
            <w:szCs w:val="22"/>
          </w:rPr>
          <m:t>n</m:t>
        </m:r>
        <m:r>
          <w:rPr>
            <w:rFonts w:ascii="Cambria Math" w:hAnsi="Cambria Math" w:cs="Arial"/>
            <w:szCs w:val="22"/>
            <w:lang w:val="en-US"/>
          </w:rPr>
          <m:t>tr</m:t>
        </m:r>
      </m:oMath>
      <w:r w:rsidRPr="00B128BC">
        <w:rPr>
          <w:rFonts w:cs="Arial"/>
          <w:szCs w:val="22"/>
        </w:rPr>
        <w:t xml:space="preserve"> all correlate positively with </w:t>
      </w:r>
      <m:oMath>
        <m:r>
          <w:rPr>
            <w:rFonts w:ascii="Cambria Math" w:hAnsi="Cambria Math" w:cs="Arial"/>
            <w:szCs w:val="22"/>
            <w:lang w:val="en-US"/>
          </w:rPr>
          <m:t>roa</m:t>
        </m:r>
      </m:oMath>
      <w:r w:rsidRPr="00B128BC">
        <w:rPr>
          <w:rFonts w:cs="Arial"/>
          <w:szCs w:val="22"/>
        </w:rPr>
        <w:t xml:space="preserve"> and </w:t>
      </w:r>
      <m:oMath>
        <m:r>
          <w:rPr>
            <w:rFonts w:ascii="Cambria Math" w:hAnsi="Cambria Math" w:cs="Arial"/>
            <w:szCs w:val="22"/>
            <w:lang w:val="en-US"/>
          </w:rPr>
          <m:t>roe</m:t>
        </m:r>
      </m:oMath>
      <w:r w:rsidRPr="00B128BC">
        <w:rPr>
          <w:rFonts w:cs="Arial"/>
          <w:szCs w:val="22"/>
        </w:rPr>
        <w:t>, indicating that stronger cash</w:t>
      </w:r>
      <w:r w:rsidRPr="00B128BC">
        <w:rPr>
          <w:rFonts w:ascii="Cambria Math" w:hAnsi="Cambria Math" w:cs="Cambria Math"/>
          <w:szCs w:val="22"/>
        </w:rPr>
        <w:t>‑</w:t>
      </w:r>
      <w:r w:rsidRPr="00B128BC">
        <w:rPr>
          <w:rFonts w:cs="Arial"/>
          <w:szCs w:val="22"/>
        </w:rPr>
        <w:t>flow generation, higher sales growth, and faster receivables turnover tend to accompany superior profitability.</w:t>
      </w:r>
    </w:p>
    <w:p w14:paraId="01D9F0A6" w14:textId="28AD8B06" w:rsidR="00D779EB" w:rsidRPr="00D779EB" w:rsidRDefault="00D779EB" w:rsidP="0006518C">
      <w:pPr>
        <w:pStyle w:val="ListParagraph"/>
        <w:numPr>
          <w:ilvl w:val="0"/>
          <w:numId w:val="4"/>
        </w:numPr>
        <w:spacing w:line="240" w:lineRule="auto"/>
        <w:ind w:left="284" w:hanging="284"/>
        <w:jc w:val="both"/>
        <w:rPr>
          <w:rFonts w:cs="Arial"/>
          <w:szCs w:val="22"/>
        </w:rPr>
      </w:pPr>
      <w:r w:rsidRPr="00B128BC">
        <w:rPr>
          <w:rFonts w:cs="Arial"/>
          <w:szCs w:val="22"/>
        </w:rPr>
        <w:t xml:space="preserve">Conversely, </w:t>
      </w:r>
      <m:oMath>
        <m:r>
          <w:rPr>
            <w:rFonts w:ascii="Cambria Math" w:hAnsi="Cambria Math" w:cs="Arial"/>
            <w:szCs w:val="22"/>
            <w:lang w:val="en-US"/>
          </w:rPr>
          <m:t>lev</m:t>
        </m:r>
      </m:oMath>
      <w:r w:rsidRPr="00B128BC">
        <w:rPr>
          <w:rFonts w:cs="Arial"/>
          <w:szCs w:val="22"/>
        </w:rPr>
        <w:t xml:space="preserve"> and </w:t>
      </w:r>
      <m:oMath>
        <m:r>
          <w:rPr>
            <w:rFonts w:ascii="Cambria Math" w:hAnsi="Cambria Math" w:cs="Arial"/>
            <w:szCs w:val="22"/>
            <w:lang w:val="en-US"/>
          </w:rPr>
          <m:t>ppeta</m:t>
        </m:r>
      </m:oMath>
      <w:r w:rsidRPr="00B128BC">
        <w:rPr>
          <w:rFonts w:cs="Arial"/>
          <w:szCs w:val="22"/>
        </w:rPr>
        <w:t xml:space="preserve"> correlate negatively with </w:t>
      </w:r>
      <m:oMath>
        <m:r>
          <w:rPr>
            <w:rFonts w:ascii="Cambria Math" w:hAnsi="Cambria Math" w:cs="Arial"/>
            <w:szCs w:val="22"/>
            <w:lang w:val="en-US"/>
          </w:rPr>
          <m:t>roa</m:t>
        </m:r>
      </m:oMath>
      <w:r w:rsidRPr="00B128BC">
        <w:rPr>
          <w:rFonts w:cs="Arial"/>
          <w:szCs w:val="22"/>
        </w:rPr>
        <w:t xml:space="preserve"> and </w:t>
      </w:r>
      <m:oMath>
        <m:r>
          <w:rPr>
            <w:rFonts w:ascii="Cambria Math" w:hAnsi="Cambria Math" w:cs="Arial"/>
            <w:szCs w:val="22"/>
            <w:lang w:val="en-US"/>
          </w:rPr>
          <m:t>roe</m:t>
        </m:r>
      </m:oMath>
      <w:r w:rsidRPr="00B128BC">
        <w:rPr>
          <w:rFonts w:cs="Arial"/>
          <w:szCs w:val="22"/>
        </w:rPr>
        <w:t xml:space="preserve">, </w:t>
      </w:r>
      <w:r w:rsidR="002A2052" w:rsidRPr="002A2052">
        <w:rPr>
          <w:rFonts w:cs="Arial"/>
          <w:szCs w:val="22"/>
        </w:rPr>
        <w:t>suggesting that increased leverage and asset intensity are associated with reduced profitability.</w:t>
      </w:r>
    </w:p>
    <w:p w14:paraId="44DA8E1B" w14:textId="70C2F265" w:rsidR="004C1DF9" w:rsidRPr="00F65049" w:rsidRDefault="00F65049" w:rsidP="0006518C">
      <w:pPr>
        <w:spacing w:before="120" w:after="0" w:line="240" w:lineRule="auto"/>
        <w:rPr>
          <w:rFonts w:cs="Arial"/>
          <w:szCs w:val="22"/>
          <w:lang w:val="en-US"/>
        </w:rPr>
      </w:pPr>
      <w:r>
        <w:rPr>
          <w:rFonts w:cs="Arial"/>
          <w:szCs w:val="22"/>
          <w:lang w:val="en-US"/>
        </w:rPr>
        <w:t>Table</w:t>
      </w:r>
      <w:r w:rsidR="00C45008">
        <w:rPr>
          <w:rFonts w:cs="Arial"/>
          <w:szCs w:val="22"/>
        </w:rPr>
        <w:t xml:space="preserve"> 3</w:t>
      </w:r>
      <w:r w:rsidR="004C1DF9" w:rsidRPr="00AE1EE7">
        <w:rPr>
          <w:rFonts w:cs="Arial"/>
          <w:szCs w:val="22"/>
        </w:rPr>
        <w:t xml:space="preserve">. </w:t>
      </w:r>
      <w:r>
        <w:rPr>
          <w:rFonts w:cs="Arial"/>
          <w:szCs w:val="22"/>
          <w:lang w:val="en-US"/>
        </w:rPr>
        <w:t>Correlation Matrix</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48"/>
        <w:gridCol w:w="1198"/>
        <w:gridCol w:w="1338"/>
        <w:gridCol w:w="1221"/>
        <w:gridCol w:w="1338"/>
        <w:gridCol w:w="1337"/>
        <w:gridCol w:w="1197"/>
        <w:gridCol w:w="1197"/>
        <w:gridCol w:w="1147"/>
        <w:gridCol w:w="1147"/>
        <w:gridCol w:w="1147"/>
        <w:gridCol w:w="1147"/>
      </w:tblGrid>
      <w:tr w:rsidR="00406CDA" w:rsidRPr="00AE1EE7" w14:paraId="1D3DBA40" w14:textId="77777777" w:rsidTr="006F5CF5">
        <w:trPr>
          <w:trHeight w:val="283"/>
        </w:trPr>
        <w:tc>
          <w:tcPr>
            <w:tcW w:w="1148" w:type="dxa"/>
            <w:shd w:val="clear" w:color="auto" w:fill="auto"/>
            <w:noWrap/>
            <w:vAlign w:val="center"/>
            <w:hideMark/>
          </w:tcPr>
          <w:p w14:paraId="33AF27AC" w14:textId="33E68EA9" w:rsidR="005D3A4C" w:rsidRPr="0025167E" w:rsidRDefault="0025167E" w:rsidP="0006518C">
            <w:pPr>
              <w:spacing w:after="0" w:line="240" w:lineRule="auto"/>
              <w:jc w:val="center"/>
              <w:rPr>
                <w:rFonts w:eastAsia="Times New Roman" w:cs="Arial"/>
                <w:kern w:val="0"/>
                <w:szCs w:val="22"/>
                <w:lang w:val="en-US"/>
                <w14:ligatures w14:val="none"/>
              </w:rPr>
            </w:pPr>
            <w:r>
              <w:rPr>
                <w:rFonts w:eastAsia="Times New Roman" w:cs="Arial"/>
                <w:kern w:val="0"/>
                <w:szCs w:val="22"/>
                <w:lang w:val="en-US"/>
                <w14:ligatures w14:val="none"/>
              </w:rPr>
              <w:t>Variable</w:t>
            </w:r>
          </w:p>
        </w:tc>
        <w:tc>
          <w:tcPr>
            <w:tcW w:w="1198" w:type="dxa"/>
            <w:shd w:val="clear" w:color="auto" w:fill="auto"/>
            <w:noWrap/>
            <w:vAlign w:val="center"/>
            <w:hideMark/>
          </w:tcPr>
          <w:p w14:paraId="6191C3C1" w14:textId="051FC04C" w:rsidR="005D3A4C" w:rsidRPr="00AE1EE7" w:rsidRDefault="005764B9" w:rsidP="0006518C">
            <w:pPr>
              <w:spacing w:after="0" w:line="240" w:lineRule="auto"/>
              <w:jc w:val="center"/>
              <w:rPr>
                <w:rFonts w:eastAsia="Times New Roman" w:cs="Arial"/>
                <w:color w:val="000000"/>
                <w:kern w:val="0"/>
                <w:szCs w:val="22"/>
                <w14:ligatures w14:val="none"/>
              </w:rPr>
            </w:pPr>
            <m:oMathPara>
              <m:oMath>
                <m:r>
                  <w:rPr>
                    <w:rFonts w:ascii="Cambria Math" w:eastAsia="Times New Roman" w:hAnsi="Cambria Math" w:cs="Arial"/>
                    <w:color w:val="000000"/>
                    <w:kern w:val="0"/>
                    <w:szCs w:val="22"/>
                    <w14:ligatures w14:val="none"/>
                  </w:rPr>
                  <m:t>roa</m:t>
                </m:r>
              </m:oMath>
            </m:oMathPara>
          </w:p>
        </w:tc>
        <w:tc>
          <w:tcPr>
            <w:tcW w:w="1338" w:type="dxa"/>
            <w:shd w:val="clear" w:color="auto" w:fill="auto"/>
            <w:noWrap/>
            <w:vAlign w:val="center"/>
            <w:hideMark/>
          </w:tcPr>
          <w:p w14:paraId="300FADE3" w14:textId="3CD6F971" w:rsidR="005D3A4C" w:rsidRPr="00AE1EE7" w:rsidRDefault="005764B9" w:rsidP="0006518C">
            <w:pPr>
              <w:spacing w:after="0" w:line="240" w:lineRule="auto"/>
              <w:jc w:val="center"/>
              <w:rPr>
                <w:rFonts w:eastAsia="Times New Roman" w:cs="Arial"/>
                <w:color w:val="000000"/>
                <w:kern w:val="0"/>
                <w:szCs w:val="22"/>
                <w14:ligatures w14:val="none"/>
              </w:rPr>
            </w:pPr>
            <m:oMathPara>
              <m:oMath>
                <m:r>
                  <w:rPr>
                    <w:rFonts w:ascii="Cambria Math" w:eastAsia="Times New Roman" w:hAnsi="Cambria Math" w:cs="Arial"/>
                    <w:color w:val="000000"/>
                    <w:kern w:val="0"/>
                    <w:szCs w:val="22"/>
                    <w14:ligatures w14:val="none"/>
                  </w:rPr>
                  <m:t>roe</m:t>
                </m:r>
              </m:oMath>
            </m:oMathPara>
          </w:p>
        </w:tc>
        <w:tc>
          <w:tcPr>
            <w:tcW w:w="1221" w:type="dxa"/>
            <w:shd w:val="clear" w:color="auto" w:fill="auto"/>
            <w:noWrap/>
            <w:vAlign w:val="center"/>
            <w:hideMark/>
          </w:tcPr>
          <w:p w14:paraId="648EB115" w14:textId="2032BDD1" w:rsidR="005D3A4C" w:rsidRPr="00AE1EE7" w:rsidRDefault="005764B9" w:rsidP="0006518C">
            <w:pPr>
              <w:spacing w:after="0" w:line="240" w:lineRule="auto"/>
              <w:jc w:val="center"/>
              <w:rPr>
                <w:rFonts w:eastAsia="Times New Roman" w:cs="Arial"/>
                <w:color w:val="000000"/>
                <w:kern w:val="0"/>
                <w:szCs w:val="22"/>
                <w14:ligatures w14:val="none"/>
              </w:rPr>
            </w:pPr>
            <m:oMathPara>
              <m:oMath>
                <m:r>
                  <w:rPr>
                    <w:rFonts w:ascii="Cambria Math" w:eastAsia="Times New Roman" w:hAnsi="Cambria Math" w:cs="Arial"/>
                    <w:color w:val="000000"/>
                    <w:kern w:val="0"/>
                    <w:szCs w:val="22"/>
                    <w14:ligatures w14:val="none"/>
                  </w:rPr>
                  <m:t>did</m:t>
                </m:r>
              </m:oMath>
            </m:oMathPara>
          </w:p>
        </w:tc>
        <w:tc>
          <w:tcPr>
            <w:tcW w:w="1338" w:type="dxa"/>
            <w:shd w:val="clear" w:color="auto" w:fill="auto"/>
            <w:noWrap/>
            <w:vAlign w:val="center"/>
            <w:hideMark/>
          </w:tcPr>
          <w:p w14:paraId="512C67BE" w14:textId="4445AAEF" w:rsidR="005D3A4C" w:rsidRPr="00AE1EE7" w:rsidRDefault="005764B9" w:rsidP="0006518C">
            <w:pPr>
              <w:spacing w:after="0" w:line="240" w:lineRule="auto"/>
              <w:jc w:val="center"/>
              <w:rPr>
                <w:rFonts w:eastAsia="Times New Roman" w:cs="Arial"/>
                <w:color w:val="000000"/>
                <w:kern w:val="0"/>
                <w:szCs w:val="22"/>
                <w14:ligatures w14:val="none"/>
              </w:rPr>
            </w:pPr>
            <m:oMathPara>
              <m:oMath>
                <m:r>
                  <w:rPr>
                    <w:rFonts w:ascii="Cambria Math" w:eastAsia="Times New Roman" w:hAnsi="Cambria Math" w:cs="Arial"/>
                    <w:color w:val="000000"/>
                    <w:kern w:val="0"/>
                    <w:szCs w:val="22"/>
                    <w14:ligatures w14:val="none"/>
                  </w:rPr>
                  <m:t>treated</m:t>
                </m:r>
              </m:oMath>
            </m:oMathPara>
          </w:p>
        </w:tc>
        <w:tc>
          <w:tcPr>
            <w:tcW w:w="1337" w:type="dxa"/>
            <w:shd w:val="clear" w:color="auto" w:fill="auto"/>
            <w:noWrap/>
            <w:vAlign w:val="center"/>
            <w:hideMark/>
          </w:tcPr>
          <w:p w14:paraId="2F94BA31" w14:textId="13A38EAD" w:rsidR="005D3A4C" w:rsidRPr="00AE1EE7" w:rsidRDefault="005764B9" w:rsidP="0006518C">
            <w:pPr>
              <w:spacing w:after="0" w:line="240" w:lineRule="auto"/>
              <w:jc w:val="center"/>
              <w:rPr>
                <w:rFonts w:eastAsia="Times New Roman" w:cs="Arial"/>
                <w:color w:val="000000"/>
                <w:kern w:val="0"/>
                <w:szCs w:val="22"/>
                <w14:ligatures w14:val="none"/>
              </w:rPr>
            </w:pPr>
            <m:oMathPara>
              <m:oMath>
                <m:r>
                  <w:rPr>
                    <w:rFonts w:ascii="Cambria Math" w:eastAsia="Times New Roman" w:hAnsi="Cambria Math" w:cs="Arial"/>
                    <w:color w:val="000000"/>
                    <w:kern w:val="0"/>
                    <w:szCs w:val="22"/>
                    <w14:ligatures w14:val="none"/>
                  </w:rPr>
                  <m:t>period</m:t>
                </m:r>
              </m:oMath>
            </m:oMathPara>
          </w:p>
        </w:tc>
        <w:tc>
          <w:tcPr>
            <w:tcW w:w="1197" w:type="dxa"/>
            <w:shd w:val="clear" w:color="auto" w:fill="auto"/>
            <w:noWrap/>
            <w:vAlign w:val="center"/>
            <w:hideMark/>
          </w:tcPr>
          <w:p w14:paraId="77B7BF4A" w14:textId="51279F91" w:rsidR="005D3A4C" w:rsidRPr="00AE1EE7" w:rsidRDefault="005764B9" w:rsidP="0006518C">
            <w:pPr>
              <w:spacing w:after="0" w:line="240" w:lineRule="auto"/>
              <w:jc w:val="center"/>
              <w:rPr>
                <w:rFonts w:eastAsia="Times New Roman" w:cs="Arial"/>
                <w:color w:val="000000"/>
                <w:kern w:val="0"/>
                <w:szCs w:val="22"/>
                <w14:ligatures w14:val="none"/>
              </w:rPr>
            </w:pPr>
            <m:oMathPara>
              <m:oMath>
                <m:r>
                  <w:rPr>
                    <w:rFonts w:ascii="Cambria Math" w:eastAsia="Times New Roman" w:hAnsi="Cambria Math" w:cs="Arial"/>
                    <w:color w:val="000000"/>
                    <w:kern w:val="0"/>
                    <w:szCs w:val="22"/>
                    <w14:ligatures w14:val="none"/>
                  </w:rPr>
                  <m:t>lev</m:t>
                </m:r>
              </m:oMath>
            </m:oMathPara>
          </w:p>
        </w:tc>
        <w:tc>
          <w:tcPr>
            <w:tcW w:w="1197" w:type="dxa"/>
            <w:shd w:val="clear" w:color="auto" w:fill="auto"/>
            <w:noWrap/>
            <w:vAlign w:val="center"/>
            <w:hideMark/>
          </w:tcPr>
          <w:p w14:paraId="5F3283C0" w14:textId="30D9C3A1" w:rsidR="005D3A4C" w:rsidRPr="00AE1EE7" w:rsidRDefault="005764B9" w:rsidP="0006518C">
            <w:pPr>
              <w:spacing w:after="0" w:line="240" w:lineRule="auto"/>
              <w:jc w:val="center"/>
              <w:rPr>
                <w:rFonts w:eastAsia="Times New Roman" w:cs="Arial"/>
                <w:color w:val="000000"/>
                <w:kern w:val="0"/>
                <w:szCs w:val="22"/>
                <w14:ligatures w14:val="none"/>
              </w:rPr>
            </w:pPr>
            <m:oMathPara>
              <m:oMath>
                <m:r>
                  <w:rPr>
                    <w:rFonts w:ascii="Cambria Math" w:eastAsia="Times New Roman" w:hAnsi="Cambria Math" w:cs="Arial"/>
                    <w:color w:val="000000"/>
                    <w:kern w:val="0"/>
                    <w:szCs w:val="22"/>
                    <w14:ligatures w14:val="none"/>
                  </w:rPr>
                  <m:t>ocfta</m:t>
                </m:r>
              </m:oMath>
            </m:oMathPara>
          </w:p>
        </w:tc>
        <w:tc>
          <w:tcPr>
            <w:tcW w:w="1147" w:type="dxa"/>
            <w:shd w:val="clear" w:color="auto" w:fill="auto"/>
            <w:noWrap/>
            <w:vAlign w:val="center"/>
            <w:hideMark/>
          </w:tcPr>
          <w:p w14:paraId="2FF53EFB" w14:textId="0E707967" w:rsidR="005D3A4C" w:rsidRPr="00AE1EE7" w:rsidRDefault="005764B9" w:rsidP="0006518C">
            <w:pPr>
              <w:spacing w:after="0" w:line="240" w:lineRule="auto"/>
              <w:jc w:val="center"/>
              <w:rPr>
                <w:rFonts w:eastAsia="Times New Roman" w:cs="Arial"/>
                <w:color w:val="000000"/>
                <w:kern w:val="0"/>
                <w:szCs w:val="22"/>
                <w14:ligatures w14:val="none"/>
              </w:rPr>
            </w:pPr>
            <m:oMathPara>
              <m:oMath>
                <m:r>
                  <w:rPr>
                    <w:rFonts w:ascii="Cambria Math" w:eastAsia="Times New Roman" w:hAnsi="Cambria Math" w:cs="Arial"/>
                    <w:color w:val="000000"/>
                    <w:kern w:val="0"/>
                    <w:szCs w:val="22"/>
                    <w14:ligatures w14:val="none"/>
                  </w:rPr>
                  <m:t>size</m:t>
                </m:r>
              </m:oMath>
            </m:oMathPara>
          </w:p>
        </w:tc>
        <w:tc>
          <w:tcPr>
            <w:tcW w:w="1147" w:type="dxa"/>
            <w:shd w:val="clear" w:color="auto" w:fill="auto"/>
            <w:noWrap/>
            <w:vAlign w:val="center"/>
            <w:hideMark/>
          </w:tcPr>
          <w:p w14:paraId="6E7E020A" w14:textId="48793977" w:rsidR="005D3A4C" w:rsidRPr="00AE1EE7" w:rsidRDefault="005764B9" w:rsidP="0006518C">
            <w:pPr>
              <w:spacing w:after="0" w:line="240" w:lineRule="auto"/>
              <w:jc w:val="center"/>
              <w:rPr>
                <w:rFonts w:eastAsia="Times New Roman" w:cs="Arial"/>
                <w:color w:val="000000"/>
                <w:kern w:val="0"/>
                <w:szCs w:val="22"/>
                <w14:ligatures w14:val="none"/>
              </w:rPr>
            </w:pPr>
            <m:oMathPara>
              <m:oMath>
                <m:r>
                  <w:rPr>
                    <w:rFonts w:ascii="Cambria Math" w:eastAsia="Times New Roman" w:hAnsi="Cambria Math" w:cs="Arial"/>
                    <w:color w:val="000000"/>
                    <w:kern w:val="0"/>
                    <w:szCs w:val="22"/>
                    <w14:ligatures w14:val="none"/>
                  </w:rPr>
                  <m:t>ppeta</m:t>
                </m:r>
              </m:oMath>
            </m:oMathPara>
          </w:p>
        </w:tc>
        <w:tc>
          <w:tcPr>
            <w:tcW w:w="1147" w:type="dxa"/>
            <w:shd w:val="clear" w:color="auto" w:fill="auto"/>
            <w:noWrap/>
            <w:vAlign w:val="center"/>
            <w:hideMark/>
          </w:tcPr>
          <w:p w14:paraId="7321382F" w14:textId="726041F7" w:rsidR="005D3A4C" w:rsidRPr="00AE1EE7" w:rsidRDefault="005764B9" w:rsidP="0006518C">
            <w:pPr>
              <w:spacing w:after="0" w:line="240" w:lineRule="auto"/>
              <w:jc w:val="center"/>
              <w:rPr>
                <w:rFonts w:eastAsia="Times New Roman" w:cs="Arial"/>
                <w:color w:val="000000"/>
                <w:kern w:val="0"/>
                <w:szCs w:val="22"/>
                <w14:ligatures w14:val="none"/>
              </w:rPr>
            </w:pPr>
            <m:oMathPara>
              <m:oMath>
                <m:r>
                  <w:rPr>
                    <w:rFonts w:ascii="Cambria Math" w:eastAsia="Times New Roman" w:hAnsi="Cambria Math" w:cs="Arial"/>
                    <w:color w:val="000000"/>
                    <w:kern w:val="0"/>
                    <w:szCs w:val="22"/>
                    <w14:ligatures w14:val="none"/>
                  </w:rPr>
                  <m:t>growth</m:t>
                </m:r>
              </m:oMath>
            </m:oMathPara>
          </w:p>
        </w:tc>
        <w:tc>
          <w:tcPr>
            <w:tcW w:w="1147" w:type="dxa"/>
            <w:shd w:val="clear" w:color="auto" w:fill="auto"/>
            <w:noWrap/>
            <w:vAlign w:val="center"/>
            <w:hideMark/>
          </w:tcPr>
          <w:p w14:paraId="5C755B55" w14:textId="4294E2A5" w:rsidR="005D3A4C" w:rsidRPr="00AE1EE7" w:rsidRDefault="005764B9" w:rsidP="0006518C">
            <w:pPr>
              <w:spacing w:after="0" w:line="240" w:lineRule="auto"/>
              <w:jc w:val="center"/>
              <w:rPr>
                <w:rFonts w:eastAsia="Times New Roman" w:cs="Arial"/>
                <w:color w:val="000000"/>
                <w:kern w:val="0"/>
                <w:szCs w:val="22"/>
                <w14:ligatures w14:val="none"/>
              </w:rPr>
            </w:pPr>
            <m:oMathPara>
              <m:oMath>
                <m:r>
                  <w:rPr>
                    <w:rFonts w:ascii="Cambria Math" w:eastAsia="Times New Roman" w:hAnsi="Cambria Math" w:cs="Arial"/>
                    <w:color w:val="000000"/>
                    <w:kern w:val="0"/>
                    <w:szCs w:val="22"/>
                    <w14:ligatures w14:val="none"/>
                  </w:rPr>
                  <m:t>lntr</m:t>
                </m:r>
              </m:oMath>
            </m:oMathPara>
          </w:p>
        </w:tc>
      </w:tr>
      <w:tr w:rsidR="00406CDA" w:rsidRPr="00AE1EE7" w14:paraId="465164BA" w14:textId="77777777" w:rsidTr="006F5CF5">
        <w:trPr>
          <w:trHeight w:val="510"/>
        </w:trPr>
        <w:tc>
          <w:tcPr>
            <w:tcW w:w="1148" w:type="dxa"/>
            <w:shd w:val="clear" w:color="auto" w:fill="auto"/>
            <w:noWrap/>
            <w:vAlign w:val="center"/>
            <w:hideMark/>
          </w:tcPr>
          <w:p w14:paraId="641EF214" w14:textId="0D6DA025" w:rsidR="005D3A4C" w:rsidRPr="00AE1EE7" w:rsidRDefault="005764B9" w:rsidP="0006518C">
            <w:pPr>
              <w:spacing w:after="0" w:line="240" w:lineRule="auto"/>
              <w:rPr>
                <w:rFonts w:eastAsia="Times New Roman" w:cs="Arial"/>
                <w:color w:val="000000"/>
                <w:kern w:val="0"/>
                <w:szCs w:val="22"/>
                <w14:ligatures w14:val="none"/>
              </w:rPr>
            </w:pPr>
            <m:oMath>
              <m:r>
                <w:rPr>
                  <w:rFonts w:ascii="Cambria Math" w:eastAsia="Times New Roman" w:hAnsi="Cambria Math" w:cs="Arial"/>
                  <w:color w:val="000000"/>
                  <w:kern w:val="0"/>
                  <w:szCs w:val="22"/>
                  <w14:ligatures w14:val="none"/>
                </w:rPr>
                <m:t>did</m:t>
              </m:r>
            </m:oMath>
            <w:r w:rsidR="00111EF3" w:rsidRPr="00AE1EE7">
              <w:rPr>
                <w:rFonts w:eastAsia="Times New Roman" w:cs="Arial"/>
                <w:color w:val="000000"/>
                <w:kern w:val="0"/>
                <w:szCs w:val="22"/>
                <w14:ligatures w14:val="none"/>
              </w:rPr>
              <w:t xml:space="preserve"> </w:t>
            </w:r>
          </w:p>
        </w:tc>
        <w:tc>
          <w:tcPr>
            <w:tcW w:w="1198" w:type="dxa"/>
            <w:shd w:val="clear" w:color="auto" w:fill="auto"/>
            <w:noWrap/>
            <w:hideMark/>
          </w:tcPr>
          <w:p w14:paraId="07EEF90F" w14:textId="77777777" w:rsidR="005D3A4C" w:rsidRPr="00AE1EE7" w:rsidRDefault="005D3A4C"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0.0307</w:t>
            </w:r>
          </w:p>
          <w:p w14:paraId="1239D863" w14:textId="77777777" w:rsidR="002377C7" w:rsidRPr="00AE1EE7" w:rsidRDefault="002377C7" w:rsidP="0006518C">
            <w:pPr>
              <w:spacing w:after="0" w:line="240" w:lineRule="auto"/>
              <w:jc w:val="center"/>
              <w:rPr>
                <w:rFonts w:eastAsia="Times New Roman" w:cs="Arial"/>
                <w:color w:val="000000"/>
                <w:kern w:val="0"/>
                <w:szCs w:val="22"/>
                <w14:ligatures w14:val="none"/>
              </w:rPr>
            </w:pPr>
          </w:p>
        </w:tc>
        <w:tc>
          <w:tcPr>
            <w:tcW w:w="1338" w:type="dxa"/>
            <w:shd w:val="clear" w:color="auto" w:fill="auto"/>
            <w:noWrap/>
            <w:hideMark/>
          </w:tcPr>
          <w:p w14:paraId="502F0FC0" w14:textId="77777777" w:rsidR="005D3A4C" w:rsidRPr="00AE1EE7" w:rsidRDefault="005D3A4C"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0.0688</w:t>
            </w:r>
          </w:p>
        </w:tc>
        <w:tc>
          <w:tcPr>
            <w:tcW w:w="1221" w:type="dxa"/>
            <w:shd w:val="clear" w:color="auto" w:fill="auto"/>
            <w:noWrap/>
            <w:hideMark/>
          </w:tcPr>
          <w:p w14:paraId="387C2506" w14:textId="77777777" w:rsidR="005D3A4C" w:rsidRPr="00AE1EE7" w:rsidRDefault="005D3A4C" w:rsidP="0006518C">
            <w:pPr>
              <w:spacing w:after="0" w:line="240" w:lineRule="auto"/>
              <w:jc w:val="center"/>
              <w:rPr>
                <w:rFonts w:eastAsia="Times New Roman" w:cs="Arial"/>
                <w:color w:val="000000"/>
                <w:kern w:val="0"/>
                <w:szCs w:val="22"/>
                <w14:ligatures w14:val="none"/>
              </w:rPr>
            </w:pPr>
          </w:p>
        </w:tc>
        <w:tc>
          <w:tcPr>
            <w:tcW w:w="1338" w:type="dxa"/>
            <w:shd w:val="clear" w:color="auto" w:fill="auto"/>
            <w:noWrap/>
            <w:hideMark/>
          </w:tcPr>
          <w:p w14:paraId="0DA51CB7" w14:textId="77777777" w:rsidR="005D3A4C" w:rsidRPr="00AE1EE7" w:rsidRDefault="005D3A4C" w:rsidP="0006518C">
            <w:pPr>
              <w:spacing w:after="0" w:line="240" w:lineRule="auto"/>
              <w:jc w:val="center"/>
              <w:rPr>
                <w:rFonts w:eastAsia="Times New Roman" w:cs="Arial"/>
                <w:kern w:val="0"/>
                <w:szCs w:val="22"/>
                <w14:ligatures w14:val="none"/>
              </w:rPr>
            </w:pPr>
          </w:p>
        </w:tc>
        <w:tc>
          <w:tcPr>
            <w:tcW w:w="1337" w:type="dxa"/>
            <w:shd w:val="clear" w:color="auto" w:fill="auto"/>
            <w:noWrap/>
            <w:hideMark/>
          </w:tcPr>
          <w:p w14:paraId="124B618A" w14:textId="77777777" w:rsidR="005D3A4C" w:rsidRPr="00AE1EE7" w:rsidRDefault="005D3A4C" w:rsidP="0006518C">
            <w:pPr>
              <w:spacing w:after="0" w:line="240" w:lineRule="auto"/>
              <w:jc w:val="center"/>
              <w:rPr>
                <w:rFonts w:eastAsia="Times New Roman" w:cs="Arial"/>
                <w:kern w:val="0"/>
                <w:szCs w:val="22"/>
                <w14:ligatures w14:val="none"/>
              </w:rPr>
            </w:pPr>
          </w:p>
        </w:tc>
        <w:tc>
          <w:tcPr>
            <w:tcW w:w="1197" w:type="dxa"/>
            <w:shd w:val="clear" w:color="auto" w:fill="auto"/>
            <w:noWrap/>
            <w:hideMark/>
          </w:tcPr>
          <w:p w14:paraId="70E9A26D" w14:textId="77777777" w:rsidR="005D3A4C" w:rsidRPr="00AE1EE7" w:rsidRDefault="005D3A4C" w:rsidP="0006518C">
            <w:pPr>
              <w:spacing w:after="0" w:line="240" w:lineRule="auto"/>
              <w:jc w:val="center"/>
              <w:rPr>
                <w:rFonts w:eastAsia="Times New Roman" w:cs="Arial"/>
                <w:kern w:val="0"/>
                <w:szCs w:val="22"/>
                <w14:ligatures w14:val="none"/>
              </w:rPr>
            </w:pPr>
          </w:p>
        </w:tc>
        <w:tc>
          <w:tcPr>
            <w:tcW w:w="1197" w:type="dxa"/>
            <w:shd w:val="clear" w:color="auto" w:fill="auto"/>
            <w:noWrap/>
            <w:hideMark/>
          </w:tcPr>
          <w:p w14:paraId="4E0931BF" w14:textId="77777777" w:rsidR="005D3A4C" w:rsidRPr="00AE1EE7" w:rsidRDefault="005D3A4C" w:rsidP="0006518C">
            <w:pPr>
              <w:spacing w:after="0" w:line="240" w:lineRule="auto"/>
              <w:jc w:val="center"/>
              <w:rPr>
                <w:rFonts w:eastAsia="Times New Roman" w:cs="Arial"/>
                <w:kern w:val="0"/>
                <w:szCs w:val="22"/>
                <w14:ligatures w14:val="none"/>
              </w:rPr>
            </w:pPr>
          </w:p>
        </w:tc>
        <w:tc>
          <w:tcPr>
            <w:tcW w:w="1147" w:type="dxa"/>
            <w:shd w:val="clear" w:color="auto" w:fill="auto"/>
            <w:noWrap/>
            <w:hideMark/>
          </w:tcPr>
          <w:p w14:paraId="51C659DB" w14:textId="77777777" w:rsidR="005D3A4C" w:rsidRPr="00AE1EE7" w:rsidRDefault="005D3A4C" w:rsidP="0006518C">
            <w:pPr>
              <w:spacing w:after="0" w:line="240" w:lineRule="auto"/>
              <w:jc w:val="center"/>
              <w:rPr>
                <w:rFonts w:eastAsia="Times New Roman" w:cs="Arial"/>
                <w:kern w:val="0"/>
                <w:szCs w:val="22"/>
                <w14:ligatures w14:val="none"/>
              </w:rPr>
            </w:pPr>
          </w:p>
        </w:tc>
        <w:tc>
          <w:tcPr>
            <w:tcW w:w="1147" w:type="dxa"/>
            <w:shd w:val="clear" w:color="auto" w:fill="auto"/>
            <w:noWrap/>
            <w:hideMark/>
          </w:tcPr>
          <w:p w14:paraId="41720EDC" w14:textId="77777777" w:rsidR="005D3A4C" w:rsidRPr="00AE1EE7" w:rsidRDefault="005D3A4C" w:rsidP="0006518C">
            <w:pPr>
              <w:spacing w:after="0" w:line="240" w:lineRule="auto"/>
              <w:jc w:val="center"/>
              <w:rPr>
                <w:rFonts w:eastAsia="Times New Roman" w:cs="Arial"/>
                <w:kern w:val="0"/>
                <w:szCs w:val="22"/>
                <w14:ligatures w14:val="none"/>
              </w:rPr>
            </w:pPr>
          </w:p>
        </w:tc>
        <w:tc>
          <w:tcPr>
            <w:tcW w:w="1147" w:type="dxa"/>
            <w:shd w:val="clear" w:color="auto" w:fill="auto"/>
            <w:noWrap/>
            <w:hideMark/>
          </w:tcPr>
          <w:p w14:paraId="4FB0E1C4" w14:textId="77777777" w:rsidR="005D3A4C" w:rsidRPr="00AE1EE7" w:rsidRDefault="005D3A4C" w:rsidP="0006518C">
            <w:pPr>
              <w:spacing w:after="0" w:line="240" w:lineRule="auto"/>
              <w:jc w:val="center"/>
              <w:rPr>
                <w:rFonts w:eastAsia="Times New Roman" w:cs="Arial"/>
                <w:kern w:val="0"/>
                <w:szCs w:val="22"/>
                <w14:ligatures w14:val="none"/>
              </w:rPr>
            </w:pPr>
          </w:p>
        </w:tc>
        <w:tc>
          <w:tcPr>
            <w:tcW w:w="1147" w:type="dxa"/>
            <w:shd w:val="clear" w:color="auto" w:fill="auto"/>
            <w:noWrap/>
            <w:hideMark/>
          </w:tcPr>
          <w:p w14:paraId="4FD1FFDB" w14:textId="77777777" w:rsidR="005D3A4C" w:rsidRPr="00AE1EE7" w:rsidRDefault="005D3A4C" w:rsidP="0006518C">
            <w:pPr>
              <w:spacing w:after="0" w:line="240" w:lineRule="auto"/>
              <w:jc w:val="center"/>
              <w:rPr>
                <w:rFonts w:eastAsia="Times New Roman" w:cs="Arial"/>
                <w:kern w:val="0"/>
                <w:szCs w:val="22"/>
                <w14:ligatures w14:val="none"/>
              </w:rPr>
            </w:pPr>
          </w:p>
        </w:tc>
      </w:tr>
      <w:tr w:rsidR="00406CDA" w:rsidRPr="00AE1EE7" w14:paraId="3C87812A" w14:textId="77777777" w:rsidTr="006F5CF5">
        <w:trPr>
          <w:trHeight w:val="510"/>
        </w:trPr>
        <w:tc>
          <w:tcPr>
            <w:tcW w:w="1148" w:type="dxa"/>
            <w:shd w:val="clear" w:color="auto" w:fill="auto"/>
            <w:noWrap/>
            <w:vAlign w:val="center"/>
            <w:hideMark/>
          </w:tcPr>
          <w:p w14:paraId="1955DC1A" w14:textId="41A571F3" w:rsidR="005D3A4C" w:rsidRPr="00AE1EE7" w:rsidRDefault="005764B9" w:rsidP="0006518C">
            <w:pPr>
              <w:spacing w:after="0" w:line="240" w:lineRule="auto"/>
              <w:rPr>
                <w:rFonts w:eastAsia="Times New Roman" w:cs="Arial"/>
                <w:color w:val="000000"/>
                <w:kern w:val="0"/>
                <w:szCs w:val="22"/>
                <w14:ligatures w14:val="none"/>
              </w:rPr>
            </w:pPr>
            <m:oMath>
              <m:r>
                <w:rPr>
                  <w:rFonts w:ascii="Cambria Math" w:eastAsia="Times New Roman" w:hAnsi="Cambria Math" w:cs="Arial"/>
                  <w:color w:val="000000"/>
                  <w:kern w:val="0"/>
                  <w:szCs w:val="22"/>
                  <w14:ligatures w14:val="none"/>
                </w:rPr>
                <m:t>treated</m:t>
              </m:r>
            </m:oMath>
            <w:r w:rsidR="00111EF3" w:rsidRPr="00AE1EE7">
              <w:rPr>
                <w:rFonts w:eastAsia="Times New Roman" w:cs="Arial"/>
                <w:color w:val="000000"/>
                <w:kern w:val="0"/>
                <w:szCs w:val="22"/>
                <w14:ligatures w14:val="none"/>
              </w:rPr>
              <w:t xml:space="preserve"> </w:t>
            </w:r>
          </w:p>
        </w:tc>
        <w:tc>
          <w:tcPr>
            <w:tcW w:w="1198" w:type="dxa"/>
            <w:shd w:val="clear" w:color="auto" w:fill="auto"/>
            <w:noWrap/>
            <w:hideMark/>
          </w:tcPr>
          <w:p w14:paraId="0DE99DCD" w14:textId="77777777" w:rsidR="005D3A4C" w:rsidRPr="00AE1EE7" w:rsidRDefault="005D3A4C"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0.0539</w:t>
            </w:r>
          </w:p>
        </w:tc>
        <w:tc>
          <w:tcPr>
            <w:tcW w:w="1338" w:type="dxa"/>
            <w:shd w:val="clear" w:color="auto" w:fill="auto"/>
            <w:noWrap/>
            <w:hideMark/>
          </w:tcPr>
          <w:p w14:paraId="56577878" w14:textId="77777777" w:rsidR="005D3A4C" w:rsidRPr="00AE1EE7" w:rsidRDefault="005D3A4C"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0.0858</w:t>
            </w:r>
          </w:p>
        </w:tc>
        <w:tc>
          <w:tcPr>
            <w:tcW w:w="1221" w:type="dxa"/>
            <w:shd w:val="clear" w:color="auto" w:fill="auto"/>
            <w:noWrap/>
            <w:hideMark/>
          </w:tcPr>
          <w:p w14:paraId="0E8916BA" w14:textId="77777777" w:rsidR="005D3A4C" w:rsidRPr="00AE1EE7" w:rsidRDefault="005D3A4C"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0.7050</w:t>
            </w:r>
          </w:p>
          <w:p w14:paraId="74B579DE" w14:textId="7777E98B" w:rsidR="002377C7" w:rsidRPr="00AE1EE7" w:rsidRDefault="002377C7"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w:t>
            </w:r>
          </w:p>
        </w:tc>
        <w:tc>
          <w:tcPr>
            <w:tcW w:w="1338" w:type="dxa"/>
            <w:shd w:val="clear" w:color="auto" w:fill="auto"/>
            <w:noWrap/>
            <w:hideMark/>
          </w:tcPr>
          <w:p w14:paraId="71113786" w14:textId="77777777" w:rsidR="005D3A4C" w:rsidRPr="00AE1EE7" w:rsidRDefault="005D3A4C" w:rsidP="0006518C">
            <w:pPr>
              <w:spacing w:after="0" w:line="240" w:lineRule="auto"/>
              <w:jc w:val="center"/>
              <w:rPr>
                <w:rFonts w:eastAsia="Times New Roman" w:cs="Arial"/>
                <w:color w:val="000000"/>
                <w:kern w:val="0"/>
                <w:szCs w:val="22"/>
                <w14:ligatures w14:val="none"/>
              </w:rPr>
            </w:pPr>
          </w:p>
        </w:tc>
        <w:tc>
          <w:tcPr>
            <w:tcW w:w="1337" w:type="dxa"/>
            <w:shd w:val="clear" w:color="auto" w:fill="auto"/>
            <w:noWrap/>
            <w:hideMark/>
          </w:tcPr>
          <w:p w14:paraId="3C8C15E0" w14:textId="77777777" w:rsidR="005D3A4C" w:rsidRPr="00AE1EE7" w:rsidRDefault="005D3A4C" w:rsidP="0006518C">
            <w:pPr>
              <w:spacing w:after="0" w:line="240" w:lineRule="auto"/>
              <w:jc w:val="center"/>
              <w:rPr>
                <w:rFonts w:eastAsia="Times New Roman" w:cs="Arial"/>
                <w:kern w:val="0"/>
                <w:szCs w:val="22"/>
                <w14:ligatures w14:val="none"/>
              </w:rPr>
            </w:pPr>
          </w:p>
        </w:tc>
        <w:tc>
          <w:tcPr>
            <w:tcW w:w="1197" w:type="dxa"/>
            <w:shd w:val="clear" w:color="auto" w:fill="auto"/>
            <w:noWrap/>
            <w:hideMark/>
          </w:tcPr>
          <w:p w14:paraId="65301880" w14:textId="77777777" w:rsidR="005D3A4C" w:rsidRPr="00AE1EE7" w:rsidRDefault="005D3A4C" w:rsidP="0006518C">
            <w:pPr>
              <w:spacing w:after="0" w:line="240" w:lineRule="auto"/>
              <w:jc w:val="center"/>
              <w:rPr>
                <w:rFonts w:eastAsia="Times New Roman" w:cs="Arial"/>
                <w:kern w:val="0"/>
                <w:szCs w:val="22"/>
                <w14:ligatures w14:val="none"/>
              </w:rPr>
            </w:pPr>
          </w:p>
        </w:tc>
        <w:tc>
          <w:tcPr>
            <w:tcW w:w="1197" w:type="dxa"/>
            <w:shd w:val="clear" w:color="auto" w:fill="auto"/>
            <w:noWrap/>
            <w:hideMark/>
          </w:tcPr>
          <w:p w14:paraId="0128D672" w14:textId="77777777" w:rsidR="005D3A4C" w:rsidRPr="00AE1EE7" w:rsidRDefault="005D3A4C" w:rsidP="0006518C">
            <w:pPr>
              <w:spacing w:after="0" w:line="240" w:lineRule="auto"/>
              <w:jc w:val="center"/>
              <w:rPr>
                <w:rFonts w:eastAsia="Times New Roman" w:cs="Arial"/>
                <w:kern w:val="0"/>
                <w:szCs w:val="22"/>
                <w14:ligatures w14:val="none"/>
              </w:rPr>
            </w:pPr>
          </w:p>
        </w:tc>
        <w:tc>
          <w:tcPr>
            <w:tcW w:w="1147" w:type="dxa"/>
            <w:shd w:val="clear" w:color="auto" w:fill="auto"/>
            <w:noWrap/>
            <w:hideMark/>
          </w:tcPr>
          <w:p w14:paraId="16B79521" w14:textId="77777777" w:rsidR="005D3A4C" w:rsidRPr="00AE1EE7" w:rsidRDefault="005D3A4C" w:rsidP="0006518C">
            <w:pPr>
              <w:spacing w:after="0" w:line="240" w:lineRule="auto"/>
              <w:jc w:val="center"/>
              <w:rPr>
                <w:rFonts w:eastAsia="Times New Roman" w:cs="Arial"/>
                <w:kern w:val="0"/>
                <w:szCs w:val="22"/>
                <w14:ligatures w14:val="none"/>
              </w:rPr>
            </w:pPr>
          </w:p>
        </w:tc>
        <w:tc>
          <w:tcPr>
            <w:tcW w:w="1147" w:type="dxa"/>
            <w:shd w:val="clear" w:color="auto" w:fill="auto"/>
            <w:noWrap/>
            <w:hideMark/>
          </w:tcPr>
          <w:p w14:paraId="1BE0D1EF" w14:textId="77777777" w:rsidR="005D3A4C" w:rsidRPr="00AE1EE7" w:rsidRDefault="005D3A4C" w:rsidP="0006518C">
            <w:pPr>
              <w:spacing w:after="0" w:line="240" w:lineRule="auto"/>
              <w:jc w:val="center"/>
              <w:rPr>
                <w:rFonts w:eastAsia="Times New Roman" w:cs="Arial"/>
                <w:kern w:val="0"/>
                <w:szCs w:val="22"/>
                <w14:ligatures w14:val="none"/>
              </w:rPr>
            </w:pPr>
          </w:p>
        </w:tc>
        <w:tc>
          <w:tcPr>
            <w:tcW w:w="1147" w:type="dxa"/>
            <w:shd w:val="clear" w:color="auto" w:fill="auto"/>
            <w:noWrap/>
            <w:hideMark/>
          </w:tcPr>
          <w:p w14:paraId="1AE26C9F" w14:textId="77777777" w:rsidR="005D3A4C" w:rsidRPr="00AE1EE7" w:rsidRDefault="005D3A4C" w:rsidP="0006518C">
            <w:pPr>
              <w:spacing w:after="0" w:line="240" w:lineRule="auto"/>
              <w:jc w:val="center"/>
              <w:rPr>
                <w:rFonts w:eastAsia="Times New Roman" w:cs="Arial"/>
                <w:kern w:val="0"/>
                <w:szCs w:val="22"/>
                <w14:ligatures w14:val="none"/>
              </w:rPr>
            </w:pPr>
          </w:p>
        </w:tc>
        <w:tc>
          <w:tcPr>
            <w:tcW w:w="1147" w:type="dxa"/>
            <w:shd w:val="clear" w:color="auto" w:fill="auto"/>
            <w:noWrap/>
            <w:hideMark/>
          </w:tcPr>
          <w:p w14:paraId="7B6DC0B9" w14:textId="77777777" w:rsidR="005D3A4C" w:rsidRPr="00AE1EE7" w:rsidRDefault="005D3A4C" w:rsidP="0006518C">
            <w:pPr>
              <w:spacing w:after="0" w:line="240" w:lineRule="auto"/>
              <w:jc w:val="center"/>
              <w:rPr>
                <w:rFonts w:eastAsia="Times New Roman" w:cs="Arial"/>
                <w:kern w:val="0"/>
                <w:szCs w:val="22"/>
                <w14:ligatures w14:val="none"/>
              </w:rPr>
            </w:pPr>
          </w:p>
        </w:tc>
      </w:tr>
      <w:tr w:rsidR="00406CDA" w:rsidRPr="00AE1EE7" w14:paraId="45ED6C09" w14:textId="77777777" w:rsidTr="006F5CF5">
        <w:trPr>
          <w:trHeight w:val="510"/>
        </w:trPr>
        <w:tc>
          <w:tcPr>
            <w:tcW w:w="1148" w:type="dxa"/>
            <w:shd w:val="clear" w:color="auto" w:fill="auto"/>
            <w:noWrap/>
            <w:vAlign w:val="center"/>
            <w:hideMark/>
          </w:tcPr>
          <w:p w14:paraId="19BCF4C9" w14:textId="03114E33" w:rsidR="005D3A4C" w:rsidRPr="00AE1EE7" w:rsidRDefault="005764B9" w:rsidP="0006518C">
            <w:pPr>
              <w:spacing w:after="0" w:line="240" w:lineRule="auto"/>
              <w:rPr>
                <w:rFonts w:eastAsia="Times New Roman" w:cs="Arial"/>
                <w:color w:val="000000"/>
                <w:kern w:val="0"/>
                <w:szCs w:val="22"/>
                <w14:ligatures w14:val="none"/>
              </w:rPr>
            </w:pPr>
            <m:oMath>
              <m:r>
                <w:rPr>
                  <w:rFonts w:ascii="Cambria Math" w:eastAsia="Times New Roman" w:hAnsi="Cambria Math" w:cs="Arial"/>
                  <w:color w:val="000000"/>
                  <w:kern w:val="0"/>
                  <w:szCs w:val="22"/>
                  <w14:ligatures w14:val="none"/>
                </w:rPr>
                <m:t>period</m:t>
              </m:r>
            </m:oMath>
            <w:r w:rsidR="00111EF3" w:rsidRPr="00AE1EE7">
              <w:rPr>
                <w:rFonts w:eastAsia="Times New Roman" w:cs="Arial"/>
                <w:color w:val="000000"/>
                <w:kern w:val="0"/>
                <w:szCs w:val="22"/>
                <w14:ligatures w14:val="none"/>
              </w:rPr>
              <w:t xml:space="preserve"> </w:t>
            </w:r>
          </w:p>
        </w:tc>
        <w:tc>
          <w:tcPr>
            <w:tcW w:w="1198" w:type="dxa"/>
            <w:shd w:val="clear" w:color="auto" w:fill="auto"/>
            <w:noWrap/>
            <w:hideMark/>
          </w:tcPr>
          <w:p w14:paraId="01077CF1" w14:textId="77777777" w:rsidR="005D3A4C" w:rsidRPr="00AE1EE7" w:rsidRDefault="005D3A4C"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-0.1212</w:t>
            </w:r>
          </w:p>
        </w:tc>
        <w:tc>
          <w:tcPr>
            <w:tcW w:w="1338" w:type="dxa"/>
            <w:shd w:val="clear" w:color="auto" w:fill="auto"/>
            <w:noWrap/>
            <w:hideMark/>
          </w:tcPr>
          <w:p w14:paraId="1750ECB0" w14:textId="77777777" w:rsidR="005D3A4C" w:rsidRPr="00AE1EE7" w:rsidRDefault="005D3A4C"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-0.1115</w:t>
            </w:r>
          </w:p>
        </w:tc>
        <w:tc>
          <w:tcPr>
            <w:tcW w:w="1221" w:type="dxa"/>
            <w:shd w:val="clear" w:color="auto" w:fill="auto"/>
            <w:noWrap/>
            <w:hideMark/>
          </w:tcPr>
          <w:p w14:paraId="522D57C9" w14:textId="77777777" w:rsidR="005D3A4C" w:rsidRPr="00AE1EE7" w:rsidRDefault="005D3A4C"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0.5121</w:t>
            </w:r>
          </w:p>
          <w:p w14:paraId="1694EC31" w14:textId="3348E0D3" w:rsidR="002377C7" w:rsidRPr="00AE1EE7" w:rsidRDefault="002377C7"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w:t>
            </w:r>
          </w:p>
        </w:tc>
        <w:tc>
          <w:tcPr>
            <w:tcW w:w="1338" w:type="dxa"/>
            <w:shd w:val="clear" w:color="auto" w:fill="auto"/>
            <w:noWrap/>
            <w:hideMark/>
          </w:tcPr>
          <w:p w14:paraId="6A35C105" w14:textId="77777777" w:rsidR="005D3A4C" w:rsidRPr="00AE1EE7" w:rsidRDefault="005D3A4C"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0.0299</w:t>
            </w:r>
          </w:p>
        </w:tc>
        <w:tc>
          <w:tcPr>
            <w:tcW w:w="1337" w:type="dxa"/>
            <w:shd w:val="clear" w:color="auto" w:fill="auto"/>
            <w:noWrap/>
            <w:hideMark/>
          </w:tcPr>
          <w:p w14:paraId="2B3ABB44" w14:textId="77777777" w:rsidR="005D3A4C" w:rsidRPr="00AE1EE7" w:rsidRDefault="005D3A4C" w:rsidP="0006518C">
            <w:pPr>
              <w:spacing w:after="0" w:line="240" w:lineRule="auto"/>
              <w:jc w:val="center"/>
              <w:rPr>
                <w:rFonts w:eastAsia="Times New Roman" w:cs="Arial"/>
                <w:color w:val="000000"/>
                <w:kern w:val="0"/>
                <w:szCs w:val="22"/>
                <w14:ligatures w14:val="none"/>
              </w:rPr>
            </w:pPr>
          </w:p>
        </w:tc>
        <w:tc>
          <w:tcPr>
            <w:tcW w:w="1197" w:type="dxa"/>
            <w:shd w:val="clear" w:color="auto" w:fill="auto"/>
            <w:noWrap/>
            <w:hideMark/>
          </w:tcPr>
          <w:p w14:paraId="072EE4CA" w14:textId="77777777" w:rsidR="005D3A4C" w:rsidRPr="00AE1EE7" w:rsidRDefault="005D3A4C" w:rsidP="0006518C">
            <w:pPr>
              <w:spacing w:after="0" w:line="240" w:lineRule="auto"/>
              <w:jc w:val="center"/>
              <w:rPr>
                <w:rFonts w:eastAsia="Times New Roman" w:cs="Arial"/>
                <w:kern w:val="0"/>
                <w:szCs w:val="22"/>
                <w14:ligatures w14:val="none"/>
              </w:rPr>
            </w:pPr>
          </w:p>
        </w:tc>
        <w:tc>
          <w:tcPr>
            <w:tcW w:w="1197" w:type="dxa"/>
            <w:shd w:val="clear" w:color="auto" w:fill="auto"/>
            <w:noWrap/>
            <w:hideMark/>
          </w:tcPr>
          <w:p w14:paraId="2D0BDEFE" w14:textId="77777777" w:rsidR="005D3A4C" w:rsidRPr="00AE1EE7" w:rsidRDefault="005D3A4C" w:rsidP="0006518C">
            <w:pPr>
              <w:spacing w:after="0" w:line="240" w:lineRule="auto"/>
              <w:jc w:val="center"/>
              <w:rPr>
                <w:rFonts w:eastAsia="Times New Roman" w:cs="Arial"/>
                <w:kern w:val="0"/>
                <w:szCs w:val="22"/>
                <w14:ligatures w14:val="none"/>
              </w:rPr>
            </w:pPr>
          </w:p>
        </w:tc>
        <w:tc>
          <w:tcPr>
            <w:tcW w:w="1147" w:type="dxa"/>
            <w:shd w:val="clear" w:color="auto" w:fill="auto"/>
            <w:noWrap/>
            <w:hideMark/>
          </w:tcPr>
          <w:p w14:paraId="3B76864C" w14:textId="77777777" w:rsidR="005D3A4C" w:rsidRPr="00AE1EE7" w:rsidRDefault="005D3A4C" w:rsidP="0006518C">
            <w:pPr>
              <w:spacing w:after="0" w:line="240" w:lineRule="auto"/>
              <w:jc w:val="center"/>
              <w:rPr>
                <w:rFonts w:eastAsia="Times New Roman" w:cs="Arial"/>
                <w:kern w:val="0"/>
                <w:szCs w:val="22"/>
                <w14:ligatures w14:val="none"/>
              </w:rPr>
            </w:pPr>
          </w:p>
        </w:tc>
        <w:tc>
          <w:tcPr>
            <w:tcW w:w="1147" w:type="dxa"/>
            <w:shd w:val="clear" w:color="auto" w:fill="auto"/>
            <w:noWrap/>
            <w:hideMark/>
          </w:tcPr>
          <w:p w14:paraId="4D0AEB26" w14:textId="77777777" w:rsidR="005D3A4C" w:rsidRPr="00AE1EE7" w:rsidRDefault="005D3A4C" w:rsidP="0006518C">
            <w:pPr>
              <w:spacing w:after="0" w:line="240" w:lineRule="auto"/>
              <w:jc w:val="center"/>
              <w:rPr>
                <w:rFonts w:eastAsia="Times New Roman" w:cs="Arial"/>
                <w:kern w:val="0"/>
                <w:szCs w:val="22"/>
                <w14:ligatures w14:val="none"/>
              </w:rPr>
            </w:pPr>
          </w:p>
        </w:tc>
        <w:tc>
          <w:tcPr>
            <w:tcW w:w="1147" w:type="dxa"/>
            <w:shd w:val="clear" w:color="auto" w:fill="auto"/>
            <w:noWrap/>
            <w:hideMark/>
          </w:tcPr>
          <w:p w14:paraId="36EBECF8" w14:textId="77777777" w:rsidR="005D3A4C" w:rsidRPr="00AE1EE7" w:rsidRDefault="005D3A4C" w:rsidP="0006518C">
            <w:pPr>
              <w:spacing w:after="0" w:line="240" w:lineRule="auto"/>
              <w:jc w:val="center"/>
              <w:rPr>
                <w:rFonts w:eastAsia="Times New Roman" w:cs="Arial"/>
                <w:kern w:val="0"/>
                <w:szCs w:val="22"/>
                <w14:ligatures w14:val="none"/>
              </w:rPr>
            </w:pPr>
          </w:p>
        </w:tc>
        <w:tc>
          <w:tcPr>
            <w:tcW w:w="1147" w:type="dxa"/>
            <w:shd w:val="clear" w:color="auto" w:fill="auto"/>
            <w:noWrap/>
            <w:hideMark/>
          </w:tcPr>
          <w:p w14:paraId="13EEA99B" w14:textId="77777777" w:rsidR="005D3A4C" w:rsidRPr="00AE1EE7" w:rsidRDefault="005D3A4C" w:rsidP="0006518C">
            <w:pPr>
              <w:spacing w:after="0" w:line="240" w:lineRule="auto"/>
              <w:jc w:val="center"/>
              <w:rPr>
                <w:rFonts w:eastAsia="Times New Roman" w:cs="Arial"/>
                <w:kern w:val="0"/>
                <w:szCs w:val="22"/>
                <w14:ligatures w14:val="none"/>
              </w:rPr>
            </w:pPr>
          </w:p>
        </w:tc>
      </w:tr>
      <w:tr w:rsidR="00406CDA" w:rsidRPr="00AE1EE7" w14:paraId="5D7BED3F" w14:textId="77777777" w:rsidTr="006F5CF5">
        <w:trPr>
          <w:trHeight w:val="510"/>
        </w:trPr>
        <w:tc>
          <w:tcPr>
            <w:tcW w:w="1148" w:type="dxa"/>
            <w:shd w:val="clear" w:color="auto" w:fill="auto"/>
            <w:noWrap/>
            <w:vAlign w:val="center"/>
            <w:hideMark/>
          </w:tcPr>
          <w:p w14:paraId="34387E2F" w14:textId="49F1A29D" w:rsidR="005D3A4C" w:rsidRPr="00AE1EE7" w:rsidRDefault="005764B9" w:rsidP="0006518C">
            <w:pPr>
              <w:spacing w:after="0" w:line="240" w:lineRule="auto"/>
              <w:rPr>
                <w:rFonts w:eastAsia="Times New Roman" w:cs="Arial"/>
                <w:color w:val="000000"/>
                <w:kern w:val="0"/>
                <w:szCs w:val="22"/>
                <w14:ligatures w14:val="none"/>
              </w:rPr>
            </w:pPr>
            <m:oMath>
              <m:r>
                <w:rPr>
                  <w:rFonts w:ascii="Cambria Math" w:eastAsia="Times New Roman" w:hAnsi="Cambria Math" w:cs="Arial"/>
                  <w:color w:val="000000"/>
                  <w:kern w:val="0"/>
                  <w:szCs w:val="22"/>
                  <w14:ligatures w14:val="none"/>
                </w:rPr>
                <m:t>lev</m:t>
              </m:r>
            </m:oMath>
            <w:r w:rsidR="00111EF3" w:rsidRPr="00AE1EE7">
              <w:rPr>
                <w:rFonts w:eastAsia="Times New Roman" w:cs="Arial"/>
                <w:color w:val="000000"/>
                <w:kern w:val="0"/>
                <w:szCs w:val="22"/>
                <w14:ligatures w14:val="none"/>
              </w:rPr>
              <w:t xml:space="preserve"> </w:t>
            </w:r>
          </w:p>
        </w:tc>
        <w:tc>
          <w:tcPr>
            <w:tcW w:w="1198" w:type="dxa"/>
            <w:shd w:val="clear" w:color="auto" w:fill="auto"/>
            <w:noWrap/>
            <w:hideMark/>
          </w:tcPr>
          <w:p w14:paraId="70FBFC5C" w14:textId="77777777" w:rsidR="005D3A4C" w:rsidRPr="00AE1EE7" w:rsidRDefault="005D3A4C"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-0.4956</w:t>
            </w:r>
          </w:p>
          <w:p w14:paraId="764D9016" w14:textId="4307AD18" w:rsidR="002377C7" w:rsidRPr="00AE1EE7" w:rsidRDefault="002377C7"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w:t>
            </w:r>
          </w:p>
        </w:tc>
        <w:tc>
          <w:tcPr>
            <w:tcW w:w="1338" w:type="dxa"/>
            <w:shd w:val="clear" w:color="auto" w:fill="auto"/>
            <w:noWrap/>
            <w:hideMark/>
          </w:tcPr>
          <w:p w14:paraId="40293A39" w14:textId="77777777" w:rsidR="005D3A4C" w:rsidRPr="00AE1EE7" w:rsidRDefault="005D3A4C"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-0.2982</w:t>
            </w:r>
          </w:p>
          <w:p w14:paraId="189D92FB" w14:textId="00BD21FE" w:rsidR="002377C7" w:rsidRPr="00AE1EE7" w:rsidRDefault="002377C7"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w:t>
            </w:r>
          </w:p>
        </w:tc>
        <w:tc>
          <w:tcPr>
            <w:tcW w:w="1221" w:type="dxa"/>
            <w:shd w:val="clear" w:color="auto" w:fill="auto"/>
            <w:noWrap/>
            <w:hideMark/>
          </w:tcPr>
          <w:p w14:paraId="701C6BBE" w14:textId="77777777" w:rsidR="005D3A4C" w:rsidRPr="00AE1EE7" w:rsidRDefault="005D3A4C"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0.1184</w:t>
            </w:r>
          </w:p>
        </w:tc>
        <w:tc>
          <w:tcPr>
            <w:tcW w:w="1338" w:type="dxa"/>
            <w:shd w:val="clear" w:color="auto" w:fill="auto"/>
            <w:noWrap/>
            <w:hideMark/>
          </w:tcPr>
          <w:p w14:paraId="5C931E76" w14:textId="77777777" w:rsidR="005D3A4C" w:rsidRPr="00AE1EE7" w:rsidRDefault="005D3A4C"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0.1930</w:t>
            </w:r>
          </w:p>
          <w:p w14:paraId="0D5E3995" w14:textId="5EC066B7" w:rsidR="002377C7" w:rsidRPr="00AE1EE7" w:rsidRDefault="002377C7"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w:t>
            </w:r>
          </w:p>
        </w:tc>
        <w:tc>
          <w:tcPr>
            <w:tcW w:w="1337" w:type="dxa"/>
            <w:shd w:val="clear" w:color="auto" w:fill="auto"/>
            <w:noWrap/>
            <w:hideMark/>
          </w:tcPr>
          <w:p w14:paraId="72D3CFC9" w14:textId="77777777" w:rsidR="005D3A4C" w:rsidRPr="00AE1EE7" w:rsidRDefault="005D3A4C"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0.0174</w:t>
            </w:r>
          </w:p>
        </w:tc>
        <w:tc>
          <w:tcPr>
            <w:tcW w:w="1197" w:type="dxa"/>
            <w:shd w:val="clear" w:color="auto" w:fill="auto"/>
            <w:noWrap/>
            <w:hideMark/>
          </w:tcPr>
          <w:p w14:paraId="42D736E0" w14:textId="77777777" w:rsidR="005D3A4C" w:rsidRPr="00AE1EE7" w:rsidRDefault="005D3A4C" w:rsidP="0006518C">
            <w:pPr>
              <w:spacing w:after="0" w:line="240" w:lineRule="auto"/>
              <w:jc w:val="center"/>
              <w:rPr>
                <w:rFonts w:eastAsia="Times New Roman" w:cs="Arial"/>
                <w:color w:val="000000"/>
                <w:kern w:val="0"/>
                <w:szCs w:val="22"/>
                <w14:ligatures w14:val="none"/>
              </w:rPr>
            </w:pPr>
          </w:p>
        </w:tc>
        <w:tc>
          <w:tcPr>
            <w:tcW w:w="1197" w:type="dxa"/>
            <w:shd w:val="clear" w:color="auto" w:fill="auto"/>
            <w:noWrap/>
            <w:hideMark/>
          </w:tcPr>
          <w:p w14:paraId="5560F5BB" w14:textId="77777777" w:rsidR="005D3A4C" w:rsidRPr="00AE1EE7" w:rsidRDefault="005D3A4C" w:rsidP="0006518C">
            <w:pPr>
              <w:spacing w:after="0" w:line="240" w:lineRule="auto"/>
              <w:jc w:val="center"/>
              <w:rPr>
                <w:rFonts w:eastAsia="Times New Roman" w:cs="Arial"/>
                <w:kern w:val="0"/>
                <w:szCs w:val="22"/>
                <w14:ligatures w14:val="none"/>
              </w:rPr>
            </w:pPr>
          </w:p>
        </w:tc>
        <w:tc>
          <w:tcPr>
            <w:tcW w:w="1147" w:type="dxa"/>
            <w:shd w:val="clear" w:color="auto" w:fill="auto"/>
            <w:noWrap/>
            <w:hideMark/>
          </w:tcPr>
          <w:p w14:paraId="03BFF648" w14:textId="77777777" w:rsidR="005D3A4C" w:rsidRPr="00AE1EE7" w:rsidRDefault="005D3A4C" w:rsidP="0006518C">
            <w:pPr>
              <w:spacing w:after="0" w:line="240" w:lineRule="auto"/>
              <w:jc w:val="center"/>
              <w:rPr>
                <w:rFonts w:eastAsia="Times New Roman" w:cs="Arial"/>
                <w:kern w:val="0"/>
                <w:szCs w:val="22"/>
                <w14:ligatures w14:val="none"/>
              </w:rPr>
            </w:pPr>
          </w:p>
        </w:tc>
        <w:tc>
          <w:tcPr>
            <w:tcW w:w="1147" w:type="dxa"/>
            <w:shd w:val="clear" w:color="auto" w:fill="auto"/>
            <w:noWrap/>
            <w:hideMark/>
          </w:tcPr>
          <w:p w14:paraId="7657D87B" w14:textId="77777777" w:rsidR="005D3A4C" w:rsidRPr="00AE1EE7" w:rsidRDefault="005D3A4C" w:rsidP="0006518C">
            <w:pPr>
              <w:spacing w:after="0" w:line="240" w:lineRule="auto"/>
              <w:jc w:val="center"/>
              <w:rPr>
                <w:rFonts w:eastAsia="Times New Roman" w:cs="Arial"/>
                <w:kern w:val="0"/>
                <w:szCs w:val="22"/>
                <w14:ligatures w14:val="none"/>
              </w:rPr>
            </w:pPr>
          </w:p>
        </w:tc>
        <w:tc>
          <w:tcPr>
            <w:tcW w:w="1147" w:type="dxa"/>
            <w:shd w:val="clear" w:color="auto" w:fill="auto"/>
            <w:noWrap/>
            <w:hideMark/>
          </w:tcPr>
          <w:p w14:paraId="2318ECF5" w14:textId="77777777" w:rsidR="005D3A4C" w:rsidRPr="00AE1EE7" w:rsidRDefault="005D3A4C" w:rsidP="0006518C">
            <w:pPr>
              <w:spacing w:after="0" w:line="240" w:lineRule="auto"/>
              <w:jc w:val="center"/>
              <w:rPr>
                <w:rFonts w:eastAsia="Times New Roman" w:cs="Arial"/>
                <w:kern w:val="0"/>
                <w:szCs w:val="22"/>
                <w14:ligatures w14:val="none"/>
              </w:rPr>
            </w:pPr>
          </w:p>
        </w:tc>
        <w:tc>
          <w:tcPr>
            <w:tcW w:w="1147" w:type="dxa"/>
            <w:shd w:val="clear" w:color="auto" w:fill="auto"/>
            <w:noWrap/>
            <w:hideMark/>
          </w:tcPr>
          <w:p w14:paraId="0E4739AA" w14:textId="77777777" w:rsidR="005D3A4C" w:rsidRPr="00AE1EE7" w:rsidRDefault="005D3A4C" w:rsidP="0006518C">
            <w:pPr>
              <w:spacing w:after="0" w:line="240" w:lineRule="auto"/>
              <w:jc w:val="center"/>
              <w:rPr>
                <w:rFonts w:eastAsia="Times New Roman" w:cs="Arial"/>
                <w:kern w:val="0"/>
                <w:szCs w:val="22"/>
                <w14:ligatures w14:val="none"/>
              </w:rPr>
            </w:pPr>
          </w:p>
        </w:tc>
      </w:tr>
      <w:tr w:rsidR="00406CDA" w:rsidRPr="00AE1EE7" w14:paraId="1E86D6A2" w14:textId="77777777" w:rsidTr="006F5CF5">
        <w:trPr>
          <w:trHeight w:val="510"/>
        </w:trPr>
        <w:tc>
          <w:tcPr>
            <w:tcW w:w="1148" w:type="dxa"/>
            <w:shd w:val="clear" w:color="auto" w:fill="auto"/>
            <w:noWrap/>
            <w:vAlign w:val="center"/>
            <w:hideMark/>
          </w:tcPr>
          <w:p w14:paraId="14DD4442" w14:textId="55F841B2" w:rsidR="005D3A4C" w:rsidRPr="00AE1EE7" w:rsidRDefault="005764B9" w:rsidP="0006518C">
            <w:pPr>
              <w:spacing w:after="0" w:line="240" w:lineRule="auto"/>
              <w:rPr>
                <w:rFonts w:eastAsia="Times New Roman" w:cs="Arial"/>
                <w:color w:val="000000"/>
                <w:kern w:val="0"/>
                <w:szCs w:val="22"/>
                <w14:ligatures w14:val="none"/>
              </w:rPr>
            </w:pPr>
            <m:oMath>
              <m:r>
                <w:rPr>
                  <w:rFonts w:ascii="Cambria Math" w:eastAsia="Times New Roman" w:hAnsi="Cambria Math" w:cs="Arial"/>
                  <w:color w:val="000000"/>
                  <w:kern w:val="0"/>
                  <w:szCs w:val="22"/>
                  <w14:ligatures w14:val="none"/>
                </w:rPr>
                <m:t>ocfta</m:t>
              </m:r>
            </m:oMath>
            <w:r w:rsidR="00111EF3" w:rsidRPr="00AE1EE7">
              <w:rPr>
                <w:rFonts w:eastAsia="Times New Roman" w:cs="Arial"/>
                <w:color w:val="000000"/>
                <w:kern w:val="0"/>
                <w:szCs w:val="22"/>
                <w14:ligatures w14:val="none"/>
              </w:rPr>
              <w:t xml:space="preserve"> </w:t>
            </w:r>
          </w:p>
        </w:tc>
        <w:tc>
          <w:tcPr>
            <w:tcW w:w="1198" w:type="dxa"/>
            <w:shd w:val="clear" w:color="auto" w:fill="auto"/>
            <w:noWrap/>
            <w:hideMark/>
          </w:tcPr>
          <w:p w14:paraId="051C4219" w14:textId="77777777" w:rsidR="005D3A4C" w:rsidRPr="00AE1EE7" w:rsidRDefault="005D3A4C"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0.6857</w:t>
            </w:r>
          </w:p>
          <w:p w14:paraId="07906502" w14:textId="4AB67824" w:rsidR="002377C7" w:rsidRPr="00AE1EE7" w:rsidRDefault="002377C7"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w:t>
            </w:r>
          </w:p>
        </w:tc>
        <w:tc>
          <w:tcPr>
            <w:tcW w:w="1338" w:type="dxa"/>
            <w:shd w:val="clear" w:color="auto" w:fill="auto"/>
            <w:noWrap/>
            <w:hideMark/>
          </w:tcPr>
          <w:p w14:paraId="0F05F9DB" w14:textId="77777777" w:rsidR="005D3A4C" w:rsidRPr="00AE1EE7" w:rsidRDefault="005D3A4C"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0.5935</w:t>
            </w:r>
          </w:p>
          <w:p w14:paraId="497FA6B6" w14:textId="4B8D2157" w:rsidR="002377C7" w:rsidRPr="00AE1EE7" w:rsidRDefault="002377C7"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w:t>
            </w:r>
          </w:p>
        </w:tc>
        <w:tc>
          <w:tcPr>
            <w:tcW w:w="1221" w:type="dxa"/>
            <w:shd w:val="clear" w:color="auto" w:fill="auto"/>
            <w:noWrap/>
            <w:hideMark/>
          </w:tcPr>
          <w:p w14:paraId="412B7BAB" w14:textId="77777777" w:rsidR="005D3A4C" w:rsidRPr="00AE1EE7" w:rsidRDefault="005D3A4C"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0.1170</w:t>
            </w:r>
          </w:p>
        </w:tc>
        <w:tc>
          <w:tcPr>
            <w:tcW w:w="1338" w:type="dxa"/>
            <w:shd w:val="clear" w:color="auto" w:fill="auto"/>
            <w:noWrap/>
            <w:hideMark/>
          </w:tcPr>
          <w:p w14:paraId="3C342A02" w14:textId="77777777" w:rsidR="005D3A4C" w:rsidRPr="00AE1EE7" w:rsidRDefault="005D3A4C"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0.1174</w:t>
            </w:r>
          </w:p>
        </w:tc>
        <w:tc>
          <w:tcPr>
            <w:tcW w:w="1337" w:type="dxa"/>
            <w:shd w:val="clear" w:color="auto" w:fill="auto"/>
            <w:noWrap/>
            <w:hideMark/>
          </w:tcPr>
          <w:p w14:paraId="383C753B" w14:textId="77777777" w:rsidR="005D3A4C" w:rsidRPr="00AE1EE7" w:rsidRDefault="005D3A4C"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-0.0341</w:t>
            </w:r>
          </w:p>
        </w:tc>
        <w:tc>
          <w:tcPr>
            <w:tcW w:w="1197" w:type="dxa"/>
            <w:shd w:val="clear" w:color="auto" w:fill="auto"/>
            <w:noWrap/>
            <w:hideMark/>
          </w:tcPr>
          <w:p w14:paraId="6EA258BA" w14:textId="77777777" w:rsidR="005D3A4C" w:rsidRPr="00AE1EE7" w:rsidRDefault="005D3A4C"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-0.2741</w:t>
            </w:r>
          </w:p>
          <w:p w14:paraId="026A1E7F" w14:textId="6802B2E5" w:rsidR="002377C7" w:rsidRPr="00AE1EE7" w:rsidRDefault="002377C7"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w:t>
            </w:r>
          </w:p>
        </w:tc>
        <w:tc>
          <w:tcPr>
            <w:tcW w:w="1197" w:type="dxa"/>
            <w:shd w:val="clear" w:color="auto" w:fill="auto"/>
            <w:noWrap/>
            <w:hideMark/>
          </w:tcPr>
          <w:p w14:paraId="3C209B3E" w14:textId="77777777" w:rsidR="005D3A4C" w:rsidRPr="00AE1EE7" w:rsidRDefault="005D3A4C" w:rsidP="0006518C">
            <w:pPr>
              <w:spacing w:after="0" w:line="240" w:lineRule="auto"/>
              <w:jc w:val="center"/>
              <w:rPr>
                <w:rFonts w:eastAsia="Times New Roman" w:cs="Arial"/>
                <w:color w:val="000000"/>
                <w:kern w:val="0"/>
                <w:szCs w:val="22"/>
                <w14:ligatures w14:val="none"/>
              </w:rPr>
            </w:pPr>
          </w:p>
        </w:tc>
        <w:tc>
          <w:tcPr>
            <w:tcW w:w="1147" w:type="dxa"/>
            <w:shd w:val="clear" w:color="auto" w:fill="auto"/>
            <w:noWrap/>
            <w:hideMark/>
          </w:tcPr>
          <w:p w14:paraId="49F080B4" w14:textId="77777777" w:rsidR="005D3A4C" w:rsidRPr="00AE1EE7" w:rsidRDefault="005D3A4C" w:rsidP="0006518C">
            <w:pPr>
              <w:spacing w:after="0" w:line="240" w:lineRule="auto"/>
              <w:jc w:val="center"/>
              <w:rPr>
                <w:rFonts w:eastAsia="Times New Roman" w:cs="Arial"/>
                <w:kern w:val="0"/>
                <w:szCs w:val="22"/>
                <w14:ligatures w14:val="none"/>
              </w:rPr>
            </w:pPr>
          </w:p>
        </w:tc>
        <w:tc>
          <w:tcPr>
            <w:tcW w:w="1147" w:type="dxa"/>
            <w:shd w:val="clear" w:color="auto" w:fill="auto"/>
            <w:noWrap/>
            <w:hideMark/>
          </w:tcPr>
          <w:p w14:paraId="2A864871" w14:textId="77777777" w:rsidR="005D3A4C" w:rsidRPr="00AE1EE7" w:rsidRDefault="005D3A4C" w:rsidP="0006518C">
            <w:pPr>
              <w:spacing w:after="0" w:line="240" w:lineRule="auto"/>
              <w:jc w:val="center"/>
              <w:rPr>
                <w:rFonts w:eastAsia="Times New Roman" w:cs="Arial"/>
                <w:kern w:val="0"/>
                <w:szCs w:val="22"/>
                <w14:ligatures w14:val="none"/>
              </w:rPr>
            </w:pPr>
          </w:p>
        </w:tc>
        <w:tc>
          <w:tcPr>
            <w:tcW w:w="1147" w:type="dxa"/>
            <w:shd w:val="clear" w:color="auto" w:fill="auto"/>
            <w:noWrap/>
            <w:hideMark/>
          </w:tcPr>
          <w:p w14:paraId="7C95E2BA" w14:textId="77777777" w:rsidR="005D3A4C" w:rsidRPr="00AE1EE7" w:rsidRDefault="005D3A4C" w:rsidP="0006518C">
            <w:pPr>
              <w:spacing w:after="0" w:line="240" w:lineRule="auto"/>
              <w:jc w:val="center"/>
              <w:rPr>
                <w:rFonts w:eastAsia="Times New Roman" w:cs="Arial"/>
                <w:kern w:val="0"/>
                <w:szCs w:val="22"/>
                <w14:ligatures w14:val="none"/>
              </w:rPr>
            </w:pPr>
          </w:p>
        </w:tc>
        <w:tc>
          <w:tcPr>
            <w:tcW w:w="1147" w:type="dxa"/>
            <w:shd w:val="clear" w:color="auto" w:fill="auto"/>
            <w:noWrap/>
            <w:hideMark/>
          </w:tcPr>
          <w:p w14:paraId="1D27E4F2" w14:textId="77777777" w:rsidR="005D3A4C" w:rsidRPr="00AE1EE7" w:rsidRDefault="005D3A4C" w:rsidP="0006518C">
            <w:pPr>
              <w:spacing w:after="0" w:line="240" w:lineRule="auto"/>
              <w:jc w:val="center"/>
              <w:rPr>
                <w:rFonts w:eastAsia="Times New Roman" w:cs="Arial"/>
                <w:kern w:val="0"/>
                <w:szCs w:val="22"/>
                <w14:ligatures w14:val="none"/>
              </w:rPr>
            </w:pPr>
          </w:p>
        </w:tc>
      </w:tr>
      <w:tr w:rsidR="00406CDA" w:rsidRPr="00AE1EE7" w14:paraId="2A0F3EC0" w14:textId="77777777" w:rsidTr="006F5CF5">
        <w:trPr>
          <w:trHeight w:val="510"/>
        </w:trPr>
        <w:tc>
          <w:tcPr>
            <w:tcW w:w="1148" w:type="dxa"/>
            <w:shd w:val="clear" w:color="auto" w:fill="auto"/>
            <w:noWrap/>
            <w:vAlign w:val="center"/>
            <w:hideMark/>
          </w:tcPr>
          <w:p w14:paraId="2676EC6E" w14:textId="2FFD2048" w:rsidR="005D3A4C" w:rsidRPr="00AE1EE7" w:rsidRDefault="005764B9" w:rsidP="0006518C">
            <w:pPr>
              <w:spacing w:after="0" w:line="240" w:lineRule="auto"/>
              <w:rPr>
                <w:rFonts w:eastAsia="Times New Roman" w:cs="Arial"/>
                <w:color w:val="000000"/>
                <w:kern w:val="0"/>
                <w:szCs w:val="22"/>
                <w14:ligatures w14:val="none"/>
              </w:rPr>
            </w:pPr>
            <m:oMath>
              <m:r>
                <w:rPr>
                  <w:rFonts w:ascii="Cambria Math" w:eastAsia="Times New Roman" w:hAnsi="Cambria Math" w:cs="Arial"/>
                  <w:color w:val="000000"/>
                  <w:kern w:val="0"/>
                  <w:szCs w:val="22"/>
                  <w14:ligatures w14:val="none"/>
                </w:rPr>
                <m:t>size</m:t>
              </m:r>
            </m:oMath>
            <w:r w:rsidR="00111EF3" w:rsidRPr="00AE1EE7">
              <w:rPr>
                <w:rFonts w:eastAsia="Times New Roman" w:cs="Arial"/>
                <w:color w:val="000000"/>
                <w:kern w:val="0"/>
                <w:szCs w:val="22"/>
                <w14:ligatures w14:val="none"/>
              </w:rPr>
              <w:t xml:space="preserve"> </w:t>
            </w:r>
          </w:p>
        </w:tc>
        <w:tc>
          <w:tcPr>
            <w:tcW w:w="1198" w:type="dxa"/>
            <w:shd w:val="clear" w:color="auto" w:fill="auto"/>
            <w:noWrap/>
            <w:hideMark/>
          </w:tcPr>
          <w:p w14:paraId="3B590357" w14:textId="77777777" w:rsidR="005D3A4C" w:rsidRPr="00AE1EE7" w:rsidRDefault="005D3A4C"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-0.0329</w:t>
            </w:r>
          </w:p>
        </w:tc>
        <w:tc>
          <w:tcPr>
            <w:tcW w:w="1338" w:type="dxa"/>
            <w:shd w:val="clear" w:color="auto" w:fill="auto"/>
            <w:noWrap/>
            <w:hideMark/>
          </w:tcPr>
          <w:p w14:paraId="60E1F01A" w14:textId="77777777" w:rsidR="005D3A4C" w:rsidRPr="00AE1EE7" w:rsidRDefault="005D3A4C"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-0.0582</w:t>
            </w:r>
          </w:p>
        </w:tc>
        <w:tc>
          <w:tcPr>
            <w:tcW w:w="1221" w:type="dxa"/>
            <w:shd w:val="clear" w:color="auto" w:fill="auto"/>
            <w:noWrap/>
            <w:hideMark/>
          </w:tcPr>
          <w:p w14:paraId="37A6588D" w14:textId="77777777" w:rsidR="005D3A4C" w:rsidRPr="00AE1EE7" w:rsidRDefault="005D3A4C"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0.1244</w:t>
            </w:r>
          </w:p>
          <w:p w14:paraId="56C50AEF" w14:textId="039FDE9C" w:rsidR="002377C7" w:rsidRPr="00AE1EE7" w:rsidRDefault="002377C7"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w:t>
            </w:r>
          </w:p>
        </w:tc>
        <w:tc>
          <w:tcPr>
            <w:tcW w:w="1338" w:type="dxa"/>
            <w:shd w:val="clear" w:color="auto" w:fill="auto"/>
            <w:noWrap/>
            <w:hideMark/>
          </w:tcPr>
          <w:p w14:paraId="54B64849" w14:textId="77777777" w:rsidR="005D3A4C" w:rsidRPr="00AE1EE7" w:rsidRDefault="005D3A4C"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0.1495</w:t>
            </w:r>
          </w:p>
          <w:p w14:paraId="60414578" w14:textId="492F8306" w:rsidR="002377C7" w:rsidRPr="00AE1EE7" w:rsidRDefault="002377C7"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w:t>
            </w:r>
          </w:p>
        </w:tc>
        <w:tc>
          <w:tcPr>
            <w:tcW w:w="1337" w:type="dxa"/>
            <w:shd w:val="clear" w:color="auto" w:fill="auto"/>
            <w:noWrap/>
            <w:hideMark/>
          </w:tcPr>
          <w:p w14:paraId="42239A62" w14:textId="77777777" w:rsidR="005D3A4C" w:rsidRPr="00AE1EE7" w:rsidRDefault="005D3A4C"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0.1351</w:t>
            </w:r>
          </w:p>
          <w:p w14:paraId="4312F3D8" w14:textId="6AE6797D" w:rsidR="002377C7" w:rsidRPr="00AE1EE7" w:rsidRDefault="002377C7"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w:t>
            </w:r>
          </w:p>
        </w:tc>
        <w:tc>
          <w:tcPr>
            <w:tcW w:w="1197" w:type="dxa"/>
            <w:shd w:val="clear" w:color="auto" w:fill="auto"/>
            <w:noWrap/>
            <w:hideMark/>
          </w:tcPr>
          <w:p w14:paraId="49218AD9" w14:textId="77777777" w:rsidR="005D3A4C" w:rsidRPr="00AE1EE7" w:rsidRDefault="005D3A4C"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0.0829</w:t>
            </w:r>
          </w:p>
        </w:tc>
        <w:tc>
          <w:tcPr>
            <w:tcW w:w="1197" w:type="dxa"/>
            <w:shd w:val="clear" w:color="auto" w:fill="auto"/>
            <w:noWrap/>
            <w:hideMark/>
          </w:tcPr>
          <w:p w14:paraId="26D87775" w14:textId="77777777" w:rsidR="005D3A4C" w:rsidRPr="00AE1EE7" w:rsidRDefault="005D3A4C"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0.0294</w:t>
            </w:r>
          </w:p>
        </w:tc>
        <w:tc>
          <w:tcPr>
            <w:tcW w:w="1147" w:type="dxa"/>
            <w:shd w:val="clear" w:color="auto" w:fill="auto"/>
            <w:noWrap/>
            <w:hideMark/>
          </w:tcPr>
          <w:p w14:paraId="596B8810" w14:textId="77777777" w:rsidR="005D3A4C" w:rsidRPr="00AE1EE7" w:rsidRDefault="005D3A4C" w:rsidP="0006518C">
            <w:pPr>
              <w:spacing w:after="0" w:line="240" w:lineRule="auto"/>
              <w:jc w:val="center"/>
              <w:rPr>
                <w:rFonts w:eastAsia="Times New Roman" w:cs="Arial"/>
                <w:color w:val="000000"/>
                <w:kern w:val="0"/>
                <w:szCs w:val="22"/>
                <w14:ligatures w14:val="none"/>
              </w:rPr>
            </w:pPr>
          </w:p>
        </w:tc>
        <w:tc>
          <w:tcPr>
            <w:tcW w:w="1147" w:type="dxa"/>
            <w:shd w:val="clear" w:color="auto" w:fill="auto"/>
            <w:noWrap/>
            <w:hideMark/>
          </w:tcPr>
          <w:p w14:paraId="0D4FAF5F" w14:textId="77777777" w:rsidR="005D3A4C" w:rsidRPr="00AE1EE7" w:rsidRDefault="005D3A4C" w:rsidP="0006518C">
            <w:pPr>
              <w:spacing w:after="0" w:line="240" w:lineRule="auto"/>
              <w:jc w:val="center"/>
              <w:rPr>
                <w:rFonts w:eastAsia="Times New Roman" w:cs="Arial"/>
                <w:kern w:val="0"/>
                <w:szCs w:val="22"/>
                <w14:ligatures w14:val="none"/>
              </w:rPr>
            </w:pPr>
          </w:p>
        </w:tc>
        <w:tc>
          <w:tcPr>
            <w:tcW w:w="1147" w:type="dxa"/>
            <w:shd w:val="clear" w:color="auto" w:fill="auto"/>
            <w:noWrap/>
            <w:hideMark/>
          </w:tcPr>
          <w:p w14:paraId="45079605" w14:textId="77777777" w:rsidR="005D3A4C" w:rsidRPr="00AE1EE7" w:rsidRDefault="005D3A4C" w:rsidP="0006518C">
            <w:pPr>
              <w:spacing w:after="0" w:line="240" w:lineRule="auto"/>
              <w:jc w:val="center"/>
              <w:rPr>
                <w:rFonts w:eastAsia="Times New Roman" w:cs="Arial"/>
                <w:kern w:val="0"/>
                <w:szCs w:val="22"/>
                <w14:ligatures w14:val="none"/>
              </w:rPr>
            </w:pPr>
          </w:p>
        </w:tc>
        <w:tc>
          <w:tcPr>
            <w:tcW w:w="1147" w:type="dxa"/>
            <w:shd w:val="clear" w:color="auto" w:fill="auto"/>
            <w:noWrap/>
            <w:hideMark/>
          </w:tcPr>
          <w:p w14:paraId="4F1314BC" w14:textId="77777777" w:rsidR="005D3A4C" w:rsidRPr="00AE1EE7" w:rsidRDefault="005D3A4C" w:rsidP="0006518C">
            <w:pPr>
              <w:spacing w:after="0" w:line="240" w:lineRule="auto"/>
              <w:jc w:val="center"/>
              <w:rPr>
                <w:rFonts w:eastAsia="Times New Roman" w:cs="Arial"/>
                <w:kern w:val="0"/>
                <w:szCs w:val="22"/>
                <w14:ligatures w14:val="none"/>
              </w:rPr>
            </w:pPr>
          </w:p>
        </w:tc>
      </w:tr>
      <w:tr w:rsidR="00406CDA" w:rsidRPr="00AE1EE7" w14:paraId="3127F808" w14:textId="77777777" w:rsidTr="006F5CF5">
        <w:trPr>
          <w:trHeight w:val="510"/>
        </w:trPr>
        <w:tc>
          <w:tcPr>
            <w:tcW w:w="1148" w:type="dxa"/>
            <w:shd w:val="clear" w:color="auto" w:fill="auto"/>
            <w:noWrap/>
            <w:vAlign w:val="center"/>
            <w:hideMark/>
          </w:tcPr>
          <w:p w14:paraId="513B5CEB" w14:textId="1CCC4319" w:rsidR="005D3A4C" w:rsidRPr="00AE1EE7" w:rsidRDefault="005764B9" w:rsidP="0006518C">
            <w:pPr>
              <w:spacing w:after="0" w:line="240" w:lineRule="auto"/>
              <w:rPr>
                <w:rFonts w:eastAsia="Times New Roman" w:cs="Arial"/>
                <w:color w:val="000000"/>
                <w:kern w:val="0"/>
                <w:szCs w:val="22"/>
                <w14:ligatures w14:val="none"/>
              </w:rPr>
            </w:pPr>
            <m:oMath>
              <m:r>
                <w:rPr>
                  <w:rFonts w:ascii="Cambria Math" w:eastAsia="Times New Roman" w:hAnsi="Cambria Math" w:cs="Arial"/>
                  <w:color w:val="000000"/>
                  <w:kern w:val="0"/>
                  <w:szCs w:val="22"/>
                  <w14:ligatures w14:val="none"/>
                </w:rPr>
                <m:t>ppeta</m:t>
              </m:r>
            </m:oMath>
            <w:r w:rsidR="00111EF3" w:rsidRPr="00AE1EE7">
              <w:rPr>
                <w:rFonts w:eastAsia="Times New Roman" w:cs="Arial"/>
                <w:color w:val="000000"/>
                <w:kern w:val="0"/>
                <w:szCs w:val="22"/>
                <w14:ligatures w14:val="none"/>
              </w:rPr>
              <w:t xml:space="preserve"> </w:t>
            </w:r>
          </w:p>
        </w:tc>
        <w:tc>
          <w:tcPr>
            <w:tcW w:w="1198" w:type="dxa"/>
            <w:shd w:val="clear" w:color="auto" w:fill="auto"/>
            <w:noWrap/>
            <w:hideMark/>
          </w:tcPr>
          <w:p w14:paraId="6D6876B0" w14:textId="77777777" w:rsidR="005D3A4C" w:rsidRPr="00AE1EE7" w:rsidRDefault="005D3A4C"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-0.1008</w:t>
            </w:r>
          </w:p>
        </w:tc>
        <w:tc>
          <w:tcPr>
            <w:tcW w:w="1338" w:type="dxa"/>
            <w:shd w:val="clear" w:color="auto" w:fill="auto"/>
            <w:noWrap/>
            <w:hideMark/>
          </w:tcPr>
          <w:p w14:paraId="37CAC562" w14:textId="77777777" w:rsidR="005D3A4C" w:rsidRPr="00AE1EE7" w:rsidRDefault="005D3A4C"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-0.1527</w:t>
            </w:r>
          </w:p>
          <w:p w14:paraId="5B9E3D8A" w14:textId="05A76369" w:rsidR="002377C7" w:rsidRPr="00AE1EE7" w:rsidRDefault="002377C7"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w:t>
            </w:r>
          </w:p>
        </w:tc>
        <w:tc>
          <w:tcPr>
            <w:tcW w:w="1221" w:type="dxa"/>
            <w:shd w:val="clear" w:color="auto" w:fill="auto"/>
            <w:noWrap/>
            <w:hideMark/>
          </w:tcPr>
          <w:p w14:paraId="0D967D86" w14:textId="77777777" w:rsidR="005D3A4C" w:rsidRPr="00AE1EE7" w:rsidRDefault="005D3A4C"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-0.2006</w:t>
            </w:r>
          </w:p>
          <w:p w14:paraId="60ABBDDC" w14:textId="4E36ACD6" w:rsidR="002377C7" w:rsidRPr="00AE1EE7" w:rsidRDefault="002377C7"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w:t>
            </w:r>
          </w:p>
        </w:tc>
        <w:tc>
          <w:tcPr>
            <w:tcW w:w="1338" w:type="dxa"/>
            <w:shd w:val="clear" w:color="auto" w:fill="auto"/>
            <w:noWrap/>
            <w:hideMark/>
          </w:tcPr>
          <w:p w14:paraId="379F7BE3" w14:textId="77777777" w:rsidR="005D3A4C" w:rsidRPr="00AE1EE7" w:rsidRDefault="005D3A4C"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-0.0431</w:t>
            </w:r>
          </w:p>
        </w:tc>
        <w:tc>
          <w:tcPr>
            <w:tcW w:w="1337" w:type="dxa"/>
            <w:shd w:val="clear" w:color="auto" w:fill="auto"/>
            <w:noWrap/>
            <w:hideMark/>
          </w:tcPr>
          <w:p w14:paraId="3EFA93E8" w14:textId="77777777" w:rsidR="005D3A4C" w:rsidRPr="00AE1EE7" w:rsidRDefault="005D3A4C"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-0.2792</w:t>
            </w:r>
          </w:p>
          <w:p w14:paraId="7C607A92" w14:textId="6FC2A17C" w:rsidR="002377C7" w:rsidRPr="00AE1EE7" w:rsidRDefault="002377C7"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w:t>
            </w:r>
          </w:p>
        </w:tc>
        <w:tc>
          <w:tcPr>
            <w:tcW w:w="1197" w:type="dxa"/>
            <w:shd w:val="clear" w:color="auto" w:fill="auto"/>
            <w:noWrap/>
            <w:hideMark/>
          </w:tcPr>
          <w:p w14:paraId="1C4B1B57" w14:textId="77777777" w:rsidR="005D3A4C" w:rsidRPr="00AE1EE7" w:rsidRDefault="005D3A4C"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0.0075</w:t>
            </w:r>
          </w:p>
        </w:tc>
        <w:tc>
          <w:tcPr>
            <w:tcW w:w="1197" w:type="dxa"/>
            <w:shd w:val="clear" w:color="auto" w:fill="auto"/>
            <w:noWrap/>
            <w:hideMark/>
          </w:tcPr>
          <w:p w14:paraId="0864AC74" w14:textId="77777777" w:rsidR="005D3A4C" w:rsidRPr="00AE1EE7" w:rsidRDefault="005D3A4C"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0.1058</w:t>
            </w:r>
          </w:p>
        </w:tc>
        <w:tc>
          <w:tcPr>
            <w:tcW w:w="1147" w:type="dxa"/>
            <w:shd w:val="clear" w:color="auto" w:fill="auto"/>
            <w:noWrap/>
            <w:hideMark/>
          </w:tcPr>
          <w:p w14:paraId="32A6323E" w14:textId="77777777" w:rsidR="005D3A4C" w:rsidRPr="00AE1EE7" w:rsidRDefault="005D3A4C"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0.1429</w:t>
            </w:r>
          </w:p>
          <w:p w14:paraId="19389B6F" w14:textId="2CE23138" w:rsidR="002377C7" w:rsidRPr="00AE1EE7" w:rsidRDefault="002377C7"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w:t>
            </w:r>
          </w:p>
        </w:tc>
        <w:tc>
          <w:tcPr>
            <w:tcW w:w="1147" w:type="dxa"/>
            <w:shd w:val="clear" w:color="auto" w:fill="auto"/>
            <w:noWrap/>
            <w:hideMark/>
          </w:tcPr>
          <w:p w14:paraId="2BAFBB21" w14:textId="77777777" w:rsidR="005D3A4C" w:rsidRPr="00AE1EE7" w:rsidRDefault="005D3A4C" w:rsidP="0006518C">
            <w:pPr>
              <w:spacing w:after="0" w:line="240" w:lineRule="auto"/>
              <w:jc w:val="center"/>
              <w:rPr>
                <w:rFonts w:eastAsia="Times New Roman" w:cs="Arial"/>
                <w:color w:val="000000"/>
                <w:kern w:val="0"/>
                <w:szCs w:val="22"/>
                <w14:ligatures w14:val="none"/>
              </w:rPr>
            </w:pPr>
          </w:p>
        </w:tc>
        <w:tc>
          <w:tcPr>
            <w:tcW w:w="1147" w:type="dxa"/>
            <w:shd w:val="clear" w:color="auto" w:fill="auto"/>
            <w:noWrap/>
            <w:hideMark/>
          </w:tcPr>
          <w:p w14:paraId="0FAAB79C" w14:textId="77777777" w:rsidR="005D3A4C" w:rsidRPr="00AE1EE7" w:rsidRDefault="005D3A4C" w:rsidP="0006518C">
            <w:pPr>
              <w:spacing w:after="0" w:line="240" w:lineRule="auto"/>
              <w:jc w:val="center"/>
              <w:rPr>
                <w:rFonts w:eastAsia="Times New Roman" w:cs="Arial"/>
                <w:kern w:val="0"/>
                <w:szCs w:val="22"/>
                <w14:ligatures w14:val="none"/>
              </w:rPr>
            </w:pPr>
          </w:p>
        </w:tc>
        <w:tc>
          <w:tcPr>
            <w:tcW w:w="1147" w:type="dxa"/>
            <w:shd w:val="clear" w:color="auto" w:fill="auto"/>
            <w:noWrap/>
            <w:hideMark/>
          </w:tcPr>
          <w:p w14:paraId="23528E40" w14:textId="77777777" w:rsidR="005D3A4C" w:rsidRPr="00AE1EE7" w:rsidRDefault="005D3A4C" w:rsidP="0006518C">
            <w:pPr>
              <w:spacing w:after="0" w:line="240" w:lineRule="auto"/>
              <w:jc w:val="center"/>
              <w:rPr>
                <w:rFonts w:eastAsia="Times New Roman" w:cs="Arial"/>
                <w:kern w:val="0"/>
                <w:szCs w:val="22"/>
                <w14:ligatures w14:val="none"/>
              </w:rPr>
            </w:pPr>
          </w:p>
        </w:tc>
      </w:tr>
      <w:tr w:rsidR="00406CDA" w:rsidRPr="00AE1EE7" w14:paraId="3F53F302" w14:textId="77777777" w:rsidTr="006F5CF5">
        <w:trPr>
          <w:trHeight w:val="510"/>
        </w:trPr>
        <w:tc>
          <w:tcPr>
            <w:tcW w:w="1148" w:type="dxa"/>
            <w:shd w:val="clear" w:color="auto" w:fill="auto"/>
            <w:noWrap/>
            <w:vAlign w:val="center"/>
            <w:hideMark/>
          </w:tcPr>
          <w:p w14:paraId="26132E20" w14:textId="6336E0DC" w:rsidR="005D3A4C" w:rsidRPr="00AE1EE7" w:rsidRDefault="005764B9" w:rsidP="0006518C">
            <w:pPr>
              <w:spacing w:after="0" w:line="240" w:lineRule="auto"/>
              <w:rPr>
                <w:rFonts w:eastAsia="Times New Roman" w:cs="Arial"/>
                <w:color w:val="000000"/>
                <w:kern w:val="0"/>
                <w:szCs w:val="22"/>
                <w14:ligatures w14:val="none"/>
              </w:rPr>
            </w:pPr>
            <m:oMath>
              <m:r>
                <w:rPr>
                  <w:rFonts w:ascii="Cambria Math" w:eastAsia="Times New Roman" w:hAnsi="Cambria Math" w:cs="Arial"/>
                  <w:color w:val="000000"/>
                  <w:kern w:val="0"/>
                  <w:szCs w:val="22"/>
                  <w14:ligatures w14:val="none"/>
                </w:rPr>
                <m:t>growth</m:t>
              </m:r>
            </m:oMath>
            <w:r w:rsidR="00111EF3" w:rsidRPr="00AE1EE7">
              <w:rPr>
                <w:rFonts w:eastAsia="Times New Roman" w:cs="Arial"/>
                <w:color w:val="000000"/>
                <w:kern w:val="0"/>
                <w:szCs w:val="22"/>
                <w14:ligatures w14:val="none"/>
              </w:rPr>
              <w:t xml:space="preserve"> </w:t>
            </w:r>
          </w:p>
        </w:tc>
        <w:tc>
          <w:tcPr>
            <w:tcW w:w="1198" w:type="dxa"/>
            <w:shd w:val="clear" w:color="auto" w:fill="auto"/>
            <w:noWrap/>
            <w:hideMark/>
          </w:tcPr>
          <w:p w14:paraId="1107EEC6" w14:textId="77777777" w:rsidR="005D3A4C" w:rsidRPr="00AE1EE7" w:rsidRDefault="005D3A4C"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0.3498</w:t>
            </w:r>
          </w:p>
          <w:p w14:paraId="48DD522C" w14:textId="7F167F62" w:rsidR="002377C7" w:rsidRPr="00AE1EE7" w:rsidRDefault="002377C7"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w:t>
            </w:r>
          </w:p>
        </w:tc>
        <w:tc>
          <w:tcPr>
            <w:tcW w:w="1338" w:type="dxa"/>
            <w:shd w:val="clear" w:color="auto" w:fill="auto"/>
            <w:noWrap/>
            <w:hideMark/>
          </w:tcPr>
          <w:p w14:paraId="3325B73D" w14:textId="77777777" w:rsidR="005D3A4C" w:rsidRPr="00AE1EE7" w:rsidRDefault="005D3A4C"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0.4236</w:t>
            </w:r>
          </w:p>
          <w:p w14:paraId="6DA645F0" w14:textId="6340FEBC" w:rsidR="002377C7" w:rsidRPr="00AE1EE7" w:rsidRDefault="002377C7"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w:t>
            </w:r>
          </w:p>
        </w:tc>
        <w:tc>
          <w:tcPr>
            <w:tcW w:w="1221" w:type="dxa"/>
            <w:shd w:val="clear" w:color="auto" w:fill="auto"/>
            <w:noWrap/>
            <w:hideMark/>
          </w:tcPr>
          <w:p w14:paraId="1ED5EDDE" w14:textId="77777777" w:rsidR="005D3A4C" w:rsidRPr="00AE1EE7" w:rsidRDefault="005D3A4C"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0.0893</w:t>
            </w:r>
          </w:p>
        </w:tc>
        <w:tc>
          <w:tcPr>
            <w:tcW w:w="1338" w:type="dxa"/>
            <w:shd w:val="clear" w:color="auto" w:fill="auto"/>
            <w:noWrap/>
            <w:hideMark/>
          </w:tcPr>
          <w:p w14:paraId="101323DC" w14:textId="77777777" w:rsidR="005D3A4C" w:rsidRPr="00AE1EE7" w:rsidRDefault="005D3A4C"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0.0234</w:t>
            </w:r>
          </w:p>
        </w:tc>
        <w:tc>
          <w:tcPr>
            <w:tcW w:w="1337" w:type="dxa"/>
            <w:shd w:val="clear" w:color="auto" w:fill="auto"/>
            <w:noWrap/>
            <w:hideMark/>
          </w:tcPr>
          <w:p w14:paraId="7C50A20A" w14:textId="77777777" w:rsidR="005D3A4C" w:rsidRPr="00AE1EE7" w:rsidRDefault="005D3A4C"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0.1535</w:t>
            </w:r>
          </w:p>
          <w:p w14:paraId="495369F7" w14:textId="13B92095" w:rsidR="002377C7" w:rsidRPr="00AE1EE7" w:rsidRDefault="002377C7"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w:t>
            </w:r>
          </w:p>
        </w:tc>
        <w:tc>
          <w:tcPr>
            <w:tcW w:w="1197" w:type="dxa"/>
            <w:shd w:val="clear" w:color="auto" w:fill="auto"/>
            <w:noWrap/>
            <w:hideMark/>
          </w:tcPr>
          <w:p w14:paraId="201507AB" w14:textId="77777777" w:rsidR="005D3A4C" w:rsidRPr="00AE1EE7" w:rsidRDefault="005D3A4C"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0.1121</w:t>
            </w:r>
          </w:p>
        </w:tc>
        <w:tc>
          <w:tcPr>
            <w:tcW w:w="1197" w:type="dxa"/>
            <w:shd w:val="clear" w:color="auto" w:fill="auto"/>
            <w:noWrap/>
            <w:hideMark/>
          </w:tcPr>
          <w:p w14:paraId="359677D0" w14:textId="77777777" w:rsidR="005D3A4C" w:rsidRPr="00AE1EE7" w:rsidRDefault="005D3A4C"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0.4282</w:t>
            </w:r>
          </w:p>
          <w:p w14:paraId="61D3E3EA" w14:textId="5C2A412B" w:rsidR="002377C7" w:rsidRPr="00AE1EE7" w:rsidRDefault="002377C7"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w:t>
            </w:r>
          </w:p>
        </w:tc>
        <w:tc>
          <w:tcPr>
            <w:tcW w:w="1147" w:type="dxa"/>
            <w:shd w:val="clear" w:color="auto" w:fill="auto"/>
            <w:noWrap/>
            <w:hideMark/>
          </w:tcPr>
          <w:p w14:paraId="18DB7C13" w14:textId="77777777" w:rsidR="005D3A4C" w:rsidRPr="00AE1EE7" w:rsidRDefault="005D3A4C"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0.1227</w:t>
            </w:r>
          </w:p>
        </w:tc>
        <w:tc>
          <w:tcPr>
            <w:tcW w:w="1147" w:type="dxa"/>
            <w:shd w:val="clear" w:color="auto" w:fill="auto"/>
            <w:noWrap/>
            <w:hideMark/>
          </w:tcPr>
          <w:p w14:paraId="5D8C3B9B" w14:textId="77777777" w:rsidR="005D3A4C" w:rsidRPr="00AE1EE7" w:rsidRDefault="005D3A4C"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-0.1955</w:t>
            </w:r>
          </w:p>
          <w:p w14:paraId="3733A63E" w14:textId="3BB9F4E4" w:rsidR="002377C7" w:rsidRPr="00AE1EE7" w:rsidRDefault="002377C7"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w:t>
            </w:r>
          </w:p>
        </w:tc>
        <w:tc>
          <w:tcPr>
            <w:tcW w:w="1147" w:type="dxa"/>
            <w:shd w:val="clear" w:color="auto" w:fill="auto"/>
            <w:noWrap/>
            <w:hideMark/>
          </w:tcPr>
          <w:p w14:paraId="537D5AFC" w14:textId="77777777" w:rsidR="005D3A4C" w:rsidRPr="00AE1EE7" w:rsidRDefault="005D3A4C" w:rsidP="0006518C">
            <w:pPr>
              <w:spacing w:after="0" w:line="240" w:lineRule="auto"/>
              <w:jc w:val="center"/>
              <w:rPr>
                <w:rFonts w:eastAsia="Times New Roman" w:cs="Arial"/>
                <w:color w:val="000000"/>
                <w:kern w:val="0"/>
                <w:szCs w:val="22"/>
                <w14:ligatures w14:val="none"/>
              </w:rPr>
            </w:pPr>
          </w:p>
        </w:tc>
        <w:tc>
          <w:tcPr>
            <w:tcW w:w="1147" w:type="dxa"/>
            <w:shd w:val="clear" w:color="auto" w:fill="auto"/>
            <w:noWrap/>
            <w:hideMark/>
          </w:tcPr>
          <w:p w14:paraId="0B1853CF" w14:textId="77777777" w:rsidR="005D3A4C" w:rsidRPr="00AE1EE7" w:rsidRDefault="005D3A4C" w:rsidP="0006518C">
            <w:pPr>
              <w:spacing w:after="0" w:line="240" w:lineRule="auto"/>
              <w:jc w:val="center"/>
              <w:rPr>
                <w:rFonts w:eastAsia="Times New Roman" w:cs="Arial"/>
                <w:kern w:val="0"/>
                <w:szCs w:val="22"/>
                <w14:ligatures w14:val="none"/>
              </w:rPr>
            </w:pPr>
          </w:p>
        </w:tc>
      </w:tr>
      <w:tr w:rsidR="00406CDA" w:rsidRPr="00AE1EE7" w14:paraId="08EEECC4" w14:textId="77777777" w:rsidTr="006F5CF5">
        <w:trPr>
          <w:trHeight w:val="510"/>
        </w:trPr>
        <w:tc>
          <w:tcPr>
            <w:tcW w:w="1148" w:type="dxa"/>
            <w:shd w:val="clear" w:color="auto" w:fill="auto"/>
            <w:noWrap/>
            <w:vAlign w:val="center"/>
            <w:hideMark/>
          </w:tcPr>
          <w:p w14:paraId="5CC55886" w14:textId="4B5D3C66" w:rsidR="005D3A4C" w:rsidRPr="00AE1EE7" w:rsidRDefault="005764B9" w:rsidP="0006518C">
            <w:pPr>
              <w:spacing w:after="0" w:line="240" w:lineRule="auto"/>
              <w:rPr>
                <w:rFonts w:eastAsia="Times New Roman" w:cs="Arial"/>
                <w:color w:val="000000"/>
                <w:kern w:val="0"/>
                <w:szCs w:val="22"/>
                <w14:ligatures w14:val="none"/>
              </w:rPr>
            </w:pPr>
            <m:oMath>
              <m:r>
                <w:rPr>
                  <w:rFonts w:ascii="Cambria Math" w:eastAsia="Times New Roman" w:hAnsi="Cambria Math" w:cs="Arial"/>
                  <w:color w:val="000000"/>
                  <w:kern w:val="0"/>
                  <w:szCs w:val="22"/>
                  <w14:ligatures w14:val="none"/>
                </w:rPr>
                <m:t>lntr</m:t>
              </m:r>
            </m:oMath>
            <w:r w:rsidR="00111EF3" w:rsidRPr="00AE1EE7">
              <w:rPr>
                <w:rFonts w:eastAsia="Times New Roman" w:cs="Arial"/>
                <w:color w:val="000000"/>
                <w:kern w:val="0"/>
                <w:szCs w:val="22"/>
                <w14:ligatures w14:val="none"/>
              </w:rPr>
              <w:t xml:space="preserve"> </w:t>
            </w:r>
          </w:p>
        </w:tc>
        <w:tc>
          <w:tcPr>
            <w:tcW w:w="1198" w:type="dxa"/>
            <w:shd w:val="clear" w:color="auto" w:fill="auto"/>
            <w:noWrap/>
            <w:hideMark/>
          </w:tcPr>
          <w:p w14:paraId="3EF18C04" w14:textId="77777777" w:rsidR="005D3A4C" w:rsidRPr="00AE1EE7" w:rsidRDefault="005D3A4C"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0.3904</w:t>
            </w:r>
          </w:p>
          <w:p w14:paraId="19E1ED6A" w14:textId="6ED1395C" w:rsidR="002377C7" w:rsidRPr="00AE1EE7" w:rsidRDefault="002377C7"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w:t>
            </w:r>
          </w:p>
        </w:tc>
        <w:tc>
          <w:tcPr>
            <w:tcW w:w="1338" w:type="dxa"/>
            <w:shd w:val="clear" w:color="auto" w:fill="auto"/>
            <w:noWrap/>
            <w:hideMark/>
          </w:tcPr>
          <w:p w14:paraId="693F696D" w14:textId="77777777" w:rsidR="005D3A4C" w:rsidRPr="00AE1EE7" w:rsidRDefault="005D3A4C"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0.3208</w:t>
            </w:r>
          </w:p>
          <w:p w14:paraId="0B5DC218" w14:textId="61363051" w:rsidR="002377C7" w:rsidRPr="00AE1EE7" w:rsidRDefault="002377C7"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w:t>
            </w:r>
          </w:p>
        </w:tc>
        <w:tc>
          <w:tcPr>
            <w:tcW w:w="1221" w:type="dxa"/>
            <w:shd w:val="clear" w:color="auto" w:fill="auto"/>
            <w:noWrap/>
            <w:hideMark/>
          </w:tcPr>
          <w:p w14:paraId="26EBCA3E" w14:textId="77777777" w:rsidR="005D3A4C" w:rsidRPr="00AE1EE7" w:rsidRDefault="005D3A4C"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-0.0347</w:t>
            </w:r>
          </w:p>
        </w:tc>
        <w:tc>
          <w:tcPr>
            <w:tcW w:w="1338" w:type="dxa"/>
            <w:shd w:val="clear" w:color="auto" w:fill="auto"/>
            <w:noWrap/>
            <w:hideMark/>
          </w:tcPr>
          <w:p w14:paraId="3EBA76DA" w14:textId="77777777" w:rsidR="005D3A4C" w:rsidRPr="00AE1EE7" w:rsidRDefault="005D3A4C"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0.0403</w:t>
            </w:r>
          </w:p>
        </w:tc>
        <w:tc>
          <w:tcPr>
            <w:tcW w:w="1337" w:type="dxa"/>
            <w:shd w:val="clear" w:color="auto" w:fill="auto"/>
            <w:noWrap/>
            <w:hideMark/>
          </w:tcPr>
          <w:p w14:paraId="126E6A3B" w14:textId="77777777" w:rsidR="005D3A4C" w:rsidRPr="00AE1EE7" w:rsidRDefault="005D3A4C"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-0.1043</w:t>
            </w:r>
          </w:p>
        </w:tc>
        <w:tc>
          <w:tcPr>
            <w:tcW w:w="1197" w:type="dxa"/>
            <w:shd w:val="clear" w:color="auto" w:fill="auto"/>
            <w:noWrap/>
            <w:hideMark/>
          </w:tcPr>
          <w:p w14:paraId="52CAC0CA" w14:textId="77777777" w:rsidR="005D3A4C" w:rsidRPr="00AE1EE7" w:rsidRDefault="005D3A4C"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-0.2072</w:t>
            </w:r>
          </w:p>
          <w:p w14:paraId="30EE1587" w14:textId="0B6F6343" w:rsidR="002377C7" w:rsidRPr="00AE1EE7" w:rsidRDefault="002377C7"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w:t>
            </w:r>
          </w:p>
        </w:tc>
        <w:tc>
          <w:tcPr>
            <w:tcW w:w="1197" w:type="dxa"/>
            <w:shd w:val="clear" w:color="auto" w:fill="auto"/>
            <w:noWrap/>
            <w:hideMark/>
          </w:tcPr>
          <w:p w14:paraId="67F9D139" w14:textId="77777777" w:rsidR="005D3A4C" w:rsidRPr="00AE1EE7" w:rsidRDefault="005D3A4C"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0.5238</w:t>
            </w:r>
          </w:p>
          <w:p w14:paraId="38BCA972" w14:textId="46688F3D" w:rsidR="002377C7" w:rsidRPr="00AE1EE7" w:rsidRDefault="002377C7"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w:t>
            </w:r>
          </w:p>
        </w:tc>
        <w:tc>
          <w:tcPr>
            <w:tcW w:w="1147" w:type="dxa"/>
            <w:shd w:val="clear" w:color="auto" w:fill="auto"/>
            <w:noWrap/>
            <w:hideMark/>
          </w:tcPr>
          <w:p w14:paraId="38BD463E" w14:textId="77777777" w:rsidR="005D3A4C" w:rsidRPr="00AE1EE7" w:rsidRDefault="005D3A4C"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0.0318</w:t>
            </w:r>
          </w:p>
        </w:tc>
        <w:tc>
          <w:tcPr>
            <w:tcW w:w="1147" w:type="dxa"/>
            <w:shd w:val="clear" w:color="auto" w:fill="auto"/>
            <w:noWrap/>
            <w:hideMark/>
          </w:tcPr>
          <w:p w14:paraId="5FD6C544" w14:textId="77777777" w:rsidR="005D3A4C" w:rsidRPr="00AE1EE7" w:rsidRDefault="005D3A4C"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0.2512</w:t>
            </w:r>
          </w:p>
          <w:p w14:paraId="503C8B78" w14:textId="2E4027E1" w:rsidR="002377C7" w:rsidRPr="00AE1EE7" w:rsidRDefault="002377C7"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w:t>
            </w:r>
          </w:p>
        </w:tc>
        <w:tc>
          <w:tcPr>
            <w:tcW w:w="1147" w:type="dxa"/>
            <w:shd w:val="clear" w:color="auto" w:fill="auto"/>
            <w:noWrap/>
            <w:hideMark/>
          </w:tcPr>
          <w:p w14:paraId="2AEB495F" w14:textId="77777777" w:rsidR="005D3A4C" w:rsidRPr="00AE1EE7" w:rsidRDefault="005D3A4C"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0.2939</w:t>
            </w:r>
          </w:p>
          <w:p w14:paraId="3DBF575B" w14:textId="210E1937" w:rsidR="002377C7" w:rsidRPr="00AE1EE7" w:rsidRDefault="002377C7"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w:t>
            </w:r>
          </w:p>
        </w:tc>
        <w:tc>
          <w:tcPr>
            <w:tcW w:w="1147" w:type="dxa"/>
            <w:shd w:val="clear" w:color="auto" w:fill="auto"/>
            <w:noWrap/>
            <w:hideMark/>
          </w:tcPr>
          <w:p w14:paraId="708712F3" w14:textId="77777777" w:rsidR="005D3A4C" w:rsidRPr="00AE1EE7" w:rsidRDefault="005D3A4C" w:rsidP="0006518C">
            <w:pPr>
              <w:spacing w:after="0" w:line="240" w:lineRule="auto"/>
              <w:jc w:val="center"/>
              <w:rPr>
                <w:rFonts w:eastAsia="Times New Roman" w:cs="Arial"/>
                <w:color w:val="000000"/>
                <w:kern w:val="0"/>
                <w:szCs w:val="22"/>
                <w14:ligatures w14:val="none"/>
              </w:rPr>
            </w:pPr>
          </w:p>
        </w:tc>
      </w:tr>
      <w:tr w:rsidR="00406CDA" w:rsidRPr="00AE1EE7" w14:paraId="2F092224" w14:textId="77777777" w:rsidTr="006F5CF5">
        <w:trPr>
          <w:trHeight w:val="510"/>
        </w:trPr>
        <w:tc>
          <w:tcPr>
            <w:tcW w:w="1148" w:type="dxa"/>
            <w:shd w:val="clear" w:color="auto" w:fill="auto"/>
            <w:noWrap/>
            <w:vAlign w:val="center"/>
            <w:hideMark/>
          </w:tcPr>
          <w:p w14:paraId="67EC85A1" w14:textId="52E30526" w:rsidR="005D3A4C" w:rsidRPr="00AE1EE7" w:rsidRDefault="005764B9" w:rsidP="0006518C">
            <w:pPr>
              <w:spacing w:after="0" w:line="240" w:lineRule="auto"/>
              <w:rPr>
                <w:rFonts w:eastAsia="Times New Roman" w:cs="Arial"/>
                <w:color w:val="000000"/>
                <w:kern w:val="0"/>
                <w:szCs w:val="22"/>
                <w14:ligatures w14:val="none"/>
              </w:rPr>
            </w:pPr>
            <m:oMath>
              <m:r>
                <w:rPr>
                  <w:rFonts w:ascii="Cambria Math" w:eastAsia="Times New Roman" w:hAnsi="Cambria Math" w:cs="Arial"/>
                  <w:color w:val="000000"/>
                  <w:kern w:val="0"/>
                  <w:szCs w:val="22"/>
                  <w14:ligatures w14:val="none"/>
                </w:rPr>
                <m:t>covid19</m:t>
              </m:r>
            </m:oMath>
            <w:r w:rsidR="00111EF3" w:rsidRPr="00AE1EE7">
              <w:rPr>
                <w:rFonts w:eastAsia="Times New Roman" w:cs="Arial"/>
                <w:color w:val="000000"/>
                <w:kern w:val="0"/>
                <w:szCs w:val="22"/>
                <w14:ligatures w14:val="none"/>
              </w:rPr>
              <w:t xml:space="preserve"> </w:t>
            </w:r>
          </w:p>
        </w:tc>
        <w:tc>
          <w:tcPr>
            <w:tcW w:w="1198" w:type="dxa"/>
            <w:shd w:val="clear" w:color="auto" w:fill="auto"/>
            <w:noWrap/>
            <w:hideMark/>
          </w:tcPr>
          <w:p w14:paraId="77CF6DF1" w14:textId="77777777" w:rsidR="005D3A4C" w:rsidRPr="00AE1EE7" w:rsidRDefault="005D3A4C"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-0.0001</w:t>
            </w:r>
          </w:p>
        </w:tc>
        <w:tc>
          <w:tcPr>
            <w:tcW w:w="1338" w:type="dxa"/>
            <w:shd w:val="clear" w:color="auto" w:fill="auto"/>
            <w:noWrap/>
            <w:hideMark/>
          </w:tcPr>
          <w:p w14:paraId="6BB9AB70" w14:textId="77777777" w:rsidR="005D3A4C" w:rsidRPr="00AE1EE7" w:rsidRDefault="005D3A4C"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-0.0467</w:t>
            </w:r>
          </w:p>
        </w:tc>
        <w:tc>
          <w:tcPr>
            <w:tcW w:w="1221" w:type="dxa"/>
            <w:shd w:val="clear" w:color="auto" w:fill="auto"/>
            <w:noWrap/>
            <w:hideMark/>
          </w:tcPr>
          <w:p w14:paraId="28131E33" w14:textId="77777777" w:rsidR="005D3A4C" w:rsidRPr="00AE1EE7" w:rsidRDefault="005D3A4C"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0.1458</w:t>
            </w:r>
          </w:p>
          <w:p w14:paraId="4CF2CF50" w14:textId="61A88011" w:rsidR="002377C7" w:rsidRPr="00AE1EE7" w:rsidRDefault="005764B9"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w:t>
            </w:r>
          </w:p>
        </w:tc>
        <w:tc>
          <w:tcPr>
            <w:tcW w:w="1338" w:type="dxa"/>
            <w:shd w:val="clear" w:color="auto" w:fill="auto"/>
            <w:noWrap/>
            <w:hideMark/>
          </w:tcPr>
          <w:p w14:paraId="1A0811FF" w14:textId="77777777" w:rsidR="005D3A4C" w:rsidRPr="00AE1EE7" w:rsidRDefault="005D3A4C"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0.0103</w:t>
            </w:r>
          </w:p>
        </w:tc>
        <w:tc>
          <w:tcPr>
            <w:tcW w:w="1337" w:type="dxa"/>
            <w:shd w:val="clear" w:color="auto" w:fill="auto"/>
            <w:noWrap/>
            <w:hideMark/>
          </w:tcPr>
          <w:p w14:paraId="4F7E77A1" w14:textId="77777777" w:rsidR="005D3A4C" w:rsidRPr="00AE1EE7" w:rsidRDefault="005D3A4C"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0.2847</w:t>
            </w:r>
          </w:p>
          <w:p w14:paraId="42A7269F" w14:textId="682A9888" w:rsidR="005764B9" w:rsidRPr="00AE1EE7" w:rsidRDefault="005764B9"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w:t>
            </w:r>
          </w:p>
        </w:tc>
        <w:tc>
          <w:tcPr>
            <w:tcW w:w="1197" w:type="dxa"/>
            <w:shd w:val="clear" w:color="auto" w:fill="auto"/>
            <w:noWrap/>
            <w:hideMark/>
          </w:tcPr>
          <w:p w14:paraId="21818A70" w14:textId="77777777" w:rsidR="005D3A4C" w:rsidRPr="00AE1EE7" w:rsidRDefault="005D3A4C"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-0.0769</w:t>
            </w:r>
          </w:p>
        </w:tc>
        <w:tc>
          <w:tcPr>
            <w:tcW w:w="1197" w:type="dxa"/>
            <w:shd w:val="clear" w:color="auto" w:fill="auto"/>
            <w:noWrap/>
            <w:hideMark/>
          </w:tcPr>
          <w:p w14:paraId="01A8BB04" w14:textId="77777777" w:rsidR="005D3A4C" w:rsidRPr="00AE1EE7" w:rsidRDefault="005D3A4C"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-0.0126</w:t>
            </w:r>
          </w:p>
        </w:tc>
        <w:tc>
          <w:tcPr>
            <w:tcW w:w="1147" w:type="dxa"/>
            <w:shd w:val="clear" w:color="auto" w:fill="auto"/>
            <w:noWrap/>
            <w:hideMark/>
          </w:tcPr>
          <w:p w14:paraId="411B3124" w14:textId="77777777" w:rsidR="005D3A4C" w:rsidRPr="00AE1EE7" w:rsidRDefault="005D3A4C"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0.0845</w:t>
            </w:r>
          </w:p>
        </w:tc>
        <w:tc>
          <w:tcPr>
            <w:tcW w:w="1147" w:type="dxa"/>
            <w:shd w:val="clear" w:color="auto" w:fill="auto"/>
            <w:noWrap/>
            <w:hideMark/>
          </w:tcPr>
          <w:p w14:paraId="4B38FDC2" w14:textId="77777777" w:rsidR="005D3A4C" w:rsidRPr="00AE1EE7" w:rsidRDefault="005D3A4C"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-0.0659</w:t>
            </w:r>
          </w:p>
        </w:tc>
        <w:tc>
          <w:tcPr>
            <w:tcW w:w="1147" w:type="dxa"/>
            <w:shd w:val="clear" w:color="auto" w:fill="auto"/>
            <w:noWrap/>
            <w:hideMark/>
          </w:tcPr>
          <w:p w14:paraId="646BCBF3" w14:textId="77777777" w:rsidR="005D3A4C" w:rsidRPr="00AE1EE7" w:rsidRDefault="005D3A4C"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-0.0818</w:t>
            </w:r>
          </w:p>
        </w:tc>
        <w:tc>
          <w:tcPr>
            <w:tcW w:w="1147" w:type="dxa"/>
            <w:shd w:val="clear" w:color="auto" w:fill="auto"/>
            <w:noWrap/>
            <w:hideMark/>
          </w:tcPr>
          <w:p w14:paraId="167C0644" w14:textId="77777777" w:rsidR="005D3A4C" w:rsidRPr="00AE1EE7" w:rsidRDefault="005D3A4C"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0.0667</w:t>
            </w:r>
          </w:p>
        </w:tc>
      </w:tr>
    </w:tbl>
    <w:p w14:paraId="7AA52ACC" w14:textId="77777777" w:rsidR="0025167E" w:rsidRPr="0025167E" w:rsidRDefault="0025167E" w:rsidP="0006518C">
      <w:pPr>
        <w:spacing w:after="120" w:line="240" w:lineRule="auto"/>
        <w:jc w:val="right"/>
        <w:rPr>
          <w:rFonts w:cs="Arial"/>
          <w:i/>
          <w:iCs/>
          <w:szCs w:val="22"/>
        </w:rPr>
      </w:pPr>
      <w:r w:rsidRPr="0025167E">
        <w:rPr>
          <w:rFonts w:cs="Arial"/>
          <w:i/>
          <w:iCs/>
          <w:szCs w:val="22"/>
        </w:rPr>
        <w:t>Note: ***, **, and * indicate statistical significance at the 1%, 5%, and 10% levels, respectively.</w:t>
      </w:r>
    </w:p>
    <w:p w14:paraId="21CCB222" w14:textId="6866BA0E" w:rsidR="00922316" w:rsidRPr="00AE1EE7" w:rsidRDefault="00922316" w:rsidP="0006518C">
      <w:pPr>
        <w:spacing w:line="240" w:lineRule="auto"/>
        <w:rPr>
          <w:rFonts w:cs="Arial"/>
          <w:szCs w:val="22"/>
        </w:rPr>
      </w:pPr>
    </w:p>
    <w:p w14:paraId="0A18153D" w14:textId="77777777" w:rsidR="00406CDA" w:rsidRPr="00AE1EE7" w:rsidRDefault="00406CDA" w:rsidP="0006518C">
      <w:pPr>
        <w:spacing w:before="120" w:after="120" w:line="240" w:lineRule="auto"/>
        <w:rPr>
          <w:rFonts w:cs="Arial"/>
          <w:szCs w:val="22"/>
        </w:rPr>
        <w:sectPr w:rsidR="00406CDA" w:rsidRPr="00AE1EE7" w:rsidSect="00406CDA">
          <w:pgSz w:w="16840" w:h="11907" w:orient="landscape" w:code="9"/>
          <w:pgMar w:top="1418" w:right="1134" w:bottom="1134" w:left="1134" w:header="720" w:footer="720" w:gutter="0"/>
          <w:cols w:space="720"/>
          <w:docGrid w:linePitch="360"/>
        </w:sectPr>
      </w:pPr>
    </w:p>
    <w:p w14:paraId="7DD0BF7D" w14:textId="0696C6A8" w:rsidR="00A105ED" w:rsidRDefault="005C48B8" w:rsidP="0006518C">
      <w:pPr>
        <w:spacing w:line="240" w:lineRule="auto"/>
        <w:jc w:val="both"/>
        <w:rPr>
          <w:rFonts w:cs="Arial"/>
          <w:szCs w:val="22"/>
        </w:rPr>
      </w:pPr>
      <w:r w:rsidRPr="00B128BC">
        <w:rPr>
          <w:rFonts w:cs="Arial"/>
          <w:szCs w:val="22"/>
        </w:rPr>
        <w:lastRenderedPageBreak/>
        <w:t>The relatively low to moderate inter</w:t>
      </w:r>
      <w:r w:rsidRPr="00B128BC">
        <w:rPr>
          <w:rFonts w:ascii="Cambria Math" w:hAnsi="Cambria Math" w:cs="Cambria Math"/>
          <w:szCs w:val="22"/>
        </w:rPr>
        <w:t>‑</w:t>
      </w:r>
      <w:r w:rsidRPr="00B128BC">
        <w:rPr>
          <w:rFonts w:cs="Arial"/>
          <w:szCs w:val="22"/>
        </w:rPr>
        <w:t>correlations among the controls imply that multicollinearity is unlikely to bias the regression estimates.</w:t>
      </w:r>
    </w:p>
    <w:p w14:paraId="32586D7C" w14:textId="77777777" w:rsidR="00E44330" w:rsidRPr="00B128BC" w:rsidRDefault="00E44330" w:rsidP="0006518C">
      <w:pPr>
        <w:spacing w:before="120" w:after="120" w:line="240" w:lineRule="auto"/>
        <w:jc w:val="both"/>
        <w:rPr>
          <w:rFonts w:cs="Arial"/>
          <w:szCs w:val="22"/>
        </w:rPr>
      </w:pPr>
      <w:r w:rsidRPr="00B128BC">
        <w:rPr>
          <w:rFonts w:cs="Arial"/>
          <w:szCs w:val="22"/>
        </w:rPr>
        <w:t>Table 4 presents the estimates from five specifications explaining ROA:</w:t>
      </w:r>
    </w:p>
    <w:p w14:paraId="056CED84" w14:textId="75CAC9F6" w:rsidR="00E44330" w:rsidRPr="00E44330" w:rsidRDefault="00E44330" w:rsidP="0006518C">
      <w:pPr>
        <w:pStyle w:val="ListParagraph"/>
        <w:numPr>
          <w:ilvl w:val="0"/>
          <w:numId w:val="9"/>
        </w:numPr>
        <w:spacing w:before="120" w:after="120" w:line="240" w:lineRule="auto"/>
        <w:ind w:left="284" w:hanging="284"/>
        <w:jc w:val="both"/>
        <w:rPr>
          <w:rFonts w:cs="Arial"/>
          <w:szCs w:val="22"/>
        </w:rPr>
      </w:pPr>
      <m:oMath>
        <m:r>
          <w:rPr>
            <w:rFonts w:ascii="Cambria Math" w:hAnsi="Cambria Math" w:cs="Arial"/>
            <w:szCs w:val="22"/>
          </w:rPr>
          <m:t>d</m:t>
        </m:r>
        <m:r>
          <w:rPr>
            <w:rFonts w:ascii="Cambria Math" w:hAnsi="Cambria Math" w:cs="Arial"/>
            <w:szCs w:val="22"/>
            <w:lang w:val="en-US"/>
          </w:rPr>
          <m:t>id</m:t>
        </m:r>
      </m:oMath>
      <w:r w:rsidRPr="00E44330">
        <w:rPr>
          <w:rFonts w:cs="Arial"/>
          <w:szCs w:val="22"/>
        </w:rPr>
        <w:t xml:space="preserve"> coefficient is positive across all models and attains significance at the 10% level in Models 3</w:t>
      </w:r>
      <w:r w:rsidR="00465733">
        <w:rPr>
          <w:rFonts w:cs="Arial"/>
          <w:szCs w:val="22"/>
          <w:lang w:val="en-US"/>
        </w:rPr>
        <w:t>-</w:t>
      </w:r>
      <w:r w:rsidRPr="00E44330">
        <w:rPr>
          <w:rFonts w:cs="Arial"/>
          <w:szCs w:val="22"/>
        </w:rPr>
        <w:t>5. This finding implies that, relative to non</w:t>
      </w:r>
      <w:r w:rsidRPr="00E44330">
        <w:rPr>
          <w:rFonts w:ascii="Cambria Math" w:hAnsi="Cambria Math" w:cs="Cambria Math"/>
          <w:szCs w:val="22"/>
        </w:rPr>
        <w:t>‑</w:t>
      </w:r>
      <w:r w:rsidRPr="00E44330">
        <w:rPr>
          <w:rFonts w:cs="Arial"/>
          <w:szCs w:val="22"/>
        </w:rPr>
        <w:t>adopters, Amoeba adopters experience a measurable increase in ROA following adoption.</w:t>
      </w:r>
    </w:p>
    <w:p w14:paraId="3EE08EA9" w14:textId="0151C63A" w:rsidR="00E44330" w:rsidRPr="00E44330" w:rsidRDefault="00E44330" w:rsidP="0006518C">
      <w:pPr>
        <w:pStyle w:val="ListParagraph"/>
        <w:numPr>
          <w:ilvl w:val="0"/>
          <w:numId w:val="9"/>
        </w:numPr>
        <w:spacing w:before="120" w:after="120" w:line="240" w:lineRule="auto"/>
        <w:ind w:left="284" w:hanging="284"/>
        <w:jc w:val="both"/>
        <w:rPr>
          <w:rFonts w:cs="Arial"/>
          <w:szCs w:val="22"/>
        </w:rPr>
      </w:pPr>
      <m:oMath>
        <m:r>
          <w:rPr>
            <w:rFonts w:ascii="Cambria Math" w:hAnsi="Cambria Math" w:cs="Arial"/>
            <w:szCs w:val="22"/>
            <w:lang w:val="en-US"/>
          </w:rPr>
          <m:t>t</m:t>
        </m:r>
        <m:r>
          <w:rPr>
            <w:rFonts w:ascii="Cambria Math" w:hAnsi="Cambria Math" w:cs="Arial"/>
            <w:szCs w:val="22"/>
          </w:rPr>
          <m:t>reated</m:t>
        </m:r>
      </m:oMath>
      <w:r w:rsidRPr="00E44330">
        <w:rPr>
          <w:rFonts w:cs="Arial"/>
          <w:szCs w:val="22"/>
        </w:rPr>
        <w:t xml:space="preserve"> dummy is positive and significant at the 1% level in every model, underscoring that firms which implement Amoeba management enjoy substantially higher ROA than their counterparts.</w:t>
      </w:r>
    </w:p>
    <w:p w14:paraId="47CDBB97" w14:textId="26D0B1AC" w:rsidR="00E44330" w:rsidRPr="00E44330" w:rsidRDefault="00E44330" w:rsidP="0006518C">
      <w:pPr>
        <w:pStyle w:val="ListParagraph"/>
        <w:numPr>
          <w:ilvl w:val="0"/>
          <w:numId w:val="9"/>
        </w:numPr>
        <w:spacing w:before="120" w:after="120" w:line="240" w:lineRule="auto"/>
        <w:ind w:left="284" w:hanging="284"/>
        <w:jc w:val="both"/>
        <w:rPr>
          <w:rFonts w:cs="Arial"/>
          <w:szCs w:val="22"/>
        </w:rPr>
      </w:pPr>
      <m:oMath>
        <m:r>
          <w:rPr>
            <w:rFonts w:ascii="Cambria Math" w:hAnsi="Cambria Math" w:cs="Arial"/>
            <w:szCs w:val="22"/>
            <w:lang w:val="en-US"/>
          </w:rPr>
          <m:t>p</m:t>
        </m:r>
        <m:r>
          <w:rPr>
            <w:rFonts w:ascii="Cambria Math" w:hAnsi="Cambria Math" w:cs="Arial"/>
            <w:szCs w:val="22"/>
          </w:rPr>
          <m:t>eriod</m:t>
        </m:r>
      </m:oMath>
      <w:r w:rsidRPr="00E44330">
        <w:rPr>
          <w:rFonts w:cs="Arial"/>
          <w:szCs w:val="22"/>
        </w:rPr>
        <w:t xml:space="preserve"> dummy (post</w:t>
      </w:r>
      <w:r w:rsidRPr="00E44330">
        <w:rPr>
          <w:rFonts w:ascii="Cambria Math" w:hAnsi="Cambria Math" w:cs="Cambria Math"/>
          <w:szCs w:val="22"/>
        </w:rPr>
        <w:t>‑</w:t>
      </w:r>
      <w:r w:rsidRPr="00E44330">
        <w:rPr>
          <w:rFonts w:cs="Arial"/>
          <w:szCs w:val="22"/>
        </w:rPr>
        <w:t>adoption years) consistently enters with a negative and highly significant coefficient, hinting at a possible regression to the mean or adjustment costs over time; however, disentangling this from the core DID effect requires further inquiry.</w:t>
      </w:r>
    </w:p>
    <w:p w14:paraId="1D1B2B60" w14:textId="626B096F" w:rsidR="005A6FF5" w:rsidRPr="005A6FF5" w:rsidRDefault="00E44330" w:rsidP="0006518C">
      <w:pPr>
        <w:pStyle w:val="ListParagraph"/>
        <w:numPr>
          <w:ilvl w:val="0"/>
          <w:numId w:val="9"/>
        </w:numPr>
        <w:spacing w:before="120" w:after="120" w:line="240" w:lineRule="auto"/>
        <w:ind w:left="284" w:hanging="284"/>
        <w:jc w:val="both"/>
        <w:rPr>
          <w:rFonts w:cs="Arial"/>
          <w:szCs w:val="22"/>
        </w:rPr>
      </w:pPr>
      <w:r w:rsidRPr="00E44330">
        <w:rPr>
          <w:rFonts w:cs="Arial"/>
          <w:szCs w:val="22"/>
        </w:rPr>
        <w:t xml:space="preserve">Among the controls, </w:t>
      </w:r>
      <m:oMath>
        <m:r>
          <w:rPr>
            <w:rFonts w:ascii="Cambria Math" w:hAnsi="Cambria Math" w:cs="Arial"/>
            <w:szCs w:val="22"/>
            <w:lang w:val="en-US"/>
          </w:rPr>
          <m:t>ocfta</m:t>
        </m:r>
      </m:oMath>
      <w:r w:rsidRPr="00E44330">
        <w:rPr>
          <w:rFonts w:cs="Arial"/>
          <w:szCs w:val="22"/>
        </w:rPr>
        <w:t xml:space="preserve">, </w:t>
      </w:r>
      <m:oMath>
        <m:r>
          <w:rPr>
            <w:rFonts w:ascii="Cambria Math" w:hAnsi="Cambria Math" w:cs="Arial"/>
            <w:szCs w:val="22"/>
            <w:lang w:val="en-US"/>
          </w:rPr>
          <m:t>g</m:t>
        </m:r>
        <m:r>
          <w:rPr>
            <w:rFonts w:ascii="Cambria Math" w:hAnsi="Cambria Math" w:cs="Arial"/>
            <w:szCs w:val="22"/>
          </w:rPr>
          <m:t>rowth</m:t>
        </m:r>
      </m:oMath>
      <w:r w:rsidRPr="00E44330">
        <w:rPr>
          <w:rFonts w:cs="Arial"/>
          <w:szCs w:val="22"/>
        </w:rPr>
        <w:t xml:space="preserve">, and </w:t>
      </w:r>
      <m:oMath>
        <m:r>
          <w:rPr>
            <w:rFonts w:ascii="Cambria Math" w:hAnsi="Cambria Math" w:cs="Arial"/>
            <w:szCs w:val="22"/>
            <w:lang w:val="en-US"/>
          </w:rPr>
          <m:t>l</m:t>
        </m:r>
        <m:r>
          <w:rPr>
            <w:rFonts w:ascii="Cambria Math" w:hAnsi="Cambria Math" w:cs="Arial"/>
            <w:szCs w:val="22"/>
          </w:rPr>
          <m:t>n</m:t>
        </m:r>
        <m:r>
          <w:rPr>
            <w:rFonts w:ascii="Cambria Math" w:hAnsi="Cambria Math" w:cs="Arial"/>
            <w:szCs w:val="22"/>
            <w:lang w:val="en-US"/>
          </w:rPr>
          <m:t>tr</m:t>
        </m:r>
      </m:oMath>
      <w:r w:rsidRPr="00E44330">
        <w:rPr>
          <w:rFonts w:cs="Arial"/>
          <w:szCs w:val="22"/>
        </w:rPr>
        <w:t xml:space="preserve"> each carry positive, significant coefficients, whereas </w:t>
      </w:r>
      <m:oMath>
        <m:r>
          <w:rPr>
            <w:rFonts w:ascii="Cambria Math" w:hAnsi="Cambria Math" w:cs="Arial"/>
            <w:szCs w:val="22"/>
            <w:lang w:val="en-US"/>
          </w:rPr>
          <m:t>l</m:t>
        </m:r>
        <m:r>
          <w:rPr>
            <w:rFonts w:ascii="Cambria Math" w:hAnsi="Cambria Math" w:cs="Arial"/>
            <w:szCs w:val="22"/>
          </w:rPr>
          <m:t>ev</m:t>
        </m:r>
      </m:oMath>
      <w:r w:rsidRPr="00E44330">
        <w:rPr>
          <w:rFonts w:cs="Arial"/>
          <w:szCs w:val="22"/>
        </w:rPr>
        <w:t xml:space="preserve"> consistently exerts a negative, significant impact.</w:t>
      </w:r>
    </w:p>
    <w:p w14:paraId="25E9CEAE" w14:textId="72C60C06" w:rsidR="005A6FF5" w:rsidRPr="005A6FF5" w:rsidRDefault="005A6FF5" w:rsidP="0006518C">
      <w:pPr>
        <w:spacing w:before="120" w:after="120" w:line="240" w:lineRule="auto"/>
        <w:rPr>
          <w:rFonts w:cs="Arial"/>
          <w:szCs w:val="22"/>
          <w:lang w:val="en-US"/>
        </w:rPr>
      </w:pPr>
      <w:r w:rsidRPr="005A6FF5">
        <w:rPr>
          <w:rFonts w:cs="Arial"/>
          <w:szCs w:val="22"/>
        </w:rPr>
        <w:t>Table 4. Regression Results with ROA as the Dependent Variable</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8"/>
        <w:gridCol w:w="1515"/>
        <w:gridCol w:w="1516"/>
        <w:gridCol w:w="1516"/>
        <w:gridCol w:w="1516"/>
        <w:gridCol w:w="1514"/>
      </w:tblGrid>
      <w:tr w:rsidR="005A6FF5" w:rsidRPr="00AE1EE7" w14:paraId="527388BF" w14:textId="77777777" w:rsidTr="00553364">
        <w:trPr>
          <w:trHeight w:val="255"/>
        </w:trPr>
        <w:tc>
          <w:tcPr>
            <w:tcW w:w="1778" w:type="dxa"/>
            <w:shd w:val="clear" w:color="auto" w:fill="auto"/>
            <w:noWrap/>
            <w:vAlign w:val="center"/>
            <w:hideMark/>
          </w:tcPr>
          <w:p w14:paraId="15AAA143" w14:textId="56EA46DA" w:rsidR="005A6FF5" w:rsidRPr="002A5330" w:rsidRDefault="002A5330" w:rsidP="0006518C">
            <w:pPr>
              <w:spacing w:after="0" w:line="240" w:lineRule="auto"/>
              <w:jc w:val="center"/>
              <w:rPr>
                <w:rFonts w:eastAsia="Times New Roman" w:cs="Arial"/>
                <w:color w:val="000000"/>
                <w:kern w:val="0"/>
                <w:szCs w:val="22"/>
                <w:lang w:val="en-US"/>
                <w14:ligatures w14:val="none"/>
              </w:rPr>
            </w:pPr>
            <w:r>
              <w:rPr>
                <w:rFonts w:eastAsia="Times New Roman" w:cs="Arial"/>
                <w:color w:val="000000"/>
                <w:kern w:val="0"/>
                <w:szCs w:val="22"/>
                <w:lang w:val="en-US"/>
                <w14:ligatures w14:val="none"/>
              </w:rPr>
              <w:t>Variable</w:t>
            </w:r>
          </w:p>
        </w:tc>
        <w:tc>
          <w:tcPr>
            <w:tcW w:w="1515" w:type="dxa"/>
            <w:shd w:val="clear" w:color="auto" w:fill="auto"/>
            <w:noWrap/>
            <w:vAlign w:val="center"/>
            <w:hideMark/>
          </w:tcPr>
          <w:p w14:paraId="4DF935B8" w14:textId="2A00A479" w:rsidR="005A6FF5" w:rsidRPr="00AE1EE7" w:rsidRDefault="002A5330" w:rsidP="0006518C">
            <w:pPr>
              <w:spacing w:after="0" w:line="240" w:lineRule="auto"/>
              <w:jc w:val="center"/>
              <w:rPr>
                <w:rFonts w:eastAsia="Times New Roman" w:cs="Arial"/>
                <w:color w:val="000000"/>
                <w:kern w:val="0"/>
                <w:szCs w:val="22"/>
                <w14:ligatures w14:val="none"/>
              </w:rPr>
            </w:pPr>
            <w:r>
              <w:rPr>
                <w:rFonts w:eastAsia="Times New Roman" w:cs="Arial"/>
                <w:color w:val="000000"/>
                <w:kern w:val="0"/>
                <w:szCs w:val="22"/>
                <w:lang w:val="en-US"/>
                <w14:ligatures w14:val="none"/>
              </w:rPr>
              <w:t>Model</w:t>
            </w:r>
            <w:r w:rsidR="005A6FF5" w:rsidRPr="00AE1EE7">
              <w:rPr>
                <w:rFonts w:eastAsia="Times New Roman" w:cs="Arial"/>
                <w:color w:val="000000"/>
                <w:kern w:val="0"/>
                <w:szCs w:val="22"/>
                <w14:ligatures w14:val="none"/>
              </w:rPr>
              <w:t xml:space="preserve"> 1</w:t>
            </w:r>
          </w:p>
        </w:tc>
        <w:tc>
          <w:tcPr>
            <w:tcW w:w="1516" w:type="dxa"/>
            <w:shd w:val="clear" w:color="auto" w:fill="auto"/>
            <w:noWrap/>
            <w:vAlign w:val="center"/>
            <w:hideMark/>
          </w:tcPr>
          <w:p w14:paraId="6C8EBE64" w14:textId="49D195A7" w:rsidR="005A6FF5" w:rsidRPr="00AE1EE7" w:rsidRDefault="002A5330" w:rsidP="0006518C">
            <w:pPr>
              <w:spacing w:after="0" w:line="240" w:lineRule="auto"/>
              <w:jc w:val="center"/>
              <w:rPr>
                <w:rFonts w:eastAsia="Times New Roman" w:cs="Arial"/>
                <w:color w:val="000000"/>
                <w:kern w:val="0"/>
                <w:szCs w:val="22"/>
                <w14:ligatures w14:val="none"/>
              </w:rPr>
            </w:pPr>
            <w:r>
              <w:rPr>
                <w:rFonts w:eastAsia="Times New Roman" w:cs="Arial"/>
                <w:color w:val="000000"/>
                <w:kern w:val="0"/>
                <w:szCs w:val="22"/>
                <w:lang w:val="en-US"/>
                <w14:ligatures w14:val="none"/>
              </w:rPr>
              <w:t>Model 2</w:t>
            </w:r>
          </w:p>
        </w:tc>
        <w:tc>
          <w:tcPr>
            <w:tcW w:w="1516" w:type="dxa"/>
            <w:shd w:val="clear" w:color="auto" w:fill="auto"/>
            <w:noWrap/>
            <w:vAlign w:val="center"/>
            <w:hideMark/>
          </w:tcPr>
          <w:p w14:paraId="3B2AE768" w14:textId="4B6C1271" w:rsidR="005A6FF5" w:rsidRPr="00AE1EE7" w:rsidRDefault="002A5330" w:rsidP="0006518C">
            <w:pPr>
              <w:spacing w:after="0" w:line="240" w:lineRule="auto"/>
              <w:jc w:val="center"/>
              <w:rPr>
                <w:rFonts w:eastAsia="Times New Roman" w:cs="Arial"/>
                <w:color w:val="000000"/>
                <w:kern w:val="0"/>
                <w:szCs w:val="22"/>
                <w14:ligatures w14:val="none"/>
              </w:rPr>
            </w:pPr>
            <w:r>
              <w:rPr>
                <w:rFonts w:eastAsia="Times New Roman" w:cs="Arial"/>
                <w:color w:val="000000"/>
                <w:kern w:val="0"/>
                <w:szCs w:val="22"/>
                <w:lang w:val="en-US"/>
                <w14:ligatures w14:val="none"/>
              </w:rPr>
              <w:t>Model 3</w:t>
            </w:r>
          </w:p>
        </w:tc>
        <w:tc>
          <w:tcPr>
            <w:tcW w:w="1516" w:type="dxa"/>
            <w:shd w:val="clear" w:color="auto" w:fill="auto"/>
            <w:noWrap/>
            <w:vAlign w:val="center"/>
            <w:hideMark/>
          </w:tcPr>
          <w:p w14:paraId="77FC5BF7" w14:textId="183598CD" w:rsidR="005A6FF5" w:rsidRPr="00AE1EE7" w:rsidRDefault="002A5330" w:rsidP="0006518C">
            <w:pPr>
              <w:spacing w:after="0" w:line="240" w:lineRule="auto"/>
              <w:jc w:val="center"/>
              <w:rPr>
                <w:rFonts w:eastAsia="Times New Roman" w:cs="Arial"/>
                <w:color w:val="000000"/>
                <w:kern w:val="0"/>
                <w:szCs w:val="22"/>
                <w14:ligatures w14:val="none"/>
              </w:rPr>
            </w:pPr>
            <w:r>
              <w:rPr>
                <w:rFonts w:eastAsia="Times New Roman" w:cs="Arial"/>
                <w:color w:val="000000"/>
                <w:kern w:val="0"/>
                <w:szCs w:val="22"/>
                <w:lang w:val="en-US"/>
                <w14:ligatures w14:val="none"/>
              </w:rPr>
              <w:t>Model 4</w:t>
            </w:r>
          </w:p>
        </w:tc>
        <w:tc>
          <w:tcPr>
            <w:tcW w:w="1514" w:type="dxa"/>
            <w:shd w:val="clear" w:color="auto" w:fill="auto"/>
            <w:noWrap/>
            <w:vAlign w:val="center"/>
            <w:hideMark/>
          </w:tcPr>
          <w:p w14:paraId="2761151C" w14:textId="047C8ECD" w:rsidR="005A6FF5" w:rsidRPr="00AE1EE7" w:rsidRDefault="002A5330" w:rsidP="0006518C">
            <w:pPr>
              <w:spacing w:after="0" w:line="240" w:lineRule="auto"/>
              <w:jc w:val="center"/>
              <w:rPr>
                <w:rFonts w:eastAsia="Times New Roman" w:cs="Arial"/>
                <w:color w:val="000000"/>
                <w:kern w:val="0"/>
                <w:szCs w:val="22"/>
                <w14:ligatures w14:val="none"/>
              </w:rPr>
            </w:pPr>
            <w:r>
              <w:rPr>
                <w:rFonts w:eastAsia="Times New Roman" w:cs="Arial"/>
                <w:color w:val="000000"/>
                <w:kern w:val="0"/>
                <w:szCs w:val="22"/>
                <w:lang w:val="en-US"/>
                <w14:ligatures w14:val="none"/>
              </w:rPr>
              <w:t>Model 5</w:t>
            </w:r>
          </w:p>
        </w:tc>
      </w:tr>
      <w:tr w:rsidR="005A6FF5" w:rsidRPr="00AE1EE7" w14:paraId="3069203A" w14:textId="77777777" w:rsidTr="00553364">
        <w:trPr>
          <w:trHeight w:val="510"/>
        </w:trPr>
        <w:tc>
          <w:tcPr>
            <w:tcW w:w="1778" w:type="dxa"/>
            <w:shd w:val="clear" w:color="auto" w:fill="auto"/>
            <w:noWrap/>
            <w:vAlign w:val="center"/>
            <w:hideMark/>
          </w:tcPr>
          <w:p w14:paraId="3551DC5B" w14:textId="77777777" w:rsidR="005A6FF5" w:rsidRPr="00AE1EE7" w:rsidRDefault="005A6FF5" w:rsidP="0006518C">
            <w:pPr>
              <w:spacing w:after="0" w:line="240" w:lineRule="auto"/>
              <w:rPr>
                <w:rFonts w:eastAsia="Times New Roman" w:cs="Arial"/>
                <w:color w:val="000000"/>
                <w:kern w:val="0"/>
                <w:szCs w:val="22"/>
                <w14:ligatures w14:val="none"/>
              </w:rPr>
            </w:pPr>
            <m:oMath>
              <m:r>
                <w:rPr>
                  <w:rFonts w:ascii="Cambria Math" w:eastAsia="Times New Roman" w:hAnsi="Cambria Math" w:cs="Arial"/>
                  <w:color w:val="000000"/>
                  <w:kern w:val="0"/>
                  <w:szCs w:val="22"/>
                  <w14:ligatures w14:val="none"/>
                </w:rPr>
                <m:t>did</m:t>
              </m:r>
            </m:oMath>
            <w:r w:rsidRPr="00AE1EE7">
              <w:rPr>
                <w:rFonts w:eastAsia="Times New Roman" w:cs="Arial"/>
                <w:color w:val="000000"/>
                <w:kern w:val="0"/>
                <w:szCs w:val="22"/>
                <w14:ligatures w14:val="none"/>
              </w:rPr>
              <w:t xml:space="preserve"> </w:t>
            </w:r>
          </w:p>
        </w:tc>
        <w:tc>
          <w:tcPr>
            <w:tcW w:w="1515" w:type="dxa"/>
            <w:shd w:val="clear" w:color="auto" w:fill="auto"/>
            <w:noWrap/>
            <w:hideMark/>
          </w:tcPr>
          <w:p w14:paraId="207F6827" w14:textId="77777777" w:rsidR="005A6FF5" w:rsidRPr="00AE1EE7" w:rsidRDefault="005A6FF5"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0.0385</w:t>
            </w:r>
          </w:p>
          <w:p w14:paraId="52CB5285" w14:textId="77777777" w:rsidR="005A6FF5" w:rsidRPr="00AE1EE7" w:rsidRDefault="005A6FF5"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w:t>
            </w:r>
          </w:p>
        </w:tc>
        <w:tc>
          <w:tcPr>
            <w:tcW w:w="1516" w:type="dxa"/>
            <w:shd w:val="clear" w:color="auto" w:fill="auto"/>
            <w:noWrap/>
            <w:hideMark/>
          </w:tcPr>
          <w:p w14:paraId="5D29948D" w14:textId="77777777" w:rsidR="005A6FF5" w:rsidRPr="00AE1EE7" w:rsidRDefault="005A6FF5"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0.0214</w:t>
            </w:r>
          </w:p>
        </w:tc>
        <w:tc>
          <w:tcPr>
            <w:tcW w:w="1516" w:type="dxa"/>
            <w:shd w:val="clear" w:color="auto" w:fill="auto"/>
            <w:noWrap/>
            <w:hideMark/>
          </w:tcPr>
          <w:p w14:paraId="1F34D611" w14:textId="77777777" w:rsidR="005A6FF5" w:rsidRPr="00AE1EE7" w:rsidRDefault="005A6FF5"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0.0225</w:t>
            </w:r>
          </w:p>
          <w:p w14:paraId="490512C8" w14:textId="77777777" w:rsidR="005A6FF5" w:rsidRPr="00AE1EE7" w:rsidRDefault="005A6FF5"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w:t>
            </w:r>
          </w:p>
        </w:tc>
        <w:tc>
          <w:tcPr>
            <w:tcW w:w="1516" w:type="dxa"/>
            <w:shd w:val="clear" w:color="auto" w:fill="auto"/>
            <w:noWrap/>
            <w:hideMark/>
          </w:tcPr>
          <w:p w14:paraId="62AE5CDE" w14:textId="77777777" w:rsidR="005A6FF5" w:rsidRPr="00AE1EE7" w:rsidRDefault="005A6FF5"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0.0243</w:t>
            </w:r>
          </w:p>
          <w:p w14:paraId="562DA529" w14:textId="77777777" w:rsidR="005A6FF5" w:rsidRPr="00AE1EE7" w:rsidRDefault="005A6FF5"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w:t>
            </w:r>
          </w:p>
        </w:tc>
        <w:tc>
          <w:tcPr>
            <w:tcW w:w="1514" w:type="dxa"/>
            <w:shd w:val="clear" w:color="auto" w:fill="auto"/>
            <w:noWrap/>
            <w:hideMark/>
          </w:tcPr>
          <w:p w14:paraId="3026010B" w14:textId="77777777" w:rsidR="005A6FF5" w:rsidRPr="00AE1EE7" w:rsidRDefault="005A6FF5"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0.0248</w:t>
            </w:r>
          </w:p>
          <w:p w14:paraId="3D02D318" w14:textId="77777777" w:rsidR="005A6FF5" w:rsidRPr="00AE1EE7" w:rsidRDefault="005A6FF5"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w:t>
            </w:r>
          </w:p>
        </w:tc>
      </w:tr>
      <w:tr w:rsidR="005A6FF5" w:rsidRPr="00AE1EE7" w14:paraId="061C226B" w14:textId="77777777" w:rsidTr="00553364">
        <w:trPr>
          <w:trHeight w:val="510"/>
        </w:trPr>
        <w:tc>
          <w:tcPr>
            <w:tcW w:w="1778" w:type="dxa"/>
            <w:shd w:val="clear" w:color="auto" w:fill="auto"/>
            <w:noWrap/>
            <w:vAlign w:val="center"/>
            <w:hideMark/>
          </w:tcPr>
          <w:p w14:paraId="4C06291C" w14:textId="77777777" w:rsidR="005A6FF5" w:rsidRPr="00AE1EE7" w:rsidRDefault="005A6FF5" w:rsidP="0006518C">
            <w:pPr>
              <w:spacing w:after="0" w:line="240" w:lineRule="auto"/>
              <w:rPr>
                <w:rFonts w:eastAsia="Times New Roman" w:cs="Arial"/>
                <w:color w:val="000000"/>
                <w:kern w:val="0"/>
                <w:szCs w:val="22"/>
                <w14:ligatures w14:val="none"/>
              </w:rPr>
            </w:pPr>
            <m:oMath>
              <m:r>
                <w:rPr>
                  <w:rFonts w:ascii="Cambria Math" w:eastAsia="Times New Roman" w:hAnsi="Cambria Math" w:cs="Arial"/>
                  <w:color w:val="000000"/>
                  <w:kern w:val="0"/>
                  <w:szCs w:val="22"/>
                  <w14:ligatures w14:val="none"/>
                </w:rPr>
                <m:t>treated</m:t>
              </m:r>
            </m:oMath>
            <w:r w:rsidRPr="00AE1EE7">
              <w:rPr>
                <w:rFonts w:eastAsia="Times New Roman" w:cs="Arial"/>
                <w:color w:val="000000"/>
                <w:kern w:val="0"/>
                <w:szCs w:val="22"/>
                <w14:ligatures w14:val="none"/>
              </w:rPr>
              <w:t xml:space="preserve"> </w:t>
            </w:r>
          </w:p>
        </w:tc>
        <w:tc>
          <w:tcPr>
            <w:tcW w:w="1515" w:type="dxa"/>
            <w:shd w:val="clear" w:color="auto" w:fill="auto"/>
            <w:noWrap/>
            <w:hideMark/>
          </w:tcPr>
          <w:p w14:paraId="2364016C" w14:textId="77777777" w:rsidR="005A6FF5" w:rsidRPr="00AE1EE7" w:rsidRDefault="005A6FF5"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0.1776</w:t>
            </w:r>
          </w:p>
          <w:p w14:paraId="4E975570" w14:textId="77777777" w:rsidR="005A6FF5" w:rsidRPr="00AE1EE7" w:rsidRDefault="005A6FF5"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w:t>
            </w:r>
          </w:p>
        </w:tc>
        <w:tc>
          <w:tcPr>
            <w:tcW w:w="1516" w:type="dxa"/>
            <w:shd w:val="clear" w:color="auto" w:fill="auto"/>
            <w:noWrap/>
            <w:hideMark/>
          </w:tcPr>
          <w:p w14:paraId="1EB59549" w14:textId="77777777" w:rsidR="005A6FF5" w:rsidRPr="00AE1EE7" w:rsidRDefault="005A6FF5"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0.0794</w:t>
            </w:r>
          </w:p>
          <w:p w14:paraId="372CE511" w14:textId="77777777" w:rsidR="005A6FF5" w:rsidRPr="00AE1EE7" w:rsidRDefault="005A6FF5"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w:t>
            </w:r>
          </w:p>
        </w:tc>
        <w:tc>
          <w:tcPr>
            <w:tcW w:w="1516" w:type="dxa"/>
            <w:shd w:val="clear" w:color="auto" w:fill="auto"/>
            <w:noWrap/>
            <w:hideMark/>
          </w:tcPr>
          <w:p w14:paraId="505C84F5" w14:textId="77777777" w:rsidR="005A6FF5" w:rsidRPr="00AE1EE7" w:rsidRDefault="005A6FF5"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0.0789</w:t>
            </w:r>
          </w:p>
          <w:p w14:paraId="0865854C" w14:textId="77777777" w:rsidR="005A6FF5" w:rsidRPr="00AE1EE7" w:rsidRDefault="005A6FF5"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w:t>
            </w:r>
          </w:p>
        </w:tc>
        <w:tc>
          <w:tcPr>
            <w:tcW w:w="1516" w:type="dxa"/>
            <w:shd w:val="clear" w:color="auto" w:fill="auto"/>
            <w:noWrap/>
            <w:hideMark/>
          </w:tcPr>
          <w:p w14:paraId="39B7635E" w14:textId="77777777" w:rsidR="005A6FF5" w:rsidRPr="00AE1EE7" w:rsidRDefault="005A6FF5"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0.0875</w:t>
            </w:r>
          </w:p>
          <w:p w14:paraId="4B6BCDD0" w14:textId="77777777" w:rsidR="005A6FF5" w:rsidRPr="00AE1EE7" w:rsidRDefault="005A6FF5"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w:t>
            </w:r>
          </w:p>
        </w:tc>
        <w:tc>
          <w:tcPr>
            <w:tcW w:w="1514" w:type="dxa"/>
            <w:shd w:val="clear" w:color="auto" w:fill="auto"/>
            <w:noWrap/>
            <w:hideMark/>
          </w:tcPr>
          <w:p w14:paraId="01C3750A" w14:textId="77777777" w:rsidR="005A6FF5" w:rsidRPr="00AE1EE7" w:rsidRDefault="005A6FF5"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0.0900</w:t>
            </w:r>
          </w:p>
          <w:p w14:paraId="426DB741" w14:textId="77777777" w:rsidR="005A6FF5" w:rsidRPr="00AE1EE7" w:rsidRDefault="005A6FF5"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w:t>
            </w:r>
          </w:p>
        </w:tc>
      </w:tr>
      <w:tr w:rsidR="005A6FF5" w:rsidRPr="00AE1EE7" w14:paraId="1C1595C6" w14:textId="77777777" w:rsidTr="00553364">
        <w:trPr>
          <w:trHeight w:val="510"/>
        </w:trPr>
        <w:tc>
          <w:tcPr>
            <w:tcW w:w="1778" w:type="dxa"/>
            <w:shd w:val="clear" w:color="auto" w:fill="auto"/>
            <w:noWrap/>
            <w:vAlign w:val="center"/>
            <w:hideMark/>
          </w:tcPr>
          <w:p w14:paraId="00611946" w14:textId="77777777" w:rsidR="005A6FF5" w:rsidRPr="00AE1EE7" w:rsidRDefault="005A6FF5" w:rsidP="0006518C">
            <w:pPr>
              <w:spacing w:after="0" w:line="240" w:lineRule="auto"/>
              <w:rPr>
                <w:rFonts w:eastAsia="Times New Roman" w:cs="Arial"/>
                <w:color w:val="000000"/>
                <w:kern w:val="0"/>
                <w:szCs w:val="22"/>
                <w14:ligatures w14:val="none"/>
              </w:rPr>
            </w:pPr>
            <m:oMath>
              <m:r>
                <w:rPr>
                  <w:rFonts w:ascii="Cambria Math" w:eastAsia="Times New Roman" w:hAnsi="Cambria Math" w:cs="Arial"/>
                  <w:color w:val="000000"/>
                  <w:kern w:val="0"/>
                  <w:szCs w:val="22"/>
                  <w14:ligatures w14:val="none"/>
                </w:rPr>
                <m:t>period</m:t>
              </m:r>
            </m:oMath>
            <w:r w:rsidRPr="00AE1EE7">
              <w:rPr>
                <w:rFonts w:eastAsia="Times New Roman" w:cs="Arial"/>
                <w:color w:val="000000"/>
                <w:kern w:val="0"/>
                <w:szCs w:val="22"/>
                <w14:ligatures w14:val="none"/>
              </w:rPr>
              <w:t xml:space="preserve"> </w:t>
            </w:r>
          </w:p>
        </w:tc>
        <w:tc>
          <w:tcPr>
            <w:tcW w:w="1515" w:type="dxa"/>
            <w:shd w:val="clear" w:color="auto" w:fill="auto"/>
            <w:noWrap/>
            <w:hideMark/>
          </w:tcPr>
          <w:p w14:paraId="281340F6" w14:textId="77777777" w:rsidR="005A6FF5" w:rsidRPr="00AE1EE7" w:rsidRDefault="005A6FF5"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-0.0503</w:t>
            </w:r>
          </w:p>
          <w:p w14:paraId="05AFEF7E" w14:textId="77777777" w:rsidR="005A6FF5" w:rsidRPr="00AE1EE7" w:rsidRDefault="005A6FF5"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w:t>
            </w:r>
          </w:p>
        </w:tc>
        <w:tc>
          <w:tcPr>
            <w:tcW w:w="1516" w:type="dxa"/>
            <w:shd w:val="clear" w:color="auto" w:fill="auto"/>
            <w:noWrap/>
            <w:hideMark/>
          </w:tcPr>
          <w:p w14:paraId="498379A2" w14:textId="77777777" w:rsidR="005A6FF5" w:rsidRPr="00AE1EE7" w:rsidRDefault="005A6FF5"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-0.0320</w:t>
            </w:r>
          </w:p>
          <w:p w14:paraId="53DE12EB" w14:textId="77777777" w:rsidR="005A6FF5" w:rsidRPr="00AE1EE7" w:rsidRDefault="005A6FF5"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w:t>
            </w:r>
          </w:p>
        </w:tc>
        <w:tc>
          <w:tcPr>
            <w:tcW w:w="1516" w:type="dxa"/>
            <w:shd w:val="clear" w:color="auto" w:fill="auto"/>
            <w:noWrap/>
            <w:hideMark/>
          </w:tcPr>
          <w:p w14:paraId="09889DC3" w14:textId="77777777" w:rsidR="005A6FF5" w:rsidRPr="00AE1EE7" w:rsidRDefault="005A6FF5"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-0.0316</w:t>
            </w:r>
          </w:p>
          <w:p w14:paraId="5918F3E4" w14:textId="77777777" w:rsidR="005A6FF5" w:rsidRPr="00AE1EE7" w:rsidRDefault="005A6FF5"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w:t>
            </w:r>
          </w:p>
        </w:tc>
        <w:tc>
          <w:tcPr>
            <w:tcW w:w="1516" w:type="dxa"/>
            <w:shd w:val="clear" w:color="auto" w:fill="auto"/>
            <w:noWrap/>
            <w:hideMark/>
          </w:tcPr>
          <w:p w14:paraId="2D51588E" w14:textId="77777777" w:rsidR="005A6FF5" w:rsidRPr="00AE1EE7" w:rsidRDefault="005A6FF5"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-0.0295</w:t>
            </w:r>
          </w:p>
          <w:p w14:paraId="24BF1A8D" w14:textId="77777777" w:rsidR="005A6FF5" w:rsidRPr="00AE1EE7" w:rsidRDefault="005A6FF5"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w:t>
            </w:r>
          </w:p>
        </w:tc>
        <w:tc>
          <w:tcPr>
            <w:tcW w:w="1514" w:type="dxa"/>
            <w:shd w:val="clear" w:color="auto" w:fill="auto"/>
            <w:noWrap/>
            <w:hideMark/>
          </w:tcPr>
          <w:p w14:paraId="526A5A54" w14:textId="77777777" w:rsidR="005A6FF5" w:rsidRPr="00AE1EE7" w:rsidRDefault="005A6FF5"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-0.0321</w:t>
            </w:r>
          </w:p>
          <w:p w14:paraId="551830D1" w14:textId="77777777" w:rsidR="005A6FF5" w:rsidRPr="00AE1EE7" w:rsidRDefault="005A6FF5"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w:t>
            </w:r>
          </w:p>
        </w:tc>
      </w:tr>
      <w:tr w:rsidR="005A6FF5" w:rsidRPr="00AE1EE7" w14:paraId="7F54459C" w14:textId="77777777" w:rsidTr="00553364">
        <w:trPr>
          <w:trHeight w:val="510"/>
        </w:trPr>
        <w:tc>
          <w:tcPr>
            <w:tcW w:w="1778" w:type="dxa"/>
            <w:shd w:val="clear" w:color="auto" w:fill="auto"/>
            <w:noWrap/>
            <w:vAlign w:val="center"/>
            <w:hideMark/>
          </w:tcPr>
          <w:p w14:paraId="031F8A3A" w14:textId="77777777" w:rsidR="005A6FF5" w:rsidRPr="00AE1EE7" w:rsidRDefault="005A6FF5" w:rsidP="0006518C">
            <w:pPr>
              <w:spacing w:after="0" w:line="240" w:lineRule="auto"/>
              <w:rPr>
                <w:rFonts w:eastAsia="Times New Roman" w:cs="Arial"/>
                <w:color w:val="000000"/>
                <w:kern w:val="0"/>
                <w:szCs w:val="22"/>
                <w14:ligatures w14:val="none"/>
              </w:rPr>
            </w:pPr>
            <m:oMath>
              <m:r>
                <w:rPr>
                  <w:rFonts w:ascii="Cambria Math" w:eastAsia="Times New Roman" w:hAnsi="Cambria Math" w:cs="Arial"/>
                  <w:color w:val="000000"/>
                  <w:kern w:val="0"/>
                  <w:szCs w:val="22"/>
                  <w14:ligatures w14:val="none"/>
                </w:rPr>
                <m:t>lev</m:t>
              </m:r>
            </m:oMath>
            <w:r w:rsidRPr="00AE1EE7">
              <w:rPr>
                <w:rFonts w:eastAsia="Times New Roman" w:cs="Arial"/>
                <w:color w:val="000000"/>
                <w:kern w:val="0"/>
                <w:szCs w:val="22"/>
                <w14:ligatures w14:val="none"/>
              </w:rPr>
              <w:t xml:space="preserve"> </w:t>
            </w:r>
          </w:p>
        </w:tc>
        <w:tc>
          <w:tcPr>
            <w:tcW w:w="1515" w:type="dxa"/>
            <w:shd w:val="clear" w:color="auto" w:fill="auto"/>
            <w:noWrap/>
            <w:hideMark/>
          </w:tcPr>
          <w:p w14:paraId="6C067682" w14:textId="77777777" w:rsidR="005A6FF5" w:rsidRPr="00AE1EE7" w:rsidRDefault="005A6FF5" w:rsidP="0006518C">
            <w:pPr>
              <w:spacing w:after="0" w:line="240" w:lineRule="auto"/>
              <w:jc w:val="center"/>
              <w:rPr>
                <w:rFonts w:eastAsia="Times New Roman" w:cs="Arial"/>
                <w:color w:val="000000"/>
                <w:kern w:val="0"/>
                <w:szCs w:val="22"/>
                <w14:ligatures w14:val="none"/>
              </w:rPr>
            </w:pPr>
          </w:p>
        </w:tc>
        <w:tc>
          <w:tcPr>
            <w:tcW w:w="1516" w:type="dxa"/>
            <w:shd w:val="clear" w:color="auto" w:fill="auto"/>
            <w:noWrap/>
            <w:hideMark/>
          </w:tcPr>
          <w:p w14:paraId="4EFD5635" w14:textId="77777777" w:rsidR="005A6FF5" w:rsidRPr="00AE1EE7" w:rsidRDefault="005A6FF5"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-0.1417</w:t>
            </w:r>
          </w:p>
          <w:p w14:paraId="67E11F45" w14:textId="77777777" w:rsidR="005A6FF5" w:rsidRPr="00AE1EE7" w:rsidRDefault="005A6FF5"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w:t>
            </w:r>
          </w:p>
        </w:tc>
        <w:tc>
          <w:tcPr>
            <w:tcW w:w="1516" w:type="dxa"/>
            <w:shd w:val="clear" w:color="auto" w:fill="auto"/>
            <w:noWrap/>
            <w:hideMark/>
          </w:tcPr>
          <w:p w14:paraId="4279891C" w14:textId="77777777" w:rsidR="005A6FF5" w:rsidRPr="00AE1EE7" w:rsidRDefault="005A6FF5"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-0.1379</w:t>
            </w:r>
          </w:p>
          <w:p w14:paraId="4B8DD85A" w14:textId="77777777" w:rsidR="005A6FF5" w:rsidRPr="00AE1EE7" w:rsidRDefault="005A6FF5"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w:t>
            </w:r>
          </w:p>
        </w:tc>
        <w:tc>
          <w:tcPr>
            <w:tcW w:w="1516" w:type="dxa"/>
            <w:shd w:val="clear" w:color="auto" w:fill="auto"/>
            <w:noWrap/>
            <w:hideMark/>
          </w:tcPr>
          <w:p w14:paraId="1BB1E517" w14:textId="77777777" w:rsidR="005A6FF5" w:rsidRPr="00AE1EE7" w:rsidRDefault="005A6FF5"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-0.1450</w:t>
            </w:r>
          </w:p>
          <w:p w14:paraId="12AE6884" w14:textId="77777777" w:rsidR="005A6FF5" w:rsidRPr="00AE1EE7" w:rsidRDefault="005A6FF5"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w:t>
            </w:r>
          </w:p>
        </w:tc>
        <w:tc>
          <w:tcPr>
            <w:tcW w:w="1514" w:type="dxa"/>
            <w:shd w:val="clear" w:color="auto" w:fill="auto"/>
            <w:noWrap/>
            <w:hideMark/>
          </w:tcPr>
          <w:p w14:paraId="47EC5C88" w14:textId="77777777" w:rsidR="005A6FF5" w:rsidRPr="00AE1EE7" w:rsidRDefault="005A6FF5"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-0.1398</w:t>
            </w:r>
          </w:p>
          <w:p w14:paraId="51A6994F" w14:textId="77777777" w:rsidR="005A6FF5" w:rsidRPr="00AE1EE7" w:rsidRDefault="005A6FF5"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w:t>
            </w:r>
          </w:p>
        </w:tc>
      </w:tr>
      <w:tr w:rsidR="005A6FF5" w:rsidRPr="00AE1EE7" w14:paraId="353B9C3E" w14:textId="77777777" w:rsidTr="00553364">
        <w:trPr>
          <w:trHeight w:val="510"/>
        </w:trPr>
        <w:tc>
          <w:tcPr>
            <w:tcW w:w="1778" w:type="dxa"/>
            <w:shd w:val="clear" w:color="auto" w:fill="auto"/>
            <w:noWrap/>
            <w:vAlign w:val="center"/>
            <w:hideMark/>
          </w:tcPr>
          <w:p w14:paraId="5EFF70AC" w14:textId="77777777" w:rsidR="005A6FF5" w:rsidRPr="00AE1EE7" w:rsidRDefault="005A6FF5" w:rsidP="0006518C">
            <w:pPr>
              <w:spacing w:after="0" w:line="240" w:lineRule="auto"/>
              <w:rPr>
                <w:rFonts w:eastAsia="Times New Roman" w:cs="Arial"/>
                <w:color w:val="000000"/>
                <w:kern w:val="0"/>
                <w:szCs w:val="22"/>
                <w14:ligatures w14:val="none"/>
              </w:rPr>
            </w:pPr>
            <m:oMath>
              <m:r>
                <w:rPr>
                  <w:rFonts w:ascii="Cambria Math" w:eastAsia="Times New Roman" w:hAnsi="Cambria Math" w:cs="Arial"/>
                  <w:color w:val="000000"/>
                  <w:kern w:val="0"/>
                  <w:szCs w:val="22"/>
                  <w14:ligatures w14:val="none"/>
                </w:rPr>
                <m:t>ocfta</m:t>
              </m:r>
            </m:oMath>
            <w:r w:rsidRPr="00AE1EE7">
              <w:rPr>
                <w:rFonts w:eastAsia="Times New Roman" w:cs="Arial"/>
                <w:color w:val="000000"/>
                <w:kern w:val="0"/>
                <w:szCs w:val="22"/>
                <w14:ligatures w14:val="none"/>
              </w:rPr>
              <w:t xml:space="preserve"> </w:t>
            </w:r>
          </w:p>
        </w:tc>
        <w:tc>
          <w:tcPr>
            <w:tcW w:w="1515" w:type="dxa"/>
            <w:shd w:val="clear" w:color="auto" w:fill="auto"/>
            <w:noWrap/>
            <w:hideMark/>
          </w:tcPr>
          <w:p w14:paraId="08927232" w14:textId="77777777" w:rsidR="005A6FF5" w:rsidRPr="00AE1EE7" w:rsidRDefault="005A6FF5" w:rsidP="0006518C">
            <w:pPr>
              <w:spacing w:after="0" w:line="240" w:lineRule="auto"/>
              <w:jc w:val="center"/>
              <w:rPr>
                <w:rFonts w:eastAsia="Times New Roman" w:cs="Arial"/>
                <w:color w:val="000000"/>
                <w:kern w:val="0"/>
                <w:szCs w:val="22"/>
                <w14:ligatures w14:val="none"/>
              </w:rPr>
            </w:pPr>
          </w:p>
        </w:tc>
        <w:tc>
          <w:tcPr>
            <w:tcW w:w="1516" w:type="dxa"/>
            <w:shd w:val="clear" w:color="auto" w:fill="auto"/>
            <w:noWrap/>
            <w:hideMark/>
          </w:tcPr>
          <w:p w14:paraId="7533975E" w14:textId="77777777" w:rsidR="005A6FF5" w:rsidRPr="00AE1EE7" w:rsidRDefault="005A6FF5"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0.3260</w:t>
            </w:r>
          </w:p>
          <w:p w14:paraId="5742DB9F" w14:textId="77777777" w:rsidR="005A6FF5" w:rsidRPr="00AE1EE7" w:rsidRDefault="005A6FF5"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w:t>
            </w:r>
          </w:p>
        </w:tc>
        <w:tc>
          <w:tcPr>
            <w:tcW w:w="1516" w:type="dxa"/>
            <w:shd w:val="clear" w:color="auto" w:fill="auto"/>
            <w:noWrap/>
            <w:hideMark/>
          </w:tcPr>
          <w:p w14:paraId="3AF040F2" w14:textId="77777777" w:rsidR="005A6FF5" w:rsidRPr="00AE1EE7" w:rsidRDefault="005A6FF5"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0.3221</w:t>
            </w:r>
          </w:p>
          <w:p w14:paraId="2DF86A1E" w14:textId="77777777" w:rsidR="005A6FF5" w:rsidRPr="00AE1EE7" w:rsidRDefault="005A6FF5"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w:t>
            </w:r>
          </w:p>
        </w:tc>
        <w:tc>
          <w:tcPr>
            <w:tcW w:w="1516" w:type="dxa"/>
            <w:shd w:val="clear" w:color="auto" w:fill="auto"/>
            <w:noWrap/>
            <w:hideMark/>
          </w:tcPr>
          <w:p w14:paraId="2E0BD173" w14:textId="77777777" w:rsidR="005A6FF5" w:rsidRPr="00AE1EE7" w:rsidRDefault="005A6FF5"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0.2091</w:t>
            </w:r>
          </w:p>
          <w:p w14:paraId="166EE65F" w14:textId="77777777" w:rsidR="005A6FF5" w:rsidRPr="00AE1EE7" w:rsidRDefault="005A6FF5"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w:t>
            </w:r>
          </w:p>
        </w:tc>
        <w:tc>
          <w:tcPr>
            <w:tcW w:w="1514" w:type="dxa"/>
            <w:shd w:val="clear" w:color="auto" w:fill="auto"/>
            <w:noWrap/>
            <w:hideMark/>
          </w:tcPr>
          <w:p w14:paraId="378889D4" w14:textId="77777777" w:rsidR="005A6FF5" w:rsidRPr="00AE1EE7" w:rsidRDefault="005A6FF5"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0.2061</w:t>
            </w:r>
          </w:p>
          <w:p w14:paraId="0C1C5027" w14:textId="77777777" w:rsidR="005A6FF5" w:rsidRPr="00AE1EE7" w:rsidRDefault="005A6FF5"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w:t>
            </w:r>
          </w:p>
        </w:tc>
      </w:tr>
      <w:tr w:rsidR="005A6FF5" w:rsidRPr="00AE1EE7" w14:paraId="34D94454" w14:textId="77777777" w:rsidTr="00553364">
        <w:trPr>
          <w:trHeight w:val="510"/>
        </w:trPr>
        <w:tc>
          <w:tcPr>
            <w:tcW w:w="1778" w:type="dxa"/>
            <w:shd w:val="clear" w:color="auto" w:fill="auto"/>
            <w:noWrap/>
            <w:vAlign w:val="center"/>
            <w:hideMark/>
          </w:tcPr>
          <w:p w14:paraId="4AE5D994" w14:textId="77777777" w:rsidR="005A6FF5" w:rsidRPr="00AE1EE7" w:rsidRDefault="005A6FF5" w:rsidP="0006518C">
            <w:pPr>
              <w:spacing w:after="0" w:line="240" w:lineRule="auto"/>
              <w:rPr>
                <w:rFonts w:eastAsia="Times New Roman" w:cs="Arial"/>
                <w:color w:val="000000"/>
                <w:kern w:val="0"/>
                <w:szCs w:val="22"/>
                <w14:ligatures w14:val="none"/>
              </w:rPr>
            </w:pPr>
            <m:oMath>
              <m:r>
                <w:rPr>
                  <w:rFonts w:ascii="Cambria Math" w:eastAsia="Times New Roman" w:hAnsi="Cambria Math" w:cs="Arial"/>
                  <w:color w:val="000000"/>
                  <w:kern w:val="0"/>
                  <w:szCs w:val="22"/>
                  <w14:ligatures w14:val="none"/>
                </w:rPr>
                <m:t>size</m:t>
              </m:r>
            </m:oMath>
            <w:r w:rsidRPr="00AE1EE7">
              <w:rPr>
                <w:rFonts w:eastAsia="Times New Roman" w:cs="Arial"/>
                <w:color w:val="000000"/>
                <w:kern w:val="0"/>
                <w:szCs w:val="22"/>
                <w14:ligatures w14:val="none"/>
              </w:rPr>
              <w:t xml:space="preserve"> </w:t>
            </w:r>
          </w:p>
        </w:tc>
        <w:tc>
          <w:tcPr>
            <w:tcW w:w="1515" w:type="dxa"/>
            <w:shd w:val="clear" w:color="auto" w:fill="auto"/>
            <w:noWrap/>
            <w:hideMark/>
          </w:tcPr>
          <w:p w14:paraId="6ED8E18C" w14:textId="77777777" w:rsidR="005A6FF5" w:rsidRPr="00AE1EE7" w:rsidRDefault="005A6FF5" w:rsidP="0006518C">
            <w:pPr>
              <w:spacing w:after="0" w:line="240" w:lineRule="auto"/>
              <w:jc w:val="center"/>
              <w:rPr>
                <w:rFonts w:eastAsia="Times New Roman" w:cs="Arial"/>
                <w:color w:val="000000"/>
                <w:kern w:val="0"/>
                <w:szCs w:val="22"/>
                <w14:ligatures w14:val="none"/>
              </w:rPr>
            </w:pPr>
          </w:p>
        </w:tc>
        <w:tc>
          <w:tcPr>
            <w:tcW w:w="1516" w:type="dxa"/>
            <w:shd w:val="clear" w:color="auto" w:fill="auto"/>
            <w:noWrap/>
            <w:hideMark/>
          </w:tcPr>
          <w:p w14:paraId="1151AF73" w14:textId="77777777" w:rsidR="005A6FF5" w:rsidRPr="00AE1EE7" w:rsidRDefault="005A6FF5" w:rsidP="0006518C">
            <w:pPr>
              <w:spacing w:after="0" w:line="240" w:lineRule="auto"/>
              <w:jc w:val="center"/>
              <w:rPr>
                <w:rFonts w:eastAsia="Times New Roman" w:cs="Arial"/>
                <w:kern w:val="0"/>
                <w:szCs w:val="22"/>
                <w14:ligatures w14:val="none"/>
              </w:rPr>
            </w:pPr>
          </w:p>
        </w:tc>
        <w:tc>
          <w:tcPr>
            <w:tcW w:w="1516" w:type="dxa"/>
            <w:shd w:val="clear" w:color="auto" w:fill="auto"/>
            <w:noWrap/>
            <w:hideMark/>
          </w:tcPr>
          <w:p w14:paraId="05C47E5C" w14:textId="77777777" w:rsidR="005A6FF5" w:rsidRPr="00AE1EE7" w:rsidRDefault="005A6FF5"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-0.0002</w:t>
            </w:r>
          </w:p>
        </w:tc>
        <w:tc>
          <w:tcPr>
            <w:tcW w:w="1516" w:type="dxa"/>
            <w:shd w:val="clear" w:color="auto" w:fill="auto"/>
            <w:noWrap/>
            <w:hideMark/>
          </w:tcPr>
          <w:p w14:paraId="5E305002" w14:textId="77777777" w:rsidR="005A6FF5" w:rsidRPr="00AE1EE7" w:rsidRDefault="005A6FF5"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-0.0069</w:t>
            </w:r>
          </w:p>
        </w:tc>
        <w:tc>
          <w:tcPr>
            <w:tcW w:w="1514" w:type="dxa"/>
            <w:shd w:val="clear" w:color="auto" w:fill="auto"/>
            <w:noWrap/>
            <w:hideMark/>
          </w:tcPr>
          <w:p w14:paraId="7E7A4C97" w14:textId="77777777" w:rsidR="005A6FF5" w:rsidRPr="00AE1EE7" w:rsidRDefault="005A6FF5"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-0.0081</w:t>
            </w:r>
          </w:p>
        </w:tc>
      </w:tr>
      <w:tr w:rsidR="005A6FF5" w:rsidRPr="00AE1EE7" w14:paraId="190A562E" w14:textId="77777777" w:rsidTr="00553364">
        <w:trPr>
          <w:trHeight w:val="510"/>
        </w:trPr>
        <w:tc>
          <w:tcPr>
            <w:tcW w:w="1778" w:type="dxa"/>
            <w:shd w:val="clear" w:color="auto" w:fill="auto"/>
            <w:noWrap/>
            <w:vAlign w:val="center"/>
            <w:hideMark/>
          </w:tcPr>
          <w:p w14:paraId="0E1F0D94" w14:textId="77777777" w:rsidR="005A6FF5" w:rsidRPr="00AE1EE7" w:rsidRDefault="005A6FF5" w:rsidP="0006518C">
            <w:pPr>
              <w:spacing w:after="0" w:line="240" w:lineRule="auto"/>
              <w:rPr>
                <w:rFonts w:eastAsia="Times New Roman" w:cs="Arial"/>
                <w:color w:val="000000"/>
                <w:kern w:val="0"/>
                <w:szCs w:val="22"/>
                <w14:ligatures w14:val="none"/>
              </w:rPr>
            </w:pPr>
            <m:oMath>
              <m:r>
                <w:rPr>
                  <w:rFonts w:ascii="Cambria Math" w:eastAsia="Times New Roman" w:hAnsi="Cambria Math" w:cs="Arial"/>
                  <w:color w:val="000000"/>
                  <w:kern w:val="0"/>
                  <w:szCs w:val="22"/>
                  <w14:ligatures w14:val="none"/>
                </w:rPr>
                <m:t>ppeta</m:t>
              </m:r>
            </m:oMath>
            <w:r w:rsidRPr="00AE1EE7">
              <w:rPr>
                <w:rFonts w:eastAsia="Times New Roman" w:cs="Arial"/>
                <w:color w:val="000000"/>
                <w:kern w:val="0"/>
                <w:szCs w:val="22"/>
                <w14:ligatures w14:val="none"/>
              </w:rPr>
              <w:t xml:space="preserve"> </w:t>
            </w:r>
          </w:p>
        </w:tc>
        <w:tc>
          <w:tcPr>
            <w:tcW w:w="1515" w:type="dxa"/>
            <w:shd w:val="clear" w:color="auto" w:fill="auto"/>
            <w:noWrap/>
            <w:hideMark/>
          </w:tcPr>
          <w:p w14:paraId="5858B00B" w14:textId="77777777" w:rsidR="005A6FF5" w:rsidRPr="00AE1EE7" w:rsidRDefault="005A6FF5" w:rsidP="0006518C">
            <w:pPr>
              <w:spacing w:after="0" w:line="240" w:lineRule="auto"/>
              <w:jc w:val="center"/>
              <w:rPr>
                <w:rFonts w:eastAsia="Times New Roman" w:cs="Arial"/>
                <w:color w:val="000000"/>
                <w:kern w:val="0"/>
                <w:szCs w:val="22"/>
                <w14:ligatures w14:val="none"/>
              </w:rPr>
            </w:pPr>
          </w:p>
        </w:tc>
        <w:tc>
          <w:tcPr>
            <w:tcW w:w="1516" w:type="dxa"/>
            <w:shd w:val="clear" w:color="auto" w:fill="auto"/>
            <w:noWrap/>
            <w:hideMark/>
          </w:tcPr>
          <w:p w14:paraId="5D66888F" w14:textId="77777777" w:rsidR="005A6FF5" w:rsidRPr="00AE1EE7" w:rsidRDefault="005A6FF5" w:rsidP="0006518C">
            <w:pPr>
              <w:spacing w:after="0" w:line="240" w:lineRule="auto"/>
              <w:jc w:val="center"/>
              <w:rPr>
                <w:rFonts w:eastAsia="Times New Roman" w:cs="Arial"/>
                <w:kern w:val="0"/>
                <w:szCs w:val="22"/>
                <w14:ligatures w14:val="none"/>
              </w:rPr>
            </w:pPr>
          </w:p>
        </w:tc>
        <w:tc>
          <w:tcPr>
            <w:tcW w:w="1516" w:type="dxa"/>
            <w:shd w:val="clear" w:color="auto" w:fill="auto"/>
            <w:noWrap/>
            <w:hideMark/>
          </w:tcPr>
          <w:p w14:paraId="4191CBBD" w14:textId="77777777" w:rsidR="005A6FF5" w:rsidRPr="00AE1EE7" w:rsidRDefault="005A6FF5"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0.0200</w:t>
            </w:r>
          </w:p>
        </w:tc>
        <w:tc>
          <w:tcPr>
            <w:tcW w:w="1516" w:type="dxa"/>
            <w:shd w:val="clear" w:color="auto" w:fill="auto"/>
            <w:noWrap/>
            <w:hideMark/>
          </w:tcPr>
          <w:p w14:paraId="1141D9D2" w14:textId="77777777" w:rsidR="005A6FF5" w:rsidRPr="00AE1EE7" w:rsidRDefault="005A6FF5"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0.0352</w:t>
            </w:r>
          </w:p>
        </w:tc>
        <w:tc>
          <w:tcPr>
            <w:tcW w:w="1514" w:type="dxa"/>
            <w:shd w:val="clear" w:color="auto" w:fill="auto"/>
            <w:noWrap/>
            <w:hideMark/>
          </w:tcPr>
          <w:p w14:paraId="264DFDB2" w14:textId="77777777" w:rsidR="005A6FF5" w:rsidRPr="00AE1EE7" w:rsidRDefault="005A6FF5"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0.0414</w:t>
            </w:r>
          </w:p>
        </w:tc>
      </w:tr>
      <w:tr w:rsidR="005A6FF5" w:rsidRPr="00AE1EE7" w14:paraId="6682660C" w14:textId="77777777" w:rsidTr="00553364">
        <w:trPr>
          <w:trHeight w:val="510"/>
        </w:trPr>
        <w:tc>
          <w:tcPr>
            <w:tcW w:w="1778" w:type="dxa"/>
            <w:shd w:val="clear" w:color="auto" w:fill="auto"/>
            <w:noWrap/>
            <w:vAlign w:val="center"/>
            <w:hideMark/>
          </w:tcPr>
          <w:p w14:paraId="3C98E53F" w14:textId="77777777" w:rsidR="005A6FF5" w:rsidRPr="00AE1EE7" w:rsidRDefault="005A6FF5" w:rsidP="0006518C">
            <w:pPr>
              <w:spacing w:after="0" w:line="240" w:lineRule="auto"/>
              <w:rPr>
                <w:rFonts w:eastAsia="Times New Roman" w:cs="Arial"/>
                <w:color w:val="000000"/>
                <w:kern w:val="0"/>
                <w:szCs w:val="22"/>
                <w14:ligatures w14:val="none"/>
              </w:rPr>
            </w:pPr>
            <m:oMath>
              <m:r>
                <w:rPr>
                  <w:rFonts w:ascii="Cambria Math" w:eastAsia="Times New Roman" w:hAnsi="Cambria Math" w:cs="Arial"/>
                  <w:color w:val="000000"/>
                  <w:kern w:val="0"/>
                  <w:szCs w:val="22"/>
                  <w14:ligatures w14:val="none"/>
                </w:rPr>
                <m:t>growth</m:t>
              </m:r>
            </m:oMath>
            <w:r w:rsidRPr="00AE1EE7">
              <w:rPr>
                <w:rFonts w:eastAsia="Times New Roman" w:cs="Arial"/>
                <w:color w:val="000000"/>
                <w:kern w:val="0"/>
                <w:szCs w:val="22"/>
                <w14:ligatures w14:val="none"/>
              </w:rPr>
              <w:t xml:space="preserve"> </w:t>
            </w:r>
          </w:p>
        </w:tc>
        <w:tc>
          <w:tcPr>
            <w:tcW w:w="1515" w:type="dxa"/>
            <w:shd w:val="clear" w:color="auto" w:fill="auto"/>
            <w:noWrap/>
            <w:hideMark/>
          </w:tcPr>
          <w:p w14:paraId="509F871D" w14:textId="77777777" w:rsidR="005A6FF5" w:rsidRPr="00AE1EE7" w:rsidRDefault="005A6FF5" w:rsidP="0006518C">
            <w:pPr>
              <w:spacing w:after="0" w:line="240" w:lineRule="auto"/>
              <w:jc w:val="center"/>
              <w:rPr>
                <w:rFonts w:eastAsia="Times New Roman" w:cs="Arial"/>
                <w:color w:val="000000"/>
                <w:kern w:val="0"/>
                <w:szCs w:val="22"/>
                <w14:ligatures w14:val="none"/>
              </w:rPr>
            </w:pPr>
          </w:p>
        </w:tc>
        <w:tc>
          <w:tcPr>
            <w:tcW w:w="1516" w:type="dxa"/>
            <w:shd w:val="clear" w:color="auto" w:fill="auto"/>
            <w:noWrap/>
            <w:hideMark/>
          </w:tcPr>
          <w:p w14:paraId="130F4C96" w14:textId="77777777" w:rsidR="005A6FF5" w:rsidRPr="00AE1EE7" w:rsidRDefault="005A6FF5" w:rsidP="0006518C">
            <w:pPr>
              <w:spacing w:after="0" w:line="240" w:lineRule="auto"/>
              <w:jc w:val="center"/>
              <w:rPr>
                <w:rFonts w:eastAsia="Times New Roman" w:cs="Arial"/>
                <w:kern w:val="0"/>
                <w:szCs w:val="22"/>
                <w14:ligatures w14:val="none"/>
              </w:rPr>
            </w:pPr>
          </w:p>
        </w:tc>
        <w:tc>
          <w:tcPr>
            <w:tcW w:w="1516" w:type="dxa"/>
            <w:shd w:val="clear" w:color="auto" w:fill="auto"/>
            <w:noWrap/>
            <w:hideMark/>
          </w:tcPr>
          <w:p w14:paraId="4CF9E34B" w14:textId="77777777" w:rsidR="005A6FF5" w:rsidRPr="00AE1EE7" w:rsidRDefault="005A6FF5" w:rsidP="0006518C">
            <w:pPr>
              <w:spacing w:after="0" w:line="240" w:lineRule="auto"/>
              <w:jc w:val="center"/>
              <w:rPr>
                <w:rFonts w:eastAsia="Times New Roman" w:cs="Arial"/>
                <w:kern w:val="0"/>
                <w:szCs w:val="22"/>
                <w14:ligatures w14:val="none"/>
              </w:rPr>
            </w:pPr>
          </w:p>
        </w:tc>
        <w:tc>
          <w:tcPr>
            <w:tcW w:w="1516" w:type="dxa"/>
            <w:shd w:val="clear" w:color="auto" w:fill="auto"/>
            <w:noWrap/>
            <w:hideMark/>
          </w:tcPr>
          <w:p w14:paraId="2991950E" w14:textId="77777777" w:rsidR="005A6FF5" w:rsidRPr="00AE1EE7" w:rsidRDefault="005A6FF5"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0.0371</w:t>
            </w:r>
          </w:p>
          <w:p w14:paraId="511007A3" w14:textId="77777777" w:rsidR="005A6FF5" w:rsidRPr="00AE1EE7" w:rsidRDefault="005A6FF5"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w:t>
            </w:r>
          </w:p>
        </w:tc>
        <w:tc>
          <w:tcPr>
            <w:tcW w:w="1514" w:type="dxa"/>
            <w:shd w:val="clear" w:color="auto" w:fill="auto"/>
            <w:noWrap/>
            <w:hideMark/>
          </w:tcPr>
          <w:p w14:paraId="6F01D1FA" w14:textId="77777777" w:rsidR="005A6FF5" w:rsidRPr="00AE1EE7" w:rsidRDefault="005A6FF5"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0.0386</w:t>
            </w:r>
          </w:p>
          <w:p w14:paraId="33E154E3" w14:textId="77777777" w:rsidR="005A6FF5" w:rsidRPr="00AE1EE7" w:rsidRDefault="005A6FF5"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w:t>
            </w:r>
          </w:p>
        </w:tc>
      </w:tr>
      <w:tr w:rsidR="005A6FF5" w:rsidRPr="00AE1EE7" w14:paraId="5780F81B" w14:textId="77777777" w:rsidTr="00553364">
        <w:trPr>
          <w:trHeight w:val="510"/>
        </w:trPr>
        <w:tc>
          <w:tcPr>
            <w:tcW w:w="1778" w:type="dxa"/>
            <w:shd w:val="clear" w:color="auto" w:fill="auto"/>
            <w:noWrap/>
            <w:vAlign w:val="center"/>
            <w:hideMark/>
          </w:tcPr>
          <w:p w14:paraId="3391D58B" w14:textId="77777777" w:rsidR="005A6FF5" w:rsidRPr="00AE1EE7" w:rsidRDefault="005A6FF5" w:rsidP="0006518C">
            <w:pPr>
              <w:spacing w:after="0" w:line="240" w:lineRule="auto"/>
              <w:rPr>
                <w:rFonts w:eastAsia="Times New Roman" w:cs="Arial"/>
                <w:color w:val="000000"/>
                <w:kern w:val="0"/>
                <w:szCs w:val="22"/>
                <w14:ligatures w14:val="none"/>
              </w:rPr>
            </w:pPr>
            <m:oMath>
              <m:r>
                <w:rPr>
                  <w:rFonts w:ascii="Cambria Math" w:eastAsia="Times New Roman" w:hAnsi="Cambria Math" w:cs="Arial"/>
                  <w:color w:val="000000"/>
                  <w:kern w:val="0"/>
                  <w:szCs w:val="22"/>
                  <w14:ligatures w14:val="none"/>
                </w:rPr>
                <m:t>lntr</m:t>
              </m:r>
            </m:oMath>
            <w:r w:rsidRPr="00AE1EE7">
              <w:rPr>
                <w:rFonts w:eastAsia="Times New Roman" w:cs="Arial"/>
                <w:color w:val="000000"/>
                <w:kern w:val="0"/>
                <w:szCs w:val="22"/>
                <w14:ligatures w14:val="none"/>
              </w:rPr>
              <w:t xml:space="preserve"> </w:t>
            </w:r>
          </w:p>
        </w:tc>
        <w:tc>
          <w:tcPr>
            <w:tcW w:w="1515" w:type="dxa"/>
            <w:shd w:val="clear" w:color="auto" w:fill="auto"/>
            <w:noWrap/>
            <w:hideMark/>
          </w:tcPr>
          <w:p w14:paraId="7CBA00A5" w14:textId="77777777" w:rsidR="005A6FF5" w:rsidRPr="00AE1EE7" w:rsidRDefault="005A6FF5" w:rsidP="0006518C">
            <w:pPr>
              <w:spacing w:after="0" w:line="240" w:lineRule="auto"/>
              <w:jc w:val="center"/>
              <w:rPr>
                <w:rFonts w:eastAsia="Times New Roman" w:cs="Arial"/>
                <w:color w:val="000000"/>
                <w:kern w:val="0"/>
                <w:szCs w:val="22"/>
                <w14:ligatures w14:val="none"/>
              </w:rPr>
            </w:pPr>
          </w:p>
        </w:tc>
        <w:tc>
          <w:tcPr>
            <w:tcW w:w="1516" w:type="dxa"/>
            <w:shd w:val="clear" w:color="auto" w:fill="auto"/>
            <w:noWrap/>
            <w:hideMark/>
          </w:tcPr>
          <w:p w14:paraId="06B7C144" w14:textId="77777777" w:rsidR="005A6FF5" w:rsidRPr="00AE1EE7" w:rsidRDefault="005A6FF5" w:rsidP="0006518C">
            <w:pPr>
              <w:spacing w:after="0" w:line="240" w:lineRule="auto"/>
              <w:jc w:val="center"/>
              <w:rPr>
                <w:rFonts w:eastAsia="Times New Roman" w:cs="Arial"/>
                <w:kern w:val="0"/>
                <w:szCs w:val="22"/>
                <w14:ligatures w14:val="none"/>
              </w:rPr>
            </w:pPr>
          </w:p>
        </w:tc>
        <w:tc>
          <w:tcPr>
            <w:tcW w:w="1516" w:type="dxa"/>
            <w:shd w:val="clear" w:color="auto" w:fill="auto"/>
            <w:noWrap/>
            <w:hideMark/>
          </w:tcPr>
          <w:p w14:paraId="527E02FA" w14:textId="77777777" w:rsidR="005A6FF5" w:rsidRPr="00AE1EE7" w:rsidRDefault="005A6FF5" w:rsidP="0006518C">
            <w:pPr>
              <w:spacing w:after="0" w:line="240" w:lineRule="auto"/>
              <w:jc w:val="center"/>
              <w:rPr>
                <w:rFonts w:eastAsia="Times New Roman" w:cs="Arial"/>
                <w:kern w:val="0"/>
                <w:szCs w:val="22"/>
                <w14:ligatures w14:val="none"/>
              </w:rPr>
            </w:pPr>
          </w:p>
        </w:tc>
        <w:tc>
          <w:tcPr>
            <w:tcW w:w="1516" w:type="dxa"/>
            <w:shd w:val="clear" w:color="auto" w:fill="auto"/>
            <w:noWrap/>
            <w:hideMark/>
          </w:tcPr>
          <w:p w14:paraId="47451047" w14:textId="77777777" w:rsidR="005A6FF5" w:rsidRPr="00AE1EE7" w:rsidRDefault="005A6FF5"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0.0079</w:t>
            </w:r>
          </w:p>
          <w:p w14:paraId="3F8E5D5E" w14:textId="77777777" w:rsidR="005A6FF5" w:rsidRPr="00AE1EE7" w:rsidRDefault="005A6FF5"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w:t>
            </w:r>
          </w:p>
        </w:tc>
        <w:tc>
          <w:tcPr>
            <w:tcW w:w="1514" w:type="dxa"/>
            <w:shd w:val="clear" w:color="auto" w:fill="auto"/>
            <w:noWrap/>
            <w:hideMark/>
          </w:tcPr>
          <w:p w14:paraId="53A0B65D" w14:textId="77777777" w:rsidR="005A6FF5" w:rsidRPr="00AE1EE7" w:rsidRDefault="005A6FF5"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0.0071</w:t>
            </w:r>
          </w:p>
        </w:tc>
      </w:tr>
      <w:tr w:rsidR="005A6FF5" w:rsidRPr="00AE1EE7" w14:paraId="2EBC9281" w14:textId="77777777" w:rsidTr="00553364">
        <w:trPr>
          <w:trHeight w:val="510"/>
        </w:trPr>
        <w:tc>
          <w:tcPr>
            <w:tcW w:w="1778" w:type="dxa"/>
            <w:shd w:val="clear" w:color="auto" w:fill="auto"/>
            <w:noWrap/>
            <w:vAlign w:val="center"/>
            <w:hideMark/>
          </w:tcPr>
          <w:p w14:paraId="09BB1A59" w14:textId="77777777" w:rsidR="005A6FF5" w:rsidRPr="00AE1EE7" w:rsidRDefault="005A6FF5" w:rsidP="0006518C">
            <w:pPr>
              <w:spacing w:after="0" w:line="240" w:lineRule="auto"/>
              <w:rPr>
                <w:rFonts w:eastAsia="Times New Roman" w:cs="Arial"/>
                <w:color w:val="000000"/>
                <w:kern w:val="0"/>
                <w:szCs w:val="22"/>
                <w14:ligatures w14:val="none"/>
              </w:rPr>
            </w:pPr>
            <m:oMath>
              <m:r>
                <w:rPr>
                  <w:rFonts w:ascii="Cambria Math" w:eastAsia="Times New Roman" w:hAnsi="Cambria Math" w:cs="Arial"/>
                  <w:color w:val="000000"/>
                  <w:kern w:val="0"/>
                  <w:szCs w:val="22"/>
                  <w14:ligatures w14:val="none"/>
                </w:rPr>
                <m:t>covid19</m:t>
              </m:r>
            </m:oMath>
            <w:r w:rsidRPr="00AE1EE7">
              <w:rPr>
                <w:rFonts w:eastAsia="Times New Roman" w:cs="Arial"/>
                <w:color w:val="000000"/>
                <w:kern w:val="0"/>
                <w:szCs w:val="22"/>
                <w14:ligatures w14:val="none"/>
              </w:rPr>
              <w:t xml:space="preserve"> </w:t>
            </w:r>
          </w:p>
        </w:tc>
        <w:tc>
          <w:tcPr>
            <w:tcW w:w="1515" w:type="dxa"/>
            <w:shd w:val="clear" w:color="auto" w:fill="auto"/>
            <w:noWrap/>
            <w:hideMark/>
          </w:tcPr>
          <w:p w14:paraId="69EE8971" w14:textId="77777777" w:rsidR="005A6FF5" w:rsidRPr="00AE1EE7" w:rsidRDefault="005A6FF5" w:rsidP="0006518C">
            <w:pPr>
              <w:spacing w:after="0" w:line="240" w:lineRule="auto"/>
              <w:jc w:val="center"/>
              <w:rPr>
                <w:rFonts w:eastAsia="Times New Roman" w:cs="Arial"/>
                <w:color w:val="000000"/>
                <w:kern w:val="0"/>
                <w:szCs w:val="22"/>
                <w14:ligatures w14:val="none"/>
              </w:rPr>
            </w:pPr>
          </w:p>
        </w:tc>
        <w:tc>
          <w:tcPr>
            <w:tcW w:w="1516" w:type="dxa"/>
            <w:shd w:val="clear" w:color="auto" w:fill="auto"/>
            <w:noWrap/>
            <w:hideMark/>
          </w:tcPr>
          <w:p w14:paraId="7F1BAE55" w14:textId="77777777" w:rsidR="005A6FF5" w:rsidRPr="00AE1EE7" w:rsidRDefault="005A6FF5" w:rsidP="0006518C">
            <w:pPr>
              <w:spacing w:after="0" w:line="240" w:lineRule="auto"/>
              <w:jc w:val="center"/>
              <w:rPr>
                <w:rFonts w:eastAsia="Times New Roman" w:cs="Arial"/>
                <w:kern w:val="0"/>
                <w:szCs w:val="22"/>
                <w14:ligatures w14:val="none"/>
              </w:rPr>
            </w:pPr>
          </w:p>
        </w:tc>
        <w:tc>
          <w:tcPr>
            <w:tcW w:w="1516" w:type="dxa"/>
            <w:shd w:val="clear" w:color="auto" w:fill="auto"/>
            <w:noWrap/>
            <w:hideMark/>
          </w:tcPr>
          <w:p w14:paraId="63FBDD80" w14:textId="77777777" w:rsidR="005A6FF5" w:rsidRPr="00AE1EE7" w:rsidRDefault="005A6FF5" w:rsidP="0006518C">
            <w:pPr>
              <w:spacing w:after="0" w:line="240" w:lineRule="auto"/>
              <w:jc w:val="center"/>
              <w:rPr>
                <w:rFonts w:eastAsia="Times New Roman" w:cs="Arial"/>
                <w:kern w:val="0"/>
                <w:szCs w:val="22"/>
                <w14:ligatures w14:val="none"/>
              </w:rPr>
            </w:pPr>
          </w:p>
        </w:tc>
        <w:tc>
          <w:tcPr>
            <w:tcW w:w="1516" w:type="dxa"/>
            <w:shd w:val="clear" w:color="auto" w:fill="auto"/>
            <w:noWrap/>
            <w:hideMark/>
          </w:tcPr>
          <w:p w14:paraId="506D639F" w14:textId="77777777" w:rsidR="005A6FF5" w:rsidRPr="00AE1EE7" w:rsidRDefault="005A6FF5" w:rsidP="0006518C">
            <w:pPr>
              <w:spacing w:after="0" w:line="240" w:lineRule="auto"/>
              <w:jc w:val="center"/>
              <w:rPr>
                <w:rFonts w:eastAsia="Times New Roman" w:cs="Arial"/>
                <w:kern w:val="0"/>
                <w:szCs w:val="22"/>
                <w14:ligatures w14:val="none"/>
              </w:rPr>
            </w:pPr>
          </w:p>
        </w:tc>
        <w:tc>
          <w:tcPr>
            <w:tcW w:w="1514" w:type="dxa"/>
            <w:shd w:val="clear" w:color="auto" w:fill="auto"/>
            <w:noWrap/>
            <w:hideMark/>
          </w:tcPr>
          <w:p w14:paraId="0F93A8BA" w14:textId="77777777" w:rsidR="005A6FF5" w:rsidRPr="00AE1EE7" w:rsidRDefault="005A6FF5"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0.0083</w:t>
            </w:r>
          </w:p>
        </w:tc>
      </w:tr>
      <w:tr w:rsidR="005A6FF5" w:rsidRPr="00AE1EE7" w14:paraId="2988F2B6" w14:textId="77777777" w:rsidTr="00553364">
        <w:trPr>
          <w:trHeight w:val="510"/>
        </w:trPr>
        <w:tc>
          <w:tcPr>
            <w:tcW w:w="1778" w:type="dxa"/>
            <w:shd w:val="clear" w:color="auto" w:fill="auto"/>
            <w:noWrap/>
            <w:vAlign w:val="center"/>
            <w:hideMark/>
          </w:tcPr>
          <w:p w14:paraId="134D3BC7" w14:textId="003567B4" w:rsidR="005A6FF5" w:rsidRPr="002A5330" w:rsidRDefault="002A5330" w:rsidP="0006518C">
            <w:pPr>
              <w:spacing w:after="0" w:line="240" w:lineRule="auto"/>
              <w:rPr>
                <w:rFonts w:eastAsia="Times New Roman" w:cs="Arial"/>
                <w:color w:val="000000"/>
                <w:kern w:val="0"/>
                <w:szCs w:val="22"/>
                <w:lang w:val="en-US"/>
                <w14:ligatures w14:val="none"/>
              </w:rPr>
            </w:pPr>
            <w:r>
              <w:rPr>
                <w:rFonts w:eastAsia="Times New Roman" w:cs="Arial"/>
                <w:color w:val="000000"/>
                <w:kern w:val="0"/>
                <w:szCs w:val="22"/>
                <w:lang w:val="en-US"/>
                <w14:ligatures w14:val="none"/>
              </w:rPr>
              <w:t>Constant</w:t>
            </w:r>
          </w:p>
        </w:tc>
        <w:tc>
          <w:tcPr>
            <w:tcW w:w="1515" w:type="dxa"/>
            <w:shd w:val="clear" w:color="auto" w:fill="auto"/>
            <w:noWrap/>
            <w:hideMark/>
          </w:tcPr>
          <w:p w14:paraId="14FAFDC3" w14:textId="77777777" w:rsidR="005A6FF5" w:rsidRPr="00AE1EE7" w:rsidRDefault="005A6FF5"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0.0488</w:t>
            </w:r>
          </w:p>
          <w:p w14:paraId="7BE5EBB7" w14:textId="77777777" w:rsidR="005A6FF5" w:rsidRPr="00AE1EE7" w:rsidRDefault="005A6FF5"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w:t>
            </w:r>
          </w:p>
        </w:tc>
        <w:tc>
          <w:tcPr>
            <w:tcW w:w="1516" w:type="dxa"/>
            <w:shd w:val="clear" w:color="auto" w:fill="auto"/>
            <w:noWrap/>
            <w:hideMark/>
          </w:tcPr>
          <w:p w14:paraId="3E90CF6E" w14:textId="77777777" w:rsidR="005A6FF5" w:rsidRPr="00AE1EE7" w:rsidRDefault="005A6FF5"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0.0951</w:t>
            </w:r>
          </w:p>
          <w:p w14:paraId="547283DB" w14:textId="77777777" w:rsidR="005A6FF5" w:rsidRPr="00AE1EE7" w:rsidRDefault="005A6FF5"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w:t>
            </w:r>
          </w:p>
        </w:tc>
        <w:tc>
          <w:tcPr>
            <w:tcW w:w="1516" w:type="dxa"/>
            <w:shd w:val="clear" w:color="auto" w:fill="auto"/>
            <w:noWrap/>
            <w:hideMark/>
          </w:tcPr>
          <w:p w14:paraId="48393AAE" w14:textId="77777777" w:rsidR="005A6FF5" w:rsidRPr="00AE1EE7" w:rsidRDefault="005A6FF5"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0.0901</w:t>
            </w:r>
          </w:p>
        </w:tc>
        <w:tc>
          <w:tcPr>
            <w:tcW w:w="1516" w:type="dxa"/>
            <w:shd w:val="clear" w:color="auto" w:fill="auto"/>
            <w:noWrap/>
            <w:hideMark/>
          </w:tcPr>
          <w:p w14:paraId="568D020C" w14:textId="77777777" w:rsidR="005A6FF5" w:rsidRPr="00AE1EE7" w:rsidRDefault="005A6FF5"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0.2353</w:t>
            </w:r>
          </w:p>
        </w:tc>
        <w:tc>
          <w:tcPr>
            <w:tcW w:w="1514" w:type="dxa"/>
            <w:shd w:val="clear" w:color="auto" w:fill="auto"/>
            <w:noWrap/>
            <w:hideMark/>
          </w:tcPr>
          <w:p w14:paraId="7A946238" w14:textId="77777777" w:rsidR="005A6FF5" w:rsidRPr="00AE1EE7" w:rsidRDefault="005A6FF5"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0.2588</w:t>
            </w:r>
          </w:p>
        </w:tc>
      </w:tr>
      <w:tr w:rsidR="005A6FF5" w:rsidRPr="00AE1EE7" w14:paraId="3EAF1CFA" w14:textId="77777777" w:rsidTr="00553364">
        <w:trPr>
          <w:trHeight w:val="255"/>
        </w:trPr>
        <w:tc>
          <w:tcPr>
            <w:tcW w:w="1778" w:type="dxa"/>
            <w:shd w:val="clear" w:color="auto" w:fill="auto"/>
            <w:noWrap/>
            <w:vAlign w:val="center"/>
            <w:hideMark/>
          </w:tcPr>
          <w:p w14:paraId="05D3E70B" w14:textId="228835BA" w:rsidR="005A6FF5" w:rsidRPr="002A5330" w:rsidRDefault="002A5330" w:rsidP="0006518C">
            <w:pPr>
              <w:spacing w:after="0" w:line="240" w:lineRule="auto"/>
              <w:rPr>
                <w:rFonts w:eastAsia="Times New Roman" w:cs="Arial"/>
                <w:color w:val="000000"/>
                <w:kern w:val="0"/>
                <w:szCs w:val="22"/>
                <w:lang w:val="en-US"/>
                <w14:ligatures w14:val="none"/>
              </w:rPr>
            </w:pPr>
            <w:r>
              <w:rPr>
                <w:rFonts w:eastAsia="Times New Roman" w:cs="Arial"/>
                <w:color w:val="000000"/>
                <w:kern w:val="0"/>
                <w:szCs w:val="22"/>
                <w:lang w:val="en-US"/>
                <w14:ligatures w14:val="none"/>
              </w:rPr>
              <w:t>Observation</w:t>
            </w:r>
          </w:p>
        </w:tc>
        <w:tc>
          <w:tcPr>
            <w:tcW w:w="1515" w:type="dxa"/>
            <w:shd w:val="clear" w:color="auto" w:fill="auto"/>
            <w:noWrap/>
            <w:vAlign w:val="center"/>
            <w:hideMark/>
          </w:tcPr>
          <w:p w14:paraId="2D5349F1" w14:textId="77777777" w:rsidR="005A6FF5" w:rsidRPr="00AE1EE7" w:rsidRDefault="005A6FF5"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180</w:t>
            </w:r>
          </w:p>
        </w:tc>
        <w:tc>
          <w:tcPr>
            <w:tcW w:w="1516" w:type="dxa"/>
            <w:shd w:val="clear" w:color="auto" w:fill="auto"/>
            <w:noWrap/>
            <w:vAlign w:val="center"/>
            <w:hideMark/>
          </w:tcPr>
          <w:p w14:paraId="6F487E2F" w14:textId="77777777" w:rsidR="005A6FF5" w:rsidRPr="00AE1EE7" w:rsidRDefault="005A6FF5"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180</w:t>
            </w:r>
          </w:p>
        </w:tc>
        <w:tc>
          <w:tcPr>
            <w:tcW w:w="1516" w:type="dxa"/>
            <w:shd w:val="clear" w:color="auto" w:fill="auto"/>
            <w:noWrap/>
            <w:vAlign w:val="center"/>
            <w:hideMark/>
          </w:tcPr>
          <w:p w14:paraId="4B1DD6E5" w14:textId="77777777" w:rsidR="005A6FF5" w:rsidRPr="00AE1EE7" w:rsidRDefault="005A6FF5"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180</w:t>
            </w:r>
          </w:p>
        </w:tc>
        <w:tc>
          <w:tcPr>
            <w:tcW w:w="1516" w:type="dxa"/>
            <w:shd w:val="clear" w:color="auto" w:fill="auto"/>
            <w:noWrap/>
            <w:vAlign w:val="center"/>
            <w:hideMark/>
          </w:tcPr>
          <w:p w14:paraId="52C9F8EA" w14:textId="77777777" w:rsidR="005A6FF5" w:rsidRPr="00AE1EE7" w:rsidRDefault="005A6FF5"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164</w:t>
            </w:r>
          </w:p>
        </w:tc>
        <w:tc>
          <w:tcPr>
            <w:tcW w:w="1514" w:type="dxa"/>
            <w:shd w:val="clear" w:color="auto" w:fill="auto"/>
            <w:noWrap/>
            <w:vAlign w:val="center"/>
            <w:hideMark/>
          </w:tcPr>
          <w:p w14:paraId="295F0E2A" w14:textId="77777777" w:rsidR="005A6FF5" w:rsidRPr="00AE1EE7" w:rsidRDefault="005A6FF5"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164</w:t>
            </w:r>
          </w:p>
        </w:tc>
      </w:tr>
      <w:tr w:rsidR="005A6FF5" w:rsidRPr="00AE1EE7" w14:paraId="406F325F" w14:textId="77777777" w:rsidTr="00553364">
        <w:trPr>
          <w:trHeight w:val="255"/>
        </w:trPr>
        <w:tc>
          <w:tcPr>
            <w:tcW w:w="1778" w:type="dxa"/>
            <w:shd w:val="clear" w:color="auto" w:fill="auto"/>
            <w:noWrap/>
            <w:vAlign w:val="center"/>
          </w:tcPr>
          <w:p w14:paraId="5EF773BE" w14:textId="112699A2" w:rsidR="005A6FF5" w:rsidRPr="002A5330" w:rsidRDefault="002A5330" w:rsidP="0006518C">
            <w:pPr>
              <w:spacing w:after="0" w:line="240" w:lineRule="auto"/>
              <w:rPr>
                <w:rFonts w:eastAsia="Times New Roman" w:cs="Arial"/>
                <w:color w:val="000000"/>
                <w:kern w:val="0"/>
                <w:szCs w:val="22"/>
                <w:lang w:val="en-US"/>
                <w14:ligatures w14:val="none"/>
              </w:rPr>
            </w:pPr>
            <w:r>
              <w:rPr>
                <w:rFonts w:eastAsia="Times New Roman" w:cs="Arial"/>
                <w:color w:val="000000"/>
                <w:kern w:val="0"/>
                <w:szCs w:val="22"/>
                <w:lang w:val="en-US"/>
                <w14:ligatures w14:val="none"/>
              </w:rPr>
              <w:t>Number of companies</w:t>
            </w:r>
          </w:p>
        </w:tc>
        <w:tc>
          <w:tcPr>
            <w:tcW w:w="1515" w:type="dxa"/>
            <w:shd w:val="clear" w:color="auto" w:fill="auto"/>
            <w:noWrap/>
            <w:vAlign w:val="center"/>
          </w:tcPr>
          <w:p w14:paraId="56202075" w14:textId="77777777" w:rsidR="005A6FF5" w:rsidRPr="00AE1EE7" w:rsidRDefault="005A6FF5"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16</w:t>
            </w:r>
          </w:p>
        </w:tc>
        <w:tc>
          <w:tcPr>
            <w:tcW w:w="1516" w:type="dxa"/>
            <w:shd w:val="clear" w:color="auto" w:fill="auto"/>
            <w:noWrap/>
            <w:vAlign w:val="center"/>
          </w:tcPr>
          <w:p w14:paraId="2989F994" w14:textId="77777777" w:rsidR="005A6FF5" w:rsidRPr="00AE1EE7" w:rsidRDefault="005A6FF5"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16</w:t>
            </w:r>
          </w:p>
        </w:tc>
        <w:tc>
          <w:tcPr>
            <w:tcW w:w="1516" w:type="dxa"/>
            <w:shd w:val="clear" w:color="auto" w:fill="auto"/>
            <w:noWrap/>
            <w:vAlign w:val="center"/>
          </w:tcPr>
          <w:p w14:paraId="2D386AC6" w14:textId="77777777" w:rsidR="005A6FF5" w:rsidRPr="00AE1EE7" w:rsidRDefault="005A6FF5"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16</w:t>
            </w:r>
          </w:p>
        </w:tc>
        <w:tc>
          <w:tcPr>
            <w:tcW w:w="1516" w:type="dxa"/>
            <w:shd w:val="clear" w:color="auto" w:fill="auto"/>
            <w:noWrap/>
            <w:vAlign w:val="center"/>
          </w:tcPr>
          <w:p w14:paraId="6864F6C2" w14:textId="77777777" w:rsidR="005A6FF5" w:rsidRPr="00AE1EE7" w:rsidRDefault="005A6FF5"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16</w:t>
            </w:r>
          </w:p>
        </w:tc>
        <w:tc>
          <w:tcPr>
            <w:tcW w:w="1514" w:type="dxa"/>
            <w:shd w:val="clear" w:color="auto" w:fill="auto"/>
            <w:noWrap/>
            <w:vAlign w:val="center"/>
          </w:tcPr>
          <w:p w14:paraId="045B5F99" w14:textId="77777777" w:rsidR="005A6FF5" w:rsidRPr="00AE1EE7" w:rsidRDefault="005A6FF5"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16</w:t>
            </w:r>
          </w:p>
        </w:tc>
      </w:tr>
      <w:tr w:rsidR="005A6FF5" w:rsidRPr="00AE1EE7" w14:paraId="61AD183A" w14:textId="77777777" w:rsidTr="00553364">
        <w:trPr>
          <w:trHeight w:val="255"/>
        </w:trPr>
        <w:tc>
          <w:tcPr>
            <w:tcW w:w="1778" w:type="dxa"/>
            <w:shd w:val="clear" w:color="auto" w:fill="auto"/>
            <w:noWrap/>
            <w:vAlign w:val="center"/>
            <w:hideMark/>
          </w:tcPr>
          <w:p w14:paraId="04EC2C6C" w14:textId="5B8FEFC1" w:rsidR="005A6FF5" w:rsidRPr="00AE1EE7" w:rsidRDefault="002A5330" w:rsidP="0006518C">
            <w:pPr>
              <w:spacing w:after="0" w:line="240" w:lineRule="auto"/>
              <w:rPr>
                <w:rFonts w:eastAsia="Times New Roman" w:cs="Arial"/>
                <w:color w:val="000000"/>
                <w:kern w:val="0"/>
                <w:szCs w:val="22"/>
                <w14:ligatures w14:val="none"/>
              </w:rPr>
            </w:pPr>
            <w:r>
              <w:rPr>
                <w:rFonts w:eastAsia="Times New Roman" w:cs="Arial"/>
                <w:color w:val="000000"/>
                <w:kern w:val="0"/>
                <w:szCs w:val="22"/>
                <w:lang w:val="en-US"/>
                <w14:ligatures w14:val="none"/>
              </w:rPr>
              <w:t>Adj</w:t>
            </w:r>
            <w:r w:rsidR="005A6FF5" w:rsidRPr="00AE1EE7">
              <w:rPr>
                <w:rFonts w:eastAsia="Times New Roman" w:cs="Arial"/>
                <w:color w:val="000000"/>
                <w:kern w:val="0"/>
                <w:szCs w:val="22"/>
                <w14:ligatures w14:val="none"/>
              </w:rPr>
              <w:t>.R</w:t>
            </w:r>
            <w:r w:rsidR="005A6FF5" w:rsidRPr="00AE1EE7">
              <w:rPr>
                <w:rFonts w:eastAsia="Times New Roman" w:cs="Arial"/>
                <w:color w:val="000000"/>
                <w:kern w:val="0"/>
                <w:szCs w:val="22"/>
                <w:vertAlign w:val="superscript"/>
                <w14:ligatures w14:val="none"/>
              </w:rPr>
              <w:t>2</w:t>
            </w:r>
          </w:p>
        </w:tc>
        <w:tc>
          <w:tcPr>
            <w:tcW w:w="1515" w:type="dxa"/>
            <w:shd w:val="clear" w:color="auto" w:fill="auto"/>
            <w:noWrap/>
            <w:vAlign w:val="center"/>
            <w:hideMark/>
          </w:tcPr>
          <w:p w14:paraId="7370F0C4" w14:textId="77777777" w:rsidR="005A6FF5" w:rsidRPr="00AE1EE7" w:rsidRDefault="005A6FF5"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0.6026</w:t>
            </w:r>
          </w:p>
        </w:tc>
        <w:tc>
          <w:tcPr>
            <w:tcW w:w="1516" w:type="dxa"/>
            <w:shd w:val="clear" w:color="auto" w:fill="auto"/>
            <w:noWrap/>
            <w:vAlign w:val="center"/>
            <w:hideMark/>
          </w:tcPr>
          <w:p w14:paraId="4ED17E9F" w14:textId="77777777" w:rsidR="005A6FF5" w:rsidRPr="00AE1EE7" w:rsidRDefault="005A6FF5"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0.6908</w:t>
            </w:r>
          </w:p>
        </w:tc>
        <w:tc>
          <w:tcPr>
            <w:tcW w:w="1516" w:type="dxa"/>
            <w:shd w:val="clear" w:color="auto" w:fill="auto"/>
            <w:noWrap/>
            <w:vAlign w:val="center"/>
            <w:hideMark/>
          </w:tcPr>
          <w:p w14:paraId="55F3777F" w14:textId="77777777" w:rsidR="005A6FF5" w:rsidRPr="00AE1EE7" w:rsidRDefault="005A6FF5"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0.6875</w:t>
            </w:r>
          </w:p>
        </w:tc>
        <w:tc>
          <w:tcPr>
            <w:tcW w:w="1516" w:type="dxa"/>
            <w:shd w:val="clear" w:color="auto" w:fill="auto"/>
            <w:noWrap/>
            <w:vAlign w:val="center"/>
            <w:hideMark/>
          </w:tcPr>
          <w:p w14:paraId="783C25E4" w14:textId="77777777" w:rsidR="005A6FF5" w:rsidRPr="00AE1EE7" w:rsidRDefault="005A6FF5"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0.7489</w:t>
            </w:r>
          </w:p>
        </w:tc>
        <w:tc>
          <w:tcPr>
            <w:tcW w:w="1514" w:type="dxa"/>
            <w:shd w:val="clear" w:color="auto" w:fill="auto"/>
            <w:noWrap/>
            <w:vAlign w:val="center"/>
            <w:hideMark/>
          </w:tcPr>
          <w:p w14:paraId="3686851A" w14:textId="77777777" w:rsidR="005A6FF5" w:rsidRPr="00AE1EE7" w:rsidRDefault="005A6FF5"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0.7496</w:t>
            </w:r>
          </w:p>
        </w:tc>
      </w:tr>
      <w:tr w:rsidR="005A6FF5" w:rsidRPr="00AE1EE7" w14:paraId="43695DE7" w14:textId="77777777" w:rsidTr="00553364">
        <w:trPr>
          <w:trHeight w:val="255"/>
        </w:trPr>
        <w:tc>
          <w:tcPr>
            <w:tcW w:w="1778" w:type="dxa"/>
            <w:shd w:val="clear" w:color="auto" w:fill="auto"/>
            <w:noWrap/>
            <w:vAlign w:val="center"/>
            <w:hideMark/>
          </w:tcPr>
          <w:p w14:paraId="2B29D512" w14:textId="7EDFDE50" w:rsidR="002A5330" w:rsidRDefault="005A6FF5" w:rsidP="0006518C">
            <w:pPr>
              <w:spacing w:after="0" w:line="240" w:lineRule="auto"/>
              <w:rPr>
                <w:rFonts w:eastAsia="Times New Roman" w:cs="Arial"/>
                <w:color w:val="000000"/>
                <w:kern w:val="0"/>
                <w:szCs w:val="22"/>
                <w14:ligatures w14:val="none"/>
              </w:rPr>
            </w:pPr>
            <w:r w:rsidRPr="00AE1EE7">
              <w:rPr>
                <w:rFonts w:eastAsia="Times New Roman" w:cs="Arial"/>
                <w:color w:val="000000"/>
                <w:kern w:val="0"/>
                <w:szCs w:val="22"/>
                <w14:ligatures w14:val="none"/>
              </w:rPr>
              <w:t xml:space="preserve">F </w:t>
            </w:r>
            <w:r w:rsidR="002A5330">
              <w:rPr>
                <w:rFonts w:eastAsia="Times New Roman" w:cs="Arial"/>
                <w:color w:val="000000"/>
                <w:kern w:val="0"/>
                <w:szCs w:val="22"/>
                <w:lang w:val="en-US"/>
                <w14:ligatures w14:val="none"/>
              </w:rPr>
              <w:t>statistics</w:t>
            </w:r>
          </w:p>
          <w:p w14:paraId="085B139B" w14:textId="3D66C895" w:rsidR="005A6FF5" w:rsidRPr="00AE1EE7" w:rsidRDefault="005A6FF5" w:rsidP="0006518C">
            <w:pPr>
              <w:spacing w:after="0" w:line="240" w:lineRule="auto"/>
              <w:rPr>
                <w:rFonts w:eastAsia="Times New Roman" w:cs="Arial"/>
                <w:color w:val="000000"/>
                <w:kern w:val="0"/>
                <w:szCs w:val="22"/>
                <w14:ligatures w14:val="none"/>
              </w:rPr>
            </w:pPr>
            <w:r w:rsidRPr="00AE1EE7">
              <w:rPr>
                <w:rFonts w:eastAsia="Times New Roman" w:cs="Arial"/>
                <w:color w:val="000000"/>
                <w:kern w:val="0"/>
                <w:szCs w:val="22"/>
                <w14:ligatures w14:val="none"/>
              </w:rPr>
              <w:t>(p-value)</w:t>
            </w:r>
          </w:p>
        </w:tc>
        <w:tc>
          <w:tcPr>
            <w:tcW w:w="1515" w:type="dxa"/>
            <w:shd w:val="clear" w:color="auto" w:fill="auto"/>
            <w:noWrap/>
            <w:vAlign w:val="center"/>
            <w:hideMark/>
          </w:tcPr>
          <w:p w14:paraId="290BCA85" w14:textId="77777777" w:rsidR="005A6FF5" w:rsidRPr="00AE1EE7" w:rsidRDefault="005A6FF5"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16.9686</w:t>
            </w:r>
          </w:p>
          <w:p w14:paraId="44652669" w14:textId="77777777" w:rsidR="005A6FF5" w:rsidRPr="00AE1EE7" w:rsidRDefault="005A6FF5"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(0.0000)</w:t>
            </w:r>
          </w:p>
        </w:tc>
        <w:tc>
          <w:tcPr>
            <w:tcW w:w="1516" w:type="dxa"/>
            <w:shd w:val="clear" w:color="auto" w:fill="auto"/>
            <w:noWrap/>
            <w:vAlign w:val="center"/>
            <w:hideMark/>
          </w:tcPr>
          <w:p w14:paraId="777F58AB" w14:textId="77777777" w:rsidR="005A6FF5" w:rsidRPr="00AE1EE7" w:rsidRDefault="005A6FF5"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22.0476</w:t>
            </w:r>
          </w:p>
          <w:p w14:paraId="6B797FBF" w14:textId="77777777" w:rsidR="005A6FF5" w:rsidRPr="00AE1EE7" w:rsidRDefault="005A6FF5"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(0.0000)</w:t>
            </w:r>
          </w:p>
        </w:tc>
        <w:tc>
          <w:tcPr>
            <w:tcW w:w="1516" w:type="dxa"/>
            <w:shd w:val="clear" w:color="auto" w:fill="auto"/>
            <w:noWrap/>
            <w:vAlign w:val="center"/>
            <w:hideMark/>
          </w:tcPr>
          <w:p w14:paraId="2F26A452" w14:textId="77777777" w:rsidR="005A6FF5" w:rsidRPr="00AE1EE7" w:rsidRDefault="005A6FF5"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19.7564</w:t>
            </w:r>
          </w:p>
          <w:p w14:paraId="787AA0D9" w14:textId="77777777" w:rsidR="005A6FF5" w:rsidRPr="00AE1EE7" w:rsidRDefault="005A6FF5"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(0.0000)</w:t>
            </w:r>
          </w:p>
        </w:tc>
        <w:tc>
          <w:tcPr>
            <w:tcW w:w="1516" w:type="dxa"/>
            <w:shd w:val="clear" w:color="auto" w:fill="auto"/>
            <w:noWrap/>
            <w:vAlign w:val="center"/>
            <w:hideMark/>
          </w:tcPr>
          <w:p w14:paraId="1379947A" w14:textId="77777777" w:rsidR="005A6FF5" w:rsidRPr="00AE1EE7" w:rsidRDefault="005A6FF5"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22.1377</w:t>
            </w:r>
          </w:p>
          <w:p w14:paraId="3A41D8AC" w14:textId="77777777" w:rsidR="005A6FF5" w:rsidRPr="00AE1EE7" w:rsidRDefault="005A6FF5"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(0.0000)</w:t>
            </w:r>
          </w:p>
        </w:tc>
        <w:tc>
          <w:tcPr>
            <w:tcW w:w="1514" w:type="dxa"/>
            <w:shd w:val="clear" w:color="auto" w:fill="auto"/>
            <w:noWrap/>
            <w:vAlign w:val="center"/>
            <w:hideMark/>
          </w:tcPr>
          <w:p w14:paraId="0B221BD9" w14:textId="77777777" w:rsidR="005A6FF5" w:rsidRPr="00AE1EE7" w:rsidRDefault="005A6FF5"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21.3317</w:t>
            </w:r>
          </w:p>
          <w:p w14:paraId="369313BF" w14:textId="77777777" w:rsidR="005A6FF5" w:rsidRPr="00AE1EE7" w:rsidRDefault="005A6FF5"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(0.0000)</w:t>
            </w:r>
          </w:p>
        </w:tc>
      </w:tr>
    </w:tbl>
    <w:p w14:paraId="4416BF86" w14:textId="3F5D0966" w:rsidR="00553364" w:rsidRPr="0025167E" w:rsidRDefault="00553364" w:rsidP="0006518C">
      <w:pPr>
        <w:spacing w:after="120" w:line="240" w:lineRule="auto"/>
        <w:jc w:val="right"/>
        <w:rPr>
          <w:rFonts w:cs="Arial"/>
          <w:i/>
          <w:iCs/>
          <w:szCs w:val="22"/>
        </w:rPr>
      </w:pPr>
      <w:r w:rsidRPr="0025167E">
        <w:rPr>
          <w:rFonts w:cs="Arial"/>
          <w:i/>
          <w:iCs/>
          <w:szCs w:val="22"/>
        </w:rPr>
        <w:t>Note: *** and * indicate statistical significance at the 1%  and 10% levels, respectively.</w:t>
      </w:r>
    </w:p>
    <w:p w14:paraId="053BF224" w14:textId="7AFFF64C" w:rsidR="00E44330" w:rsidRPr="00E44330" w:rsidRDefault="00E44330" w:rsidP="0006518C">
      <w:pPr>
        <w:spacing w:before="120" w:after="120" w:line="240" w:lineRule="auto"/>
        <w:jc w:val="both"/>
        <w:rPr>
          <w:rFonts w:cs="Arial"/>
          <w:szCs w:val="22"/>
        </w:rPr>
      </w:pPr>
      <w:r w:rsidRPr="00E44330">
        <w:rPr>
          <w:rFonts w:cs="Arial"/>
          <w:szCs w:val="22"/>
        </w:rPr>
        <w:t>Adjusted R² values range from 0.60 to 0.75, and F</w:t>
      </w:r>
      <w:r w:rsidRPr="00E44330">
        <w:rPr>
          <w:rFonts w:ascii="Cambria Math" w:hAnsi="Cambria Math" w:cs="Cambria Math"/>
          <w:szCs w:val="22"/>
        </w:rPr>
        <w:t>‑</w:t>
      </w:r>
      <w:r w:rsidRPr="00E44330">
        <w:rPr>
          <w:rFonts w:cs="Arial"/>
          <w:szCs w:val="22"/>
        </w:rPr>
        <w:t>tests are significant at 1% in all specifications, indicating strong overall explanatory power and model fit.</w:t>
      </w:r>
      <w:r w:rsidR="009200D9">
        <w:rPr>
          <w:rFonts w:cs="Arial"/>
          <w:szCs w:val="22"/>
        </w:rPr>
        <w:t xml:space="preserve"> </w:t>
      </w:r>
      <w:r w:rsidR="009200D9" w:rsidRPr="009200D9">
        <w:rPr>
          <w:rFonts w:cs="Arial"/>
          <w:szCs w:val="22"/>
        </w:rPr>
        <w:t>These associations affirm the economic plausibility of the control variables used in the model.</w:t>
      </w:r>
    </w:p>
    <w:p w14:paraId="52E168F0" w14:textId="77777777" w:rsidR="00465733" w:rsidRPr="00B128BC" w:rsidRDefault="00465733" w:rsidP="0006518C">
      <w:pPr>
        <w:spacing w:before="120" w:after="120" w:line="240" w:lineRule="auto"/>
        <w:jc w:val="both"/>
        <w:rPr>
          <w:rFonts w:cs="Arial"/>
          <w:szCs w:val="22"/>
        </w:rPr>
      </w:pPr>
      <w:r w:rsidRPr="00B128BC">
        <w:rPr>
          <w:rFonts w:cs="Arial"/>
          <w:szCs w:val="22"/>
        </w:rPr>
        <w:t>Table 5 summarizes analogous regressions for ROE:</w:t>
      </w:r>
    </w:p>
    <w:p w14:paraId="2C838ED6" w14:textId="15D48480" w:rsidR="00465733" w:rsidRPr="00201100" w:rsidRDefault="00465733" w:rsidP="0006518C">
      <w:pPr>
        <w:pStyle w:val="ListParagraph"/>
        <w:numPr>
          <w:ilvl w:val="0"/>
          <w:numId w:val="10"/>
        </w:numPr>
        <w:spacing w:before="120" w:after="120" w:line="240" w:lineRule="auto"/>
        <w:ind w:left="284" w:hanging="284"/>
        <w:jc w:val="both"/>
        <w:rPr>
          <w:rFonts w:cs="Arial"/>
          <w:szCs w:val="22"/>
        </w:rPr>
      </w:pPr>
      <w:r w:rsidRPr="00201100">
        <w:rPr>
          <w:rFonts w:cs="Arial"/>
          <w:szCs w:val="22"/>
        </w:rPr>
        <w:t>The DID term is positive and significant at the 5%</w:t>
      </w:r>
      <w:r w:rsidR="00201100">
        <w:rPr>
          <w:rFonts w:cs="Arial"/>
          <w:szCs w:val="22"/>
          <w:lang w:val="en-US"/>
        </w:rPr>
        <w:t>-</w:t>
      </w:r>
      <w:r w:rsidRPr="00201100">
        <w:rPr>
          <w:rFonts w:cs="Arial"/>
          <w:szCs w:val="22"/>
        </w:rPr>
        <w:t>10% levels in Models 1, 3, 4, and 5, reinforcing the ROA results and demonstrating that post</w:t>
      </w:r>
      <w:r w:rsidRPr="00201100">
        <w:rPr>
          <w:rFonts w:ascii="Cambria Math" w:hAnsi="Cambria Math" w:cs="Cambria Math"/>
          <w:szCs w:val="22"/>
        </w:rPr>
        <w:t>‑</w:t>
      </w:r>
      <w:r w:rsidRPr="00201100">
        <w:rPr>
          <w:rFonts w:cs="Arial"/>
          <w:szCs w:val="22"/>
        </w:rPr>
        <w:t>adoption adopters outperform non</w:t>
      </w:r>
      <w:r w:rsidRPr="00201100">
        <w:rPr>
          <w:rFonts w:ascii="Cambria Math" w:hAnsi="Cambria Math" w:cs="Cambria Math"/>
          <w:szCs w:val="22"/>
        </w:rPr>
        <w:t>‑</w:t>
      </w:r>
      <w:r w:rsidRPr="00201100">
        <w:rPr>
          <w:rFonts w:cs="Arial"/>
          <w:szCs w:val="22"/>
        </w:rPr>
        <w:t>adopters in ROE.</w:t>
      </w:r>
    </w:p>
    <w:p w14:paraId="4E0B84CD" w14:textId="64D4F069" w:rsidR="00465733" w:rsidRPr="00201100" w:rsidRDefault="00465733" w:rsidP="0006518C">
      <w:pPr>
        <w:pStyle w:val="ListParagraph"/>
        <w:numPr>
          <w:ilvl w:val="0"/>
          <w:numId w:val="10"/>
        </w:numPr>
        <w:spacing w:before="120" w:after="120" w:line="240" w:lineRule="auto"/>
        <w:ind w:left="284" w:hanging="284"/>
        <w:jc w:val="both"/>
        <w:rPr>
          <w:rFonts w:cs="Arial"/>
          <w:szCs w:val="22"/>
        </w:rPr>
      </w:pPr>
      <w:r w:rsidRPr="00201100">
        <w:rPr>
          <w:rFonts w:cs="Arial"/>
          <w:szCs w:val="22"/>
        </w:rPr>
        <w:lastRenderedPageBreak/>
        <w:t xml:space="preserve">The </w:t>
      </w:r>
      <m:oMath>
        <m:r>
          <w:rPr>
            <w:rFonts w:ascii="Cambria Math" w:hAnsi="Cambria Math" w:cs="Arial"/>
            <w:szCs w:val="22"/>
            <w:lang w:val="en-US"/>
          </w:rPr>
          <m:t>t</m:t>
        </m:r>
        <m:r>
          <w:rPr>
            <w:rFonts w:ascii="Cambria Math" w:hAnsi="Cambria Math" w:cs="Arial"/>
            <w:szCs w:val="22"/>
          </w:rPr>
          <m:t>reated</m:t>
        </m:r>
      </m:oMath>
      <w:r w:rsidRPr="00201100">
        <w:rPr>
          <w:rFonts w:cs="Arial"/>
          <w:szCs w:val="22"/>
        </w:rPr>
        <w:t xml:space="preserve"> dummy reaches 1% significance only in Model 1, suggesting that the immediate treatment effect on ROE may be strongest in the simplest specification and may attenuate when additional controls are introduced.</w:t>
      </w:r>
    </w:p>
    <w:p w14:paraId="2AF29D3E" w14:textId="677AC2DB" w:rsidR="00465733" w:rsidRPr="00201100" w:rsidRDefault="00465733" w:rsidP="0006518C">
      <w:pPr>
        <w:pStyle w:val="ListParagraph"/>
        <w:numPr>
          <w:ilvl w:val="0"/>
          <w:numId w:val="10"/>
        </w:numPr>
        <w:spacing w:before="120" w:after="120" w:line="240" w:lineRule="auto"/>
        <w:ind w:left="284" w:hanging="284"/>
        <w:jc w:val="both"/>
        <w:rPr>
          <w:rFonts w:cs="Arial"/>
          <w:szCs w:val="22"/>
        </w:rPr>
      </w:pPr>
      <w:r w:rsidRPr="00201100">
        <w:rPr>
          <w:rFonts w:cs="Arial"/>
          <w:szCs w:val="22"/>
        </w:rPr>
        <w:t xml:space="preserve">The </w:t>
      </w:r>
      <m:oMath>
        <m:r>
          <w:rPr>
            <w:rFonts w:ascii="Cambria Math" w:hAnsi="Cambria Math" w:cs="Arial"/>
            <w:szCs w:val="22"/>
            <w:lang w:val="en-US"/>
          </w:rPr>
          <m:t>p</m:t>
        </m:r>
        <m:r>
          <w:rPr>
            <w:rFonts w:ascii="Cambria Math" w:hAnsi="Cambria Math" w:cs="Arial"/>
            <w:szCs w:val="22"/>
          </w:rPr>
          <m:t>eriod</m:t>
        </m:r>
      </m:oMath>
      <w:r w:rsidRPr="00201100">
        <w:rPr>
          <w:rFonts w:cs="Arial"/>
          <w:szCs w:val="22"/>
        </w:rPr>
        <w:t xml:space="preserve"> dummy again enters negatively and with high significance across all models, mirroring the pattern observed for ROA.</w:t>
      </w:r>
    </w:p>
    <w:p w14:paraId="6C12C8EA" w14:textId="58B00578" w:rsidR="00201100" w:rsidRPr="00201100" w:rsidRDefault="00465733" w:rsidP="0006518C">
      <w:pPr>
        <w:pStyle w:val="ListParagraph"/>
        <w:numPr>
          <w:ilvl w:val="0"/>
          <w:numId w:val="10"/>
        </w:numPr>
        <w:spacing w:before="120" w:after="120" w:line="240" w:lineRule="auto"/>
        <w:ind w:left="284" w:hanging="284"/>
        <w:jc w:val="both"/>
        <w:rPr>
          <w:rFonts w:cs="Arial"/>
          <w:szCs w:val="22"/>
        </w:rPr>
      </w:pPr>
      <w:r w:rsidRPr="00201100">
        <w:rPr>
          <w:rFonts w:cs="Arial"/>
          <w:szCs w:val="22"/>
        </w:rPr>
        <w:t xml:space="preserve">Control variables </w:t>
      </w:r>
      <m:oMath>
        <m:r>
          <w:rPr>
            <w:rFonts w:ascii="Cambria Math" w:hAnsi="Cambria Math" w:cs="Arial"/>
            <w:szCs w:val="22"/>
            <w:lang w:val="en-US"/>
          </w:rPr>
          <m:t>ocfta</m:t>
        </m:r>
      </m:oMath>
      <w:r w:rsidRPr="00201100">
        <w:rPr>
          <w:rFonts w:cs="Arial"/>
          <w:szCs w:val="22"/>
        </w:rPr>
        <w:t xml:space="preserve">, </w:t>
      </w:r>
      <m:oMath>
        <m:r>
          <w:rPr>
            <w:rFonts w:ascii="Cambria Math" w:hAnsi="Cambria Math" w:cs="Arial"/>
            <w:szCs w:val="22"/>
            <w:lang w:val="en-US"/>
          </w:rPr>
          <m:t>ppeta</m:t>
        </m:r>
      </m:oMath>
      <w:r w:rsidRPr="00201100">
        <w:rPr>
          <w:rFonts w:cs="Arial"/>
          <w:szCs w:val="22"/>
        </w:rPr>
        <w:t xml:space="preserve">, </w:t>
      </w:r>
      <m:oMath>
        <m:r>
          <w:rPr>
            <w:rFonts w:ascii="Cambria Math" w:hAnsi="Cambria Math" w:cs="Arial"/>
            <w:szCs w:val="22"/>
            <w:lang w:val="en-US"/>
          </w:rPr>
          <m:t>g</m:t>
        </m:r>
        <m:r>
          <w:rPr>
            <w:rFonts w:ascii="Cambria Math" w:hAnsi="Cambria Math" w:cs="Arial"/>
            <w:szCs w:val="22"/>
          </w:rPr>
          <m:t>rowth</m:t>
        </m:r>
      </m:oMath>
      <w:r w:rsidRPr="00201100">
        <w:rPr>
          <w:rFonts w:cs="Arial"/>
          <w:szCs w:val="22"/>
        </w:rPr>
        <w:t xml:space="preserve">, and </w:t>
      </w:r>
      <m:oMath>
        <m:r>
          <w:rPr>
            <w:rFonts w:ascii="Cambria Math" w:hAnsi="Cambria Math" w:cs="Arial"/>
            <w:szCs w:val="22"/>
            <w:lang w:val="en-US"/>
          </w:rPr>
          <m:t>l</m:t>
        </m:r>
        <m:r>
          <w:rPr>
            <w:rFonts w:ascii="Cambria Math" w:hAnsi="Cambria Math" w:cs="Arial"/>
            <w:szCs w:val="22"/>
          </w:rPr>
          <m:t>n</m:t>
        </m:r>
        <m:r>
          <w:rPr>
            <w:rFonts w:ascii="Cambria Math" w:hAnsi="Cambria Math" w:cs="Arial"/>
            <w:szCs w:val="22"/>
            <w:lang w:val="en-US"/>
          </w:rPr>
          <m:t>tr</m:t>
        </m:r>
      </m:oMath>
      <w:r w:rsidRPr="00201100">
        <w:rPr>
          <w:rFonts w:cs="Arial"/>
          <w:szCs w:val="22"/>
        </w:rPr>
        <w:t xml:space="preserve"> show significant positive associations with ROE, in line with their effects on ROA.</w:t>
      </w:r>
    </w:p>
    <w:p w14:paraId="0B47C319" w14:textId="03FDF60F" w:rsidR="00201100" w:rsidRPr="005A6FF5" w:rsidRDefault="00201100" w:rsidP="0006518C">
      <w:pPr>
        <w:spacing w:before="120" w:after="120" w:line="240" w:lineRule="auto"/>
        <w:rPr>
          <w:rFonts w:cs="Arial"/>
          <w:szCs w:val="22"/>
          <w:lang w:val="en-US"/>
        </w:rPr>
      </w:pPr>
      <w:r w:rsidRPr="005A6FF5">
        <w:rPr>
          <w:rFonts w:cs="Arial"/>
          <w:szCs w:val="22"/>
        </w:rPr>
        <w:t xml:space="preserve">Table </w:t>
      </w:r>
      <w:r w:rsidR="00553364">
        <w:rPr>
          <w:rFonts w:cs="Arial"/>
          <w:szCs w:val="22"/>
          <w:lang w:val="en-US"/>
        </w:rPr>
        <w:t>5</w:t>
      </w:r>
      <w:r w:rsidRPr="005A6FF5">
        <w:rPr>
          <w:rFonts w:cs="Arial"/>
          <w:szCs w:val="22"/>
        </w:rPr>
        <w:t>. Regression Results with RO</w:t>
      </w:r>
      <w:r>
        <w:rPr>
          <w:rFonts w:cs="Arial"/>
          <w:szCs w:val="22"/>
          <w:lang w:val="en-US"/>
        </w:rPr>
        <w:t>E</w:t>
      </w:r>
      <w:r w:rsidRPr="005A6FF5">
        <w:rPr>
          <w:rFonts w:cs="Arial"/>
          <w:szCs w:val="22"/>
        </w:rPr>
        <w:t xml:space="preserve"> as the Dependent Variable</w:t>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0"/>
        <w:gridCol w:w="1514"/>
        <w:gridCol w:w="1514"/>
        <w:gridCol w:w="1514"/>
        <w:gridCol w:w="1514"/>
        <w:gridCol w:w="1514"/>
      </w:tblGrid>
      <w:tr w:rsidR="00553364" w:rsidRPr="00AE1EE7" w14:paraId="049B5600" w14:textId="77777777" w:rsidTr="00331E27">
        <w:trPr>
          <w:trHeight w:val="255"/>
        </w:trPr>
        <w:tc>
          <w:tcPr>
            <w:tcW w:w="1780" w:type="dxa"/>
            <w:shd w:val="clear" w:color="auto" w:fill="auto"/>
            <w:noWrap/>
            <w:vAlign w:val="center"/>
            <w:hideMark/>
          </w:tcPr>
          <w:p w14:paraId="65ACE23A" w14:textId="3A630809" w:rsidR="00553364" w:rsidRPr="00201100" w:rsidRDefault="00553364" w:rsidP="0006518C">
            <w:pPr>
              <w:spacing w:after="0" w:line="240" w:lineRule="auto"/>
              <w:jc w:val="center"/>
              <w:rPr>
                <w:rFonts w:eastAsia="Times New Roman" w:cs="Arial"/>
                <w:color w:val="000000"/>
                <w:kern w:val="0"/>
                <w:szCs w:val="22"/>
                <w:lang w:val="en-US"/>
                <w14:ligatures w14:val="none"/>
              </w:rPr>
            </w:pPr>
            <w:r>
              <w:rPr>
                <w:rFonts w:eastAsia="Times New Roman" w:cs="Arial"/>
                <w:color w:val="000000"/>
                <w:kern w:val="0"/>
                <w:szCs w:val="22"/>
                <w:lang w:val="en-US"/>
                <w14:ligatures w14:val="none"/>
              </w:rPr>
              <w:t>Variable</w:t>
            </w:r>
          </w:p>
        </w:tc>
        <w:tc>
          <w:tcPr>
            <w:tcW w:w="1514" w:type="dxa"/>
            <w:shd w:val="clear" w:color="auto" w:fill="auto"/>
            <w:noWrap/>
            <w:vAlign w:val="center"/>
            <w:hideMark/>
          </w:tcPr>
          <w:p w14:paraId="346FBE50" w14:textId="783B29EB" w:rsidR="00553364" w:rsidRPr="00AE1EE7" w:rsidRDefault="00553364" w:rsidP="0006518C">
            <w:pPr>
              <w:spacing w:after="0" w:line="240" w:lineRule="auto"/>
              <w:jc w:val="center"/>
              <w:rPr>
                <w:rFonts w:eastAsia="Times New Roman" w:cs="Arial"/>
                <w:color w:val="000000"/>
                <w:kern w:val="0"/>
                <w:szCs w:val="22"/>
                <w14:ligatures w14:val="none"/>
              </w:rPr>
            </w:pPr>
            <w:r>
              <w:rPr>
                <w:rFonts w:eastAsia="Times New Roman" w:cs="Arial"/>
                <w:color w:val="000000"/>
                <w:kern w:val="0"/>
                <w:szCs w:val="22"/>
                <w:lang w:val="en-US"/>
                <w14:ligatures w14:val="none"/>
              </w:rPr>
              <w:t>Model</w:t>
            </w:r>
            <w:r w:rsidRPr="00AE1EE7">
              <w:rPr>
                <w:rFonts w:eastAsia="Times New Roman" w:cs="Arial"/>
                <w:color w:val="000000"/>
                <w:kern w:val="0"/>
                <w:szCs w:val="22"/>
                <w14:ligatures w14:val="none"/>
              </w:rPr>
              <w:t xml:space="preserve"> 1</w:t>
            </w:r>
          </w:p>
        </w:tc>
        <w:tc>
          <w:tcPr>
            <w:tcW w:w="1514" w:type="dxa"/>
            <w:shd w:val="clear" w:color="auto" w:fill="auto"/>
            <w:noWrap/>
            <w:vAlign w:val="center"/>
            <w:hideMark/>
          </w:tcPr>
          <w:p w14:paraId="3DE4C47A" w14:textId="4C19414A" w:rsidR="00553364" w:rsidRPr="00AE1EE7" w:rsidRDefault="00553364" w:rsidP="0006518C">
            <w:pPr>
              <w:spacing w:after="0" w:line="240" w:lineRule="auto"/>
              <w:jc w:val="center"/>
              <w:rPr>
                <w:rFonts w:eastAsia="Times New Roman" w:cs="Arial"/>
                <w:color w:val="000000"/>
                <w:kern w:val="0"/>
                <w:szCs w:val="22"/>
                <w14:ligatures w14:val="none"/>
              </w:rPr>
            </w:pPr>
            <w:r>
              <w:rPr>
                <w:rFonts w:eastAsia="Times New Roman" w:cs="Arial"/>
                <w:color w:val="000000"/>
                <w:kern w:val="0"/>
                <w:szCs w:val="22"/>
                <w:lang w:val="en-US"/>
                <w14:ligatures w14:val="none"/>
              </w:rPr>
              <w:t>Model 2</w:t>
            </w:r>
          </w:p>
        </w:tc>
        <w:tc>
          <w:tcPr>
            <w:tcW w:w="1514" w:type="dxa"/>
            <w:shd w:val="clear" w:color="auto" w:fill="auto"/>
            <w:noWrap/>
            <w:vAlign w:val="center"/>
            <w:hideMark/>
          </w:tcPr>
          <w:p w14:paraId="0C5245C1" w14:textId="625A7A40" w:rsidR="00553364" w:rsidRPr="00AE1EE7" w:rsidRDefault="00553364" w:rsidP="0006518C">
            <w:pPr>
              <w:spacing w:after="0" w:line="240" w:lineRule="auto"/>
              <w:jc w:val="center"/>
              <w:rPr>
                <w:rFonts w:eastAsia="Times New Roman" w:cs="Arial"/>
                <w:color w:val="000000"/>
                <w:kern w:val="0"/>
                <w:szCs w:val="22"/>
                <w14:ligatures w14:val="none"/>
              </w:rPr>
            </w:pPr>
            <w:r>
              <w:rPr>
                <w:rFonts w:eastAsia="Times New Roman" w:cs="Arial"/>
                <w:color w:val="000000"/>
                <w:kern w:val="0"/>
                <w:szCs w:val="22"/>
                <w:lang w:val="en-US"/>
                <w14:ligatures w14:val="none"/>
              </w:rPr>
              <w:t>Model 3</w:t>
            </w:r>
          </w:p>
        </w:tc>
        <w:tc>
          <w:tcPr>
            <w:tcW w:w="1514" w:type="dxa"/>
            <w:shd w:val="clear" w:color="auto" w:fill="auto"/>
            <w:noWrap/>
            <w:vAlign w:val="center"/>
            <w:hideMark/>
          </w:tcPr>
          <w:p w14:paraId="4B4AB0E3" w14:textId="55663501" w:rsidR="00553364" w:rsidRPr="00AE1EE7" w:rsidRDefault="00553364" w:rsidP="0006518C">
            <w:pPr>
              <w:spacing w:after="0" w:line="240" w:lineRule="auto"/>
              <w:jc w:val="center"/>
              <w:rPr>
                <w:rFonts w:eastAsia="Times New Roman" w:cs="Arial"/>
                <w:color w:val="000000"/>
                <w:kern w:val="0"/>
                <w:szCs w:val="22"/>
                <w14:ligatures w14:val="none"/>
              </w:rPr>
            </w:pPr>
            <w:r>
              <w:rPr>
                <w:rFonts w:eastAsia="Times New Roman" w:cs="Arial"/>
                <w:color w:val="000000"/>
                <w:kern w:val="0"/>
                <w:szCs w:val="22"/>
                <w:lang w:val="en-US"/>
                <w14:ligatures w14:val="none"/>
              </w:rPr>
              <w:t>Model 4</w:t>
            </w:r>
          </w:p>
        </w:tc>
        <w:tc>
          <w:tcPr>
            <w:tcW w:w="1514" w:type="dxa"/>
            <w:shd w:val="clear" w:color="auto" w:fill="auto"/>
            <w:noWrap/>
            <w:vAlign w:val="center"/>
            <w:hideMark/>
          </w:tcPr>
          <w:p w14:paraId="0B70E203" w14:textId="6C841EA9" w:rsidR="00553364" w:rsidRPr="00AE1EE7" w:rsidRDefault="00553364" w:rsidP="0006518C">
            <w:pPr>
              <w:spacing w:after="0" w:line="240" w:lineRule="auto"/>
              <w:jc w:val="center"/>
              <w:rPr>
                <w:rFonts w:eastAsia="Times New Roman" w:cs="Arial"/>
                <w:color w:val="000000"/>
                <w:kern w:val="0"/>
                <w:szCs w:val="22"/>
                <w14:ligatures w14:val="none"/>
              </w:rPr>
            </w:pPr>
            <w:r>
              <w:rPr>
                <w:rFonts w:eastAsia="Times New Roman" w:cs="Arial"/>
                <w:color w:val="000000"/>
                <w:kern w:val="0"/>
                <w:szCs w:val="22"/>
                <w:lang w:val="en-US"/>
                <w14:ligatures w14:val="none"/>
              </w:rPr>
              <w:t>Model 5</w:t>
            </w:r>
          </w:p>
        </w:tc>
      </w:tr>
      <w:tr w:rsidR="00201100" w:rsidRPr="00AE1EE7" w14:paraId="67C07031" w14:textId="77777777" w:rsidTr="00331E27">
        <w:trPr>
          <w:trHeight w:val="510"/>
        </w:trPr>
        <w:tc>
          <w:tcPr>
            <w:tcW w:w="1780" w:type="dxa"/>
            <w:shd w:val="clear" w:color="auto" w:fill="auto"/>
            <w:noWrap/>
            <w:vAlign w:val="center"/>
            <w:hideMark/>
          </w:tcPr>
          <w:p w14:paraId="563EE75C" w14:textId="77777777" w:rsidR="00201100" w:rsidRPr="00AE1EE7" w:rsidRDefault="00201100" w:rsidP="0006518C">
            <w:pPr>
              <w:spacing w:after="0" w:line="240" w:lineRule="auto"/>
              <w:rPr>
                <w:rFonts w:eastAsia="Times New Roman" w:cs="Arial"/>
                <w:color w:val="000000"/>
                <w:kern w:val="0"/>
                <w:szCs w:val="22"/>
                <w14:ligatures w14:val="none"/>
              </w:rPr>
            </w:pPr>
            <m:oMath>
              <m:r>
                <w:rPr>
                  <w:rFonts w:ascii="Cambria Math" w:eastAsia="Times New Roman" w:hAnsi="Cambria Math" w:cs="Arial"/>
                  <w:color w:val="000000"/>
                  <w:kern w:val="0"/>
                  <w:szCs w:val="22"/>
                  <w14:ligatures w14:val="none"/>
                </w:rPr>
                <m:t>did</m:t>
              </m:r>
            </m:oMath>
            <w:r w:rsidRPr="00AE1EE7">
              <w:rPr>
                <w:rFonts w:eastAsia="Times New Roman" w:cs="Arial"/>
                <w:color w:val="000000"/>
                <w:kern w:val="0"/>
                <w:szCs w:val="22"/>
                <w14:ligatures w14:val="none"/>
              </w:rPr>
              <w:t xml:space="preserve"> </w:t>
            </w:r>
          </w:p>
        </w:tc>
        <w:tc>
          <w:tcPr>
            <w:tcW w:w="1514" w:type="dxa"/>
            <w:shd w:val="clear" w:color="auto" w:fill="auto"/>
            <w:noWrap/>
            <w:hideMark/>
          </w:tcPr>
          <w:p w14:paraId="463E9873" w14:textId="77777777" w:rsidR="00201100" w:rsidRPr="00AE1EE7" w:rsidRDefault="00201100"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0.0963</w:t>
            </w:r>
          </w:p>
          <w:p w14:paraId="6A6B606C" w14:textId="77777777" w:rsidR="00201100" w:rsidRPr="00AE1EE7" w:rsidRDefault="00201100"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w:t>
            </w:r>
          </w:p>
        </w:tc>
        <w:tc>
          <w:tcPr>
            <w:tcW w:w="1514" w:type="dxa"/>
            <w:shd w:val="clear" w:color="auto" w:fill="auto"/>
            <w:noWrap/>
            <w:hideMark/>
          </w:tcPr>
          <w:p w14:paraId="345EF79C" w14:textId="77777777" w:rsidR="00201100" w:rsidRPr="00AE1EE7" w:rsidRDefault="00201100"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0.0615</w:t>
            </w:r>
          </w:p>
        </w:tc>
        <w:tc>
          <w:tcPr>
            <w:tcW w:w="1514" w:type="dxa"/>
            <w:shd w:val="clear" w:color="auto" w:fill="auto"/>
            <w:noWrap/>
            <w:hideMark/>
          </w:tcPr>
          <w:p w14:paraId="3A4DF67C" w14:textId="77777777" w:rsidR="00201100" w:rsidRPr="00AE1EE7" w:rsidRDefault="00201100"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0.0759</w:t>
            </w:r>
          </w:p>
          <w:p w14:paraId="5BF5D294" w14:textId="77777777" w:rsidR="00201100" w:rsidRPr="00AE1EE7" w:rsidRDefault="00201100"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w:t>
            </w:r>
          </w:p>
        </w:tc>
        <w:tc>
          <w:tcPr>
            <w:tcW w:w="1514" w:type="dxa"/>
            <w:shd w:val="clear" w:color="auto" w:fill="auto"/>
            <w:noWrap/>
            <w:hideMark/>
          </w:tcPr>
          <w:p w14:paraId="009C6850" w14:textId="77777777" w:rsidR="00201100" w:rsidRPr="00AE1EE7" w:rsidRDefault="00201100"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0.0732</w:t>
            </w:r>
          </w:p>
          <w:p w14:paraId="0B5A71CC" w14:textId="77777777" w:rsidR="00201100" w:rsidRPr="00AE1EE7" w:rsidRDefault="00201100"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w:t>
            </w:r>
          </w:p>
        </w:tc>
        <w:tc>
          <w:tcPr>
            <w:tcW w:w="1514" w:type="dxa"/>
            <w:shd w:val="clear" w:color="auto" w:fill="auto"/>
            <w:noWrap/>
            <w:hideMark/>
          </w:tcPr>
          <w:p w14:paraId="27CC6372" w14:textId="77777777" w:rsidR="00201100" w:rsidRPr="00AE1EE7" w:rsidRDefault="00201100"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0.0750</w:t>
            </w:r>
          </w:p>
          <w:p w14:paraId="670FE491" w14:textId="77777777" w:rsidR="00201100" w:rsidRPr="00AE1EE7" w:rsidRDefault="00201100"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w:t>
            </w:r>
          </w:p>
        </w:tc>
      </w:tr>
      <w:tr w:rsidR="00201100" w:rsidRPr="00AE1EE7" w14:paraId="33CA0B42" w14:textId="77777777" w:rsidTr="00331E27">
        <w:trPr>
          <w:trHeight w:val="510"/>
        </w:trPr>
        <w:tc>
          <w:tcPr>
            <w:tcW w:w="1780" w:type="dxa"/>
            <w:shd w:val="clear" w:color="auto" w:fill="auto"/>
            <w:noWrap/>
            <w:vAlign w:val="center"/>
            <w:hideMark/>
          </w:tcPr>
          <w:p w14:paraId="5C9D0455" w14:textId="77777777" w:rsidR="00201100" w:rsidRPr="00AE1EE7" w:rsidRDefault="00201100" w:rsidP="0006518C">
            <w:pPr>
              <w:spacing w:after="0" w:line="240" w:lineRule="auto"/>
              <w:rPr>
                <w:rFonts w:eastAsia="Times New Roman" w:cs="Arial"/>
                <w:color w:val="000000"/>
                <w:kern w:val="0"/>
                <w:szCs w:val="22"/>
                <w14:ligatures w14:val="none"/>
              </w:rPr>
            </w:pPr>
            <m:oMath>
              <m:r>
                <w:rPr>
                  <w:rFonts w:ascii="Cambria Math" w:eastAsia="Times New Roman" w:hAnsi="Cambria Math" w:cs="Arial"/>
                  <w:color w:val="000000"/>
                  <w:kern w:val="0"/>
                  <w:szCs w:val="22"/>
                  <w14:ligatures w14:val="none"/>
                </w:rPr>
                <m:t>treated</m:t>
              </m:r>
            </m:oMath>
            <w:r w:rsidRPr="00AE1EE7">
              <w:rPr>
                <w:rFonts w:eastAsia="Times New Roman" w:cs="Arial"/>
                <w:color w:val="000000"/>
                <w:kern w:val="0"/>
                <w:szCs w:val="22"/>
                <w14:ligatures w14:val="none"/>
              </w:rPr>
              <w:t xml:space="preserve"> </w:t>
            </w:r>
          </w:p>
        </w:tc>
        <w:tc>
          <w:tcPr>
            <w:tcW w:w="1514" w:type="dxa"/>
            <w:shd w:val="clear" w:color="auto" w:fill="auto"/>
            <w:noWrap/>
            <w:hideMark/>
          </w:tcPr>
          <w:p w14:paraId="0EBC0660" w14:textId="77777777" w:rsidR="00201100" w:rsidRPr="00AE1EE7" w:rsidRDefault="00201100"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0.2579</w:t>
            </w:r>
          </w:p>
          <w:p w14:paraId="5E4D4E04" w14:textId="77777777" w:rsidR="00201100" w:rsidRPr="00AE1EE7" w:rsidRDefault="00201100"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w:t>
            </w:r>
          </w:p>
        </w:tc>
        <w:tc>
          <w:tcPr>
            <w:tcW w:w="1514" w:type="dxa"/>
            <w:shd w:val="clear" w:color="auto" w:fill="auto"/>
            <w:noWrap/>
            <w:hideMark/>
          </w:tcPr>
          <w:p w14:paraId="56B6D1AF" w14:textId="77777777" w:rsidR="00201100" w:rsidRPr="00AE1EE7" w:rsidRDefault="00201100"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0.0333</w:t>
            </w:r>
          </w:p>
        </w:tc>
        <w:tc>
          <w:tcPr>
            <w:tcW w:w="1514" w:type="dxa"/>
            <w:shd w:val="clear" w:color="auto" w:fill="auto"/>
            <w:noWrap/>
            <w:hideMark/>
          </w:tcPr>
          <w:p w14:paraId="3E97056F" w14:textId="77777777" w:rsidR="00201100" w:rsidRPr="00AE1EE7" w:rsidRDefault="00201100"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0.0257</w:t>
            </w:r>
          </w:p>
        </w:tc>
        <w:tc>
          <w:tcPr>
            <w:tcW w:w="1514" w:type="dxa"/>
            <w:shd w:val="clear" w:color="auto" w:fill="auto"/>
            <w:noWrap/>
            <w:hideMark/>
          </w:tcPr>
          <w:p w14:paraId="42B84B84" w14:textId="77777777" w:rsidR="00201100" w:rsidRPr="00AE1EE7" w:rsidRDefault="00201100"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0.0435</w:t>
            </w:r>
          </w:p>
        </w:tc>
        <w:tc>
          <w:tcPr>
            <w:tcW w:w="1514" w:type="dxa"/>
            <w:shd w:val="clear" w:color="auto" w:fill="auto"/>
            <w:noWrap/>
            <w:hideMark/>
          </w:tcPr>
          <w:p w14:paraId="3335D8C7" w14:textId="77777777" w:rsidR="00201100" w:rsidRPr="00AE1EE7" w:rsidRDefault="00201100"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0.0522</w:t>
            </w:r>
          </w:p>
        </w:tc>
      </w:tr>
      <w:tr w:rsidR="00201100" w:rsidRPr="00AE1EE7" w14:paraId="7B19237A" w14:textId="77777777" w:rsidTr="00331E27">
        <w:trPr>
          <w:trHeight w:val="510"/>
        </w:trPr>
        <w:tc>
          <w:tcPr>
            <w:tcW w:w="1780" w:type="dxa"/>
            <w:shd w:val="clear" w:color="auto" w:fill="auto"/>
            <w:noWrap/>
            <w:vAlign w:val="center"/>
            <w:hideMark/>
          </w:tcPr>
          <w:p w14:paraId="691EA8F5" w14:textId="77777777" w:rsidR="00201100" w:rsidRPr="00AE1EE7" w:rsidRDefault="00201100" w:rsidP="0006518C">
            <w:pPr>
              <w:spacing w:after="0" w:line="240" w:lineRule="auto"/>
              <w:rPr>
                <w:rFonts w:eastAsia="Times New Roman" w:cs="Arial"/>
                <w:color w:val="000000"/>
                <w:kern w:val="0"/>
                <w:szCs w:val="22"/>
                <w14:ligatures w14:val="none"/>
              </w:rPr>
            </w:pPr>
            <m:oMath>
              <m:r>
                <w:rPr>
                  <w:rFonts w:ascii="Cambria Math" w:eastAsia="Times New Roman" w:hAnsi="Cambria Math" w:cs="Arial"/>
                  <w:color w:val="000000"/>
                  <w:kern w:val="0"/>
                  <w:szCs w:val="22"/>
                  <w14:ligatures w14:val="none"/>
                </w:rPr>
                <m:t>period</m:t>
              </m:r>
            </m:oMath>
            <w:r w:rsidRPr="00AE1EE7">
              <w:rPr>
                <w:rFonts w:eastAsia="Times New Roman" w:cs="Arial"/>
                <w:color w:val="000000"/>
                <w:kern w:val="0"/>
                <w:szCs w:val="22"/>
                <w14:ligatures w14:val="none"/>
              </w:rPr>
              <w:t xml:space="preserve"> </w:t>
            </w:r>
          </w:p>
        </w:tc>
        <w:tc>
          <w:tcPr>
            <w:tcW w:w="1514" w:type="dxa"/>
            <w:shd w:val="clear" w:color="auto" w:fill="auto"/>
            <w:noWrap/>
            <w:hideMark/>
          </w:tcPr>
          <w:p w14:paraId="5844B1DE" w14:textId="77777777" w:rsidR="00201100" w:rsidRPr="00AE1EE7" w:rsidRDefault="00201100"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-0.1334</w:t>
            </w:r>
          </w:p>
          <w:p w14:paraId="5E687CF2" w14:textId="77777777" w:rsidR="00201100" w:rsidRPr="00AE1EE7" w:rsidRDefault="00201100"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w:t>
            </w:r>
          </w:p>
        </w:tc>
        <w:tc>
          <w:tcPr>
            <w:tcW w:w="1514" w:type="dxa"/>
            <w:shd w:val="clear" w:color="auto" w:fill="auto"/>
            <w:noWrap/>
            <w:hideMark/>
          </w:tcPr>
          <w:p w14:paraId="698E2DF2" w14:textId="77777777" w:rsidR="00201100" w:rsidRPr="00AE1EE7" w:rsidRDefault="00201100"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-0.0992</w:t>
            </w:r>
          </w:p>
          <w:p w14:paraId="0E859B8C" w14:textId="77777777" w:rsidR="00201100" w:rsidRPr="00AE1EE7" w:rsidRDefault="00201100"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w:t>
            </w:r>
          </w:p>
        </w:tc>
        <w:tc>
          <w:tcPr>
            <w:tcW w:w="1514" w:type="dxa"/>
            <w:shd w:val="clear" w:color="auto" w:fill="auto"/>
            <w:noWrap/>
            <w:hideMark/>
          </w:tcPr>
          <w:p w14:paraId="36ACFC49" w14:textId="77777777" w:rsidR="00201100" w:rsidRPr="00AE1EE7" w:rsidRDefault="00201100"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-0.0942</w:t>
            </w:r>
          </w:p>
          <w:p w14:paraId="25575FBA" w14:textId="77777777" w:rsidR="00201100" w:rsidRPr="00AE1EE7" w:rsidRDefault="00201100"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w:t>
            </w:r>
          </w:p>
        </w:tc>
        <w:tc>
          <w:tcPr>
            <w:tcW w:w="1514" w:type="dxa"/>
            <w:shd w:val="clear" w:color="auto" w:fill="auto"/>
            <w:noWrap/>
            <w:hideMark/>
          </w:tcPr>
          <w:p w14:paraId="240028EE" w14:textId="77777777" w:rsidR="00201100" w:rsidRPr="00AE1EE7" w:rsidRDefault="00201100"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-0.0908</w:t>
            </w:r>
          </w:p>
          <w:p w14:paraId="352EFB71" w14:textId="77777777" w:rsidR="00201100" w:rsidRPr="00AE1EE7" w:rsidRDefault="00201100"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w:t>
            </w:r>
          </w:p>
        </w:tc>
        <w:tc>
          <w:tcPr>
            <w:tcW w:w="1514" w:type="dxa"/>
            <w:shd w:val="clear" w:color="auto" w:fill="auto"/>
            <w:noWrap/>
            <w:hideMark/>
          </w:tcPr>
          <w:p w14:paraId="6670F4BE" w14:textId="77777777" w:rsidR="00201100" w:rsidRPr="00AE1EE7" w:rsidRDefault="00201100"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-0.0999</w:t>
            </w:r>
          </w:p>
          <w:p w14:paraId="1669FCEF" w14:textId="77777777" w:rsidR="00201100" w:rsidRPr="00AE1EE7" w:rsidRDefault="00201100"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w:t>
            </w:r>
          </w:p>
        </w:tc>
      </w:tr>
      <w:tr w:rsidR="00201100" w:rsidRPr="00AE1EE7" w14:paraId="51985941" w14:textId="77777777" w:rsidTr="00331E27">
        <w:trPr>
          <w:trHeight w:val="510"/>
        </w:trPr>
        <w:tc>
          <w:tcPr>
            <w:tcW w:w="1780" w:type="dxa"/>
            <w:shd w:val="clear" w:color="auto" w:fill="auto"/>
            <w:noWrap/>
            <w:vAlign w:val="center"/>
            <w:hideMark/>
          </w:tcPr>
          <w:p w14:paraId="0E730A8A" w14:textId="77777777" w:rsidR="00201100" w:rsidRPr="00AE1EE7" w:rsidRDefault="00201100" w:rsidP="0006518C">
            <w:pPr>
              <w:spacing w:after="0" w:line="240" w:lineRule="auto"/>
              <w:rPr>
                <w:rFonts w:eastAsia="Times New Roman" w:cs="Arial"/>
                <w:color w:val="000000"/>
                <w:kern w:val="0"/>
                <w:szCs w:val="22"/>
                <w14:ligatures w14:val="none"/>
              </w:rPr>
            </w:pPr>
            <m:oMath>
              <m:r>
                <w:rPr>
                  <w:rFonts w:ascii="Cambria Math" w:eastAsia="Times New Roman" w:hAnsi="Cambria Math" w:cs="Arial"/>
                  <w:color w:val="000000"/>
                  <w:kern w:val="0"/>
                  <w:szCs w:val="22"/>
                  <w14:ligatures w14:val="none"/>
                </w:rPr>
                <m:t>lev</m:t>
              </m:r>
            </m:oMath>
            <w:r w:rsidRPr="00AE1EE7">
              <w:rPr>
                <w:rFonts w:eastAsia="Times New Roman" w:cs="Arial"/>
                <w:color w:val="000000"/>
                <w:kern w:val="0"/>
                <w:szCs w:val="22"/>
                <w14:ligatures w14:val="none"/>
              </w:rPr>
              <w:t xml:space="preserve"> </w:t>
            </w:r>
          </w:p>
        </w:tc>
        <w:tc>
          <w:tcPr>
            <w:tcW w:w="1514" w:type="dxa"/>
            <w:shd w:val="clear" w:color="auto" w:fill="auto"/>
            <w:noWrap/>
            <w:hideMark/>
          </w:tcPr>
          <w:p w14:paraId="6E68167D" w14:textId="77777777" w:rsidR="00201100" w:rsidRPr="00AE1EE7" w:rsidRDefault="00201100" w:rsidP="0006518C">
            <w:pPr>
              <w:spacing w:after="0" w:line="240" w:lineRule="auto"/>
              <w:jc w:val="center"/>
              <w:rPr>
                <w:rFonts w:eastAsia="Times New Roman" w:cs="Arial"/>
                <w:color w:val="000000"/>
                <w:kern w:val="0"/>
                <w:szCs w:val="22"/>
                <w14:ligatures w14:val="none"/>
              </w:rPr>
            </w:pPr>
          </w:p>
        </w:tc>
        <w:tc>
          <w:tcPr>
            <w:tcW w:w="1514" w:type="dxa"/>
            <w:shd w:val="clear" w:color="auto" w:fill="auto"/>
            <w:noWrap/>
            <w:hideMark/>
          </w:tcPr>
          <w:p w14:paraId="2A33A8C1" w14:textId="77777777" w:rsidR="00201100" w:rsidRPr="00AE1EE7" w:rsidRDefault="00201100"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-0.1045</w:t>
            </w:r>
          </w:p>
        </w:tc>
        <w:tc>
          <w:tcPr>
            <w:tcW w:w="1514" w:type="dxa"/>
            <w:shd w:val="clear" w:color="auto" w:fill="auto"/>
            <w:noWrap/>
            <w:hideMark/>
          </w:tcPr>
          <w:p w14:paraId="1ADDCAF5" w14:textId="77777777" w:rsidR="00201100" w:rsidRPr="00AE1EE7" w:rsidRDefault="00201100"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-0.0493</w:t>
            </w:r>
          </w:p>
        </w:tc>
        <w:tc>
          <w:tcPr>
            <w:tcW w:w="1514" w:type="dxa"/>
            <w:shd w:val="clear" w:color="auto" w:fill="auto"/>
            <w:noWrap/>
            <w:hideMark/>
          </w:tcPr>
          <w:p w14:paraId="49BFE07C" w14:textId="77777777" w:rsidR="00201100" w:rsidRPr="00AE1EE7" w:rsidRDefault="00201100"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-0.1494</w:t>
            </w:r>
          </w:p>
        </w:tc>
        <w:tc>
          <w:tcPr>
            <w:tcW w:w="1514" w:type="dxa"/>
            <w:shd w:val="clear" w:color="auto" w:fill="auto"/>
            <w:noWrap/>
            <w:hideMark/>
          </w:tcPr>
          <w:p w14:paraId="6113D9D3" w14:textId="77777777" w:rsidR="00201100" w:rsidRPr="00AE1EE7" w:rsidRDefault="00201100"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-0.1313</w:t>
            </w:r>
          </w:p>
        </w:tc>
      </w:tr>
      <w:tr w:rsidR="00201100" w:rsidRPr="00AE1EE7" w14:paraId="1E9C6BAA" w14:textId="77777777" w:rsidTr="00331E27">
        <w:trPr>
          <w:trHeight w:val="510"/>
        </w:trPr>
        <w:tc>
          <w:tcPr>
            <w:tcW w:w="1780" w:type="dxa"/>
            <w:shd w:val="clear" w:color="auto" w:fill="auto"/>
            <w:noWrap/>
            <w:vAlign w:val="center"/>
            <w:hideMark/>
          </w:tcPr>
          <w:p w14:paraId="5CA4F824" w14:textId="77777777" w:rsidR="00201100" w:rsidRPr="00AE1EE7" w:rsidRDefault="00201100" w:rsidP="0006518C">
            <w:pPr>
              <w:spacing w:after="0" w:line="240" w:lineRule="auto"/>
              <w:rPr>
                <w:rFonts w:eastAsia="Times New Roman" w:cs="Arial"/>
                <w:color w:val="000000"/>
                <w:kern w:val="0"/>
                <w:szCs w:val="22"/>
                <w14:ligatures w14:val="none"/>
              </w:rPr>
            </w:pPr>
            <m:oMath>
              <m:r>
                <w:rPr>
                  <w:rFonts w:ascii="Cambria Math" w:eastAsia="Times New Roman" w:hAnsi="Cambria Math" w:cs="Arial"/>
                  <w:color w:val="000000"/>
                  <w:kern w:val="0"/>
                  <w:szCs w:val="22"/>
                  <w14:ligatures w14:val="none"/>
                </w:rPr>
                <m:t>ocfta</m:t>
              </m:r>
            </m:oMath>
            <w:r w:rsidRPr="00AE1EE7">
              <w:rPr>
                <w:rFonts w:eastAsia="Times New Roman" w:cs="Arial"/>
                <w:color w:val="000000"/>
                <w:kern w:val="0"/>
                <w:szCs w:val="22"/>
                <w14:ligatures w14:val="none"/>
              </w:rPr>
              <w:t xml:space="preserve"> </w:t>
            </w:r>
          </w:p>
        </w:tc>
        <w:tc>
          <w:tcPr>
            <w:tcW w:w="1514" w:type="dxa"/>
            <w:shd w:val="clear" w:color="auto" w:fill="auto"/>
            <w:noWrap/>
            <w:hideMark/>
          </w:tcPr>
          <w:p w14:paraId="3FD05BA3" w14:textId="77777777" w:rsidR="00201100" w:rsidRPr="00AE1EE7" w:rsidRDefault="00201100" w:rsidP="0006518C">
            <w:pPr>
              <w:spacing w:after="0" w:line="240" w:lineRule="auto"/>
              <w:jc w:val="center"/>
              <w:rPr>
                <w:rFonts w:eastAsia="Times New Roman" w:cs="Arial"/>
                <w:color w:val="000000"/>
                <w:kern w:val="0"/>
                <w:szCs w:val="22"/>
                <w14:ligatures w14:val="none"/>
              </w:rPr>
            </w:pPr>
          </w:p>
        </w:tc>
        <w:tc>
          <w:tcPr>
            <w:tcW w:w="1514" w:type="dxa"/>
            <w:shd w:val="clear" w:color="auto" w:fill="auto"/>
            <w:noWrap/>
            <w:hideMark/>
          </w:tcPr>
          <w:p w14:paraId="37585EE5" w14:textId="77777777" w:rsidR="00201100" w:rsidRPr="00AE1EE7" w:rsidRDefault="00201100"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0.9399</w:t>
            </w:r>
          </w:p>
          <w:p w14:paraId="543D597F" w14:textId="77777777" w:rsidR="00201100" w:rsidRPr="00AE1EE7" w:rsidRDefault="00201100"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w:t>
            </w:r>
          </w:p>
        </w:tc>
        <w:tc>
          <w:tcPr>
            <w:tcW w:w="1514" w:type="dxa"/>
            <w:shd w:val="clear" w:color="auto" w:fill="auto"/>
            <w:noWrap/>
            <w:hideMark/>
          </w:tcPr>
          <w:p w14:paraId="509F42F7" w14:textId="77777777" w:rsidR="00201100" w:rsidRPr="00AE1EE7" w:rsidRDefault="00201100"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0.8897</w:t>
            </w:r>
          </w:p>
          <w:p w14:paraId="08D8D1CE" w14:textId="77777777" w:rsidR="00201100" w:rsidRPr="00AE1EE7" w:rsidRDefault="00201100"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w:t>
            </w:r>
          </w:p>
        </w:tc>
        <w:tc>
          <w:tcPr>
            <w:tcW w:w="1514" w:type="dxa"/>
            <w:shd w:val="clear" w:color="auto" w:fill="auto"/>
            <w:noWrap/>
            <w:hideMark/>
          </w:tcPr>
          <w:p w14:paraId="00F577AC" w14:textId="77777777" w:rsidR="00201100" w:rsidRPr="00AE1EE7" w:rsidRDefault="00201100"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0.5338</w:t>
            </w:r>
          </w:p>
          <w:p w14:paraId="63FCBEEC" w14:textId="77777777" w:rsidR="00201100" w:rsidRPr="00AE1EE7" w:rsidRDefault="00201100"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w:t>
            </w:r>
          </w:p>
        </w:tc>
        <w:tc>
          <w:tcPr>
            <w:tcW w:w="1514" w:type="dxa"/>
            <w:shd w:val="clear" w:color="auto" w:fill="auto"/>
            <w:noWrap/>
            <w:hideMark/>
          </w:tcPr>
          <w:p w14:paraId="723561D6" w14:textId="77777777" w:rsidR="00201100" w:rsidRPr="00AE1EE7" w:rsidRDefault="00201100"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0.5235</w:t>
            </w:r>
          </w:p>
          <w:p w14:paraId="04F74EF3" w14:textId="77777777" w:rsidR="00201100" w:rsidRPr="00AE1EE7" w:rsidRDefault="00201100"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w:t>
            </w:r>
          </w:p>
        </w:tc>
      </w:tr>
      <w:tr w:rsidR="00201100" w:rsidRPr="00AE1EE7" w14:paraId="4D4E6F1D" w14:textId="77777777" w:rsidTr="00331E27">
        <w:trPr>
          <w:trHeight w:val="510"/>
        </w:trPr>
        <w:tc>
          <w:tcPr>
            <w:tcW w:w="1780" w:type="dxa"/>
            <w:shd w:val="clear" w:color="auto" w:fill="auto"/>
            <w:noWrap/>
            <w:vAlign w:val="center"/>
            <w:hideMark/>
          </w:tcPr>
          <w:p w14:paraId="71DB12C0" w14:textId="77777777" w:rsidR="00201100" w:rsidRPr="00AE1EE7" w:rsidRDefault="00201100" w:rsidP="0006518C">
            <w:pPr>
              <w:spacing w:after="0" w:line="240" w:lineRule="auto"/>
              <w:rPr>
                <w:rFonts w:eastAsia="Times New Roman" w:cs="Arial"/>
                <w:color w:val="000000"/>
                <w:kern w:val="0"/>
                <w:szCs w:val="22"/>
                <w14:ligatures w14:val="none"/>
              </w:rPr>
            </w:pPr>
            <m:oMath>
              <m:r>
                <w:rPr>
                  <w:rFonts w:ascii="Cambria Math" w:eastAsia="Times New Roman" w:hAnsi="Cambria Math" w:cs="Arial"/>
                  <w:color w:val="000000"/>
                  <w:kern w:val="0"/>
                  <w:szCs w:val="22"/>
                  <w14:ligatures w14:val="none"/>
                </w:rPr>
                <m:t>size</m:t>
              </m:r>
            </m:oMath>
            <w:r w:rsidRPr="00AE1EE7">
              <w:rPr>
                <w:rFonts w:eastAsia="Times New Roman" w:cs="Arial"/>
                <w:color w:val="000000"/>
                <w:kern w:val="0"/>
                <w:szCs w:val="22"/>
                <w14:ligatures w14:val="none"/>
              </w:rPr>
              <w:t xml:space="preserve"> </w:t>
            </w:r>
          </w:p>
        </w:tc>
        <w:tc>
          <w:tcPr>
            <w:tcW w:w="1514" w:type="dxa"/>
            <w:shd w:val="clear" w:color="auto" w:fill="auto"/>
            <w:noWrap/>
            <w:hideMark/>
          </w:tcPr>
          <w:p w14:paraId="7C6B4037" w14:textId="77777777" w:rsidR="00201100" w:rsidRPr="00AE1EE7" w:rsidRDefault="00201100" w:rsidP="0006518C">
            <w:pPr>
              <w:spacing w:after="0" w:line="240" w:lineRule="auto"/>
              <w:jc w:val="center"/>
              <w:rPr>
                <w:rFonts w:eastAsia="Times New Roman" w:cs="Arial"/>
                <w:color w:val="000000"/>
                <w:kern w:val="0"/>
                <w:szCs w:val="22"/>
                <w14:ligatures w14:val="none"/>
              </w:rPr>
            </w:pPr>
          </w:p>
        </w:tc>
        <w:tc>
          <w:tcPr>
            <w:tcW w:w="1514" w:type="dxa"/>
            <w:shd w:val="clear" w:color="auto" w:fill="auto"/>
            <w:noWrap/>
            <w:hideMark/>
          </w:tcPr>
          <w:p w14:paraId="398B708C" w14:textId="77777777" w:rsidR="00201100" w:rsidRPr="00AE1EE7" w:rsidRDefault="00201100" w:rsidP="0006518C">
            <w:pPr>
              <w:spacing w:after="0" w:line="240" w:lineRule="auto"/>
              <w:jc w:val="center"/>
              <w:rPr>
                <w:rFonts w:eastAsia="Times New Roman" w:cs="Arial"/>
                <w:kern w:val="0"/>
                <w:szCs w:val="22"/>
                <w14:ligatures w14:val="none"/>
              </w:rPr>
            </w:pPr>
          </w:p>
        </w:tc>
        <w:tc>
          <w:tcPr>
            <w:tcW w:w="1514" w:type="dxa"/>
            <w:shd w:val="clear" w:color="auto" w:fill="auto"/>
            <w:noWrap/>
            <w:hideMark/>
          </w:tcPr>
          <w:p w14:paraId="35697A5C" w14:textId="77777777" w:rsidR="00201100" w:rsidRPr="00AE1EE7" w:rsidRDefault="00201100"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-0.0020</w:t>
            </w:r>
          </w:p>
        </w:tc>
        <w:tc>
          <w:tcPr>
            <w:tcW w:w="1514" w:type="dxa"/>
            <w:shd w:val="clear" w:color="auto" w:fill="auto"/>
            <w:noWrap/>
            <w:hideMark/>
          </w:tcPr>
          <w:p w14:paraId="2A87EA8C" w14:textId="77777777" w:rsidR="00201100" w:rsidRPr="00AE1EE7" w:rsidRDefault="00201100"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-0.0315</w:t>
            </w:r>
          </w:p>
        </w:tc>
        <w:tc>
          <w:tcPr>
            <w:tcW w:w="1514" w:type="dxa"/>
            <w:shd w:val="clear" w:color="auto" w:fill="auto"/>
            <w:noWrap/>
            <w:hideMark/>
          </w:tcPr>
          <w:p w14:paraId="3B3DCF82" w14:textId="77777777" w:rsidR="00201100" w:rsidRPr="00AE1EE7" w:rsidRDefault="00201100"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-0.0355</w:t>
            </w:r>
          </w:p>
        </w:tc>
      </w:tr>
      <w:tr w:rsidR="00201100" w:rsidRPr="00AE1EE7" w14:paraId="0B6335ED" w14:textId="77777777" w:rsidTr="00331E27">
        <w:trPr>
          <w:trHeight w:val="510"/>
        </w:trPr>
        <w:tc>
          <w:tcPr>
            <w:tcW w:w="1780" w:type="dxa"/>
            <w:shd w:val="clear" w:color="auto" w:fill="auto"/>
            <w:noWrap/>
            <w:vAlign w:val="center"/>
            <w:hideMark/>
          </w:tcPr>
          <w:p w14:paraId="550990EA" w14:textId="77777777" w:rsidR="00201100" w:rsidRPr="00AE1EE7" w:rsidRDefault="00201100" w:rsidP="0006518C">
            <w:pPr>
              <w:spacing w:after="0" w:line="240" w:lineRule="auto"/>
              <w:rPr>
                <w:rFonts w:eastAsia="Times New Roman" w:cs="Arial"/>
                <w:color w:val="000000"/>
                <w:kern w:val="0"/>
                <w:szCs w:val="22"/>
                <w14:ligatures w14:val="none"/>
              </w:rPr>
            </w:pPr>
            <m:oMath>
              <m:r>
                <w:rPr>
                  <w:rFonts w:ascii="Cambria Math" w:eastAsia="Times New Roman" w:hAnsi="Cambria Math" w:cs="Arial"/>
                  <w:color w:val="000000"/>
                  <w:kern w:val="0"/>
                  <w:szCs w:val="22"/>
                  <w14:ligatures w14:val="none"/>
                </w:rPr>
                <m:t>ppeta</m:t>
              </m:r>
            </m:oMath>
            <w:r w:rsidRPr="00AE1EE7">
              <w:rPr>
                <w:rFonts w:eastAsia="Times New Roman" w:cs="Arial"/>
                <w:color w:val="000000"/>
                <w:kern w:val="0"/>
                <w:szCs w:val="22"/>
                <w14:ligatures w14:val="none"/>
              </w:rPr>
              <w:t xml:space="preserve"> </w:t>
            </w:r>
          </w:p>
        </w:tc>
        <w:tc>
          <w:tcPr>
            <w:tcW w:w="1514" w:type="dxa"/>
            <w:shd w:val="clear" w:color="auto" w:fill="auto"/>
            <w:noWrap/>
            <w:hideMark/>
          </w:tcPr>
          <w:p w14:paraId="6B0931A1" w14:textId="77777777" w:rsidR="00201100" w:rsidRPr="00AE1EE7" w:rsidRDefault="00201100" w:rsidP="0006518C">
            <w:pPr>
              <w:spacing w:after="0" w:line="240" w:lineRule="auto"/>
              <w:jc w:val="center"/>
              <w:rPr>
                <w:rFonts w:eastAsia="Times New Roman" w:cs="Arial"/>
                <w:color w:val="000000"/>
                <w:kern w:val="0"/>
                <w:szCs w:val="22"/>
                <w14:ligatures w14:val="none"/>
              </w:rPr>
            </w:pPr>
          </w:p>
        </w:tc>
        <w:tc>
          <w:tcPr>
            <w:tcW w:w="1514" w:type="dxa"/>
            <w:shd w:val="clear" w:color="auto" w:fill="auto"/>
            <w:noWrap/>
            <w:hideMark/>
          </w:tcPr>
          <w:p w14:paraId="5AC1D869" w14:textId="77777777" w:rsidR="00201100" w:rsidRPr="00AE1EE7" w:rsidRDefault="00201100" w:rsidP="0006518C">
            <w:pPr>
              <w:spacing w:after="0" w:line="240" w:lineRule="auto"/>
              <w:jc w:val="center"/>
              <w:rPr>
                <w:rFonts w:eastAsia="Times New Roman" w:cs="Arial"/>
                <w:kern w:val="0"/>
                <w:szCs w:val="22"/>
                <w14:ligatures w14:val="none"/>
              </w:rPr>
            </w:pPr>
          </w:p>
        </w:tc>
        <w:tc>
          <w:tcPr>
            <w:tcW w:w="1514" w:type="dxa"/>
            <w:shd w:val="clear" w:color="auto" w:fill="auto"/>
            <w:noWrap/>
            <w:hideMark/>
          </w:tcPr>
          <w:p w14:paraId="599815C6" w14:textId="77777777" w:rsidR="00201100" w:rsidRPr="00AE1EE7" w:rsidRDefault="00201100"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0.2734</w:t>
            </w:r>
          </w:p>
          <w:p w14:paraId="3A8840C5" w14:textId="77777777" w:rsidR="00201100" w:rsidRPr="00AE1EE7" w:rsidRDefault="00201100"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w:t>
            </w:r>
          </w:p>
        </w:tc>
        <w:tc>
          <w:tcPr>
            <w:tcW w:w="1514" w:type="dxa"/>
            <w:shd w:val="clear" w:color="auto" w:fill="auto"/>
            <w:noWrap/>
            <w:hideMark/>
          </w:tcPr>
          <w:p w14:paraId="1829985D" w14:textId="77777777" w:rsidR="00201100" w:rsidRPr="00AE1EE7" w:rsidRDefault="00201100"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0.2931</w:t>
            </w:r>
          </w:p>
          <w:p w14:paraId="0EC6F69D" w14:textId="77777777" w:rsidR="00201100" w:rsidRPr="00AE1EE7" w:rsidRDefault="00201100"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w:t>
            </w:r>
          </w:p>
        </w:tc>
        <w:tc>
          <w:tcPr>
            <w:tcW w:w="1514" w:type="dxa"/>
            <w:shd w:val="clear" w:color="auto" w:fill="auto"/>
            <w:noWrap/>
            <w:hideMark/>
          </w:tcPr>
          <w:p w14:paraId="01EF9BD0" w14:textId="77777777" w:rsidR="00201100" w:rsidRPr="00AE1EE7" w:rsidRDefault="00201100"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0.3149</w:t>
            </w:r>
          </w:p>
          <w:p w14:paraId="60392592" w14:textId="77777777" w:rsidR="00201100" w:rsidRPr="00AE1EE7" w:rsidRDefault="00201100"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w:t>
            </w:r>
          </w:p>
        </w:tc>
      </w:tr>
      <w:tr w:rsidR="00201100" w:rsidRPr="00AE1EE7" w14:paraId="76A1757C" w14:textId="77777777" w:rsidTr="00331E27">
        <w:trPr>
          <w:trHeight w:val="510"/>
        </w:trPr>
        <w:tc>
          <w:tcPr>
            <w:tcW w:w="1780" w:type="dxa"/>
            <w:shd w:val="clear" w:color="auto" w:fill="auto"/>
            <w:noWrap/>
            <w:vAlign w:val="center"/>
            <w:hideMark/>
          </w:tcPr>
          <w:p w14:paraId="78186E15" w14:textId="77777777" w:rsidR="00201100" w:rsidRPr="00AE1EE7" w:rsidRDefault="00201100" w:rsidP="0006518C">
            <w:pPr>
              <w:spacing w:after="0" w:line="240" w:lineRule="auto"/>
              <w:rPr>
                <w:rFonts w:eastAsia="Times New Roman" w:cs="Arial"/>
                <w:color w:val="000000"/>
                <w:kern w:val="0"/>
                <w:szCs w:val="22"/>
                <w14:ligatures w14:val="none"/>
              </w:rPr>
            </w:pPr>
            <m:oMath>
              <m:r>
                <w:rPr>
                  <w:rFonts w:ascii="Cambria Math" w:eastAsia="Times New Roman" w:hAnsi="Cambria Math" w:cs="Arial"/>
                  <w:color w:val="000000"/>
                  <w:kern w:val="0"/>
                  <w:szCs w:val="22"/>
                  <w14:ligatures w14:val="none"/>
                </w:rPr>
                <m:t>growth</m:t>
              </m:r>
            </m:oMath>
            <w:r w:rsidRPr="00AE1EE7">
              <w:rPr>
                <w:rFonts w:eastAsia="Times New Roman" w:cs="Arial"/>
                <w:color w:val="000000"/>
                <w:kern w:val="0"/>
                <w:szCs w:val="22"/>
                <w14:ligatures w14:val="none"/>
              </w:rPr>
              <w:t xml:space="preserve"> </w:t>
            </w:r>
          </w:p>
        </w:tc>
        <w:tc>
          <w:tcPr>
            <w:tcW w:w="1514" w:type="dxa"/>
            <w:shd w:val="clear" w:color="auto" w:fill="auto"/>
            <w:noWrap/>
            <w:hideMark/>
          </w:tcPr>
          <w:p w14:paraId="5C44032E" w14:textId="77777777" w:rsidR="00201100" w:rsidRPr="00AE1EE7" w:rsidRDefault="00201100" w:rsidP="0006518C">
            <w:pPr>
              <w:spacing w:after="0" w:line="240" w:lineRule="auto"/>
              <w:jc w:val="center"/>
              <w:rPr>
                <w:rFonts w:eastAsia="Times New Roman" w:cs="Arial"/>
                <w:color w:val="000000"/>
                <w:kern w:val="0"/>
                <w:szCs w:val="22"/>
                <w14:ligatures w14:val="none"/>
              </w:rPr>
            </w:pPr>
          </w:p>
        </w:tc>
        <w:tc>
          <w:tcPr>
            <w:tcW w:w="1514" w:type="dxa"/>
            <w:shd w:val="clear" w:color="auto" w:fill="auto"/>
            <w:noWrap/>
            <w:hideMark/>
          </w:tcPr>
          <w:p w14:paraId="383AD6C0" w14:textId="77777777" w:rsidR="00201100" w:rsidRPr="00AE1EE7" w:rsidRDefault="00201100" w:rsidP="0006518C">
            <w:pPr>
              <w:spacing w:after="0" w:line="240" w:lineRule="auto"/>
              <w:jc w:val="center"/>
              <w:rPr>
                <w:rFonts w:eastAsia="Times New Roman" w:cs="Arial"/>
                <w:kern w:val="0"/>
                <w:szCs w:val="22"/>
                <w14:ligatures w14:val="none"/>
              </w:rPr>
            </w:pPr>
          </w:p>
        </w:tc>
        <w:tc>
          <w:tcPr>
            <w:tcW w:w="1514" w:type="dxa"/>
            <w:shd w:val="clear" w:color="auto" w:fill="auto"/>
            <w:noWrap/>
            <w:hideMark/>
          </w:tcPr>
          <w:p w14:paraId="444D51D3" w14:textId="77777777" w:rsidR="00201100" w:rsidRPr="00AE1EE7" w:rsidRDefault="00201100" w:rsidP="0006518C">
            <w:pPr>
              <w:spacing w:after="0" w:line="240" w:lineRule="auto"/>
              <w:jc w:val="center"/>
              <w:rPr>
                <w:rFonts w:eastAsia="Times New Roman" w:cs="Arial"/>
                <w:kern w:val="0"/>
                <w:szCs w:val="22"/>
                <w14:ligatures w14:val="none"/>
              </w:rPr>
            </w:pPr>
          </w:p>
        </w:tc>
        <w:tc>
          <w:tcPr>
            <w:tcW w:w="1514" w:type="dxa"/>
            <w:shd w:val="clear" w:color="auto" w:fill="auto"/>
            <w:noWrap/>
            <w:hideMark/>
          </w:tcPr>
          <w:p w14:paraId="6548EFD4" w14:textId="77777777" w:rsidR="00201100" w:rsidRPr="00AE1EE7" w:rsidRDefault="00201100"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0.1296</w:t>
            </w:r>
          </w:p>
          <w:p w14:paraId="3A259299" w14:textId="77777777" w:rsidR="00201100" w:rsidRPr="00AE1EE7" w:rsidRDefault="00201100"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w:t>
            </w:r>
          </w:p>
        </w:tc>
        <w:tc>
          <w:tcPr>
            <w:tcW w:w="1514" w:type="dxa"/>
            <w:shd w:val="clear" w:color="auto" w:fill="auto"/>
            <w:noWrap/>
            <w:hideMark/>
          </w:tcPr>
          <w:p w14:paraId="4E75D7B7" w14:textId="77777777" w:rsidR="00201100" w:rsidRPr="00AE1EE7" w:rsidRDefault="00201100"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0.1349</w:t>
            </w:r>
          </w:p>
          <w:p w14:paraId="19E1630C" w14:textId="77777777" w:rsidR="00201100" w:rsidRPr="00AE1EE7" w:rsidRDefault="00201100"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w:t>
            </w:r>
          </w:p>
        </w:tc>
      </w:tr>
      <w:tr w:rsidR="00201100" w:rsidRPr="00AE1EE7" w14:paraId="55C20A9C" w14:textId="77777777" w:rsidTr="00331E27">
        <w:trPr>
          <w:trHeight w:val="510"/>
        </w:trPr>
        <w:tc>
          <w:tcPr>
            <w:tcW w:w="1780" w:type="dxa"/>
            <w:shd w:val="clear" w:color="auto" w:fill="auto"/>
            <w:noWrap/>
            <w:vAlign w:val="center"/>
            <w:hideMark/>
          </w:tcPr>
          <w:p w14:paraId="2B2503BE" w14:textId="77777777" w:rsidR="00201100" w:rsidRPr="00AE1EE7" w:rsidRDefault="00201100" w:rsidP="0006518C">
            <w:pPr>
              <w:spacing w:after="0" w:line="240" w:lineRule="auto"/>
              <w:rPr>
                <w:rFonts w:eastAsia="Times New Roman" w:cs="Arial"/>
                <w:color w:val="000000"/>
                <w:kern w:val="0"/>
                <w:szCs w:val="22"/>
                <w14:ligatures w14:val="none"/>
              </w:rPr>
            </w:pPr>
            <m:oMath>
              <m:r>
                <w:rPr>
                  <w:rFonts w:ascii="Cambria Math" w:eastAsia="Times New Roman" w:hAnsi="Cambria Math" w:cs="Arial"/>
                  <w:color w:val="000000"/>
                  <w:kern w:val="0"/>
                  <w:szCs w:val="22"/>
                  <w14:ligatures w14:val="none"/>
                </w:rPr>
                <m:t>lntr</m:t>
              </m:r>
            </m:oMath>
            <w:r w:rsidRPr="00AE1EE7">
              <w:rPr>
                <w:rFonts w:eastAsia="Times New Roman" w:cs="Arial"/>
                <w:color w:val="000000"/>
                <w:kern w:val="0"/>
                <w:szCs w:val="22"/>
                <w14:ligatures w14:val="none"/>
              </w:rPr>
              <w:t xml:space="preserve"> </w:t>
            </w:r>
          </w:p>
        </w:tc>
        <w:tc>
          <w:tcPr>
            <w:tcW w:w="1514" w:type="dxa"/>
            <w:shd w:val="clear" w:color="auto" w:fill="auto"/>
            <w:noWrap/>
            <w:hideMark/>
          </w:tcPr>
          <w:p w14:paraId="460D66DE" w14:textId="77777777" w:rsidR="00201100" w:rsidRPr="00AE1EE7" w:rsidRDefault="00201100" w:rsidP="0006518C">
            <w:pPr>
              <w:spacing w:after="0" w:line="240" w:lineRule="auto"/>
              <w:jc w:val="center"/>
              <w:rPr>
                <w:rFonts w:eastAsia="Times New Roman" w:cs="Arial"/>
                <w:color w:val="000000"/>
                <w:kern w:val="0"/>
                <w:szCs w:val="22"/>
                <w14:ligatures w14:val="none"/>
              </w:rPr>
            </w:pPr>
          </w:p>
        </w:tc>
        <w:tc>
          <w:tcPr>
            <w:tcW w:w="1514" w:type="dxa"/>
            <w:shd w:val="clear" w:color="auto" w:fill="auto"/>
            <w:noWrap/>
            <w:hideMark/>
          </w:tcPr>
          <w:p w14:paraId="0B301A22" w14:textId="77777777" w:rsidR="00201100" w:rsidRPr="00AE1EE7" w:rsidRDefault="00201100" w:rsidP="0006518C">
            <w:pPr>
              <w:spacing w:after="0" w:line="240" w:lineRule="auto"/>
              <w:jc w:val="center"/>
              <w:rPr>
                <w:rFonts w:eastAsia="Times New Roman" w:cs="Arial"/>
                <w:kern w:val="0"/>
                <w:szCs w:val="22"/>
                <w14:ligatures w14:val="none"/>
              </w:rPr>
            </w:pPr>
          </w:p>
        </w:tc>
        <w:tc>
          <w:tcPr>
            <w:tcW w:w="1514" w:type="dxa"/>
            <w:shd w:val="clear" w:color="auto" w:fill="auto"/>
            <w:noWrap/>
            <w:hideMark/>
          </w:tcPr>
          <w:p w14:paraId="4F6748C4" w14:textId="77777777" w:rsidR="00201100" w:rsidRPr="00AE1EE7" w:rsidRDefault="00201100" w:rsidP="0006518C">
            <w:pPr>
              <w:spacing w:after="0" w:line="240" w:lineRule="auto"/>
              <w:jc w:val="center"/>
              <w:rPr>
                <w:rFonts w:eastAsia="Times New Roman" w:cs="Arial"/>
                <w:kern w:val="0"/>
                <w:szCs w:val="22"/>
                <w14:ligatures w14:val="none"/>
              </w:rPr>
            </w:pPr>
          </w:p>
        </w:tc>
        <w:tc>
          <w:tcPr>
            <w:tcW w:w="1514" w:type="dxa"/>
            <w:shd w:val="clear" w:color="auto" w:fill="auto"/>
            <w:noWrap/>
            <w:hideMark/>
          </w:tcPr>
          <w:p w14:paraId="485F6CCE" w14:textId="77777777" w:rsidR="00201100" w:rsidRPr="00AE1EE7" w:rsidRDefault="00201100"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0.0280</w:t>
            </w:r>
          </w:p>
          <w:p w14:paraId="0FDE005E" w14:textId="77777777" w:rsidR="00201100" w:rsidRPr="00AE1EE7" w:rsidRDefault="00201100"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w:t>
            </w:r>
          </w:p>
        </w:tc>
        <w:tc>
          <w:tcPr>
            <w:tcW w:w="1514" w:type="dxa"/>
            <w:shd w:val="clear" w:color="auto" w:fill="auto"/>
            <w:noWrap/>
            <w:hideMark/>
          </w:tcPr>
          <w:p w14:paraId="52C0CE58" w14:textId="77777777" w:rsidR="00201100" w:rsidRPr="00AE1EE7" w:rsidRDefault="00201100"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0.0249</w:t>
            </w:r>
          </w:p>
          <w:p w14:paraId="49B8E8A6" w14:textId="77777777" w:rsidR="00201100" w:rsidRPr="00AE1EE7" w:rsidRDefault="00201100"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w:t>
            </w:r>
          </w:p>
        </w:tc>
      </w:tr>
      <w:tr w:rsidR="00201100" w:rsidRPr="00AE1EE7" w14:paraId="62F1F99F" w14:textId="77777777" w:rsidTr="00331E27">
        <w:trPr>
          <w:trHeight w:val="510"/>
        </w:trPr>
        <w:tc>
          <w:tcPr>
            <w:tcW w:w="1780" w:type="dxa"/>
            <w:shd w:val="clear" w:color="auto" w:fill="auto"/>
            <w:noWrap/>
            <w:vAlign w:val="center"/>
            <w:hideMark/>
          </w:tcPr>
          <w:p w14:paraId="101DE881" w14:textId="77777777" w:rsidR="00201100" w:rsidRPr="00AE1EE7" w:rsidRDefault="00201100" w:rsidP="0006518C">
            <w:pPr>
              <w:spacing w:after="0" w:line="240" w:lineRule="auto"/>
              <w:rPr>
                <w:rFonts w:eastAsia="Times New Roman" w:cs="Arial"/>
                <w:color w:val="000000"/>
                <w:kern w:val="0"/>
                <w:szCs w:val="22"/>
                <w14:ligatures w14:val="none"/>
              </w:rPr>
            </w:pPr>
            <m:oMath>
              <m:r>
                <w:rPr>
                  <w:rFonts w:ascii="Cambria Math" w:eastAsia="Times New Roman" w:hAnsi="Cambria Math" w:cs="Arial"/>
                  <w:color w:val="000000"/>
                  <w:kern w:val="0"/>
                  <w:szCs w:val="22"/>
                  <w14:ligatures w14:val="none"/>
                </w:rPr>
                <m:t>covid19</m:t>
              </m:r>
            </m:oMath>
            <w:r w:rsidRPr="00AE1EE7">
              <w:rPr>
                <w:rFonts w:eastAsia="Times New Roman" w:cs="Arial"/>
                <w:color w:val="000000"/>
                <w:kern w:val="0"/>
                <w:szCs w:val="22"/>
                <w14:ligatures w14:val="none"/>
              </w:rPr>
              <w:t xml:space="preserve"> </w:t>
            </w:r>
          </w:p>
        </w:tc>
        <w:tc>
          <w:tcPr>
            <w:tcW w:w="1514" w:type="dxa"/>
            <w:shd w:val="clear" w:color="auto" w:fill="auto"/>
            <w:noWrap/>
            <w:hideMark/>
          </w:tcPr>
          <w:p w14:paraId="666D4A91" w14:textId="77777777" w:rsidR="00201100" w:rsidRPr="00AE1EE7" w:rsidRDefault="00201100" w:rsidP="0006518C">
            <w:pPr>
              <w:spacing w:after="0" w:line="240" w:lineRule="auto"/>
              <w:jc w:val="center"/>
              <w:rPr>
                <w:rFonts w:eastAsia="Times New Roman" w:cs="Arial"/>
                <w:color w:val="000000"/>
                <w:kern w:val="0"/>
                <w:szCs w:val="22"/>
                <w14:ligatures w14:val="none"/>
              </w:rPr>
            </w:pPr>
          </w:p>
        </w:tc>
        <w:tc>
          <w:tcPr>
            <w:tcW w:w="1514" w:type="dxa"/>
            <w:shd w:val="clear" w:color="auto" w:fill="auto"/>
            <w:noWrap/>
            <w:hideMark/>
          </w:tcPr>
          <w:p w14:paraId="09D2953D" w14:textId="77777777" w:rsidR="00201100" w:rsidRPr="00AE1EE7" w:rsidRDefault="00201100" w:rsidP="0006518C">
            <w:pPr>
              <w:spacing w:after="0" w:line="240" w:lineRule="auto"/>
              <w:jc w:val="center"/>
              <w:rPr>
                <w:rFonts w:eastAsia="Times New Roman" w:cs="Arial"/>
                <w:kern w:val="0"/>
                <w:szCs w:val="22"/>
                <w14:ligatures w14:val="none"/>
              </w:rPr>
            </w:pPr>
          </w:p>
        </w:tc>
        <w:tc>
          <w:tcPr>
            <w:tcW w:w="1514" w:type="dxa"/>
            <w:shd w:val="clear" w:color="auto" w:fill="auto"/>
            <w:noWrap/>
            <w:hideMark/>
          </w:tcPr>
          <w:p w14:paraId="6EB40299" w14:textId="77777777" w:rsidR="00201100" w:rsidRPr="00AE1EE7" w:rsidRDefault="00201100" w:rsidP="0006518C">
            <w:pPr>
              <w:spacing w:after="0" w:line="240" w:lineRule="auto"/>
              <w:jc w:val="center"/>
              <w:rPr>
                <w:rFonts w:eastAsia="Times New Roman" w:cs="Arial"/>
                <w:kern w:val="0"/>
                <w:szCs w:val="22"/>
                <w14:ligatures w14:val="none"/>
              </w:rPr>
            </w:pPr>
          </w:p>
        </w:tc>
        <w:tc>
          <w:tcPr>
            <w:tcW w:w="1514" w:type="dxa"/>
            <w:shd w:val="clear" w:color="auto" w:fill="auto"/>
            <w:noWrap/>
            <w:hideMark/>
          </w:tcPr>
          <w:p w14:paraId="0AD4A5B1" w14:textId="77777777" w:rsidR="00201100" w:rsidRPr="00AE1EE7" w:rsidRDefault="00201100" w:rsidP="0006518C">
            <w:pPr>
              <w:spacing w:after="0" w:line="240" w:lineRule="auto"/>
              <w:jc w:val="center"/>
              <w:rPr>
                <w:rFonts w:eastAsia="Times New Roman" w:cs="Arial"/>
                <w:kern w:val="0"/>
                <w:szCs w:val="22"/>
                <w14:ligatures w14:val="none"/>
              </w:rPr>
            </w:pPr>
          </w:p>
        </w:tc>
        <w:tc>
          <w:tcPr>
            <w:tcW w:w="1514" w:type="dxa"/>
            <w:shd w:val="clear" w:color="auto" w:fill="auto"/>
            <w:noWrap/>
            <w:hideMark/>
          </w:tcPr>
          <w:p w14:paraId="1AE51F64" w14:textId="77777777" w:rsidR="00201100" w:rsidRPr="00AE1EE7" w:rsidRDefault="00201100"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0.0290</w:t>
            </w:r>
          </w:p>
        </w:tc>
      </w:tr>
      <w:tr w:rsidR="00553364" w:rsidRPr="00AE1EE7" w14:paraId="51B5F7A8" w14:textId="77777777" w:rsidTr="00331E27">
        <w:trPr>
          <w:trHeight w:val="255"/>
        </w:trPr>
        <w:tc>
          <w:tcPr>
            <w:tcW w:w="1780" w:type="dxa"/>
            <w:shd w:val="clear" w:color="auto" w:fill="auto"/>
            <w:noWrap/>
            <w:vAlign w:val="center"/>
            <w:hideMark/>
          </w:tcPr>
          <w:p w14:paraId="78022EBC" w14:textId="46B1890F" w:rsidR="00553364" w:rsidRPr="00AE1EE7" w:rsidRDefault="00553364" w:rsidP="0006518C">
            <w:pPr>
              <w:spacing w:after="0" w:line="240" w:lineRule="auto"/>
              <w:rPr>
                <w:rFonts w:eastAsia="Times New Roman" w:cs="Arial"/>
                <w:color w:val="000000"/>
                <w:kern w:val="0"/>
                <w:szCs w:val="22"/>
                <w14:ligatures w14:val="none"/>
              </w:rPr>
            </w:pPr>
            <w:r>
              <w:rPr>
                <w:rFonts w:eastAsia="Times New Roman" w:cs="Arial"/>
                <w:color w:val="000000"/>
                <w:kern w:val="0"/>
                <w:szCs w:val="22"/>
                <w:lang w:val="en-US"/>
                <w14:ligatures w14:val="none"/>
              </w:rPr>
              <w:t>Constant</w:t>
            </w:r>
          </w:p>
        </w:tc>
        <w:tc>
          <w:tcPr>
            <w:tcW w:w="1514" w:type="dxa"/>
            <w:shd w:val="clear" w:color="auto" w:fill="auto"/>
            <w:noWrap/>
            <w:hideMark/>
          </w:tcPr>
          <w:p w14:paraId="06C7EAAC" w14:textId="77777777" w:rsidR="00553364" w:rsidRPr="00AE1EE7" w:rsidRDefault="00553364"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0.1226</w:t>
            </w:r>
          </w:p>
          <w:p w14:paraId="3E826C13" w14:textId="77777777" w:rsidR="00553364" w:rsidRPr="00AE1EE7" w:rsidRDefault="00553364"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w:t>
            </w:r>
          </w:p>
        </w:tc>
        <w:tc>
          <w:tcPr>
            <w:tcW w:w="1514" w:type="dxa"/>
            <w:shd w:val="clear" w:color="auto" w:fill="auto"/>
            <w:noWrap/>
            <w:hideMark/>
          </w:tcPr>
          <w:p w14:paraId="2C78F975" w14:textId="77777777" w:rsidR="00553364" w:rsidRPr="00AE1EE7" w:rsidRDefault="00553364"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0.0845</w:t>
            </w:r>
          </w:p>
        </w:tc>
        <w:tc>
          <w:tcPr>
            <w:tcW w:w="1514" w:type="dxa"/>
            <w:shd w:val="clear" w:color="auto" w:fill="auto"/>
            <w:noWrap/>
            <w:hideMark/>
          </w:tcPr>
          <w:p w14:paraId="3806CE34" w14:textId="77777777" w:rsidR="00553364" w:rsidRPr="00AE1EE7" w:rsidRDefault="00553364"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-0.0085</w:t>
            </w:r>
          </w:p>
        </w:tc>
        <w:tc>
          <w:tcPr>
            <w:tcW w:w="1514" w:type="dxa"/>
            <w:shd w:val="clear" w:color="auto" w:fill="auto"/>
            <w:noWrap/>
            <w:hideMark/>
          </w:tcPr>
          <w:p w14:paraId="78216C6A" w14:textId="77777777" w:rsidR="00553364" w:rsidRPr="00AE1EE7" w:rsidRDefault="00553364"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0.6960</w:t>
            </w:r>
          </w:p>
        </w:tc>
        <w:tc>
          <w:tcPr>
            <w:tcW w:w="1514" w:type="dxa"/>
            <w:shd w:val="clear" w:color="auto" w:fill="auto"/>
            <w:noWrap/>
            <w:hideMark/>
          </w:tcPr>
          <w:p w14:paraId="3549224F" w14:textId="77777777" w:rsidR="00553364" w:rsidRPr="00AE1EE7" w:rsidRDefault="00553364"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0.7774</w:t>
            </w:r>
          </w:p>
        </w:tc>
      </w:tr>
      <w:tr w:rsidR="00553364" w:rsidRPr="00AE1EE7" w14:paraId="36B1681B" w14:textId="77777777" w:rsidTr="00331E27">
        <w:trPr>
          <w:trHeight w:val="255"/>
        </w:trPr>
        <w:tc>
          <w:tcPr>
            <w:tcW w:w="1780" w:type="dxa"/>
            <w:shd w:val="clear" w:color="auto" w:fill="auto"/>
            <w:noWrap/>
            <w:vAlign w:val="center"/>
            <w:hideMark/>
          </w:tcPr>
          <w:p w14:paraId="4CEAC265" w14:textId="77BC8F96" w:rsidR="00553364" w:rsidRPr="00AE1EE7" w:rsidRDefault="00553364" w:rsidP="0006518C">
            <w:pPr>
              <w:spacing w:after="0" w:line="240" w:lineRule="auto"/>
              <w:rPr>
                <w:rFonts w:eastAsia="Times New Roman" w:cs="Arial"/>
                <w:color w:val="000000"/>
                <w:kern w:val="0"/>
                <w:szCs w:val="22"/>
                <w14:ligatures w14:val="none"/>
              </w:rPr>
            </w:pPr>
            <w:r>
              <w:rPr>
                <w:rFonts w:eastAsia="Times New Roman" w:cs="Arial"/>
                <w:color w:val="000000"/>
                <w:kern w:val="0"/>
                <w:szCs w:val="22"/>
                <w:lang w:val="en-US"/>
                <w14:ligatures w14:val="none"/>
              </w:rPr>
              <w:t>Observation</w:t>
            </w:r>
          </w:p>
        </w:tc>
        <w:tc>
          <w:tcPr>
            <w:tcW w:w="1514" w:type="dxa"/>
            <w:shd w:val="clear" w:color="auto" w:fill="auto"/>
            <w:noWrap/>
            <w:vAlign w:val="center"/>
            <w:hideMark/>
          </w:tcPr>
          <w:p w14:paraId="653078C7" w14:textId="77777777" w:rsidR="00553364" w:rsidRPr="00AE1EE7" w:rsidRDefault="00553364"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180</w:t>
            </w:r>
          </w:p>
        </w:tc>
        <w:tc>
          <w:tcPr>
            <w:tcW w:w="1514" w:type="dxa"/>
            <w:shd w:val="clear" w:color="auto" w:fill="auto"/>
            <w:noWrap/>
            <w:vAlign w:val="center"/>
            <w:hideMark/>
          </w:tcPr>
          <w:p w14:paraId="0F964D34" w14:textId="77777777" w:rsidR="00553364" w:rsidRPr="00AE1EE7" w:rsidRDefault="00553364"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180</w:t>
            </w:r>
          </w:p>
        </w:tc>
        <w:tc>
          <w:tcPr>
            <w:tcW w:w="1514" w:type="dxa"/>
            <w:shd w:val="clear" w:color="auto" w:fill="auto"/>
            <w:noWrap/>
            <w:vAlign w:val="center"/>
            <w:hideMark/>
          </w:tcPr>
          <w:p w14:paraId="141C6E61" w14:textId="77777777" w:rsidR="00553364" w:rsidRPr="00AE1EE7" w:rsidRDefault="00553364"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180</w:t>
            </w:r>
          </w:p>
        </w:tc>
        <w:tc>
          <w:tcPr>
            <w:tcW w:w="1514" w:type="dxa"/>
            <w:shd w:val="clear" w:color="auto" w:fill="auto"/>
            <w:noWrap/>
            <w:vAlign w:val="center"/>
            <w:hideMark/>
          </w:tcPr>
          <w:p w14:paraId="21C33257" w14:textId="77777777" w:rsidR="00553364" w:rsidRPr="00AE1EE7" w:rsidRDefault="00553364"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164</w:t>
            </w:r>
          </w:p>
        </w:tc>
        <w:tc>
          <w:tcPr>
            <w:tcW w:w="1514" w:type="dxa"/>
            <w:shd w:val="clear" w:color="auto" w:fill="auto"/>
            <w:noWrap/>
            <w:vAlign w:val="center"/>
            <w:hideMark/>
          </w:tcPr>
          <w:p w14:paraId="586F08CC" w14:textId="77777777" w:rsidR="00553364" w:rsidRPr="00AE1EE7" w:rsidRDefault="00553364"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164</w:t>
            </w:r>
          </w:p>
        </w:tc>
      </w:tr>
      <w:tr w:rsidR="00553364" w:rsidRPr="00AE1EE7" w14:paraId="44EF7BBF" w14:textId="77777777" w:rsidTr="00331E27">
        <w:trPr>
          <w:trHeight w:val="255"/>
        </w:trPr>
        <w:tc>
          <w:tcPr>
            <w:tcW w:w="1780" w:type="dxa"/>
            <w:shd w:val="clear" w:color="auto" w:fill="auto"/>
            <w:noWrap/>
            <w:vAlign w:val="center"/>
            <w:hideMark/>
          </w:tcPr>
          <w:p w14:paraId="4EF3A029" w14:textId="23E5E180" w:rsidR="00553364" w:rsidRPr="00AE1EE7" w:rsidRDefault="00553364" w:rsidP="0006518C">
            <w:pPr>
              <w:spacing w:after="0" w:line="240" w:lineRule="auto"/>
              <w:rPr>
                <w:rFonts w:eastAsia="Times New Roman" w:cs="Arial"/>
                <w:color w:val="000000"/>
                <w:kern w:val="0"/>
                <w:szCs w:val="22"/>
                <w14:ligatures w14:val="none"/>
              </w:rPr>
            </w:pPr>
            <w:r>
              <w:rPr>
                <w:rFonts w:eastAsia="Times New Roman" w:cs="Arial"/>
                <w:color w:val="000000"/>
                <w:kern w:val="0"/>
                <w:szCs w:val="22"/>
                <w:lang w:val="en-US"/>
                <w14:ligatures w14:val="none"/>
              </w:rPr>
              <w:t>Number of companies</w:t>
            </w:r>
          </w:p>
        </w:tc>
        <w:tc>
          <w:tcPr>
            <w:tcW w:w="1514" w:type="dxa"/>
            <w:shd w:val="clear" w:color="auto" w:fill="auto"/>
            <w:noWrap/>
            <w:vAlign w:val="center"/>
            <w:hideMark/>
          </w:tcPr>
          <w:p w14:paraId="73542241" w14:textId="77777777" w:rsidR="00553364" w:rsidRPr="00AE1EE7" w:rsidRDefault="00553364"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16</w:t>
            </w:r>
          </w:p>
        </w:tc>
        <w:tc>
          <w:tcPr>
            <w:tcW w:w="1514" w:type="dxa"/>
            <w:shd w:val="clear" w:color="auto" w:fill="auto"/>
            <w:noWrap/>
            <w:vAlign w:val="center"/>
            <w:hideMark/>
          </w:tcPr>
          <w:p w14:paraId="7DB2FDE3" w14:textId="77777777" w:rsidR="00553364" w:rsidRPr="00AE1EE7" w:rsidRDefault="00553364"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16</w:t>
            </w:r>
          </w:p>
        </w:tc>
        <w:tc>
          <w:tcPr>
            <w:tcW w:w="1514" w:type="dxa"/>
            <w:shd w:val="clear" w:color="auto" w:fill="auto"/>
            <w:noWrap/>
            <w:vAlign w:val="center"/>
            <w:hideMark/>
          </w:tcPr>
          <w:p w14:paraId="56C2EB6B" w14:textId="77777777" w:rsidR="00553364" w:rsidRPr="00AE1EE7" w:rsidRDefault="00553364"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16</w:t>
            </w:r>
          </w:p>
        </w:tc>
        <w:tc>
          <w:tcPr>
            <w:tcW w:w="1514" w:type="dxa"/>
            <w:shd w:val="clear" w:color="auto" w:fill="auto"/>
            <w:noWrap/>
            <w:vAlign w:val="center"/>
            <w:hideMark/>
          </w:tcPr>
          <w:p w14:paraId="0ECE4EC0" w14:textId="77777777" w:rsidR="00553364" w:rsidRPr="00AE1EE7" w:rsidRDefault="00553364"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16</w:t>
            </w:r>
          </w:p>
        </w:tc>
        <w:tc>
          <w:tcPr>
            <w:tcW w:w="1514" w:type="dxa"/>
            <w:shd w:val="clear" w:color="auto" w:fill="auto"/>
            <w:noWrap/>
            <w:vAlign w:val="center"/>
            <w:hideMark/>
          </w:tcPr>
          <w:p w14:paraId="1BAFDE4A" w14:textId="77777777" w:rsidR="00553364" w:rsidRPr="00AE1EE7" w:rsidRDefault="00553364"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16</w:t>
            </w:r>
          </w:p>
        </w:tc>
      </w:tr>
      <w:tr w:rsidR="00553364" w:rsidRPr="00AE1EE7" w14:paraId="608F7543" w14:textId="77777777" w:rsidTr="00331E27">
        <w:trPr>
          <w:trHeight w:val="255"/>
        </w:trPr>
        <w:tc>
          <w:tcPr>
            <w:tcW w:w="1780" w:type="dxa"/>
            <w:shd w:val="clear" w:color="auto" w:fill="auto"/>
            <w:noWrap/>
            <w:vAlign w:val="center"/>
            <w:hideMark/>
          </w:tcPr>
          <w:p w14:paraId="326B3770" w14:textId="79EF6A26" w:rsidR="00553364" w:rsidRPr="00AE1EE7" w:rsidRDefault="00553364" w:rsidP="0006518C">
            <w:pPr>
              <w:spacing w:after="0" w:line="240" w:lineRule="auto"/>
              <w:rPr>
                <w:rFonts w:eastAsia="Times New Roman" w:cs="Arial"/>
                <w:color w:val="000000"/>
                <w:kern w:val="0"/>
                <w:szCs w:val="22"/>
                <w14:ligatures w14:val="none"/>
              </w:rPr>
            </w:pPr>
            <w:r>
              <w:rPr>
                <w:rFonts w:eastAsia="Times New Roman" w:cs="Arial"/>
                <w:color w:val="000000"/>
                <w:kern w:val="0"/>
                <w:szCs w:val="22"/>
                <w:lang w:val="en-US"/>
                <w14:ligatures w14:val="none"/>
              </w:rPr>
              <w:t>Adj</w:t>
            </w:r>
            <w:r w:rsidRPr="00AE1EE7">
              <w:rPr>
                <w:rFonts w:eastAsia="Times New Roman" w:cs="Arial"/>
                <w:color w:val="000000"/>
                <w:kern w:val="0"/>
                <w:szCs w:val="22"/>
                <w14:ligatures w14:val="none"/>
              </w:rPr>
              <w:t>.R</w:t>
            </w:r>
            <w:r w:rsidRPr="00AE1EE7">
              <w:rPr>
                <w:rFonts w:eastAsia="Times New Roman" w:cs="Arial"/>
                <w:color w:val="000000"/>
                <w:kern w:val="0"/>
                <w:szCs w:val="22"/>
                <w:vertAlign w:val="superscript"/>
                <w14:ligatures w14:val="none"/>
              </w:rPr>
              <w:t>2</w:t>
            </w:r>
          </w:p>
        </w:tc>
        <w:tc>
          <w:tcPr>
            <w:tcW w:w="1514" w:type="dxa"/>
            <w:shd w:val="clear" w:color="auto" w:fill="auto"/>
            <w:noWrap/>
            <w:vAlign w:val="center"/>
            <w:hideMark/>
          </w:tcPr>
          <w:p w14:paraId="563A907D" w14:textId="77777777" w:rsidR="00553364" w:rsidRPr="00AE1EE7" w:rsidRDefault="00553364"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0.4210</w:t>
            </w:r>
          </w:p>
        </w:tc>
        <w:tc>
          <w:tcPr>
            <w:tcW w:w="1514" w:type="dxa"/>
            <w:shd w:val="clear" w:color="auto" w:fill="auto"/>
            <w:noWrap/>
            <w:vAlign w:val="center"/>
            <w:hideMark/>
          </w:tcPr>
          <w:p w14:paraId="1FC5EC38" w14:textId="77777777" w:rsidR="00553364" w:rsidRPr="00AE1EE7" w:rsidRDefault="00553364"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0.5049</w:t>
            </w:r>
          </w:p>
        </w:tc>
        <w:tc>
          <w:tcPr>
            <w:tcW w:w="1514" w:type="dxa"/>
            <w:shd w:val="clear" w:color="auto" w:fill="auto"/>
            <w:noWrap/>
            <w:vAlign w:val="center"/>
            <w:hideMark/>
          </w:tcPr>
          <w:p w14:paraId="0703EDE6" w14:textId="77777777" w:rsidR="00553364" w:rsidRPr="00AE1EE7" w:rsidRDefault="00553364"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0.5188</w:t>
            </w:r>
          </w:p>
        </w:tc>
        <w:tc>
          <w:tcPr>
            <w:tcW w:w="1514" w:type="dxa"/>
            <w:shd w:val="clear" w:color="auto" w:fill="auto"/>
            <w:noWrap/>
            <w:vAlign w:val="center"/>
            <w:hideMark/>
          </w:tcPr>
          <w:p w14:paraId="3CCA43F5" w14:textId="77777777" w:rsidR="00553364" w:rsidRPr="00AE1EE7" w:rsidRDefault="00553364"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0.6193</w:t>
            </w:r>
          </w:p>
        </w:tc>
        <w:tc>
          <w:tcPr>
            <w:tcW w:w="1514" w:type="dxa"/>
            <w:shd w:val="clear" w:color="auto" w:fill="auto"/>
            <w:noWrap/>
            <w:vAlign w:val="center"/>
            <w:hideMark/>
          </w:tcPr>
          <w:p w14:paraId="369DD8B5" w14:textId="77777777" w:rsidR="00553364" w:rsidRPr="00AE1EE7" w:rsidRDefault="00553364"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0.6212</w:t>
            </w:r>
          </w:p>
        </w:tc>
      </w:tr>
      <w:tr w:rsidR="00553364" w:rsidRPr="00AE1EE7" w14:paraId="52FDA662" w14:textId="77777777" w:rsidTr="00331E27">
        <w:trPr>
          <w:trHeight w:val="255"/>
        </w:trPr>
        <w:tc>
          <w:tcPr>
            <w:tcW w:w="1780" w:type="dxa"/>
            <w:shd w:val="clear" w:color="auto" w:fill="auto"/>
            <w:noWrap/>
            <w:vAlign w:val="center"/>
            <w:hideMark/>
          </w:tcPr>
          <w:p w14:paraId="4A5DAF9C" w14:textId="77777777" w:rsidR="00553364" w:rsidRDefault="00553364" w:rsidP="0006518C">
            <w:pPr>
              <w:spacing w:after="0" w:line="240" w:lineRule="auto"/>
              <w:rPr>
                <w:rFonts w:eastAsia="Times New Roman" w:cs="Arial"/>
                <w:color w:val="000000"/>
                <w:kern w:val="0"/>
                <w:szCs w:val="22"/>
                <w14:ligatures w14:val="none"/>
              </w:rPr>
            </w:pPr>
            <w:r w:rsidRPr="00AE1EE7">
              <w:rPr>
                <w:rFonts w:eastAsia="Times New Roman" w:cs="Arial"/>
                <w:color w:val="000000"/>
                <w:kern w:val="0"/>
                <w:szCs w:val="22"/>
                <w14:ligatures w14:val="none"/>
              </w:rPr>
              <w:t xml:space="preserve">F </w:t>
            </w:r>
            <w:r>
              <w:rPr>
                <w:rFonts w:eastAsia="Times New Roman" w:cs="Arial"/>
                <w:color w:val="000000"/>
                <w:kern w:val="0"/>
                <w:szCs w:val="22"/>
                <w:lang w:val="en-US"/>
                <w14:ligatures w14:val="none"/>
              </w:rPr>
              <w:t>statistics</w:t>
            </w:r>
          </w:p>
          <w:p w14:paraId="613439DC" w14:textId="0726D54F" w:rsidR="00553364" w:rsidRPr="00AE1EE7" w:rsidRDefault="00553364" w:rsidP="0006518C">
            <w:pPr>
              <w:spacing w:after="0" w:line="240" w:lineRule="auto"/>
              <w:rPr>
                <w:rFonts w:eastAsia="Times New Roman" w:cs="Arial"/>
                <w:color w:val="000000"/>
                <w:kern w:val="0"/>
                <w:szCs w:val="22"/>
                <w14:ligatures w14:val="none"/>
              </w:rPr>
            </w:pPr>
            <w:r w:rsidRPr="00AE1EE7">
              <w:rPr>
                <w:rFonts w:eastAsia="Times New Roman" w:cs="Arial"/>
                <w:color w:val="000000"/>
                <w:kern w:val="0"/>
                <w:szCs w:val="22"/>
                <w14:ligatures w14:val="none"/>
              </w:rPr>
              <w:t>(p-value)</w:t>
            </w:r>
          </w:p>
        </w:tc>
        <w:tc>
          <w:tcPr>
            <w:tcW w:w="1514" w:type="dxa"/>
            <w:shd w:val="clear" w:color="auto" w:fill="auto"/>
            <w:noWrap/>
            <w:vAlign w:val="center"/>
            <w:hideMark/>
          </w:tcPr>
          <w:p w14:paraId="2B9C8DA8" w14:textId="77777777" w:rsidR="00553364" w:rsidRPr="00AE1EE7" w:rsidRDefault="00553364"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8.6549</w:t>
            </w:r>
          </w:p>
          <w:p w14:paraId="2FF32C9D" w14:textId="77777777" w:rsidR="00553364" w:rsidRPr="00AE1EE7" w:rsidRDefault="00553364"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(0.0000)</w:t>
            </w:r>
          </w:p>
        </w:tc>
        <w:tc>
          <w:tcPr>
            <w:tcW w:w="1514" w:type="dxa"/>
            <w:shd w:val="clear" w:color="auto" w:fill="auto"/>
            <w:noWrap/>
            <w:vAlign w:val="center"/>
            <w:hideMark/>
          </w:tcPr>
          <w:p w14:paraId="1F0360EC" w14:textId="77777777" w:rsidR="00553364" w:rsidRPr="00AE1EE7" w:rsidRDefault="00553364"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10.6061</w:t>
            </w:r>
          </w:p>
          <w:p w14:paraId="5FAA0810" w14:textId="77777777" w:rsidR="00553364" w:rsidRPr="00AE1EE7" w:rsidRDefault="00553364"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(0.0000)</w:t>
            </w:r>
          </w:p>
        </w:tc>
        <w:tc>
          <w:tcPr>
            <w:tcW w:w="1514" w:type="dxa"/>
            <w:shd w:val="clear" w:color="auto" w:fill="auto"/>
            <w:noWrap/>
            <w:vAlign w:val="center"/>
            <w:hideMark/>
          </w:tcPr>
          <w:p w14:paraId="19042ED9" w14:textId="77777777" w:rsidR="00553364" w:rsidRPr="00AE1EE7" w:rsidRDefault="00553364"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10.1904</w:t>
            </w:r>
          </w:p>
          <w:p w14:paraId="5085F6ED" w14:textId="77777777" w:rsidR="00553364" w:rsidRPr="00AE1EE7" w:rsidRDefault="00553364"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(0.0000)</w:t>
            </w:r>
          </w:p>
        </w:tc>
        <w:tc>
          <w:tcPr>
            <w:tcW w:w="1514" w:type="dxa"/>
            <w:shd w:val="clear" w:color="auto" w:fill="auto"/>
            <w:noWrap/>
            <w:vAlign w:val="center"/>
            <w:hideMark/>
          </w:tcPr>
          <w:p w14:paraId="3E5EAF80" w14:textId="77777777" w:rsidR="00553364" w:rsidRPr="00AE1EE7" w:rsidRDefault="00553364"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12.5279</w:t>
            </w:r>
          </w:p>
          <w:p w14:paraId="517F8D54" w14:textId="77777777" w:rsidR="00553364" w:rsidRPr="00AE1EE7" w:rsidRDefault="00553364"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(0.0000)</w:t>
            </w:r>
          </w:p>
        </w:tc>
        <w:tc>
          <w:tcPr>
            <w:tcW w:w="1514" w:type="dxa"/>
            <w:shd w:val="clear" w:color="auto" w:fill="auto"/>
            <w:noWrap/>
            <w:vAlign w:val="center"/>
            <w:hideMark/>
          </w:tcPr>
          <w:p w14:paraId="255DA277" w14:textId="77777777" w:rsidR="00553364" w:rsidRPr="00AE1EE7" w:rsidRDefault="00553364"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12.1400</w:t>
            </w:r>
          </w:p>
          <w:p w14:paraId="142E65A2" w14:textId="77777777" w:rsidR="00553364" w:rsidRPr="00AE1EE7" w:rsidRDefault="00553364" w:rsidP="0006518C">
            <w:pPr>
              <w:spacing w:after="0" w:line="240" w:lineRule="auto"/>
              <w:jc w:val="center"/>
              <w:rPr>
                <w:rFonts w:eastAsia="Times New Roman" w:cs="Arial"/>
                <w:color w:val="000000"/>
                <w:kern w:val="0"/>
                <w:szCs w:val="22"/>
                <w14:ligatures w14:val="none"/>
              </w:rPr>
            </w:pPr>
            <w:r w:rsidRPr="00AE1EE7">
              <w:rPr>
                <w:rFonts w:eastAsia="Times New Roman" w:cs="Arial"/>
                <w:color w:val="000000"/>
                <w:kern w:val="0"/>
                <w:szCs w:val="22"/>
                <w14:ligatures w14:val="none"/>
              </w:rPr>
              <w:t>(0.0000)</w:t>
            </w:r>
          </w:p>
        </w:tc>
      </w:tr>
    </w:tbl>
    <w:p w14:paraId="6048FFB2" w14:textId="42FC48E2" w:rsidR="0001100C" w:rsidRPr="00AE1EE7" w:rsidRDefault="00EB76EB" w:rsidP="0006518C">
      <w:pPr>
        <w:spacing w:after="120" w:line="240" w:lineRule="auto"/>
        <w:jc w:val="right"/>
        <w:rPr>
          <w:rFonts w:cs="Arial"/>
          <w:i/>
          <w:iCs/>
          <w:szCs w:val="22"/>
        </w:rPr>
      </w:pPr>
      <w:r w:rsidRPr="0025167E">
        <w:rPr>
          <w:rFonts w:cs="Arial"/>
          <w:i/>
          <w:iCs/>
          <w:szCs w:val="22"/>
        </w:rPr>
        <w:t>Note: ***, **, and * indicate statistical significance at the 1%, 5%, and 10% levels, respectively.</w:t>
      </w:r>
    </w:p>
    <w:p w14:paraId="15027732" w14:textId="77777777" w:rsidR="001312C5" w:rsidRPr="001312C5" w:rsidRDefault="00F12BD4" w:rsidP="0006518C">
      <w:pPr>
        <w:spacing w:line="240" w:lineRule="auto"/>
        <w:jc w:val="both"/>
        <w:rPr>
          <w:rFonts w:cs="Arial"/>
          <w:szCs w:val="22"/>
        </w:rPr>
      </w:pPr>
      <w:r w:rsidRPr="00F12BD4">
        <w:rPr>
          <w:rFonts w:cs="Arial"/>
          <w:szCs w:val="22"/>
        </w:rPr>
        <w:t>Adjusted R² values lie between 0.42 and 0.62, and all F</w:t>
      </w:r>
      <w:r w:rsidRPr="00F12BD4">
        <w:rPr>
          <w:rFonts w:ascii="Cambria Math" w:hAnsi="Cambria Math" w:cs="Cambria Math"/>
          <w:szCs w:val="22"/>
        </w:rPr>
        <w:t>‑</w:t>
      </w:r>
      <w:r w:rsidRPr="00F12BD4">
        <w:rPr>
          <w:rFonts w:cs="Arial"/>
          <w:szCs w:val="22"/>
        </w:rPr>
        <w:t>statistics are significant at 1 %, indicating satisfactory explanatory performance.</w:t>
      </w:r>
      <w:r w:rsidR="001312C5">
        <w:rPr>
          <w:rFonts w:cs="Arial"/>
          <w:szCs w:val="22"/>
        </w:rPr>
        <w:t xml:space="preserve"> </w:t>
      </w:r>
      <w:r w:rsidR="001312C5" w:rsidRPr="001312C5">
        <w:rPr>
          <w:rFonts w:cs="Arial"/>
          <w:szCs w:val="22"/>
        </w:rPr>
        <w:t>This result indicates that while the effect of Amoeba adoption on equity returns is more sensitive to model specification, the direction of influence remains positive across all models.</w:t>
      </w:r>
    </w:p>
    <w:p w14:paraId="6FC8954C" w14:textId="77777777" w:rsidR="005E0D14" w:rsidRPr="00B128BC" w:rsidRDefault="005E0D14" w:rsidP="0006518C">
      <w:pPr>
        <w:spacing w:before="120" w:after="120" w:line="240" w:lineRule="auto"/>
        <w:jc w:val="both"/>
        <w:rPr>
          <w:rFonts w:cs="Arial"/>
          <w:szCs w:val="22"/>
        </w:rPr>
      </w:pPr>
      <w:r w:rsidRPr="00B128BC">
        <w:rPr>
          <w:rFonts w:cs="Arial"/>
          <w:szCs w:val="22"/>
        </w:rPr>
        <w:t>Overall, the results consistently demonstrate that firms adopting the Amoeba management model achieve higher ROA and ROE compared to non</w:t>
      </w:r>
      <w:r w:rsidRPr="00B128BC">
        <w:rPr>
          <w:rFonts w:ascii="Cambria Math" w:hAnsi="Cambria Math" w:cs="Cambria Math"/>
          <w:szCs w:val="22"/>
        </w:rPr>
        <w:t>‑</w:t>
      </w:r>
      <w:r w:rsidRPr="00B128BC">
        <w:rPr>
          <w:rFonts w:cs="Arial"/>
          <w:szCs w:val="22"/>
        </w:rPr>
        <w:t>adopters. The effect on ROA is particularly robust, both in magnitude and statistical significance, while the effect on ROE, though slightly more variable, remains positive. Control variables confirm that healthier cash flows, stronger sales growth, and efficient receivables management enhance profitability, whereas higher leverage and capital intensity tend to suppress it.</w:t>
      </w:r>
    </w:p>
    <w:p w14:paraId="7D1467E3" w14:textId="77777777" w:rsidR="005E0D14" w:rsidRDefault="005E0D14" w:rsidP="0006518C">
      <w:pPr>
        <w:spacing w:before="120" w:after="120" w:line="240" w:lineRule="auto"/>
        <w:jc w:val="both"/>
        <w:rPr>
          <w:rFonts w:cs="Arial"/>
          <w:szCs w:val="22"/>
        </w:rPr>
      </w:pPr>
      <w:r w:rsidRPr="00B128BC">
        <w:rPr>
          <w:rFonts w:cs="Arial"/>
          <w:szCs w:val="22"/>
        </w:rPr>
        <w:t>These findings substantiate the hypothesis that the decentralized profit</w:t>
      </w:r>
      <w:r w:rsidRPr="00B128BC">
        <w:rPr>
          <w:rFonts w:ascii="Cambria Math" w:hAnsi="Cambria Math" w:cs="Cambria Math"/>
          <w:szCs w:val="22"/>
        </w:rPr>
        <w:t>‑</w:t>
      </w:r>
      <w:r w:rsidRPr="00B128BC">
        <w:rPr>
          <w:rFonts w:cs="Arial"/>
          <w:szCs w:val="22"/>
        </w:rPr>
        <w:t>center structure, enhanced transparency, and employee empowerment intrinsic to the Amoeba model materially improve corporate financial performance.</w:t>
      </w:r>
    </w:p>
    <w:p w14:paraId="715701B8" w14:textId="31E9F3A5" w:rsidR="00912FFF" w:rsidRDefault="00912FFF" w:rsidP="0006518C">
      <w:pPr>
        <w:spacing w:line="240" w:lineRule="auto"/>
        <w:rPr>
          <w:rFonts w:cs="Arial"/>
          <w:szCs w:val="22"/>
        </w:rPr>
      </w:pPr>
      <w:r>
        <w:rPr>
          <w:rFonts w:cs="Arial"/>
          <w:szCs w:val="22"/>
        </w:rPr>
        <w:br w:type="page"/>
      </w:r>
    </w:p>
    <w:p w14:paraId="2EFD16F7" w14:textId="0702E09F" w:rsidR="00912FFF" w:rsidRPr="00763201" w:rsidRDefault="00912FFF" w:rsidP="0006518C">
      <w:pPr>
        <w:spacing w:after="120" w:line="240" w:lineRule="auto"/>
        <w:jc w:val="center"/>
        <w:rPr>
          <w:rFonts w:cs="Arial"/>
          <w:b/>
          <w:bCs/>
          <w:szCs w:val="22"/>
          <w:lang w:val="en-US"/>
        </w:rPr>
      </w:pPr>
      <w:r>
        <w:rPr>
          <w:rFonts w:cs="Arial"/>
          <w:b/>
          <w:bCs/>
          <w:szCs w:val="22"/>
          <w:lang w:val="en-US"/>
        </w:rPr>
        <w:lastRenderedPageBreak/>
        <w:t>Conclusion</w:t>
      </w:r>
    </w:p>
    <w:p w14:paraId="51C37BFA" w14:textId="77777777" w:rsidR="00AD33EB" w:rsidRPr="00AD33EB" w:rsidRDefault="00AD33EB" w:rsidP="0006518C">
      <w:pPr>
        <w:spacing w:line="240" w:lineRule="auto"/>
        <w:jc w:val="both"/>
        <w:rPr>
          <w:rFonts w:cs="Arial"/>
          <w:szCs w:val="22"/>
        </w:rPr>
      </w:pPr>
      <w:r w:rsidRPr="00AD33EB">
        <w:rPr>
          <w:rFonts w:cs="Arial"/>
          <w:szCs w:val="22"/>
        </w:rPr>
        <w:t>This study investigated how the Amoeba management model, a foundational concept in East Asian management philosophy, influences corporate financial performance in China. Using panel data from 16 firms across eight industries over the 2010–2023 period, we employed the Difference-in-Differences (DID) method to estimate the causal impact of model adoption, with return on assets (ROA) and return on equity (ROE) as the primary performance indicators.</w:t>
      </w:r>
    </w:p>
    <w:p w14:paraId="1F25EDEE" w14:textId="77777777" w:rsidR="0006518C" w:rsidRPr="0006518C" w:rsidRDefault="0006518C" w:rsidP="0006518C">
      <w:pPr>
        <w:spacing w:line="240" w:lineRule="auto"/>
        <w:rPr>
          <w:rFonts w:cs="Arial"/>
          <w:szCs w:val="22"/>
        </w:rPr>
      </w:pPr>
      <w:r w:rsidRPr="0006518C">
        <w:rPr>
          <w:rFonts w:cs="Arial"/>
          <w:szCs w:val="22"/>
        </w:rPr>
        <w:t>The key findings are summarized as follows:</w:t>
      </w:r>
    </w:p>
    <w:p w14:paraId="7E449A28" w14:textId="6544D34E" w:rsidR="00912FFF" w:rsidRPr="00763201" w:rsidRDefault="00963CDD" w:rsidP="0006518C">
      <w:pPr>
        <w:pStyle w:val="ListParagraph"/>
        <w:numPr>
          <w:ilvl w:val="0"/>
          <w:numId w:val="11"/>
        </w:numPr>
        <w:spacing w:before="120" w:after="120" w:line="240" w:lineRule="auto"/>
        <w:ind w:left="284" w:hanging="284"/>
        <w:contextualSpacing w:val="0"/>
        <w:jc w:val="both"/>
        <w:rPr>
          <w:rFonts w:cs="Arial"/>
          <w:szCs w:val="22"/>
        </w:rPr>
      </w:pPr>
      <w:r w:rsidRPr="00963CDD">
        <w:rPr>
          <w:rFonts w:cs="Arial"/>
          <w:szCs w:val="22"/>
        </w:rPr>
        <w:t>Positive performance impact: Firms that adopted the Amoeba model exhibited significant improvements in both ROA and ROE, confirming the model's potential to enhance financial efficiency. The effect on ROA was especially robust and consistently significant across all specifications, while the impact on ROE, though more variable, remained positive.</w:t>
      </w:r>
    </w:p>
    <w:p w14:paraId="10FC0233" w14:textId="3D54F974" w:rsidR="00912FFF" w:rsidRPr="00763201" w:rsidRDefault="004227A1" w:rsidP="0006518C">
      <w:pPr>
        <w:pStyle w:val="ListParagraph"/>
        <w:numPr>
          <w:ilvl w:val="0"/>
          <w:numId w:val="11"/>
        </w:numPr>
        <w:spacing w:before="120" w:after="120" w:line="240" w:lineRule="auto"/>
        <w:ind w:left="284" w:hanging="284"/>
        <w:contextualSpacing w:val="0"/>
        <w:jc w:val="both"/>
        <w:rPr>
          <w:rFonts w:cs="Arial"/>
          <w:szCs w:val="22"/>
        </w:rPr>
      </w:pPr>
      <w:r w:rsidRPr="004227A1">
        <w:rPr>
          <w:rFonts w:cs="Arial"/>
          <w:szCs w:val="22"/>
        </w:rPr>
        <w:t>Short-term gains vs. long-term sustainability: While the DID coefficient was positive and significant, the negative sign on the period dummy suggests that performance gains may diminish over time unless accompanied by complementary structural and systemic adjustments.</w:t>
      </w:r>
    </w:p>
    <w:p w14:paraId="674C34D7" w14:textId="33072C84" w:rsidR="00912FFF" w:rsidRPr="00763201" w:rsidRDefault="00C934D1" w:rsidP="0006518C">
      <w:pPr>
        <w:pStyle w:val="ListParagraph"/>
        <w:numPr>
          <w:ilvl w:val="0"/>
          <w:numId w:val="11"/>
        </w:numPr>
        <w:spacing w:before="120" w:after="120" w:line="240" w:lineRule="auto"/>
        <w:ind w:left="284" w:hanging="284"/>
        <w:contextualSpacing w:val="0"/>
        <w:jc w:val="both"/>
        <w:rPr>
          <w:rFonts w:cs="Arial"/>
          <w:szCs w:val="22"/>
        </w:rPr>
      </w:pPr>
      <w:r w:rsidRPr="00C934D1">
        <w:rPr>
          <w:rFonts w:cs="Arial"/>
          <w:szCs w:val="22"/>
        </w:rPr>
        <w:t>Role of internal financial drivers: Improvements in performance were not driven solely by the management reform. Control variables such as operating cash flow, sales growth, and receivables turnover had strong positive effects, whereas high leverage was negatively associated with profitability.</w:t>
      </w:r>
    </w:p>
    <w:p w14:paraId="7193FF9C" w14:textId="0F2877F9" w:rsidR="00912FFF" w:rsidRPr="00763201" w:rsidRDefault="00AF16F6" w:rsidP="0006518C">
      <w:pPr>
        <w:pStyle w:val="ListParagraph"/>
        <w:numPr>
          <w:ilvl w:val="0"/>
          <w:numId w:val="11"/>
        </w:numPr>
        <w:spacing w:before="120" w:after="120" w:line="240" w:lineRule="auto"/>
        <w:ind w:left="284" w:hanging="284"/>
        <w:contextualSpacing w:val="0"/>
        <w:jc w:val="both"/>
        <w:rPr>
          <w:rFonts w:cs="Arial"/>
          <w:szCs w:val="22"/>
        </w:rPr>
      </w:pPr>
      <w:r w:rsidRPr="00AF16F6">
        <w:rPr>
          <w:rFonts w:cs="Arial"/>
          <w:szCs w:val="22"/>
        </w:rPr>
        <w:t>Generalisability: Although firm names are anonymized for confidentiality, the data reliability and balanced industry sample enhance the generalisability of the findings to other organizational contexts.</w:t>
      </w:r>
    </w:p>
    <w:p w14:paraId="5E23635A" w14:textId="7355CBC2" w:rsidR="00912FFF" w:rsidRPr="00912FFF" w:rsidRDefault="00406FB5" w:rsidP="0006518C">
      <w:pPr>
        <w:spacing w:before="120" w:after="120" w:line="240" w:lineRule="auto"/>
        <w:jc w:val="both"/>
        <w:rPr>
          <w:rFonts w:cs="Arial"/>
          <w:szCs w:val="22"/>
        </w:rPr>
      </w:pPr>
      <w:r w:rsidRPr="00406FB5">
        <w:rPr>
          <w:rFonts w:cs="Arial"/>
          <w:szCs w:val="22"/>
        </w:rPr>
        <w:t>In summary, this study provides both theoretical and practical evidence that decentralized structures, financial transparency, and employee engagement</w:t>
      </w:r>
      <w:r w:rsidR="005822FB">
        <w:rPr>
          <w:rFonts w:cs="Arial"/>
          <w:szCs w:val="22"/>
        </w:rPr>
        <w:t xml:space="preserve"> - </w:t>
      </w:r>
      <w:r w:rsidRPr="00406FB5">
        <w:rPr>
          <w:rFonts w:cs="Arial"/>
          <w:szCs w:val="22"/>
        </w:rPr>
        <w:t>hallmarks of the Amoeba model</w:t>
      </w:r>
      <w:r w:rsidR="005822FB">
        <w:rPr>
          <w:rFonts w:cs="Arial"/>
          <w:szCs w:val="22"/>
        </w:rPr>
        <w:t xml:space="preserve"> - </w:t>
      </w:r>
      <w:r w:rsidRPr="00406FB5">
        <w:rPr>
          <w:rFonts w:cs="Arial"/>
          <w:szCs w:val="22"/>
        </w:rPr>
        <w:t>can meaningfully improve organizational performance.</w:t>
      </w:r>
    </w:p>
    <w:p w14:paraId="4744652D" w14:textId="203EA6CB" w:rsidR="00912FFF" w:rsidRPr="00912FFF" w:rsidRDefault="00BD55E8" w:rsidP="0006518C">
      <w:pPr>
        <w:spacing w:before="120" w:after="120" w:line="240" w:lineRule="auto"/>
        <w:jc w:val="both"/>
        <w:rPr>
          <w:rFonts w:cs="Arial"/>
          <w:szCs w:val="22"/>
        </w:rPr>
      </w:pPr>
      <w:r w:rsidRPr="00BD55E8">
        <w:rPr>
          <w:rFonts w:cs="Arial"/>
          <w:szCs w:val="22"/>
        </w:rPr>
        <w:t>Future research may consider:</w:t>
      </w:r>
    </w:p>
    <w:p w14:paraId="2A456E3F" w14:textId="4A444D5F" w:rsidR="00912FFF" w:rsidRPr="00763201" w:rsidRDefault="00481B18" w:rsidP="0006518C">
      <w:pPr>
        <w:pStyle w:val="ListParagraph"/>
        <w:numPr>
          <w:ilvl w:val="0"/>
          <w:numId w:val="12"/>
        </w:numPr>
        <w:spacing w:before="120" w:after="120" w:line="240" w:lineRule="auto"/>
        <w:ind w:left="284" w:hanging="284"/>
        <w:jc w:val="both"/>
        <w:rPr>
          <w:rFonts w:cs="Arial"/>
          <w:szCs w:val="22"/>
        </w:rPr>
      </w:pPr>
      <w:r w:rsidRPr="00481B18">
        <w:rPr>
          <w:rFonts w:cs="Arial"/>
          <w:szCs w:val="22"/>
        </w:rPr>
        <w:t>Examining long-term performance outcomes beyond initial post-adoption periods;</w:t>
      </w:r>
    </w:p>
    <w:p w14:paraId="431CD217" w14:textId="72C73989" w:rsidR="00912FFF" w:rsidRPr="00763201" w:rsidRDefault="00481B18" w:rsidP="0006518C">
      <w:pPr>
        <w:pStyle w:val="ListParagraph"/>
        <w:numPr>
          <w:ilvl w:val="0"/>
          <w:numId w:val="12"/>
        </w:numPr>
        <w:spacing w:before="120" w:after="120" w:line="240" w:lineRule="auto"/>
        <w:ind w:left="284" w:hanging="284"/>
        <w:jc w:val="both"/>
        <w:rPr>
          <w:rFonts w:cs="Arial"/>
          <w:szCs w:val="22"/>
        </w:rPr>
      </w:pPr>
      <w:r w:rsidRPr="00481B18">
        <w:rPr>
          <w:rFonts w:cs="Arial"/>
          <w:szCs w:val="22"/>
        </w:rPr>
        <w:t>Incorporating organizational culture and human capital into the analytical framework;</w:t>
      </w:r>
    </w:p>
    <w:p w14:paraId="1417A1C6" w14:textId="7DF2F35D" w:rsidR="00A105ED" w:rsidRPr="00763201" w:rsidRDefault="00481B18" w:rsidP="0006518C">
      <w:pPr>
        <w:pStyle w:val="ListParagraph"/>
        <w:numPr>
          <w:ilvl w:val="0"/>
          <w:numId w:val="12"/>
        </w:numPr>
        <w:spacing w:before="120" w:after="120" w:line="240" w:lineRule="auto"/>
        <w:ind w:left="284" w:hanging="284"/>
        <w:jc w:val="both"/>
        <w:rPr>
          <w:rFonts w:cs="Arial"/>
          <w:szCs w:val="22"/>
        </w:rPr>
      </w:pPr>
      <w:r w:rsidRPr="00481B18">
        <w:rPr>
          <w:rFonts w:cs="Arial"/>
          <w:szCs w:val="22"/>
        </w:rPr>
        <w:t>Conducting cross-industry and cross-country comparisons to assess the model’s broader applicability and adaptability</w:t>
      </w:r>
      <w:r w:rsidR="00912FFF" w:rsidRPr="00763201">
        <w:rPr>
          <w:rFonts w:cs="Arial"/>
          <w:szCs w:val="22"/>
        </w:rPr>
        <w:t>.</w:t>
      </w:r>
    </w:p>
    <w:p w14:paraId="09ED9734" w14:textId="0C3C3ED3" w:rsidR="00874571" w:rsidRPr="00763201" w:rsidRDefault="00763201" w:rsidP="0006518C">
      <w:pPr>
        <w:spacing w:before="240" w:after="120" w:line="240" w:lineRule="auto"/>
        <w:jc w:val="center"/>
        <w:rPr>
          <w:rFonts w:cs="Arial"/>
          <w:b/>
          <w:bCs/>
          <w:szCs w:val="22"/>
          <w:lang w:val="en-US"/>
        </w:rPr>
      </w:pPr>
      <w:r>
        <w:rPr>
          <w:rFonts w:cs="Arial"/>
          <w:b/>
          <w:bCs/>
          <w:szCs w:val="22"/>
          <w:lang w:val="en-US"/>
        </w:rPr>
        <w:t>Reference</w:t>
      </w:r>
    </w:p>
    <w:p w14:paraId="42EA969A" w14:textId="47B7F664" w:rsidR="002F788D" w:rsidRDefault="002F788D" w:rsidP="0006518C">
      <w:pPr>
        <w:spacing w:before="120" w:after="120" w:line="240" w:lineRule="auto"/>
        <w:ind w:left="284" w:hanging="284"/>
        <w:jc w:val="both"/>
        <w:rPr>
          <w:rFonts w:cs="Arial"/>
          <w:color w:val="222222"/>
          <w:szCs w:val="22"/>
          <w:shd w:val="clear" w:color="auto" w:fill="FFFFFF"/>
        </w:rPr>
      </w:pPr>
      <w:r w:rsidRPr="002F788D">
        <w:rPr>
          <w:rFonts w:cs="Arial"/>
          <w:color w:val="222222"/>
          <w:szCs w:val="22"/>
          <w:shd w:val="clear" w:color="auto" w:fill="FFFFFF"/>
        </w:rPr>
        <w:t xml:space="preserve">Adler, R. W., &amp; Hiromoto, T. (2010). </w:t>
      </w:r>
      <w:r w:rsidRPr="00B51987">
        <w:rPr>
          <w:rFonts w:cs="Arial"/>
          <w:i/>
          <w:iCs/>
          <w:color w:val="222222"/>
          <w:szCs w:val="22"/>
          <w:shd w:val="clear" w:color="auto" w:fill="FFFFFF"/>
        </w:rPr>
        <w:t>Amoeba management: Why it works at Kyocera and which other firms could benefit from its adoption – Part I</w:t>
      </w:r>
      <w:r w:rsidRPr="002F788D">
        <w:rPr>
          <w:rFonts w:cs="Arial"/>
          <w:color w:val="222222"/>
          <w:szCs w:val="22"/>
          <w:shd w:val="clear" w:color="auto" w:fill="FFFFFF"/>
        </w:rPr>
        <w:t xml:space="preserve"> [Working paper]. University of Otago. </w:t>
      </w:r>
      <w:hyperlink r:id="rId8" w:history="1">
        <w:r w:rsidR="00F51021" w:rsidRPr="00DC68C4">
          <w:rPr>
            <w:rStyle w:val="Hyperlink"/>
            <w:rFonts w:cs="Arial"/>
            <w:szCs w:val="22"/>
            <w:shd w:val="clear" w:color="auto" w:fill="FFFFFF"/>
          </w:rPr>
          <w:t>https://ourarchive.otago.ac.nz/handle/10523/1572</w:t>
        </w:r>
      </w:hyperlink>
    </w:p>
    <w:p w14:paraId="7914AA23" w14:textId="77777777" w:rsidR="00B51987" w:rsidRPr="00F51021" w:rsidRDefault="00B51987" w:rsidP="0006518C">
      <w:pPr>
        <w:spacing w:before="120" w:after="120" w:line="240" w:lineRule="auto"/>
        <w:ind w:left="284" w:hanging="284"/>
        <w:jc w:val="both"/>
        <w:rPr>
          <w:rFonts w:cs="Arial"/>
          <w:color w:val="222222"/>
          <w:szCs w:val="22"/>
          <w:shd w:val="clear" w:color="auto" w:fill="FFFFFF"/>
          <w:lang w:val="en-US"/>
        </w:rPr>
      </w:pPr>
      <w:r w:rsidRPr="00F51021">
        <w:rPr>
          <w:rFonts w:cs="Arial"/>
          <w:color w:val="222222"/>
          <w:szCs w:val="22"/>
          <w:shd w:val="clear" w:color="auto" w:fill="FFFFFF"/>
          <w:lang w:val="en-US"/>
        </w:rPr>
        <w:t xml:space="preserve">Angrist, J. D., &amp; Pischke, J.-S. (2009). </w:t>
      </w:r>
      <w:r w:rsidRPr="00B51987">
        <w:rPr>
          <w:rFonts w:cs="Arial"/>
          <w:i/>
          <w:iCs/>
          <w:color w:val="222222"/>
          <w:szCs w:val="22"/>
          <w:shd w:val="clear" w:color="auto" w:fill="FFFFFF"/>
          <w:lang w:val="en-US"/>
        </w:rPr>
        <w:t>Mostly harmless econometrics: An empiricist's companion.</w:t>
      </w:r>
      <w:r w:rsidRPr="00F51021">
        <w:rPr>
          <w:rFonts w:cs="Arial"/>
          <w:color w:val="222222"/>
          <w:szCs w:val="22"/>
          <w:shd w:val="clear" w:color="auto" w:fill="FFFFFF"/>
          <w:lang w:val="en-US"/>
        </w:rPr>
        <w:t xml:space="preserve"> Princeton University Press.</w:t>
      </w:r>
    </w:p>
    <w:p w14:paraId="6864E70C" w14:textId="299FD732" w:rsidR="00B51987" w:rsidRDefault="00B51987" w:rsidP="0006518C">
      <w:pPr>
        <w:spacing w:before="120" w:after="120" w:line="240" w:lineRule="auto"/>
        <w:ind w:left="284" w:hanging="284"/>
        <w:jc w:val="both"/>
        <w:rPr>
          <w:rFonts w:cs="Arial"/>
          <w:color w:val="222222"/>
          <w:szCs w:val="22"/>
          <w:shd w:val="clear" w:color="auto" w:fill="FFFFFF"/>
          <w:lang w:val="en-US"/>
        </w:rPr>
      </w:pPr>
      <w:r w:rsidRPr="00F51021">
        <w:rPr>
          <w:rFonts w:cs="Arial"/>
          <w:color w:val="222222"/>
          <w:szCs w:val="22"/>
          <w:shd w:val="clear" w:color="auto" w:fill="FFFFFF"/>
          <w:lang w:val="en-US"/>
        </w:rPr>
        <w:t xml:space="preserve">Bloom, N., &amp; Van Reenen, J. (2007). Measuring and explaining management practices across firms and countries. </w:t>
      </w:r>
      <w:r w:rsidRPr="00B51987">
        <w:rPr>
          <w:rFonts w:cs="Arial"/>
          <w:i/>
          <w:iCs/>
          <w:color w:val="222222"/>
          <w:szCs w:val="22"/>
          <w:shd w:val="clear" w:color="auto" w:fill="FFFFFF"/>
          <w:lang w:val="en-US"/>
        </w:rPr>
        <w:t>Quarterly Journal of Economics, 122</w:t>
      </w:r>
      <w:r w:rsidRPr="00F51021">
        <w:rPr>
          <w:rFonts w:cs="Arial"/>
          <w:color w:val="222222"/>
          <w:szCs w:val="22"/>
          <w:shd w:val="clear" w:color="auto" w:fill="FFFFFF"/>
          <w:lang w:val="en-US"/>
        </w:rPr>
        <w:t>(4), 1351</w:t>
      </w:r>
      <w:r>
        <w:rPr>
          <w:rFonts w:cs="Arial"/>
          <w:color w:val="222222"/>
          <w:szCs w:val="22"/>
          <w:shd w:val="clear" w:color="auto" w:fill="FFFFFF"/>
          <w:lang w:val="en-US"/>
        </w:rPr>
        <w:t>-</w:t>
      </w:r>
      <w:r w:rsidRPr="00F51021">
        <w:rPr>
          <w:rFonts w:cs="Arial"/>
          <w:color w:val="222222"/>
          <w:szCs w:val="22"/>
          <w:shd w:val="clear" w:color="auto" w:fill="FFFFFF"/>
          <w:lang w:val="en-US"/>
        </w:rPr>
        <w:t xml:space="preserve">1408. </w:t>
      </w:r>
      <w:hyperlink r:id="rId9" w:history="1">
        <w:r w:rsidRPr="00DC68C4">
          <w:rPr>
            <w:rStyle w:val="Hyperlink"/>
            <w:rFonts w:cs="Arial"/>
            <w:szCs w:val="22"/>
            <w:shd w:val="clear" w:color="auto" w:fill="FFFFFF"/>
            <w:lang w:val="en-US"/>
          </w:rPr>
          <w:t>https://doi.org/10.1162/qjec.2007.122.4.1351</w:t>
        </w:r>
      </w:hyperlink>
    </w:p>
    <w:p w14:paraId="73D4D2D9" w14:textId="5B54ED21" w:rsidR="002F788D" w:rsidRPr="002F788D" w:rsidRDefault="002F788D" w:rsidP="0006518C">
      <w:pPr>
        <w:spacing w:before="120" w:after="120" w:line="240" w:lineRule="auto"/>
        <w:ind w:left="284" w:hanging="284"/>
        <w:jc w:val="both"/>
        <w:rPr>
          <w:rFonts w:cs="Arial"/>
          <w:color w:val="222222"/>
          <w:szCs w:val="22"/>
          <w:shd w:val="clear" w:color="auto" w:fill="FFFFFF"/>
        </w:rPr>
      </w:pPr>
      <w:r w:rsidRPr="002F788D">
        <w:rPr>
          <w:rFonts w:cs="Arial"/>
          <w:color w:val="222222"/>
          <w:szCs w:val="22"/>
          <w:shd w:val="clear" w:color="auto" w:fill="FFFFFF"/>
        </w:rPr>
        <w:t xml:space="preserve">Inamori, K. (2012). </w:t>
      </w:r>
      <w:r w:rsidRPr="00B51987">
        <w:rPr>
          <w:rFonts w:cs="Arial"/>
          <w:i/>
          <w:iCs/>
          <w:color w:val="222222"/>
          <w:szCs w:val="22"/>
          <w:shd w:val="clear" w:color="auto" w:fill="FFFFFF"/>
        </w:rPr>
        <w:t>Amoeba management: The dynamic management system for rapid market response.</w:t>
      </w:r>
      <w:r w:rsidRPr="002F788D">
        <w:rPr>
          <w:rFonts w:cs="Arial"/>
          <w:color w:val="222222"/>
          <w:szCs w:val="22"/>
          <w:shd w:val="clear" w:color="auto" w:fill="FFFFFF"/>
        </w:rPr>
        <w:t xml:space="preserve"> Productivity Press.</w:t>
      </w:r>
    </w:p>
    <w:p w14:paraId="7BA93BBD" w14:textId="41EA7770" w:rsidR="002F788D" w:rsidRPr="002F788D" w:rsidRDefault="002F788D" w:rsidP="0006518C">
      <w:pPr>
        <w:spacing w:before="120" w:after="120" w:line="240" w:lineRule="auto"/>
        <w:ind w:left="284" w:hanging="284"/>
        <w:jc w:val="both"/>
        <w:rPr>
          <w:rFonts w:cs="Arial"/>
          <w:color w:val="222222"/>
          <w:szCs w:val="22"/>
          <w:shd w:val="clear" w:color="auto" w:fill="FFFFFF"/>
        </w:rPr>
      </w:pPr>
      <w:r w:rsidRPr="002F788D">
        <w:rPr>
          <w:rFonts w:cs="Arial"/>
          <w:color w:val="222222"/>
          <w:szCs w:val="22"/>
          <w:shd w:val="clear" w:color="auto" w:fill="FFFFFF"/>
        </w:rPr>
        <w:t xml:space="preserve">Jianfu, Y., Yawen, L., &amp; Zvarych, I. (2022). The practice of Amoeba post-practice sustainable business model in real estate: Taking Zhongliang as example. </w:t>
      </w:r>
      <w:r w:rsidRPr="00B51987">
        <w:rPr>
          <w:rFonts w:cs="Arial"/>
          <w:i/>
          <w:iCs/>
          <w:color w:val="222222"/>
          <w:szCs w:val="22"/>
          <w:shd w:val="clear" w:color="auto" w:fill="FFFFFF"/>
        </w:rPr>
        <w:t>Herald of Economics</w:t>
      </w:r>
      <w:r w:rsidRPr="002F788D">
        <w:rPr>
          <w:rFonts w:cs="Arial"/>
          <w:color w:val="222222"/>
          <w:szCs w:val="22"/>
          <w:shd w:val="clear" w:color="auto" w:fill="FFFFFF"/>
        </w:rPr>
        <w:t>, 2, 20</w:t>
      </w:r>
      <w:r w:rsidR="00B51987">
        <w:rPr>
          <w:rFonts w:cs="Arial"/>
          <w:color w:val="222222"/>
          <w:szCs w:val="22"/>
          <w:shd w:val="clear" w:color="auto" w:fill="FFFFFF"/>
          <w:lang w:val="en-US"/>
        </w:rPr>
        <w:t>-</w:t>
      </w:r>
      <w:r w:rsidRPr="002F788D">
        <w:rPr>
          <w:rFonts w:cs="Arial"/>
          <w:color w:val="222222"/>
          <w:szCs w:val="22"/>
          <w:shd w:val="clear" w:color="auto" w:fill="FFFFFF"/>
        </w:rPr>
        <w:t>33.</w:t>
      </w:r>
    </w:p>
    <w:p w14:paraId="6AF71023" w14:textId="77777777" w:rsidR="00B51987" w:rsidRPr="00F51021" w:rsidRDefault="00B51987" w:rsidP="0006518C">
      <w:pPr>
        <w:spacing w:before="120" w:after="120" w:line="240" w:lineRule="auto"/>
        <w:ind w:left="284" w:hanging="284"/>
        <w:jc w:val="both"/>
        <w:rPr>
          <w:rFonts w:cs="Arial"/>
          <w:color w:val="222222"/>
          <w:szCs w:val="22"/>
          <w:shd w:val="clear" w:color="auto" w:fill="FFFFFF"/>
          <w:lang w:val="en-US"/>
        </w:rPr>
      </w:pPr>
      <w:r w:rsidRPr="00F51021">
        <w:rPr>
          <w:rFonts w:cs="Arial"/>
          <w:color w:val="222222"/>
          <w:szCs w:val="22"/>
          <w:shd w:val="clear" w:color="auto" w:fill="FFFFFF"/>
          <w:lang w:val="en-US"/>
        </w:rPr>
        <w:t xml:space="preserve">Kaplan, R. S., &amp; Norton, D. P. (1996). </w:t>
      </w:r>
      <w:r w:rsidRPr="00B51987">
        <w:rPr>
          <w:rFonts w:cs="Arial"/>
          <w:i/>
          <w:iCs/>
          <w:color w:val="222222"/>
          <w:szCs w:val="22"/>
          <w:shd w:val="clear" w:color="auto" w:fill="FFFFFF"/>
          <w:lang w:val="en-US"/>
        </w:rPr>
        <w:t>The balanced scorecard: Translating strategy into action.</w:t>
      </w:r>
      <w:r w:rsidRPr="00F51021">
        <w:rPr>
          <w:rFonts w:cs="Arial"/>
          <w:color w:val="222222"/>
          <w:szCs w:val="22"/>
          <w:shd w:val="clear" w:color="auto" w:fill="FFFFFF"/>
          <w:lang w:val="en-US"/>
        </w:rPr>
        <w:t xml:space="preserve"> Harvard Business School Press.</w:t>
      </w:r>
    </w:p>
    <w:p w14:paraId="27F5B323" w14:textId="77777777" w:rsidR="00B51987" w:rsidRDefault="00B51987" w:rsidP="0006518C">
      <w:pPr>
        <w:spacing w:before="120" w:after="120" w:line="240" w:lineRule="auto"/>
        <w:ind w:left="284" w:hanging="284"/>
        <w:jc w:val="both"/>
        <w:rPr>
          <w:rFonts w:cs="Arial"/>
          <w:color w:val="222222"/>
          <w:szCs w:val="22"/>
          <w:shd w:val="clear" w:color="auto" w:fill="FFFFFF"/>
          <w:lang w:val="en-US"/>
        </w:rPr>
      </w:pPr>
      <w:r w:rsidRPr="00F51021">
        <w:rPr>
          <w:rFonts w:cs="Arial"/>
          <w:color w:val="222222"/>
          <w:szCs w:val="22"/>
          <w:shd w:val="clear" w:color="auto" w:fill="FFFFFF"/>
          <w:lang w:val="en-US"/>
        </w:rPr>
        <w:t xml:space="preserve">Nonaka, I., &amp; Takeuchi, H. (1995). </w:t>
      </w:r>
      <w:r w:rsidRPr="00B51987">
        <w:rPr>
          <w:rFonts w:cs="Arial"/>
          <w:i/>
          <w:iCs/>
          <w:color w:val="222222"/>
          <w:szCs w:val="22"/>
          <w:shd w:val="clear" w:color="auto" w:fill="FFFFFF"/>
          <w:lang w:val="en-US"/>
        </w:rPr>
        <w:t>The knowledge-creating company: How Japanese companies create the dynamics of innovation.</w:t>
      </w:r>
      <w:r w:rsidRPr="00F51021">
        <w:rPr>
          <w:rFonts w:cs="Arial"/>
          <w:color w:val="222222"/>
          <w:szCs w:val="22"/>
          <w:shd w:val="clear" w:color="auto" w:fill="FFFFFF"/>
          <w:lang w:val="en-US"/>
        </w:rPr>
        <w:t xml:space="preserve"> Oxford University Press.</w:t>
      </w:r>
    </w:p>
    <w:p w14:paraId="1EF80B9D" w14:textId="2868A0BD" w:rsidR="00723ED3" w:rsidRDefault="00723ED3" w:rsidP="0006518C">
      <w:pPr>
        <w:spacing w:before="120" w:after="120" w:line="240" w:lineRule="auto"/>
        <w:ind w:left="567" w:hanging="567"/>
        <w:jc w:val="both"/>
        <w:rPr>
          <w:rFonts w:cs="Arial"/>
          <w:color w:val="222222"/>
          <w:szCs w:val="22"/>
          <w:shd w:val="clear" w:color="auto" w:fill="FFFFFF"/>
          <w:lang w:val="en-US"/>
        </w:rPr>
      </w:pPr>
      <w:r w:rsidRPr="00723ED3">
        <w:rPr>
          <w:rFonts w:cs="Arial"/>
          <w:color w:val="222222"/>
          <w:szCs w:val="22"/>
          <w:shd w:val="clear" w:color="auto" w:fill="FFFFFF"/>
          <w:lang w:val="en-US"/>
        </w:rPr>
        <w:lastRenderedPageBreak/>
        <w:t xml:space="preserve">Shen, H., Liu, Y., Zhang, J., &amp; Li, X. (2020). The impact of COVID-19 on firm performance: Evidence from Chinese listed companies using Difference-in-Differences. </w:t>
      </w:r>
      <w:r w:rsidRPr="00723ED3">
        <w:rPr>
          <w:rFonts w:cs="Arial"/>
          <w:i/>
          <w:iCs/>
          <w:color w:val="222222"/>
          <w:szCs w:val="22"/>
          <w:shd w:val="clear" w:color="auto" w:fill="FFFFFF"/>
          <w:lang w:val="en-US"/>
        </w:rPr>
        <w:t>Economic Research Journal, 55</w:t>
      </w:r>
      <w:r w:rsidRPr="00723ED3">
        <w:rPr>
          <w:rFonts w:cs="Arial"/>
          <w:color w:val="222222"/>
          <w:szCs w:val="22"/>
          <w:shd w:val="clear" w:color="auto" w:fill="FFFFFF"/>
          <w:lang w:val="en-US"/>
        </w:rPr>
        <w:t>(12), 85</w:t>
      </w:r>
      <w:r w:rsidR="002433BF">
        <w:rPr>
          <w:rFonts w:cs="Arial"/>
          <w:color w:val="222222"/>
          <w:szCs w:val="22"/>
          <w:shd w:val="clear" w:color="auto" w:fill="FFFFFF"/>
          <w:lang w:val="en-US"/>
        </w:rPr>
        <w:t>-</w:t>
      </w:r>
      <w:r w:rsidRPr="00723ED3">
        <w:rPr>
          <w:rFonts w:cs="Arial"/>
          <w:color w:val="222222"/>
          <w:szCs w:val="22"/>
          <w:shd w:val="clear" w:color="auto" w:fill="FFFFFF"/>
          <w:lang w:val="en-US"/>
        </w:rPr>
        <w:t xml:space="preserve">102. </w:t>
      </w:r>
      <w:hyperlink r:id="rId10" w:history="1">
        <w:r w:rsidRPr="00DC68C4">
          <w:rPr>
            <w:rStyle w:val="Hyperlink"/>
            <w:rFonts w:cs="Arial"/>
            <w:szCs w:val="22"/>
            <w:shd w:val="clear" w:color="auto" w:fill="FFFFFF"/>
            <w:lang w:val="en-US"/>
          </w:rPr>
          <w:t>https://doi.org/10.1016/j.chieco.2020.12.003</w:t>
        </w:r>
      </w:hyperlink>
    </w:p>
    <w:p w14:paraId="29B9A260" w14:textId="2A265C94" w:rsidR="002F788D" w:rsidRDefault="002F788D" w:rsidP="0006518C">
      <w:pPr>
        <w:spacing w:before="120" w:after="120" w:line="240" w:lineRule="auto"/>
        <w:ind w:left="284" w:hanging="284"/>
        <w:jc w:val="both"/>
        <w:rPr>
          <w:rFonts w:cs="Arial"/>
          <w:color w:val="222222"/>
          <w:szCs w:val="22"/>
          <w:shd w:val="clear" w:color="auto" w:fill="FFFFFF"/>
        </w:rPr>
      </w:pPr>
      <w:r w:rsidRPr="002F788D">
        <w:rPr>
          <w:rFonts w:cs="Arial"/>
          <w:color w:val="222222"/>
          <w:szCs w:val="22"/>
          <w:shd w:val="clear" w:color="auto" w:fill="FFFFFF"/>
        </w:rPr>
        <w:t xml:space="preserve">Urban, W., &amp; Czerska, J. (2016). Reaching an entrepreneurial management system of amoebas: A qualitative insight into the European experiences. </w:t>
      </w:r>
      <w:r w:rsidRPr="00B51987">
        <w:rPr>
          <w:rFonts w:cs="Arial"/>
          <w:i/>
          <w:iCs/>
          <w:color w:val="222222"/>
          <w:szCs w:val="22"/>
          <w:shd w:val="clear" w:color="auto" w:fill="FFFFFF"/>
        </w:rPr>
        <w:t>Economics and Management, 8</w:t>
      </w:r>
      <w:r w:rsidRPr="002F788D">
        <w:rPr>
          <w:rFonts w:cs="Arial"/>
          <w:color w:val="222222"/>
          <w:szCs w:val="22"/>
          <w:shd w:val="clear" w:color="auto" w:fill="FFFFFF"/>
        </w:rPr>
        <w:t>(1), 7</w:t>
      </w:r>
      <w:r w:rsidR="00B51987">
        <w:rPr>
          <w:rFonts w:cs="Arial"/>
          <w:color w:val="222222"/>
          <w:szCs w:val="22"/>
          <w:shd w:val="clear" w:color="auto" w:fill="FFFFFF"/>
          <w:lang w:val="en-US"/>
        </w:rPr>
        <w:t>-</w:t>
      </w:r>
      <w:r w:rsidRPr="002F788D">
        <w:rPr>
          <w:rFonts w:cs="Arial"/>
          <w:color w:val="222222"/>
          <w:szCs w:val="22"/>
          <w:shd w:val="clear" w:color="auto" w:fill="FFFFFF"/>
        </w:rPr>
        <w:t xml:space="preserve">18. </w:t>
      </w:r>
      <w:hyperlink r:id="rId11" w:history="1">
        <w:r w:rsidR="00F51021" w:rsidRPr="00DC68C4">
          <w:rPr>
            <w:rStyle w:val="Hyperlink"/>
            <w:rFonts w:cs="Arial"/>
            <w:szCs w:val="22"/>
            <w:shd w:val="clear" w:color="auto" w:fill="FFFFFF"/>
          </w:rPr>
          <w:t>https://doi.org/10.1515/emj-2016-0001</w:t>
        </w:r>
      </w:hyperlink>
    </w:p>
    <w:p w14:paraId="29108187" w14:textId="04A29F43" w:rsidR="002F788D" w:rsidRDefault="002F788D" w:rsidP="0006518C">
      <w:pPr>
        <w:spacing w:before="120" w:after="120" w:line="240" w:lineRule="auto"/>
        <w:ind w:left="284" w:hanging="284"/>
        <w:jc w:val="both"/>
        <w:rPr>
          <w:rFonts w:cs="Arial"/>
          <w:color w:val="222222"/>
          <w:szCs w:val="22"/>
          <w:shd w:val="clear" w:color="auto" w:fill="FFFFFF"/>
        </w:rPr>
      </w:pPr>
      <w:r w:rsidRPr="002F788D">
        <w:rPr>
          <w:rFonts w:cs="Arial"/>
          <w:color w:val="222222"/>
          <w:szCs w:val="22"/>
          <w:shd w:val="clear" w:color="auto" w:fill="FFFFFF"/>
        </w:rPr>
        <w:t xml:space="preserve">Wang, D. (2024). </w:t>
      </w:r>
      <w:r w:rsidRPr="00B51987">
        <w:rPr>
          <w:rFonts w:cs="Arial"/>
          <w:i/>
          <w:iCs/>
          <w:color w:val="222222"/>
          <w:szCs w:val="22"/>
          <w:shd w:val="clear" w:color="auto" w:fill="FFFFFF"/>
        </w:rPr>
        <w:t>Research on performance evaluation of state-owned enterprises under the Amoeba management model</w:t>
      </w:r>
      <w:r w:rsidRPr="002F788D">
        <w:rPr>
          <w:rFonts w:cs="Arial"/>
          <w:color w:val="222222"/>
          <w:szCs w:val="22"/>
          <w:shd w:val="clear" w:color="auto" w:fill="FFFFFF"/>
        </w:rPr>
        <w:t xml:space="preserve"> [Master’s thesis, Shandong University of Finance and Economics]. CNKI. </w:t>
      </w:r>
      <w:hyperlink r:id="rId12" w:history="1">
        <w:r w:rsidR="00F51021" w:rsidRPr="00DC68C4">
          <w:rPr>
            <w:rStyle w:val="Hyperlink"/>
            <w:rFonts w:cs="Arial"/>
            <w:szCs w:val="22"/>
            <w:shd w:val="clear" w:color="auto" w:fill="FFFFFF"/>
          </w:rPr>
          <w:t>https://doi.org/10.27274/d.cnki.gsdjc.2024.001523</w:t>
        </w:r>
      </w:hyperlink>
    </w:p>
    <w:p w14:paraId="0B8E1A94" w14:textId="24DD8FAA" w:rsidR="002F788D" w:rsidRDefault="002F788D" w:rsidP="0006518C">
      <w:pPr>
        <w:spacing w:before="120" w:after="120" w:line="240" w:lineRule="auto"/>
        <w:ind w:left="284" w:hanging="284"/>
        <w:jc w:val="both"/>
        <w:rPr>
          <w:rFonts w:cs="Arial"/>
          <w:color w:val="222222"/>
          <w:szCs w:val="22"/>
          <w:shd w:val="clear" w:color="auto" w:fill="FFFFFF"/>
        </w:rPr>
      </w:pPr>
      <w:r w:rsidRPr="002F788D">
        <w:rPr>
          <w:rFonts w:cs="Arial"/>
          <w:color w:val="222222"/>
          <w:szCs w:val="22"/>
          <w:shd w:val="clear" w:color="auto" w:fill="FFFFFF"/>
        </w:rPr>
        <w:t xml:space="preserve">Yahuofujiang, D. (2023). </w:t>
      </w:r>
      <w:r w:rsidRPr="00B51987">
        <w:rPr>
          <w:rFonts w:cs="Arial"/>
          <w:i/>
          <w:iCs/>
          <w:color w:val="222222"/>
          <w:szCs w:val="22"/>
          <w:shd w:val="clear" w:color="auto" w:fill="FFFFFF"/>
        </w:rPr>
        <w:t>Research on the application of Amoeba management model in Baosteel Group</w:t>
      </w:r>
      <w:r w:rsidRPr="002F788D">
        <w:rPr>
          <w:rFonts w:cs="Arial"/>
          <w:color w:val="222222"/>
          <w:szCs w:val="22"/>
          <w:shd w:val="clear" w:color="auto" w:fill="FFFFFF"/>
        </w:rPr>
        <w:t xml:space="preserve"> [Master’s thesis, Dongbei University of Finance and Economics]. CNKI. </w:t>
      </w:r>
      <w:hyperlink r:id="rId13" w:history="1">
        <w:r w:rsidR="00F51021" w:rsidRPr="00DC68C4">
          <w:rPr>
            <w:rStyle w:val="Hyperlink"/>
            <w:rFonts w:cs="Arial"/>
            <w:szCs w:val="22"/>
            <w:shd w:val="clear" w:color="auto" w:fill="FFFFFF"/>
          </w:rPr>
          <w:t>https://doi.org/10.27006/d.cnki.gdbcu.2023.000517</w:t>
        </w:r>
      </w:hyperlink>
    </w:p>
    <w:p w14:paraId="090E7551" w14:textId="33A3A50E" w:rsidR="00F51021" w:rsidRPr="001254BA" w:rsidRDefault="002F788D" w:rsidP="001254BA">
      <w:pPr>
        <w:spacing w:before="120" w:after="120" w:line="240" w:lineRule="auto"/>
        <w:ind w:left="284" w:hanging="284"/>
        <w:jc w:val="both"/>
        <w:rPr>
          <w:rFonts w:cs="Arial"/>
          <w:color w:val="222222"/>
          <w:szCs w:val="22"/>
          <w:shd w:val="clear" w:color="auto" w:fill="FFFFFF"/>
        </w:rPr>
      </w:pPr>
      <w:r w:rsidRPr="002F788D">
        <w:rPr>
          <w:rFonts w:cs="Arial"/>
          <w:color w:val="222222"/>
          <w:szCs w:val="22"/>
          <w:shd w:val="clear" w:color="auto" w:fill="FFFFFF"/>
        </w:rPr>
        <w:t xml:space="preserve">Yu, M. (2013). State ownership and firm performance: Empirical evidence from Chinese listed companies. </w:t>
      </w:r>
      <w:r w:rsidRPr="00B51987">
        <w:rPr>
          <w:rFonts w:cs="Arial"/>
          <w:i/>
          <w:iCs/>
          <w:color w:val="222222"/>
          <w:szCs w:val="22"/>
          <w:shd w:val="clear" w:color="auto" w:fill="FFFFFF"/>
        </w:rPr>
        <w:t>China Journal of Accounting Research, 6</w:t>
      </w:r>
      <w:r w:rsidRPr="002F788D">
        <w:rPr>
          <w:rFonts w:cs="Arial"/>
          <w:color w:val="222222"/>
          <w:szCs w:val="22"/>
          <w:shd w:val="clear" w:color="auto" w:fill="FFFFFF"/>
        </w:rPr>
        <w:t>(2), 75</w:t>
      </w:r>
      <w:r w:rsidR="00B51987">
        <w:rPr>
          <w:rFonts w:cs="Arial"/>
          <w:color w:val="222222"/>
          <w:szCs w:val="22"/>
          <w:shd w:val="clear" w:color="auto" w:fill="FFFFFF"/>
          <w:lang w:val="en-US"/>
        </w:rPr>
        <w:t>-</w:t>
      </w:r>
      <w:r w:rsidRPr="002F788D">
        <w:rPr>
          <w:rFonts w:cs="Arial"/>
          <w:color w:val="222222"/>
          <w:szCs w:val="22"/>
          <w:shd w:val="clear" w:color="auto" w:fill="FFFFFF"/>
        </w:rPr>
        <w:t xml:space="preserve">87. </w:t>
      </w:r>
      <w:hyperlink r:id="rId14" w:history="1">
        <w:r w:rsidR="00F51021" w:rsidRPr="00DC68C4">
          <w:rPr>
            <w:rStyle w:val="Hyperlink"/>
            <w:rFonts w:cs="Arial"/>
            <w:szCs w:val="22"/>
            <w:shd w:val="clear" w:color="auto" w:fill="FFFFFF"/>
          </w:rPr>
          <w:t>https://doi.org/10.1016/j.cjar.2013.03.002</w:t>
        </w:r>
      </w:hyperlink>
    </w:p>
    <w:sectPr w:rsidR="00F51021" w:rsidRPr="001254BA" w:rsidSect="000050E7">
      <w:pgSz w:w="11907" w:h="16840" w:code="9"/>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479CCB" w14:textId="77777777" w:rsidR="00B75C4D" w:rsidRDefault="00B75C4D" w:rsidP="00396B33">
      <w:pPr>
        <w:spacing w:after="0" w:line="240" w:lineRule="auto"/>
      </w:pPr>
      <w:r>
        <w:separator/>
      </w:r>
    </w:p>
  </w:endnote>
  <w:endnote w:type="continuationSeparator" w:id="0">
    <w:p w14:paraId="5A2696B9" w14:textId="77777777" w:rsidR="00B75C4D" w:rsidRDefault="00B75C4D" w:rsidP="00396B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189A7C" w14:textId="77777777" w:rsidR="00B75C4D" w:rsidRDefault="00B75C4D" w:rsidP="00396B33">
      <w:pPr>
        <w:spacing w:after="0" w:line="240" w:lineRule="auto"/>
      </w:pPr>
      <w:r>
        <w:separator/>
      </w:r>
    </w:p>
  </w:footnote>
  <w:footnote w:type="continuationSeparator" w:id="0">
    <w:p w14:paraId="2818C8D1" w14:textId="77777777" w:rsidR="00B75C4D" w:rsidRDefault="00B75C4D" w:rsidP="00396B33">
      <w:pPr>
        <w:spacing w:after="0" w:line="240" w:lineRule="auto"/>
      </w:pPr>
      <w:r>
        <w:continuationSeparator/>
      </w:r>
    </w:p>
  </w:footnote>
  <w:footnote w:id="1">
    <w:p w14:paraId="490C48FF" w14:textId="3E4241FF" w:rsidR="00396B33" w:rsidRPr="00396B33" w:rsidRDefault="00396B33">
      <w:pPr>
        <w:pStyle w:val="FootnoteText"/>
        <w:rPr>
          <w:lang w:val="en-US"/>
        </w:rPr>
      </w:pPr>
      <w:r>
        <w:rPr>
          <w:rStyle w:val="FootnoteReference"/>
        </w:rPr>
        <w:footnoteRef/>
      </w:r>
      <w:r>
        <w:t xml:space="preserve"> </w:t>
      </w:r>
      <w:r>
        <w:rPr>
          <w:lang w:val="en-US"/>
        </w:rPr>
        <w:t xml:space="preserve">MBA students, Accounting Department, National University of Mongolia, Email: </w:t>
      </w:r>
      <w:r w:rsidRPr="00396B33">
        <w:rPr>
          <w:lang w:val="en-US"/>
        </w:rPr>
        <w:t>ilanaailanaa027@gmail.com</w:t>
      </w:r>
    </w:p>
  </w:footnote>
  <w:footnote w:id="2">
    <w:p w14:paraId="5961D1C5" w14:textId="69093271" w:rsidR="00396B33" w:rsidRPr="00396B33" w:rsidRDefault="00396B33">
      <w:pPr>
        <w:pStyle w:val="FootnoteText"/>
        <w:rPr>
          <w:lang w:val="en-US"/>
        </w:rPr>
      </w:pPr>
      <w:r>
        <w:rPr>
          <w:rStyle w:val="FootnoteReference"/>
        </w:rPr>
        <w:footnoteRef/>
      </w:r>
      <w:r>
        <w:t xml:space="preserve"> </w:t>
      </w:r>
      <w:r>
        <w:rPr>
          <w:lang w:val="en-US"/>
        </w:rPr>
        <w:t>Associate Professor, Accounting Department, National University of Mongolia, Email: altanerdene.b@num.edu.mn</w:t>
      </w:r>
    </w:p>
  </w:footnote>
  <w:footnote w:id="3">
    <w:p w14:paraId="4F08DBF4" w14:textId="6D070B9F" w:rsidR="00F842B4" w:rsidRPr="00F842B4" w:rsidRDefault="00F842B4">
      <w:pPr>
        <w:pStyle w:val="FootnoteText"/>
        <w:rPr>
          <w:lang w:val="en-US"/>
        </w:rPr>
      </w:pPr>
      <w:r>
        <w:rPr>
          <w:rStyle w:val="FootnoteReference"/>
        </w:rPr>
        <w:footnoteRef/>
      </w:r>
      <w:r>
        <w:t xml:space="preserve"> </w:t>
      </w:r>
      <w:r>
        <w:rPr>
          <w:lang w:val="en-US"/>
        </w:rPr>
        <w:t>Senior Lecturer, Accounting Department, National University of Mongolia, Email: tsetsegdelger@num.edu.mn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043418"/>
    <w:multiLevelType w:val="hybridMultilevel"/>
    <w:tmpl w:val="7CCAF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1521AF"/>
    <w:multiLevelType w:val="hybridMultilevel"/>
    <w:tmpl w:val="1CE60532"/>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7E16F5F"/>
    <w:multiLevelType w:val="hybridMultilevel"/>
    <w:tmpl w:val="A2505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75503D"/>
    <w:multiLevelType w:val="hybridMultilevel"/>
    <w:tmpl w:val="29863C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9C4D0F"/>
    <w:multiLevelType w:val="hybridMultilevel"/>
    <w:tmpl w:val="17A67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193EFE"/>
    <w:multiLevelType w:val="hybridMultilevel"/>
    <w:tmpl w:val="B50614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DD7EF9"/>
    <w:multiLevelType w:val="hybridMultilevel"/>
    <w:tmpl w:val="BB74D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1AE1F6C"/>
    <w:multiLevelType w:val="hybridMultilevel"/>
    <w:tmpl w:val="69E63E7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7E0447A"/>
    <w:multiLevelType w:val="hybridMultilevel"/>
    <w:tmpl w:val="B9B016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FD4158"/>
    <w:multiLevelType w:val="hybridMultilevel"/>
    <w:tmpl w:val="0290A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1B24BD"/>
    <w:multiLevelType w:val="hybridMultilevel"/>
    <w:tmpl w:val="20E40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9D466B7"/>
    <w:multiLevelType w:val="hybridMultilevel"/>
    <w:tmpl w:val="B4047EDC"/>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72582481">
    <w:abstractNumId w:val="8"/>
  </w:num>
  <w:num w:numId="2" w16cid:durableId="1042054796">
    <w:abstractNumId w:val="3"/>
  </w:num>
  <w:num w:numId="3" w16cid:durableId="1673221912">
    <w:abstractNumId w:val="1"/>
  </w:num>
  <w:num w:numId="4" w16cid:durableId="1688285247">
    <w:abstractNumId w:val="5"/>
  </w:num>
  <w:num w:numId="5" w16cid:durableId="634409545">
    <w:abstractNumId w:val="0"/>
  </w:num>
  <w:num w:numId="6" w16cid:durableId="1980719805">
    <w:abstractNumId w:val="9"/>
  </w:num>
  <w:num w:numId="7" w16cid:durableId="865800229">
    <w:abstractNumId w:val="7"/>
  </w:num>
  <w:num w:numId="8" w16cid:durableId="156121115">
    <w:abstractNumId w:val="6"/>
  </w:num>
  <w:num w:numId="9" w16cid:durableId="1521777490">
    <w:abstractNumId w:val="10"/>
  </w:num>
  <w:num w:numId="10" w16cid:durableId="988287881">
    <w:abstractNumId w:val="4"/>
  </w:num>
  <w:num w:numId="11" w16cid:durableId="1272978442">
    <w:abstractNumId w:val="11"/>
  </w:num>
  <w:num w:numId="12" w16cid:durableId="9267693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6A1"/>
    <w:rsid w:val="00001BE8"/>
    <w:rsid w:val="00001F4F"/>
    <w:rsid w:val="000050E7"/>
    <w:rsid w:val="00007D2C"/>
    <w:rsid w:val="0001100C"/>
    <w:rsid w:val="000131FD"/>
    <w:rsid w:val="00016195"/>
    <w:rsid w:val="0002153B"/>
    <w:rsid w:val="00026B24"/>
    <w:rsid w:val="0003414C"/>
    <w:rsid w:val="00044422"/>
    <w:rsid w:val="00044E93"/>
    <w:rsid w:val="00047595"/>
    <w:rsid w:val="00057104"/>
    <w:rsid w:val="000576FA"/>
    <w:rsid w:val="0006518C"/>
    <w:rsid w:val="000663B4"/>
    <w:rsid w:val="0007017B"/>
    <w:rsid w:val="000726F7"/>
    <w:rsid w:val="000730B9"/>
    <w:rsid w:val="00076368"/>
    <w:rsid w:val="000770BA"/>
    <w:rsid w:val="000800AA"/>
    <w:rsid w:val="0008430E"/>
    <w:rsid w:val="00093EE2"/>
    <w:rsid w:val="000950F6"/>
    <w:rsid w:val="000A6739"/>
    <w:rsid w:val="000C1936"/>
    <w:rsid w:val="000C4038"/>
    <w:rsid w:val="000D3B5C"/>
    <w:rsid w:val="000D4122"/>
    <w:rsid w:val="000D464B"/>
    <w:rsid w:val="000F0558"/>
    <w:rsid w:val="00100E2C"/>
    <w:rsid w:val="001071D0"/>
    <w:rsid w:val="00110B79"/>
    <w:rsid w:val="00111EF3"/>
    <w:rsid w:val="001254BA"/>
    <w:rsid w:val="001271A2"/>
    <w:rsid w:val="001312C5"/>
    <w:rsid w:val="0013608A"/>
    <w:rsid w:val="00147A20"/>
    <w:rsid w:val="00150D31"/>
    <w:rsid w:val="0015104A"/>
    <w:rsid w:val="0015158E"/>
    <w:rsid w:val="00151A18"/>
    <w:rsid w:val="00152500"/>
    <w:rsid w:val="001554D9"/>
    <w:rsid w:val="0015786E"/>
    <w:rsid w:val="001656ED"/>
    <w:rsid w:val="00171D86"/>
    <w:rsid w:val="00172355"/>
    <w:rsid w:val="00174A79"/>
    <w:rsid w:val="00176FEA"/>
    <w:rsid w:val="001950B4"/>
    <w:rsid w:val="001D2D20"/>
    <w:rsid w:val="001D360B"/>
    <w:rsid w:val="001E064A"/>
    <w:rsid w:val="001E609E"/>
    <w:rsid w:val="001E76A8"/>
    <w:rsid w:val="001F20D8"/>
    <w:rsid w:val="001F4D54"/>
    <w:rsid w:val="001F5103"/>
    <w:rsid w:val="00201100"/>
    <w:rsid w:val="00215128"/>
    <w:rsid w:val="00215D1A"/>
    <w:rsid w:val="002377C7"/>
    <w:rsid w:val="00242375"/>
    <w:rsid w:val="002433BF"/>
    <w:rsid w:val="00246EC3"/>
    <w:rsid w:val="00250AF6"/>
    <w:rsid w:val="0025167E"/>
    <w:rsid w:val="00251E92"/>
    <w:rsid w:val="00256955"/>
    <w:rsid w:val="00263DCB"/>
    <w:rsid w:val="00276296"/>
    <w:rsid w:val="0028646A"/>
    <w:rsid w:val="002A06B4"/>
    <w:rsid w:val="002A2052"/>
    <w:rsid w:val="002A3E66"/>
    <w:rsid w:val="002A5330"/>
    <w:rsid w:val="002A581C"/>
    <w:rsid w:val="002B0337"/>
    <w:rsid w:val="002B11ED"/>
    <w:rsid w:val="002B1C1C"/>
    <w:rsid w:val="002C0959"/>
    <w:rsid w:val="002C2779"/>
    <w:rsid w:val="002C7223"/>
    <w:rsid w:val="002E4C7F"/>
    <w:rsid w:val="002F4275"/>
    <w:rsid w:val="002F66FA"/>
    <w:rsid w:val="002F788D"/>
    <w:rsid w:val="00304E40"/>
    <w:rsid w:val="003072D3"/>
    <w:rsid w:val="003076D5"/>
    <w:rsid w:val="00324BA4"/>
    <w:rsid w:val="00324F60"/>
    <w:rsid w:val="00326B04"/>
    <w:rsid w:val="003352E6"/>
    <w:rsid w:val="0033719B"/>
    <w:rsid w:val="0034037B"/>
    <w:rsid w:val="00343923"/>
    <w:rsid w:val="00343E21"/>
    <w:rsid w:val="00346A11"/>
    <w:rsid w:val="00356012"/>
    <w:rsid w:val="003604C6"/>
    <w:rsid w:val="003621BF"/>
    <w:rsid w:val="003671F3"/>
    <w:rsid w:val="00396B33"/>
    <w:rsid w:val="00397D09"/>
    <w:rsid w:val="003A1C47"/>
    <w:rsid w:val="003B440F"/>
    <w:rsid w:val="003C174C"/>
    <w:rsid w:val="003C1B2A"/>
    <w:rsid w:val="003C451C"/>
    <w:rsid w:val="003C53E2"/>
    <w:rsid w:val="003C64C7"/>
    <w:rsid w:val="003C6C49"/>
    <w:rsid w:val="003D1F27"/>
    <w:rsid w:val="003E65A0"/>
    <w:rsid w:val="00406CDA"/>
    <w:rsid w:val="00406FB5"/>
    <w:rsid w:val="00411259"/>
    <w:rsid w:val="00413684"/>
    <w:rsid w:val="004227A1"/>
    <w:rsid w:val="00430928"/>
    <w:rsid w:val="00433B56"/>
    <w:rsid w:val="00436CB4"/>
    <w:rsid w:val="00441783"/>
    <w:rsid w:val="0044325A"/>
    <w:rsid w:val="00446563"/>
    <w:rsid w:val="004478AC"/>
    <w:rsid w:val="00447FAA"/>
    <w:rsid w:val="00463A5C"/>
    <w:rsid w:val="0046564E"/>
    <w:rsid w:val="00465733"/>
    <w:rsid w:val="00467ADD"/>
    <w:rsid w:val="00473212"/>
    <w:rsid w:val="0048083B"/>
    <w:rsid w:val="00481B18"/>
    <w:rsid w:val="004843F8"/>
    <w:rsid w:val="004A46C8"/>
    <w:rsid w:val="004A585A"/>
    <w:rsid w:val="004B0FC8"/>
    <w:rsid w:val="004B446E"/>
    <w:rsid w:val="004B602E"/>
    <w:rsid w:val="004B6C87"/>
    <w:rsid w:val="004C1415"/>
    <w:rsid w:val="004C1DF9"/>
    <w:rsid w:val="004C31EF"/>
    <w:rsid w:val="004C4A39"/>
    <w:rsid w:val="004C5AD0"/>
    <w:rsid w:val="004C67DE"/>
    <w:rsid w:val="004D04B7"/>
    <w:rsid w:val="004D7E2E"/>
    <w:rsid w:val="004E3AB8"/>
    <w:rsid w:val="005242FF"/>
    <w:rsid w:val="00524710"/>
    <w:rsid w:val="0055127B"/>
    <w:rsid w:val="00553364"/>
    <w:rsid w:val="00572ED8"/>
    <w:rsid w:val="00573672"/>
    <w:rsid w:val="00576423"/>
    <w:rsid w:val="005764B9"/>
    <w:rsid w:val="00576A90"/>
    <w:rsid w:val="00580FFB"/>
    <w:rsid w:val="005822FB"/>
    <w:rsid w:val="005A2790"/>
    <w:rsid w:val="005A5B34"/>
    <w:rsid w:val="005A6FF5"/>
    <w:rsid w:val="005A7A15"/>
    <w:rsid w:val="005B759A"/>
    <w:rsid w:val="005C228D"/>
    <w:rsid w:val="005C2937"/>
    <w:rsid w:val="005C48B8"/>
    <w:rsid w:val="005D3A4C"/>
    <w:rsid w:val="005D4C08"/>
    <w:rsid w:val="005E0D14"/>
    <w:rsid w:val="006011EA"/>
    <w:rsid w:val="00607CED"/>
    <w:rsid w:val="006124C6"/>
    <w:rsid w:val="006139D5"/>
    <w:rsid w:val="00624405"/>
    <w:rsid w:val="006251F4"/>
    <w:rsid w:val="00640D75"/>
    <w:rsid w:val="00642BE1"/>
    <w:rsid w:val="00643CA2"/>
    <w:rsid w:val="006458F6"/>
    <w:rsid w:val="00675D6A"/>
    <w:rsid w:val="00682C22"/>
    <w:rsid w:val="00690E88"/>
    <w:rsid w:val="006B5200"/>
    <w:rsid w:val="006C03FD"/>
    <w:rsid w:val="006C0BD2"/>
    <w:rsid w:val="006C6AB0"/>
    <w:rsid w:val="006E6000"/>
    <w:rsid w:val="006F5CF5"/>
    <w:rsid w:val="00702899"/>
    <w:rsid w:val="00702F0E"/>
    <w:rsid w:val="007033C3"/>
    <w:rsid w:val="00706EF3"/>
    <w:rsid w:val="0071442C"/>
    <w:rsid w:val="0072228C"/>
    <w:rsid w:val="0072303F"/>
    <w:rsid w:val="007232C4"/>
    <w:rsid w:val="00723ED3"/>
    <w:rsid w:val="00726FFB"/>
    <w:rsid w:val="007330C1"/>
    <w:rsid w:val="0073756E"/>
    <w:rsid w:val="00742777"/>
    <w:rsid w:val="00745557"/>
    <w:rsid w:val="00763201"/>
    <w:rsid w:val="00770667"/>
    <w:rsid w:val="00770AC8"/>
    <w:rsid w:val="0078408B"/>
    <w:rsid w:val="0078433F"/>
    <w:rsid w:val="00785CF5"/>
    <w:rsid w:val="007911D2"/>
    <w:rsid w:val="00794A5B"/>
    <w:rsid w:val="00797F43"/>
    <w:rsid w:val="007B0A30"/>
    <w:rsid w:val="007B2024"/>
    <w:rsid w:val="007C41B1"/>
    <w:rsid w:val="007F5003"/>
    <w:rsid w:val="00802B31"/>
    <w:rsid w:val="00804D09"/>
    <w:rsid w:val="0081543B"/>
    <w:rsid w:val="008252E9"/>
    <w:rsid w:val="008502E2"/>
    <w:rsid w:val="0085659C"/>
    <w:rsid w:val="0085730C"/>
    <w:rsid w:val="00874567"/>
    <w:rsid w:val="00874571"/>
    <w:rsid w:val="00887665"/>
    <w:rsid w:val="00897740"/>
    <w:rsid w:val="008A552E"/>
    <w:rsid w:val="008A5E12"/>
    <w:rsid w:val="008A6E25"/>
    <w:rsid w:val="008B053A"/>
    <w:rsid w:val="008B2DBE"/>
    <w:rsid w:val="008B5789"/>
    <w:rsid w:val="008C1729"/>
    <w:rsid w:val="008C5D6E"/>
    <w:rsid w:val="008C62E8"/>
    <w:rsid w:val="008E2CFE"/>
    <w:rsid w:val="008E452F"/>
    <w:rsid w:val="008F0599"/>
    <w:rsid w:val="008F1194"/>
    <w:rsid w:val="009021AD"/>
    <w:rsid w:val="0091202D"/>
    <w:rsid w:val="00912FFF"/>
    <w:rsid w:val="00913F70"/>
    <w:rsid w:val="009200D9"/>
    <w:rsid w:val="00922316"/>
    <w:rsid w:val="009238F7"/>
    <w:rsid w:val="00936D95"/>
    <w:rsid w:val="009473AF"/>
    <w:rsid w:val="009507D1"/>
    <w:rsid w:val="00950D5A"/>
    <w:rsid w:val="00953D52"/>
    <w:rsid w:val="00963CDD"/>
    <w:rsid w:val="0097119E"/>
    <w:rsid w:val="00973DA8"/>
    <w:rsid w:val="009870B4"/>
    <w:rsid w:val="00994A47"/>
    <w:rsid w:val="009A5018"/>
    <w:rsid w:val="009B7AF9"/>
    <w:rsid w:val="009C225A"/>
    <w:rsid w:val="009C3F99"/>
    <w:rsid w:val="009C5380"/>
    <w:rsid w:val="009C5936"/>
    <w:rsid w:val="009D4830"/>
    <w:rsid w:val="009D57BC"/>
    <w:rsid w:val="009F101B"/>
    <w:rsid w:val="009F607C"/>
    <w:rsid w:val="00A02772"/>
    <w:rsid w:val="00A05397"/>
    <w:rsid w:val="00A105ED"/>
    <w:rsid w:val="00A11ACB"/>
    <w:rsid w:val="00A122A5"/>
    <w:rsid w:val="00A53111"/>
    <w:rsid w:val="00A55286"/>
    <w:rsid w:val="00A57141"/>
    <w:rsid w:val="00A64C6D"/>
    <w:rsid w:val="00A71627"/>
    <w:rsid w:val="00A836E7"/>
    <w:rsid w:val="00A8647A"/>
    <w:rsid w:val="00A9091F"/>
    <w:rsid w:val="00AC05F2"/>
    <w:rsid w:val="00AC3E38"/>
    <w:rsid w:val="00AC6477"/>
    <w:rsid w:val="00AD33EB"/>
    <w:rsid w:val="00AE1EE7"/>
    <w:rsid w:val="00AE4DB7"/>
    <w:rsid w:val="00AE7DD3"/>
    <w:rsid w:val="00AF08D8"/>
    <w:rsid w:val="00AF16F6"/>
    <w:rsid w:val="00AF2366"/>
    <w:rsid w:val="00B02FAE"/>
    <w:rsid w:val="00B03515"/>
    <w:rsid w:val="00B128BC"/>
    <w:rsid w:val="00B14E78"/>
    <w:rsid w:val="00B158DE"/>
    <w:rsid w:val="00B21BF4"/>
    <w:rsid w:val="00B2524C"/>
    <w:rsid w:val="00B45F6F"/>
    <w:rsid w:val="00B51987"/>
    <w:rsid w:val="00B6724E"/>
    <w:rsid w:val="00B711A3"/>
    <w:rsid w:val="00B75642"/>
    <w:rsid w:val="00B75C4D"/>
    <w:rsid w:val="00BA1186"/>
    <w:rsid w:val="00BA76D7"/>
    <w:rsid w:val="00BC340E"/>
    <w:rsid w:val="00BC3A10"/>
    <w:rsid w:val="00BD55E8"/>
    <w:rsid w:val="00BD65A2"/>
    <w:rsid w:val="00BF37B6"/>
    <w:rsid w:val="00C1615B"/>
    <w:rsid w:val="00C3231B"/>
    <w:rsid w:val="00C3345B"/>
    <w:rsid w:val="00C4408C"/>
    <w:rsid w:val="00C45008"/>
    <w:rsid w:val="00C46A00"/>
    <w:rsid w:val="00C51308"/>
    <w:rsid w:val="00C56E6F"/>
    <w:rsid w:val="00C65A27"/>
    <w:rsid w:val="00C74140"/>
    <w:rsid w:val="00C76366"/>
    <w:rsid w:val="00C768CC"/>
    <w:rsid w:val="00C934D1"/>
    <w:rsid w:val="00C9361A"/>
    <w:rsid w:val="00C93AD5"/>
    <w:rsid w:val="00C95324"/>
    <w:rsid w:val="00CB049A"/>
    <w:rsid w:val="00CB3BBD"/>
    <w:rsid w:val="00CC3BFD"/>
    <w:rsid w:val="00CD1B16"/>
    <w:rsid w:val="00CD5E1B"/>
    <w:rsid w:val="00CE3BE0"/>
    <w:rsid w:val="00CF4C3E"/>
    <w:rsid w:val="00D01EF4"/>
    <w:rsid w:val="00D01F88"/>
    <w:rsid w:val="00D12491"/>
    <w:rsid w:val="00D12573"/>
    <w:rsid w:val="00D16268"/>
    <w:rsid w:val="00D301F0"/>
    <w:rsid w:val="00D30DBE"/>
    <w:rsid w:val="00D36AF9"/>
    <w:rsid w:val="00D37844"/>
    <w:rsid w:val="00D43EB6"/>
    <w:rsid w:val="00D459F7"/>
    <w:rsid w:val="00D509B8"/>
    <w:rsid w:val="00D70892"/>
    <w:rsid w:val="00D70CB7"/>
    <w:rsid w:val="00D779EB"/>
    <w:rsid w:val="00D847AC"/>
    <w:rsid w:val="00D906A1"/>
    <w:rsid w:val="00DA062B"/>
    <w:rsid w:val="00DA6F7A"/>
    <w:rsid w:val="00DB4BF4"/>
    <w:rsid w:val="00DD2D21"/>
    <w:rsid w:val="00DE1661"/>
    <w:rsid w:val="00DE3B98"/>
    <w:rsid w:val="00DE4ACF"/>
    <w:rsid w:val="00E0164C"/>
    <w:rsid w:val="00E052D7"/>
    <w:rsid w:val="00E14D42"/>
    <w:rsid w:val="00E30875"/>
    <w:rsid w:val="00E372C2"/>
    <w:rsid w:val="00E374BB"/>
    <w:rsid w:val="00E37A9D"/>
    <w:rsid w:val="00E44330"/>
    <w:rsid w:val="00E6743A"/>
    <w:rsid w:val="00E70180"/>
    <w:rsid w:val="00E701CC"/>
    <w:rsid w:val="00E851DA"/>
    <w:rsid w:val="00EB4B35"/>
    <w:rsid w:val="00EB76EB"/>
    <w:rsid w:val="00ED0593"/>
    <w:rsid w:val="00EE7598"/>
    <w:rsid w:val="00EF2F6C"/>
    <w:rsid w:val="00EF5763"/>
    <w:rsid w:val="00F03E25"/>
    <w:rsid w:val="00F114ED"/>
    <w:rsid w:val="00F12BD4"/>
    <w:rsid w:val="00F21D30"/>
    <w:rsid w:val="00F3148E"/>
    <w:rsid w:val="00F33595"/>
    <w:rsid w:val="00F402D8"/>
    <w:rsid w:val="00F42DEA"/>
    <w:rsid w:val="00F44F60"/>
    <w:rsid w:val="00F45FA3"/>
    <w:rsid w:val="00F50912"/>
    <w:rsid w:val="00F51021"/>
    <w:rsid w:val="00F65049"/>
    <w:rsid w:val="00F676FA"/>
    <w:rsid w:val="00F82714"/>
    <w:rsid w:val="00F8341F"/>
    <w:rsid w:val="00F842B4"/>
    <w:rsid w:val="00F91518"/>
    <w:rsid w:val="00F94C2B"/>
    <w:rsid w:val="00F96EC9"/>
    <w:rsid w:val="00FA4707"/>
    <w:rsid w:val="00FA7C2B"/>
    <w:rsid w:val="00FB0471"/>
    <w:rsid w:val="00FB4844"/>
    <w:rsid w:val="00FC75CA"/>
    <w:rsid w:val="00FD2F9D"/>
    <w:rsid w:val="00FD7C75"/>
    <w:rsid w:val="00FE1A66"/>
    <w:rsid w:val="00FE3D4D"/>
    <w:rsid w:val="00FF25F6"/>
    <w:rsid w:val="00FF600D"/>
    <w:rsid w:val="00FF62DC"/>
    <w:rsid w:val="00FF75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A3AAE1"/>
  <w15:chartTrackingRefBased/>
  <w15:docId w15:val="{2BCE3765-A94B-455E-A27D-F7B27103B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kern w:val="2"/>
        <w:sz w:val="22"/>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noProof/>
      <w:lang w:val="mn-MN"/>
    </w:rPr>
  </w:style>
  <w:style w:type="paragraph" w:styleId="Heading1">
    <w:name w:val="heading 1"/>
    <w:basedOn w:val="Normal"/>
    <w:next w:val="Normal"/>
    <w:link w:val="Heading1Char"/>
    <w:uiPriority w:val="9"/>
    <w:qFormat/>
    <w:rsid w:val="00D906A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906A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906A1"/>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D906A1"/>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D906A1"/>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D906A1"/>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D906A1"/>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D906A1"/>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D906A1"/>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06A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906A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906A1"/>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906A1"/>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D906A1"/>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D906A1"/>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906A1"/>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906A1"/>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906A1"/>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906A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906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906A1"/>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906A1"/>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D906A1"/>
    <w:pPr>
      <w:spacing w:before="160"/>
      <w:jc w:val="center"/>
    </w:pPr>
    <w:rPr>
      <w:i/>
      <w:iCs/>
      <w:color w:val="404040" w:themeColor="text1" w:themeTint="BF"/>
    </w:rPr>
  </w:style>
  <w:style w:type="character" w:customStyle="1" w:styleId="QuoteChar">
    <w:name w:val="Quote Char"/>
    <w:basedOn w:val="DefaultParagraphFont"/>
    <w:link w:val="Quote"/>
    <w:uiPriority w:val="29"/>
    <w:rsid w:val="00D906A1"/>
    <w:rPr>
      <w:i/>
      <w:iCs/>
      <w:color w:val="404040" w:themeColor="text1" w:themeTint="BF"/>
    </w:rPr>
  </w:style>
  <w:style w:type="paragraph" w:styleId="ListParagraph">
    <w:name w:val="List Paragraph"/>
    <w:basedOn w:val="Normal"/>
    <w:uiPriority w:val="34"/>
    <w:qFormat/>
    <w:rsid w:val="00D906A1"/>
    <w:pPr>
      <w:ind w:left="720"/>
      <w:contextualSpacing/>
    </w:pPr>
  </w:style>
  <w:style w:type="character" w:styleId="IntenseEmphasis">
    <w:name w:val="Intense Emphasis"/>
    <w:basedOn w:val="DefaultParagraphFont"/>
    <w:uiPriority w:val="21"/>
    <w:qFormat/>
    <w:rsid w:val="00D906A1"/>
    <w:rPr>
      <w:i/>
      <w:iCs/>
      <w:color w:val="2F5496" w:themeColor="accent1" w:themeShade="BF"/>
    </w:rPr>
  </w:style>
  <w:style w:type="paragraph" w:styleId="IntenseQuote">
    <w:name w:val="Intense Quote"/>
    <w:basedOn w:val="Normal"/>
    <w:next w:val="Normal"/>
    <w:link w:val="IntenseQuoteChar"/>
    <w:uiPriority w:val="30"/>
    <w:qFormat/>
    <w:rsid w:val="00D906A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906A1"/>
    <w:rPr>
      <w:i/>
      <w:iCs/>
      <w:color w:val="2F5496" w:themeColor="accent1" w:themeShade="BF"/>
    </w:rPr>
  </w:style>
  <w:style w:type="character" w:styleId="IntenseReference">
    <w:name w:val="Intense Reference"/>
    <w:basedOn w:val="DefaultParagraphFont"/>
    <w:uiPriority w:val="32"/>
    <w:qFormat/>
    <w:rsid w:val="00D906A1"/>
    <w:rPr>
      <w:b/>
      <w:bCs/>
      <w:smallCaps/>
      <w:color w:val="2F5496" w:themeColor="accent1" w:themeShade="BF"/>
      <w:spacing w:val="5"/>
    </w:rPr>
  </w:style>
  <w:style w:type="character" w:styleId="PlaceholderText">
    <w:name w:val="Placeholder Text"/>
    <w:basedOn w:val="DefaultParagraphFont"/>
    <w:uiPriority w:val="99"/>
    <w:semiHidden/>
    <w:rsid w:val="00152500"/>
    <w:rPr>
      <w:color w:val="666666"/>
    </w:rPr>
  </w:style>
  <w:style w:type="paragraph" w:styleId="NormalWeb">
    <w:name w:val="Normal (Web)"/>
    <w:basedOn w:val="Normal"/>
    <w:uiPriority w:val="99"/>
    <w:unhideWhenUsed/>
    <w:rsid w:val="00874571"/>
    <w:pPr>
      <w:spacing w:before="100" w:beforeAutospacing="1" w:after="100" w:afterAutospacing="1" w:line="240" w:lineRule="auto"/>
    </w:pPr>
    <w:rPr>
      <w:rFonts w:ascii="SimSun" w:eastAsia="SimSun" w:hAnsi="SimSun" w:cs="SimSun"/>
      <w:kern w:val="0"/>
      <w:sz w:val="24"/>
      <w:lang w:eastAsia="zh-CN" w:bidi="mn-Mong-CN"/>
      <w14:ligatures w14:val="none"/>
    </w:rPr>
  </w:style>
  <w:style w:type="table" w:styleId="TableGrid">
    <w:name w:val="Table Grid"/>
    <w:basedOn w:val="TableNormal"/>
    <w:uiPriority w:val="39"/>
    <w:rsid w:val="00CD5E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51021"/>
    <w:rPr>
      <w:color w:val="0563C1" w:themeColor="hyperlink"/>
      <w:u w:val="single"/>
    </w:rPr>
  </w:style>
  <w:style w:type="character" w:styleId="UnresolvedMention">
    <w:name w:val="Unresolved Mention"/>
    <w:basedOn w:val="DefaultParagraphFont"/>
    <w:uiPriority w:val="99"/>
    <w:semiHidden/>
    <w:unhideWhenUsed/>
    <w:rsid w:val="00F51021"/>
    <w:rPr>
      <w:color w:val="605E5C"/>
      <w:shd w:val="clear" w:color="auto" w:fill="E1DFDD"/>
    </w:rPr>
  </w:style>
  <w:style w:type="paragraph" w:styleId="FootnoteText">
    <w:name w:val="footnote text"/>
    <w:basedOn w:val="Normal"/>
    <w:link w:val="FootnoteTextChar"/>
    <w:uiPriority w:val="99"/>
    <w:semiHidden/>
    <w:unhideWhenUsed/>
    <w:rsid w:val="00396B3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96B33"/>
    <w:rPr>
      <w:noProof/>
      <w:sz w:val="20"/>
      <w:szCs w:val="20"/>
      <w:lang w:val="mn-MN"/>
    </w:rPr>
  </w:style>
  <w:style w:type="character" w:styleId="FootnoteReference">
    <w:name w:val="footnote reference"/>
    <w:basedOn w:val="DefaultParagraphFont"/>
    <w:uiPriority w:val="99"/>
    <w:semiHidden/>
    <w:unhideWhenUsed/>
    <w:rsid w:val="00396B3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2783388">
      <w:bodyDiv w:val="1"/>
      <w:marLeft w:val="0"/>
      <w:marRight w:val="0"/>
      <w:marTop w:val="0"/>
      <w:marBottom w:val="0"/>
      <w:divBdr>
        <w:top w:val="none" w:sz="0" w:space="0" w:color="auto"/>
        <w:left w:val="none" w:sz="0" w:space="0" w:color="auto"/>
        <w:bottom w:val="none" w:sz="0" w:space="0" w:color="auto"/>
        <w:right w:val="none" w:sz="0" w:space="0" w:color="auto"/>
      </w:divBdr>
    </w:div>
    <w:div w:id="378170973">
      <w:bodyDiv w:val="1"/>
      <w:marLeft w:val="0"/>
      <w:marRight w:val="0"/>
      <w:marTop w:val="0"/>
      <w:marBottom w:val="0"/>
      <w:divBdr>
        <w:top w:val="none" w:sz="0" w:space="0" w:color="auto"/>
        <w:left w:val="none" w:sz="0" w:space="0" w:color="auto"/>
        <w:bottom w:val="none" w:sz="0" w:space="0" w:color="auto"/>
        <w:right w:val="none" w:sz="0" w:space="0" w:color="auto"/>
      </w:divBdr>
    </w:div>
    <w:div w:id="414208687">
      <w:bodyDiv w:val="1"/>
      <w:marLeft w:val="0"/>
      <w:marRight w:val="0"/>
      <w:marTop w:val="0"/>
      <w:marBottom w:val="0"/>
      <w:divBdr>
        <w:top w:val="none" w:sz="0" w:space="0" w:color="auto"/>
        <w:left w:val="none" w:sz="0" w:space="0" w:color="auto"/>
        <w:bottom w:val="none" w:sz="0" w:space="0" w:color="auto"/>
        <w:right w:val="none" w:sz="0" w:space="0" w:color="auto"/>
      </w:divBdr>
    </w:div>
    <w:div w:id="544215894">
      <w:bodyDiv w:val="1"/>
      <w:marLeft w:val="0"/>
      <w:marRight w:val="0"/>
      <w:marTop w:val="0"/>
      <w:marBottom w:val="0"/>
      <w:divBdr>
        <w:top w:val="none" w:sz="0" w:space="0" w:color="auto"/>
        <w:left w:val="none" w:sz="0" w:space="0" w:color="auto"/>
        <w:bottom w:val="none" w:sz="0" w:space="0" w:color="auto"/>
        <w:right w:val="none" w:sz="0" w:space="0" w:color="auto"/>
      </w:divBdr>
    </w:div>
    <w:div w:id="620919370">
      <w:bodyDiv w:val="1"/>
      <w:marLeft w:val="0"/>
      <w:marRight w:val="0"/>
      <w:marTop w:val="0"/>
      <w:marBottom w:val="0"/>
      <w:divBdr>
        <w:top w:val="none" w:sz="0" w:space="0" w:color="auto"/>
        <w:left w:val="none" w:sz="0" w:space="0" w:color="auto"/>
        <w:bottom w:val="none" w:sz="0" w:space="0" w:color="auto"/>
        <w:right w:val="none" w:sz="0" w:space="0" w:color="auto"/>
      </w:divBdr>
    </w:div>
    <w:div w:id="1057971042">
      <w:bodyDiv w:val="1"/>
      <w:marLeft w:val="0"/>
      <w:marRight w:val="0"/>
      <w:marTop w:val="0"/>
      <w:marBottom w:val="0"/>
      <w:divBdr>
        <w:top w:val="none" w:sz="0" w:space="0" w:color="auto"/>
        <w:left w:val="none" w:sz="0" w:space="0" w:color="auto"/>
        <w:bottom w:val="none" w:sz="0" w:space="0" w:color="auto"/>
        <w:right w:val="none" w:sz="0" w:space="0" w:color="auto"/>
      </w:divBdr>
    </w:div>
    <w:div w:id="1225987377">
      <w:bodyDiv w:val="1"/>
      <w:marLeft w:val="0"/>
      <w:marRight w:val="0"/>
      <w:marTop w:val="0"/>
      <w:marBottom w:val="0"/>
      <w:divBdr>
        <w:top w:val="none" w:sz="0" w:space="0" w:color="auto"/>
        <w:left w:val="none" w:sz="0" w:space="0" w:color="auto"/>
        <w:bottom w:val="none" w:sz="0" w:space="0" w:color="auto"/>
        <w:right w:val="none" w:sz="0" w:space="0" w:color="auto"/>
      </w:divBdr>
    </w:div>
    <w:div w:id="1336496818">
      <w:bodyDiv w:val="1"/>
      <w:marLeft w:val="0"/>
      <w:marRight w:val="0"/>
      <w:marTop w:val="0"/>
      <w:marBottom w:val="0"/>
      <w:divBdr>
        <w:top w:val="none" w:sz="0" w:space="0" w:color="auto"/>
        <w:left w:val="none" w:sz="0" w:space="0" w:color="auto"/>
        <w:bottom w:val="none" w:sz="0" w:space="0" w:color="auto"/>
        <w:right w:val="none" w:sz="0" w:space="0" w:color="auto"/>
      </w:divBdr>
    </w:div>
    <w:div w:id="1384060018">
      <w:bodyDiv w:val="1"/>
      <w:marLeft w:val="0"/>
      <w:marRight w:val="0"/>
      <w:marTop w:val="0"/>
      <w:marBottom w:val="0"/>
      <w:divBdr>
        <w:top w:val="none" w:sz="0" w:space="0" w:color="auto"/>
        <w:left w:val="none" w:sz="0" w:space="0" w:color="auto"/>
        <w:bottom w:val="none" w:sz="0" w:space="0" w:color="auto"/>
        <w:right w:val="none" w:sz="0" w:space="0" w:color="auto"/>
      </w:divBdr>
    </w:div>
    <w:div w:id="1478691362">
      <w:bodyDiv w:val="1"/>
      <w:marLeft w:val="0"/>
      <w:marRight w:val="0"/>
      <w:marTop w:val="0"/>
      <w:marBottom w:val="0"/>
      <w:divBdr>
        <w:top w:val="none" w:sz="0" w:space="0" w:color="auto"/>
        <w:left w:val="none" w:sz="0" w:space="0" w:color="auto"/>
        <w:bottom w:val="none" w:sz="0" w:space="0" w:color="auto"/>
        <w:right w:val="none" w:sz="0" w:space="0" w:color="auto"/>
      </w:divBdr>
    </w:div>
    <w:div w:id="1926456930">
      <w:bodyDiv w:val="1"/>
      <w:marLeft w:val="0"/>
      <w:marRight w:val="0"/>
      <w:marTop w:val="0"/>
      <w:marBottom w:val="0"/>
      <w:divBdr>
        <w:top w:val="none" w:sz="0" w:space="0" w:color="auto"/>
        <w:left w:val="none" w:sz="0" w:space="0" w:color="auto"/>
        <w:bottom w:val="none" w:sz="0" w:space="0" w:color="auto"/>
        <w:right w:val="none" w:sz="0" w:space="0" w:color="auto"/>
      </w:divBdr>
    </w:div>
    <w:div w:id="1995451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urarchive.otago.ac.nz/handle/10523/1572" TargetMode="External"/><Relationship Id="rId13" Type="http://schemas.openxmlformats.org/officeDocument/2006/relationships/hyperlink" Target="https://doi.org/10.27006/d.cnki.gdbcu.2023.000517"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27274/d.cnki.gsdjc.2024.001523"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515/emj-2016-000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doi.org/10.1016/j.chieco.2020.12.003" TargetMode="External"/><Relationship Id="rId4" Type="http://schemas.openxmlformats.org/officeDocument/2006/relationships/settings" Target="settings.xml"/><Relationship Id="rId9" Type="http://schemas.openxmlformats.org/officeDocument/2006/relationships/hyperlink" Target="https://doi.org/10.1162/qjec.2007.122.4.1351" TargetMode="External"/><Relationship Id="rId14" Type="http://schemas.openxmlformats.org/officeDocument/2006/relationships/hyperlink" Target="https://doi.org/10.1016/j.cjar.2013.03.0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383F7D-51B5-4D5D-A327-E88FE619E6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9</Pages>
  <Words>3801</Words>
  <Characters>21666</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Altan-Erdene Batbayar</dc:creator>
  <cp:keywords/>
  <dc:description/>
  <cp:lastModifiedBy>Altan-Erdene Batbayar</cp:lastModifiedBy>
  <cp:revision>34</cp:revision>
  <cp:lastPrinted>2025-04-16T18:06:00Z</cp:lastPrinted>
  <dcterms:created xsi:type="dcterms:W3CDTF">2025-04-17T05:46:00Z</dcterms:created>
  <dcterms:modified xsi:type="dcterms:W3CDTF">2025-04-17T07:43:00Z</dcterms:modified>
</cp:coreProperties>
</file>