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6D8FB" w14:textId="488FE2F7" w:rsidR="00067678" w:rsidRPr="00067678" w:rsidRDefault="00067678" w:rsidP="00067678">
      <w:pPr>
        <w:spacing w:before="100" w:beforeAutospacing="1" w:after="100" w:afterAutospacing="1" w:line="360" w:lineRule="auto"/>
        <w:jc w:val="center"/>
        <w:outlineLvl w:val="2"/>
        <w:rPr>
          <w:rFonts w:ascii="Times New Roman" w:eastAsia="Times New Roman" w:hAnsi="Times New Roman" w:cs="Times New Roman"/>
          <w:b/>
          <w:bCs/>
          <w:sz w:val="28"/>
          <w:szCs w:val="28"/>
          <w:lang w:val="en-IN"/>
        </w:rPr>
      </w:pPr>
      <w:r w:rsidRPr="00067678">
        <w:rPr>
          <w:rFonts w:ascii="Times New Roman" w:eastAsia="Times New Roman" w:hAnsi="Times New Roman" w:cs="Times New Roman"/>
          <w:b/>
          <w:bCs/>
          <w:sz w:val="28"/>
          <w:szCs w:val="28"/>
          <w:lang w:val="en-IN"/>
        </w:rPr>
        <w:t xml:space="preserve">"Evaluation of the Litholytic and Nephroprotective Effects of </w:t>
      </w:r>
      <w:r w:rsidRPr="00067678">
        <w:rPr>
          <w:rFonts w:ascii="Times New Roman" w:eastAsia="Times New Roman" w:hAnsi="Times New Roman" w:cs="Times New Roman"/>
          <w:b/>
          <w:bCs/>
          <w:i/>
          <w:iCs/>
          <w:sz w:val="28"/>
          <w:szCs w:val="28"/>
          <w:lang w:val="en-IN"/>
        </w:rPr>
        <w:t>Bryophyllum pinnatum</w:t>
      </w:r>
      <w:r w:rsidRPr="00067678">
        <w:rPr>
          <w:rFonts w:ascii="Times New Roman" w:eastAsia="Times New Roman" w:hAnsi="Times New Roman" w:cs="Times New Roman"/>
          <w:b/>
          <w:bCs/>
          <w:sz w:val="28"/>
          <w:szCs w:val="28"/>
          <w:lang w:val="en-IN"/>
        </w:rPr>
        <w:t xml:space="preserve"> Leaf Extract in an In Vivo Model of Calcium Oxalate Nephrolithiasis"</w:t>
      </w:r>
    </w:p>
    <w:p w14:paraId="1EC7B59D" w14:textId="128D33C4" w:rsidR="00733094" w:rsidRPr="00886F52" w:rsidRDefault="00733094" w:rsidP="00733094">
      <w:pPr>
        <w:spacing w:before="100" w:beforeAutospacing="1" w:after="100" w:afterAutospacing="1" w:line="360" w:lineRule="auto"/>
        <w:jc w:val="center"/>
        <w:outlineLvl w:val="2"/>
        <w:rPr>
          <w:rFonts w:ascii="Times New Roman" w:eastAsia="Times New Roman" w:hAnsi="Times New Roman" w:cs="Times New Roman"/>
          <w:b/>
          <w:bCs/>
          <w:sz w:val="28"/>
          <w:szCs w:val="28"/>
        </w:rPr>
      </w:pPr>
    </w:p>
    <w:p w14:paraId="14E8F7AB" w14:textId="17AB0F57" w:rsidR="008933E5" w:rsidRPr="00172E80" w:rsidRDefault="00186A4B" w:rsidP="008933E5">
      <w:pPr>
        <w:spacing w:before="100" w:beforeAutospacing="1" w:after="100" w:afterAutospacing="1" w:line="360" w:lineRule="auto"/>
        <w:jc w:val="center"/>
        <w:outlineLvl w:val="2"/>
        <w:rPr>
          <w:rFonts w:ascii="Times New Roman" w:eastAsia="Times New Roman" w:hAnsi="Times New Roman" w:cs="Times New Roman"/>
          <w:b/>
          <w:bCs/>
          <w:sz w:val="20"/>
          <w:szCs w:val="20"/>
          <w:vertAlign w:val="superscript"/>
        </w:rPr>
      </w:pPr>
      <w:r w:rsidRPr="00563917">
        <w:rPr>
          <w:rFonts w:ascii="Times New Roman" w:eastAsia="Times New Roman" w:hAnsi="Times New Roman" w:cs="Times New Roman"/>
          <w:b/>
          <w:bCs/>
          <w:sz w:val="20"/>
          <w:szCs w:val="20"/>
        </w:rPr>
        <w:t>R</w:t>
      </w:r>
      <w:r w:rsidR="00C625DA">
        <w:rPr>
          <w:rFonts w:ascii="Times New Roman" w:eastAsia="Times New Roman" w:hAnsi="Times New Roman" w:cs="Times New Roman"/>
          <w:b/>
          <w:bCs/>
          <w:sz w:val="20"/>
          <w:szCs w:val="20"/>
        </w:rPr>
        <w:t>.</w:t>
      </w:r>
      <w:r w:rsidR="00177898">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Sagarika</w:t>
      </w:r>
      <w:r w:rsidR="00563917">
        <w:rPr>
          <w:rFonts w:ascii="Times New Roman" w:eastAsia="Times New Roman" w:hAnsi="Times New Roman" w:cs="Times New Roman"/>
          <w:b/>
          <w:bCs/>
          <w:sz w:val="20"/>
          <w:szCs w:val="20"/>
          <w:vertAlign w:val="superscript"/>
        </w:rPr>
        <w:t>1</w:t>
      </w:r>
      <w:r w:rsidR="00067678" w:rsidRPr="00563917">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SK</w:t>
      </w:r>
      <w:r w:rsidR="008933E5" w:rsidRPr="00563917">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Gousia</w:t>
      </w:r>
      <w:r w:rsidR="00067678" w:rsidRPr="00563917">
        <w:rPr>
          <w:rFonts w:ascii="Times New Roman" w:eastAsia="Times New Roman" w:hAnsi="Times New Roman" w:cs="Times New Roman"/>
          <w:b/>
          <w:bCs/>
          <w:sz w:val="20"/>
          <w:szCs w:val="20"/>
        </w:rPr>
        <w:t>Chandini</w:t>
      </w:r>
      <w:r w:rsidR="00307A14">
        <w:rPr>
          <w:rFonts w:ascii="Times New Roman" w:eastAsia="Times New Roman" w:hAnsi="Times New Roman" w:cs="Times New Roman"/>
          <w:b/>
          <w:bCs/>
          <w:sz w:val="20"/>
          <w:szCs w:val="20"/>
          <w:vertAlign w:val="superscript"/>
        </w:rPr>
        <w:t>2</w:t>
      </w:r>
      <w:r w:rsidR="00067678" w:rsidRPr="00563917">
        <w:rPr>
          <w:rFonts w:ascii="Times New Roman" w:eastAsia="Times New Roman" w:hAnsi="Times New Roman" w:cs="Times New Roman"/>
          <w:b/>
          <w:bCs/>
          <w:sz w:val="20"/>
          <w:szCs w:val="20"/>
        </w:rPr>
        <w:t>,</w:t>
      </w:r>
      <w:r w:rsidR="008933E5" w:rsidRPr="00563917">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K</w:t>
      </w:r>
      <w:r w:rsidR="008933E5" w:rsidRPr="00563917">
        <w:rPr>
          <w:rFonts w:ascii="Times New Roman" w:eastAsia="Times New Roman" w:hAnsi="Times New Roman" w:cs="Times New Roman"/>
          <w:b/>
          <w:bCs/>
          <w:sz w:val="20"/>
          <w:szCs w:val="20"/>
        </w:rPr>
        <w:t>.</w:t>
      </w:r>
      <w:r w:rsidRPr="00563917">
        <w:rPr>
          <w:rFonts w:ascii="Times New Roman" w:eastAsia="Times New Roman" w:hAnsi="Times New Roman" w:cs="Times New Roman"/>
          <w:b/>
          <w:bCs/>
          <w:sz w:val="20"/>
          <w:szCs w:val="20"/>
        </w:rPr>
        <w:t xml:space="preserve"> Joharika</w:t>
      </w:r>
      <w:r w:rsidR="007E763B">
        <w:rPr>
          <w:rFonts w:ascii="Times New Roman" w:eastAsia="Times New Roman" w:hAnsi="Times New Roman" w:cs="Times New Roman"/>
          <w:b/>
          <w:bCs/>
          <w:sz w:val="20"/>
          <w:szCs w:val="20"/>
          <w:vertAlign w:val="superscript"/>
        </w:rPr>
        <w:t>3</w:t>
      </w:r>
      <w:r w:rsidR="008933E5" w:rsidRPr="00563917">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A</w:t>
      </w:r>
      <w:r w:rsidR="008933E5" w:rsidRPr="00563917">
        <w:rPr>
          <w:rFonts w:ascii="Times New Roman" w:eastAsia="Times New Roman" w:hAnsi="Times New Roman" w:cs="Times New Roman"/>
          <w:b/>
          <w:bCs/>
          <w:sz w:val="20"/>
          <w:szCs w:val="20"/>
        </w:rPr>
        <w:t xml:space="preserve">. </w:t>
      </w:r>
      <w:r w:rsidRPr="00563917">
        <w:rPr>
          <w:rFonts w:ascii="Times New Roman" w:eastAsia="Times New Roman" w:hAnsi="Times New Roman" w:cs="Times New Roman"/>
          <w:b/>
          <w:bCs/>
          <w:sz w:val="20"/>
          <w:szCs w:val="20"/>
        </w:rPr>
        <w:t>Ramya</w:t>
      </w:r>
      <w:r w:rsidR="00D04C58">
        <w:rPr>
          <w:rFonts w:ascii="Times New Roman" w:eastAsia="Times New Roman" w:hAnsi="Times New Roman" w:cs="Times New Roman"/>
          <w:b/>
          <w:bCs/>
          <w:sz w:val="20"/>
          <w:szCs w:val="20"/>
          <w:vertAlign w:val="superscript"/>
        </w:rPr>
        <w:t>4</w:t>
      </w:r>
      <w:r w:rsidR="008933E5" w:rsidRPr="00563917">
        <w:rPr>
          <w:rFonts w:ascii="Times New Roman" w:eastAsia="Times New Roman" w:hAnsi="Times New Roman" w:cs="Times New Roman"/>
          <w:b/>
          <w:bCs/>
          <w:sz w:val="20"/>
          <w:szCs w:val="20"/>
        </w:rPr>
        <w:t>,</w:t>
      </w:r>
      <w:r w:rsidRPr="00563917">
        <w:rPr>
          <w:rFonts w:ascii="Times New Roman" w:eastAsia="Times New Roman" w:hAnsi="Times New Roman" w:cs="Times New Roman"/>
          <w:b/>
          <w:bCs/>
          <w:sz w:val="20"/>
          <w:szCs w:val="20"/>
        </w:rPr>
        <w:t xml:space="preserve"> </w:t>
      </w:r>
      <w:r w:rsidR="00177898" w:rsidRPr="00563917">
        <w:rPr>
          <w:rFonts w:ascii="Times New Roman" w:eastAsia="Times New Roman" w:hAnsi="Times New Roman" w:cs="Times New Roman"/>
          <w:b/>
          <w:bCs/>
          <w:sz w:val="20"/>
          <w:szCs w:val="20"/>
        </w:rPr>
        <w:t>Falak</w:t>
      </w:r>
      <w:r w:rsidRPr="00563917">
        <w:rPr>
          <w:rFonts w:ascii="Times New Roman" w:eastAsia="Times New Roman" w:hAnsi="Times New Roman" w:cs="Times New Roman"/>
          <w:b/>
          <w:bCs/>
          <w:sz w:val="20"/>
          <w:szCs w:val="20"/>
        </w:rPr>
        <w:t xml:space="preserve"> </w:t>
      </w:r>
      <w:r w:rsidR="00177898">
        <w:rPr>
          <w:rFonts w:ascii="Times New Roman" w:eastAsia="Times New Roman" w:hAnsi="Times New Roman" w:cs="Times New Roman"/>
          <w:b/>
          <w:bCs/>
          <w:sz w:val="20"/>
          <w:szCs w:val="20"/>
        </w:rPr>
        <w:t>N</w:t>
      </w:r>
      <w:r w:rsidRPr="00563917">
        <w:rPr>
          <w:rFonts w:ascii="Times New Roman" w:eastAsia="Times New Roman" w:hAnsi="Times New Roman" w:cs="Times New Roman"/>
          <w:b/>
          <w:bCs/>
          <w:sz w:val="20"/>
          <w:szCs w:val="20"/>
        </w:rPr>
        <w:t>aaz</w:t>
      </w:r>
      <w:r w:rsidR="00D04C58">
        <w:rPr>
          <w:rFonts w:ascii="Times New Roman" w:eastAsia="Times New Roman" w:hAnsi="Times New Roman" w:cs="Times New Roman"/>
          <w:b/>
          <w:bCs/>
          <w:sz w:val="20"/>
          <w:szCs w:val="20"/>
          <w:vertAlign w:val="superscript"/>
        </w:rPr>
        <w:t>5</w:t>
      </w:r>
    </w:p>
    <w:p w14:paraId="165156A8" w14:textId="1D8A7C02" w:rsidR="00495754" w:rsidRDefault="00186A4B" w:rsidP="00495754">
      <w:pPr>
        <w:spacing w:before="100" w:beforeAutospacing="1" w:after="100" w:afterAutospacing="1" w:line="360" w:lineRule="auto"/>
        <w:jc w:val="center"/>
        <w:outlineLvl w:val="2"/>
        <w:rPr>
          <w:rFonts w:ascii="Times New Roman" w:eastAsia="Times New Roman" w:hAnsi="Times New Roman" w:cs="Times New Roman"/>
          <w:b/>
          <w:bCs/>
          <w:sz w:val="20"/>
          <w:szCs w:val="20"/>
          <w:vertAlign w:val="superscript"/>
        </w:rPr>
      </w:pPr>
      <w:r w:rsidRPr="00563917">
        <w:rPr>
          <w:rFonts w:ascii="Times New Roman" w:eastAsia="Times New Roman" w:hAnsi="Times New Roman" w:cs="Times New Roman"/>
          <w:b/>
          <w:bCs/>
          <w:sz w:val="20"/>
          <w:szCs w:val="20"/>
        </w:rPr>
        <w:t>Dr.</w:t>
      </w:r>
      <w:r w:rsidR="008933E5" w:rsidRPr="00563917">
        <w:rPr>
          <w:rFonts w:ascii="Times New Roman" w:eastAsia="Times New Roman" w:hAnsi="Times New Roman" w:cs="Times New Roman"/>
          <w:b/>
          <w:bCs/>
          <w:sz w:val="20"/>
          <w:szCs w:val="20"/>
        </w:rPr>
        <w:t xml:space="preserve"> </w:t>
      </w:r>
      <w:r w:rsidR="00177898" w:rsidRPr="00563917">
        <w:rPr>
          <w:rFonts w:ascii="Times New Roman" w:eastAsia="Times New Roman" w:hAnsi="Times New Roman" w:cs="Times New Roman"/>
          <w:b/>
          <w:bCs/>
          <w:sz w:val="20"/>
          <w:szCs w:val="20"/>
        </w:rPr>
        <w:t>Jaganath</w:t>
      </w:r>
      <w:r w:rsidR="008933E5" w:rsidRPr="00563917">
        <w:rPr>
          <w:rFonts w:ascii="Times New Roman" w:eastAsia="Times New Roman" w:hAnsi="Times New Roman" w:cs="Times New Roman"/>
          <w:b/>
          <w:bCs/>
          <w:sz w:val="20"/>
          <w:szCs w:val="20"/>
        </w:rPr>
        <w:t xml:space="preserve"> </w:t>
      </w:r>
      <w:r w:rsidR="00177898">
        <w:rPr>
          <w:rFonts w:ascii="Times New Roman" w:eastAsia="Times New Roman" w:hAnsi="Times New Roman" w:cs="Times New Roman"/>
          <w:b/>
          <w:bCs/>
          <w:sz w:val="20"/>
          <w:szCs w:val="20"/>
        </w:rPr>
        <w:t>P</w:t>
      </w:r>
      <w:r w:rsidRPr="00563917">
        <w:rPr>
          <w:rFonts w:ascii="Times New Roman" w:eastAsia="Times New Roman" w:hAnsi="Times New Roman" w:cs="Times New Roman"/>
          <w:b/>
          <w:bCs/>
          <w:sz w:val="20"/>
          <w:szCs w:val="20"/>
        </w:rPr>
        <w:t>atro</w:t>
      </w:r>
      <w:r w:rsidR="00D04C58">
        <w:rPr>
          <w:rFonts w:ascii="Times New Roman" w:eastAsia="Times New Roman" w:hAnsi="Times New Roman" w:cs="Times New Roman"/>
          <w:b/>
          <w:bCs/>
          <w:sz w:val="20"/>
          <w:szCs w:val="20"/>
          <w:vertAlign w:val="superscript"/>
        </w:rPr>
        <w:t>6</w:t>
      </w:r>
    </w:p>
    <w:p w14:paraId="29051FCD" w14:textId="4A1B59D0" w:rsidR="00D214FB" w:rsidRPr="00495754" w:rsidRDefault="00186A4B" w:rsidP="00495754">
      <w:pPr>
        <w:spacing w:before="100" w:beforeAutospacing="1" w:after="100" w:afterAutospacing="1" w:line="360" w:lineRule="auto"/>
        <w:jc w:val="center"/>
        <w:outlineLvl w:val="2"/>
        <w:rPr>
          <w:rFonts w:ascii="Times New Roman" w:eastAsia="Times New Roman" w:hAnsi="Times New Roman" w:cs="Times New Roman"/>
          <w:b/>
          <w:bCs/>
          <w:sz w:val="20"/>
          <w:szCs w:val="20"/>
          <w:vertAlign w:val="superscript"/>
        </w:rPr>
      </w:pPr>
      <w:r w:rsidRPr="00DF5547">
        <w:rPr>
          <w:rFonts w:ascii="Times New Roman" w:eastAsia="Times New Roman" w:hAnsi="Times New Roman" w:cs="Times New Roman"/>
          <w:b/>
          <w:bCs/>
          <w:sz w:val="20"/>
          <w:szCs w:val="20"/>
        </w:rPr>
        <w:t>Browns college of pharmacy</w:t>
      </w:r>
    </w:p>
    <w:p w14:paraId="0E89FADC"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1149F4BA"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39DAB61D"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2CC64595"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32644BDB"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4F8FC6A1"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2F21DB4C" w14:textId="77777777" w:rsidR="00516621" w:rsidRDefault="00516621"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716387C4" w14:textId="77777777" w:rsidR="00516621" w:rsidRDefault="00516621"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7C1224A1" w14:textId="77777777" w:rsidR="00516621" w:rsidRDefault="00516621"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3FADFE6A" w14:textId="77777777" w:rsidR="00516621" w:rsidRDefault="00516621"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4A83FDE5" w14:textId="77777777" w:rsidR="00D214FB" w:rsidRDefault="00D214FB"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578AE436" w14:textId="77777777" w:rsidR="00495754" w:rsidRDefault="00495754" w:rsidP="005D2C2C">
      <w:pPr>
        <w:spacing w:before="100" w:beforeAutospacing="1" w:after="100" w:afterAutospacing="1" w:line="360" w:lineRule="auto"/>
        <w:jc w:val="both"/>
        <w:outlineLvl w:val="2"/>
        <w:rPr>
          <w:rFonts w:ascii="Times New Roman" w:eastAsia="Times New Roman" w:hAnsi="Times New Roman" w:cs="Times New Roman"/>
          <w:b/>
          <w:bCs/>
          <w:sz w:val="24"/>
          <w:szCs w:val="24"/>
          <w:u w:val="single"/>
        </w:rPr>
      </w:pPr>
    </w:p>
    <w:p w14:paraId="2F87AE78" w14:textId="59C3E062" w:rsidR="005D2C2C" w:rsidRPr="00516621" w:rsidRDefault="005D2C2C" w:rsidP="00AD1EEB">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516621">
        <w:rPr>
          <w:rFonts w:ascii="Times New Roman" w:eastAsia="Times New Roman" w:hAnsi="Times New Roman" w:cs="Times New Roman"/>
          <w:b/>
          <w:bCs/>
          <w:sz w:val="24"/>
          <w:szCs w:val="24"/>
        </w:rPr>
        <w:t>ABSTRACT</w:t>
      </w:r>
    </w:p>
    <w:p w14:paraId="033D1062" w14:textId="77777777" w:rsidR="005D2C2C" w:rsidRPr="00785C8C"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785C8C">
        <w:rPr>
          <w:rFonts w:ascii="Times New Roman" w:eastAsia="Times New Roman" w:hAnsi="Times New Roman" w:cs="Times New Roman"/>
          <w:b/>
          <w:bCs/>
          <w:sz w:val="20"/>
          <w:szCs w:val="20"/>
        </w:rPr>
        <w:t>Background:</w:t>
      </w:r>
      <w:r w:rsidRPr="00785C8C">
        <w:rPr>
          <w:rFonts w:ascii="Times New Roman" w:eastAsia="Times New Roman" w:hAnsi="Times New Roman" w:cs="Times New Roman"/>
          <w:sz w:val="20"/>
          <w:szCs w:val="20"/>
        </w:rPr>
        <w:t xml:space="preserve"> Renal calculi, or kidney stones, affect a significant portion of the global population, leading to severe pain, hematuria, and renal dysfunction. Current treatment options include pharmacotherapy, lithotripsy, and surgery, all of which can be costly and recurrent. Herbal alternatives with litholytic properties have gained attention as complementary therapies.</w:t>
      </w:r>
    </w:p>
    <w:p w14:paraId="58AA2A76" w14:textId="77777777" w:rsidR="005D2C2C" w:rsidRPr="00785C8C"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785C8C">
        <w:rPr>
          <w:rFonts w:ascii="Times New Roman" w:eastAsia="Times New Roman" w:hAnsi="Times New Roman" w:cs="Times New Roman"/>
          <w:b/>
          <w:bCs/>
          <w:sz w:val="20"/>
          <w:szCs w:val="20"/>
        </w:rPr>
        <w:t>Objective:</w:t>
      </w:r>
      <w:r w:rsidRPr="00785C8C">
        <w:rPr>
          <w:rFonts w:ascii="Times New Roman" w:eastAsia="Times New Roman" w:hAnsi="Times New Roman" w:cs="Times New Roman"/>
          <w:sz w:val="20"/>
          <w:szCs w:val="20"/>
        </w:rPr>
        <w:t xml:space="preserve"> To evaluate the efficacy of </w:t>
      </w:r>
      <w:r w:rsidRPr="00785C8C">
        <w:rPr>
          <w:rFonts w:ascii="Times New Roman" w:eastAsia="Times New Roman" w:hAnsi="Times New Roman" w:cs="Times New Roman"/>
          <w:i/>
          <w:iCs/>
          <w:sz w:val="20"/>
          <w:szCs w:val="20"/>
        </w:rPr>
        <w:t>Bryophyllum pinnatum</w:t>
      </w:r>
      <w:r w:rsidRPr="00785C8C">
        <w:rPr>
          <w:rFonts w:ascii="Times New Roman" w:eastAsia="Times New Roman" w:hAnsi="Times New Roman" w:cs="Times New Roman"/>
          <w:sz w:val="20"/>
          <w:szCs w:val="20"/>
        </w:rPr>
        <w:t xml:space="preserve"> leaf extract in the in vivo dissolution and prevention of renal calculi formation.</w:t>
      </w:r>
    </w:p>
    <w:p w14:paraId="132BC6D1" w14:textId="77777777" w:rsidR="005D2C2C" w:rsidRPr="00785C8C"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785C8C">
        <w:rPr>
          <w:rFonts w:ascii="Times New Roman" w:eastAsia="Times New Roman" w:hAnsi="Times New Roman" w:cs="Times New Roman"/>
          <w:b/>
          <w:bCs/>
          <w:sz w:val="20"/>
          <w:szCs w:val="20"/>
        </w:rPr>
        <w:t>Methods:</w:t>
      </w:r>
      <w:r w:rsidRPr="00785C8C">
        <w:rPr>
          <w:rFonts w:ascii="Times New Roman" w:eastAsia="Times New Roman" w:hAnsi="Times New Roman" w:cs="Times New Roman"/>
          <w:sz w:val="20"/>
          <w:szCs w:val="20"/>
        </w:rPr>
        <w:t xml:space="preserve"> A controlled in vivo study was conducted using experimental animal models induced with ethylene glycol to promote calcium oxalate stone formation. The animals were treated with aqueous extract of </w:t>
      </w:r>
      <w:r w:rsidRPr="00785C8C">
        <w:rPr>
          <w:rFonts w:ascii="Times New Roman" w:eastAsia="Times New Roman" w:hAnsi="Times New Roman" w:cs="Times New Roman"/>
          <w:i/>
          <w:iCs/>
          <w:sz w:val="20"/>
          <w:szCs w:val="20"/>
        </w:rPr>
        <w:t>Bryophyllum pinnatum</w:t>
      </w:r>
      <w:r w:rsidRPr="00785C8C">
        <w:rPr>
          <w:rFonts w:ascii="Times New Roman" w:eastAsia="Times New Roman" w:hAnsi="Times New Roman" w:cs="Times New Roman"/>
          <w:sz w:val="20"/>
          <w:szCs w:val="20"/>
        </w:rPr>
        <w:t xml:space="preserve"> leaves. Biochemical, histological, and urinary analyses were performed to assess </w:t>
      </w:r>
      <w:proofErr w:type="spellStart"/>
      <w:r w:rsidRPr="00785C8C">
        <w:rPr>
          <w:rFonts w:ascii="Times New Roman" w:eastAsia="Times New Roman" w:hAnsi="Times New Roman" w:cs="Times New Roman"/>
          <w:sz w:val="20"/>
          <w:szCs w:val="20"/>
        </w:rPr>
        <w:t>antiurolithiatic</w:t>
      </w:r>
      <w:proofErr w:type="spellEnd"/>
      <w:r w:rsidRPr="00785C8C">
        <w:rPr>
          <w:rFonts w:ascii="Times New Roman" w:eastAsia="Times New Roman" w:hAnsi="Times New Roman" w:cs="Times New Roman"/>
          <w:sz w:val="20"/>
          <w:szCs w:val="20"/>
        </w:rPr>
        <w:t xml:space="preserve"> activity.</w:t>
      </w:r>
    </w:p>
    <w:p w14:paraId="1176F128" w14:textId="77777777" w:rsidR="005D2C2C" w:rsidRPr="00785C8C"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785C8C">
        <w:rPr>
          <w:rFonts w:ascii="Times New Roman" w:eastAsia="Times New Roman" w:hAnsi="Times New Roman" w:cs="Times New Roman"/>
          <w:b/>
          <w:bCs/>
          <w:sz w:val="20"/>
          <w:szCs w:val="20"/>
        </w:rPr>
        <w:t>Results:</w:t>
      </w:r>
      <w:r w:rsidRPr="00785C8C">
        <w:rPr>
          <w:rFonts w:ascii="Times New Roman" w:eastAsia="Times New Roman" w:hAnsi="Times New Roman" w:cs="Times New Roman"/>
          <w:sz w:val="20"/>
          <w:szCs w:val="20"/>
        </w:rPr>
        <w:t xml:space="preserve"> Administration of </w:t>
      </w:r>
      <w:r w:rsidRPr="00785C8C">
        <w:rPr>
          <w:rFonts w:ascii="Times New Roman" w:eastAsia="Times New Roman" w:hAnsi="Times New Roman" w:cs="Times New Roman"/>
          <w:i/>
          <w:iCs/>
          <w:sz w:val="20"/>
          <w:szCs w:val="20"/>
        </w:rPr>
        <w:t>Bryophyllum pinnatum</w:t>
      </w:r>
      <w:r w:rsidRPr="00785C8C">
        <w:rPr>
          <w:rFonts w:ascii="Times New Roman" w:eastAsia="Times New Roman" w:hAnsi="Times New Roman" w:cs="Times New Roman"/>
          <w:sz w:val="20"/>
          <w:szCs w:val="20"/>
        </w:rPr>
        <w:t xml:space="preserve"> showed a significant reduction in urinary oxalate and calcium levels, along with histopathological improvement in renal architecture compared to control.</w:t>
      </w:r>
    </w:p>
    <w:p w14:paraId="1B0E4BF9" w14:textId="77777777" w:rsidR="005D2C2C"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785C8C">
        <w:rPr>
          <w:rFonts w:ascii="Times New Roman" w:eastAsia="Times New Roman" w:hAnsi="Times New Roman" w:cs="Times New Roman"/>
          <w:b/>
          <w:bCs/>
          <w:sz w:val="20"/>
          <w:szCs w:val="20"/>
        </w:rPr>
        <w:t>Conclusion:</w:t>
      </w:r>
      <w:r w:rsidRPr="00785C8C">
        <w:rPr>
          <w:rFonts w:ascii="Times New Roman" w:eastAsia="Times New Roman" w:hAnsi="Times New Roman" w:cs="Times New Roman"/>
          <w:sz w:val="20"/>
          <w:szCs w:val="20"/>
        </w:rPr>
        <w:t xml:space="preserve"> </w:t>
      </w:r>
      <w:r w:rsidRPr="00785C8C">
        <w:rPr>
          <w:rFonts w:ascii="Times New Roman" w:eastAsia="Times New Roman" w:hAnsi="Times New Roman" w:cs="Times New Roman"/>
          <w:i/>
          <w:iCs/>
          <w:sz w:val="20"/>
          <w:szCs w:val="20"/>
        </w:rPr>
        <w:t>Bryophyllum pinnatum</w:t>
      </w:r>
      <w:r w:rsidRPr="00785C8C">
        <w:rPr>
          <w:rFonts w:ascii="Times New Roman" w:eastAsia="Times New Roman" w:hAnsi="Times New Roman" w:cs="Times New Roman"/>
          <w:sz w:val="20"/>
          <w:szCs w:val="20"/>
        </w:rPr>
        <w:t xml:space="preserve"> leaf extract demonstrates significant litholytic and nephroprotective activity, supporting its traditional use and potential as a therapeutic candidate for renal calculi.</w:t>
      </w:r>
    </w:p>
    <w:p w14:paraId="4DB135BF" w14:textId="2DB62C32" w:rsidR="008C26EE" w:rsidRPr="008C26EE" w:rsidRDefault="008C26EE" w:rsidP="00AD1EEB">
      <w:pPr>
        <w:spacing w:before="100" w:beforeAutospacing="1" w:after="100" w:afterAutospacing="1" w:line="480" w:lineRule="auto"/>
        <w:jc w:val="both"/>
        <w:rPr>
          <w:rFonts w:ascii="Times New Roman" w:eastAsia="Times New Roman" w:hAnsi="Times New Roman" w:cs="Times New Roman"/>
          <w:b/>
          <w:bCs/>
          <w:sz w:val="20"/>
          <w:szCs w:val="20"/>
        </w:rPr>
      </w:pPr>
      <w:r w:rsidRPr="008C26EE">
        <w:rPr>
          <w:rFonts w:ascii="Times New Roman" w:eastAsia="Times New Roman" w:hAnsi="Times New Roman" w:cs="Times New Roman"/>
          <w:b/>
          <w:bCs/>
          <w:sz w:val="20"/>
          <w:szCs w:val="20"/>
        </w:rPr>
        <w:t>Key words</w:t>
      </w:r>
    </w:p>
    <w:p w14:paraId="397D7C42" w14:textId="010B7CEB" w:rsidR="008C26EE" w:rsidRPr="00785C8C" w:rsidRDefault="008C26EE"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sz w:val="20"/>
          <w:szCs w:val="20"/>
        </w:rPr>
        <w:t>Bryophyllum pinnatum, renal calculi, kidney stones, anti</w:t>
      </w:r>
      <w:r>
        <w:rPr>
          <w:rFonts w:ascii="Times New Roman" w:eastAsia="Times New Roman" w:hAnsi="Times New Roman" w:cs="Times New Roman"/>
          <w:sz w:val="20"/>
          <w:szCs w:val="20"/>
        </w:rPr>
        <w:t xml:space="preserve"> </w:t>
      </w:r>
      <w:r w:rsidRPr="008C26EE">
        <w:rPr>
          <w:rFonts w:ascii="Times New Roman" w:eastAsia="Times New Roman" w:hAnsi="Times New Roman" w:cs="Times New Roman"/>
          <w:sz w:val="20"/>
          <w:szCs w:val="20"/>
        </w:rPr>
        <w:t>urolithiatic activity, litholytic effect</w:t>
      </w:r>
    </w:p>
    <w:p w14:paraId="29E93FDC" w14:textId="77777777" w:rsidR="008C26EE" w:rsidRDefault="008C26EE" w:rsidP="00AD1EEB">
      <w:pPr>
        <w:spacing w:before="100" w:beforeAutospacing="1" w:after="100" w:afterAutospacing="1" w:line="480" w:lineRule="auto"/>
        <w:jc w:val="both"/>
        <w:outlineLvl w:val="2"/>
        <w:rPr>
          <w:rFonts w:ascii="Times New Roman" w:eastAsia="Times New Roman" w:hAnsi="Times New Roman" w:cs="Times New Roman"/>
          <w:b/>
          <w:bCs/>
          <w:sz w:val="24"/>
          <w:szCs w:val="24"/>
          <w:u w:val="single"/>
        </w:rPr>
      </w:pPr>
    </w:p>
    <w:p w14:paraId="6301DF74" w14:textId="77777777" w:rsidR="008C26EE" w:rsidRDefault="008C26EE" w:rsidP="00AD1EEB">
      <w:pPr>
        <w:spacing w:before="100" w:beforeAutospacing="1" w:after="100" w:afterAutospacing="1" w:line="480" w:lineRule="auto"/>
        <w:jc w:val="both"/>
        <w:outlineLvl w:val="2"/>
        <w:rPr>
          <w:rFonts w:ascii="Times New Roman" w:eastAsia="Times New Roman" w:hAnsi="Times New Roman" w:cs="Times New Roman"/>
          <w:b/>
          <w:bCs/>
          <w:sz w:val="24"/>
          <w:szCs w:val="24"/>
          <w:u w:val="single"/>
        </w:rPr>
      </w:pPr>
    </w:p>
    <w:p w14:paraId="2152D03D" w14:textId="77777777" w:rsidR="008C26EE" w:rsidRDefault="008C26EE" w:rsidP="00AD1EEB">
      <w:pPr>
        <w:spacing w:before="100" w:beforeAutospacing="1" w:after="100" w:afterAutospacing="1" w:line="480" w:lineRule="auto"/>
        <w:jc w:val="both"/>
        <w:outlineLvl w:val="2"/>
        <w:rPr>
          <w:rFonts w:ascii="Times New Roman" w:eastAsia="Times New Roman" w:hAnsi="Times New Roman" w:cs="Times New Roman"/>
          <w:b/>
          <w:bCs/>
          <w:sz w:val="24"/>
          <w:szCs w:val="24"/>
          <w:u w:val="single"/>
        </w:rPr>
      </w:pPr>
    </w:p>
    <w:p w14:paraId="3AF2272C" w14:textId="77777777" w:rsidR="00AD1EEB" w:rsidRDefault="00AD1EEB" w:rsidP="00AD1EEB">
      <w:pPr>
        <w:spacing w:before="100" w:beforeAutospacing="1" w:after="100" w:afterAutospacing="1" w:line="480" w:lineRule="auto"/>
        <w:jc w:val="both"/>
        <w:outlineLvl w:val="2"/>
        <w:rPr>
          <w:rFonts w:ascii="Times New Roman" w:eastAsia="Times New Roman" w:hAnsi="Times New Roman" w:cs="Times New Roman"/>
          <w:b/>
          <w:bCs/>
          <w:sz w:val="24"/>
          <w:szCs w:val="24"/>
          <w:u w:val="single"/>
        </w:rPr>
      </w:pPr>
    </w:p>
    <w:p w14:paraId="0E854B07" w14:textId="2FD1DE88" w:rsidR="005D2C2C" w:rsidRPr="008C26EE" w:rsidRDefault="005D2C2C" w:rsidP="00AD1EEB">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8C26EE">
        <w:rPr>
          <w:rFonts w:ascii="Times New Roman" w:eastAsia="Times New Roman" w:hAnsi="Times New Roman" w:cs="Times New Roman"/>
          <w:b/>
          <w:bCs/>
          <w:sz w:val="24"/>
          <w:szCs w:val="24"/>
        </w:rPr>
        <w:t>INTRODUCTION</w:t>
      </w:r>
    </w:p>
    <w:p w14:paraId="2A9C0E88" w14:textId="77777777" w:rsidR="005D2C2C" w:rsidRPr="008C26EE"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sz w:val="20"/>
          <w:szCs w:val="20"/>
        </w:rPr>
        <w:t>Renal calculi (kidney stones) remain one of the most prevalent and painful urological disorders worldwide. Epidemiological studies suggest that kidney stones affect approximately 10–15% of the global population, with high recurrence rates despite modern interventions</w:t>
      </w:r>
      <w:r w:rsidRPr="008C26EE">
        <w:rPr>
          <w:rFonts w:ascii="Times New Roman" w:eastAsia="MS Gothic" w:hAnsi="Times New Roman" w:cs="Times New Roman" w:hint="eastAsia"/>
          <w:sz w:val="20"/>
          <w:szCs w:val="20"/>
        </w:rPr>
        <w:t xml:space="preserve"> </w:t>
      </w:r>
      <w:r w:rsidRPr="008C26EE">
        <w:rPr>
          <w:rFonts w:ascii="Times New Roman" w:eastAsia="MS Gothic" w:hAnsi="Times New Roman" w:cs="Times New Roman"/>
          <w:sz w:val="20"/>
          <w:szCs w:val="20"/>
        </w:rPr>
        <w:t>1 2</w:t>
      </w:r>
      <w:r w:rsidRPr="008C26EE">
        <w:rPr>
          <w:rFonts w:ascii="Times New Roman" w:eastAsia="Times New Roman" w:hAnsi="Times New Roman" w:cs="Times New Roman"/>
          <w:sz w:val="20"/>
          <w:szCs w:val="20"/>
        </w:rPr>
        <w:t xml:space="preserve">. The most common types of stones, primarily composed of calcium oxalate, are difficult to manage due to their multifactorial </w:t>
      </w:r>
      <w:proofErr w:type="spellStart"/>
      <w:r w:rsidR="00A93C8D" w:rsidRPr="008C26EE">
        <w:rPr>
          <w:rFonts w:ascii="Times New Roman" w:eastAsia="Times New Roman" w:hAnsi="Times New Roman" w:cs="Times New Roman"/>
          <w:sz w:val="20"/>
          <w:szCs w:val="20"/>
        </w:rPr>
        <w:t>aetiology</w:t>
      </w:r>
      <w:proofErr w:type="spellEnd"/>
      <w:r w:rsidRPr="008C26EE">
        <w:rPr>
          <w:rFonts w:ascii="Times New Roman" w:eastAsia="Times New Roman" w:hAnsi="Times New Roman" w:cs="Times New Roman"/>
          <w:sz w:val="20"/>
          <w:szCs w:val="20"/>
        </w:rPr>
        <w:t xml:space="preserve"> involving diet, dehydration, metabolic disorders, and genetic predisposition 3.</w:t>
      </w:r>
    </w:p>
    <w:p w14:paraId="3FE639B8" w14:textId="77777777" w:rsidR="005D2C2C" w:rsidRPr="008C26EE"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sz w:val="20"/>
          <w:szCs w:val="20"/>
        </w:rPr>
        <w:t>Pharmacological treatments often include thiazide diuretics, citrate supplements, or potassium alkali therapy 4. However, these interventions carry potential side effects and may not prevent recurrence, prompting the exploration of alternative natural remedies</w:t>
      </w:r>
      <w:r w:rsidRPr="008C26EE">
        <w:rPr>
          <w:rFonts w:ascii="Times New Roman" w:eastAsia="MS Gothic" w:hAnsi="Times New Roman" w:cs="Times New Roman" w:hint="eastAsia"/>
          <w:sz w:val="20"/>
          <w:szCs w:val="20"/>
        </w:rPr>
        <w:t xml:space="preserve"> </w:t>
      </w:r>
      <w:r w:rsidRPr="008C26EE">
        <w:rPr>
          <w:rFonts w:ascii="Times New Roman" w:eastAsia="MS Gothic" w:hAnsi="Times New Roman" w:cs="Times New Roman"/>
          <w:sz w:val="20"/>
          <w:szCs w:val="20"/>
        </w:rPr>
        <w:t>5</w:t>
      </w:r>
      <w:r w:rsidRPr="008C26EE">
        <w:rPr>
          <w:rFonts w:ascii="Times New Roman" w:eastAsia="Times New Roman" w:hAnsi="Times New Roman" w:cs="Times New Roman"/>
          <w:sz w:val="20"/>
          <w:szCs w:val="20"/>
        </w:rPr>
        <w:t>. Traditional medicinal systems such as Ayurveda and Siddha have long employed various herbal remedies for the treatment of urolithiasis</w:t>
      </w:r>
      <w:r w:rsidRPr="008C26EE">
        <w:rPr>
          <w:rFonts w:ascii="Times New Roman" w:eastAsia="MS Gothic" w:hAnsi="Times New Roman" w:cs="Times New Roman" w:hint="eastAsia"/>
          <w:sz w:val="20"/>
          <w:szCs w:val="20"/>
        </w:rPr>
        <w:t>6</w:t>
      </w:r>
      <w:r w:rsidRPr="008C26EE">
        <w:rPr>
          <w:rFonts w:ascii="Times New Roman" w:eastAsia="Times New Roman" w:hAnsi="Times New Roman" w:cs="Times New Roman"/>
          <w:sz w:val="20"/>
          <w:szCs w:val="20"/>
        </w:rPr>
        <w:t>.</w:t>
      </w:r>
    </w:p>
    <w:p w14:paraId="7E41182A" w14:textId="77777777" w:rsidR="005D2C2C" w:rsidRPr="008C26EE"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i/>
          <w:iCs/>
          <w:sz w:val="20"/>
          <w:szCs w:val="20"/>
        </w:rPr>
        <w:t>Bryophyllum pinnatum</w:t>
      </w:r>
      <w:r w:rsidRPr="008C26EE">
        <w:rPr>
          <w:rFonts w:ascii="Times New Roman" w:eastAsia="Times New Roman" w:hAnsi="Times New Roman" w:cs="Times New Roman"/>
          <w:sz w:val="20"/>
          <w:szCs w:val="20"/>
        </w:rPr>
        <w:t>, also known as “</w:t>
      </w:r>
      <w:proofErr w:type="spellStart"/>
      <w:r w:rsidRPr="008C26EE">
        <w:rPr>
          <w:rFonts w:ascii="Times New Roman" w:eastAsia="Times New Roman" w:hAnsi="Times New Roman" w:cs="Times New Roman"/>
          <w:sz w:val="20"/>
          <w:szCs w:val="20"/>
        </w:rPr>
        <w:t>Patharchatta</w:t>
      </w:r>
      <w:proofErr w:type="spellEnd"/>
      <w:r w:rsidRPr="008C26EE">
        <w:rPr>
          <w:rFonts w:ascii="Times New Roman" w:eastAsia="Times New Roman" w:hAnsi="Times New Roman" w:cs="Times New Roman"/>
          <w:sz w:val="20"/>
          <w:szCs w:val="20"/>
        </w:rPr>
        <w:t xml:space="preserve">” in Ayurveda, belongs to the Crassulaceae family and is traditionally used for wound healing, anti-inflammatory, and </w:t>
      </w:r>
      <w:proofErr w:type="spellStart"/>
      <w:r w:rsidRPr="008C26EE">
        <w:rPr>
          <w:rFonts w:ascii="Times New Roman" w:eastAsia="Times New Roman" w:hAnsi="Times New Roman" w:cs="Times New Roman"/>
          <w:sz w:val="20"/>
          <w:szCs w:val="20"/>
        </w:rPr>
        <w:t>antiurolithiatic</w:t>
      </w:r>
      <w:proofErr w:type="spellEnd"/>
      <w:r w:rsidRPr="008C26EE">
        <w:rPr>
          <w:rFonts w:ascii="Times New Roman" w:eastAsia="Times New Roman" w:hAnsi="Times New Roman" w:cs="Times New Roman"/>
          <w:sz w:val="20"/>
          <w:szCs w:val="20"/>
        </w:rPr>
        <w:t xml:space="preserve"> purposes</w:t>
      </w:r>
      <w:r w:rsidRPr="008C26EE">
        <w:rPr>
          <w:rFonts w:ascii="Times New Roman" w:eastAsia="MS Gothic" w:hAnsi="Times New Roman" w:cs="Times New Roman" w:hint="eastAsia"/>
          <w:sz w:val="20"/>
          <w:szCs w:val="20"/>
        </w:rPr>
        <w:t>7</w:t>
      </w:r>
      <w:r w:rsidRPr="008C26EE">
        <w:rPr>
          <w:rFonts w:ascii="Times New Roman" w:eastAsia="Times New Roman" w:hAnsi="Times New Roman" w:cs="Times New Roman"/>
          <w:sz w:val="20"/>
          <w:szCs w:val="20"/>
        </w:rPr>
        <w:t>. Phytochemical investigations have revealed that its leaves are rich in flavonoids, saponins, glycosides, and phenolic compounds—agents known to inhibit crystal aggregation, nucleation, and retention in the renal system</w:t>
      </w:r>
      <w:r w:rsidRPr="008C26EE">
        <w:rPr>
          <w:rFonts w:ascii="Times New Roman" w:eastAsia="MS Gothic" w:hAnsi="Times New Roman" w:cs="Times New Roman" w:hint="eastAsia"/>
          <w:sz w:val="20"/>
          <w:szCs w:val="20"/>
        </w:rPr>
        <w:t xml:space="preserve"> </w:t>
      </w:r>
      <w:r w:rsidRPr="008C26EE">
        <w:rPr>
          <w:rFonts w:ascii="Times New Roman" w:eastAsia="MS Gothic" w:hAnsi="Times New Roman" w:cs="Times New Roman"/>
          <w:sz w:val="20"/>
          <w:szCs w:val="20"/>
        </w:rPr>
        <w:t>8 9</w:t>
      </w:r>
      <w:r w:rsidRPr="008C26EE">
        <w:rPr>
          <w:rFonts w:ascii="Times New Roman" w:eastAsia="Times New Roman" w:hAnsi="Times New Roman" w:cs="Times New Roman"/>
          <w:sz w:val="20"/>
          <w:szCs w:val="20"/>
        </w:rPr>
        <w:t>.</w:t>
      </w:r>
    </w:p>
    <w:p w14:paraId="2248F8AC" w14:textId="77777777" w:rsidR="005D2C2C" w:rsidRPr="008C26EE"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sz w:val="20"/>
          <w:szCs w:val="20"/>
        </w:rPr>
        <w:t xml:space="preserve">In recent years, preclinical studies have demonstrated that </w:t>
      </w:r>
      <w:r w:rsidRPr="008C26EE">
        <w:rPr>
          <w:rFonts w:ascii="Times New Roman" w:eastAsia="Times New Roman" w:hAnsi="Times New Roman" w:cs="Times New Roman"/>
          <w:i/>
          <w:iCs/>
          <w:sz w:val="20"/>
          <w:szCs w:val="20"/>
        </w:rPr>
        <w:t xml:space="preserve">Bryophyllum </w:t>
      </w:r>
      <w:proofErr w:type="spellStart"/>
      <w:r w:rsidRPr="008C26EE">
        <w:rPr>
          <w:rFonts w:ascii="Times New Roman" w:eastAsia="Times New Roman" w:hAnsi="Times New Roman" w:cs="Times New Roman"/>
          <w:i/>
          <w:iCs/>
          <w:sz w:val="20"/>
          <w:szCs w:val="20"/>
        </w:rPr>
        <w:t>pinnatum</w:t>
      </w:r>
      <w:proofErr w:type="spellEnd"/>
      <w:r w:rsidRPr="008C26EE">
        <w:rPr>
          <w:rFonts w:ascii="Times New Roman" w:eastAsia="Times New Roman" w:hAnsi="Times New Roman" w:cs="Times New Roman"/>
          <w:sz w:val="20"/>
          <w:szCs w:val="20"/>
        </w:rPr>
        <w:t xml:space="preserve"> possesses potential </w:t>
      </w:r>
      <w:proofErr w:type="spellStart"/>
      <w:r w:rsidRPr="008C26EE">
        <w:rPr>
          <w:rFonts w:ascii="Times New Roman" w:eastAsia="Times New Roman" w:hAnsi="Times New Roman" w:cs="Times New Roman"/>
          <w:sz w:val="20"/>
          <w:szCs w:val="20"/>
        </w:rPr>
        <w:t>antiurolithiatic</w:t>
      </w:r>
      <w:proofErr w:type="spellEnd"/>
      <w:r w:rsidRPr="008C26EE">
        <w:rPr>
          <w:rFonts w:ascii="Times New Roman" w:eastAsia="Times New Roman" w:hAnsi="Times New Roman" w:cs="Times New Roman"/>
          <w:sz w:val="20"/>
          <w:szCs w:val="20"/>
        </w:rPr>
        <w:t xml:space="preserve"> activity, particularly in animal models of nephrolithiasis</w:t>
      </w:r>
      <w:r w:rsidRPr="008C26EE">
        <w:rPr>
          <w:rFonts w:ascii="Times New Roman" w:eastAsia="MS Gothic" w:hAnsi="Times New Roman" w:cs="Times New Roman" w:hint="eastAsia"/>
          <w:sz w:val="20"/>
          <w:szCs w:val="20"/>
        </w:rPr>
        <w:t xml:space="preserve"> </w:t>
      </w:r>
      <w:r w:rsidRPr="008C26EE">
        <w:rPr>
          <w:rFonts w:ascii="Times New Roman" w:eastAsia="MS Gothic" w:hAnsi="Times New Roman" w:cs="Times New Roman"/>
          <w:sz w:val="20"/>
          <w:szCs w:val="20"/>
        </w:rPr>
        <w:t>10 11</w:t>
      </w:r>
      <w:r w:rsidRPr="008C26EE">
        <w:rPr>
          <w:rFonts w:ascii="Times New Roman" w:eastAsia="Times New Roman" w:hAnsi="Times New Roman" w:cs="Times New Roman"/>
          <w:sz w:val="20"/>
          <w:szCs w:val="20"/>
        </w:rPr>
        <w:t>. These effects are primarily attributed to its diuretic action, antioxidant properties, and its ability to modulate urinary constituents responsible for crystal formation</w:t>
      </w:r>
      <w:r w:rsidRPr="008C26EE">
        <w:rPr>
          <w:rFonts w:ascii="Times New Roman" w:eastAsia="MS Gothic" w:hAnsi="Times New Roman" w:cs="Times New Roman" w:hint="eastAsia"/>
          <w:sz w:val="20"/>
          <w:szCs w:val="20"/>
        </w:rPr>
        <w:t xml:space="preserve"> </w:t>
      </w:r>
      <w:r w:rsidRPr="008C26EE">
        <w:rPr>
          <w:rFonts w:ascii="Times New Roman" w:eastAsia="MS Gothic" w:hAnsi="Times New Roman" w:cs="Times New Roman"/>
          <w:sz w:val="20"/>
          <w:szCs w:val="20"/>
        </w:rPr>
        <w:t>12</w:t>
      </w:r>
      <w:r w:rsidRPr="008C26EE">
        <w:rPr>
          <w:rFonts w:ascii="Times New Roman" w:eastAsia="Times New Roman" w:hAnsi="Times New Roman" w:cs="Times New Roman"/>
          <w:sz w:val="20"/>
          <w:szCs w:val="20"/>
        </w:rPr>
        <w:t>.</w:t>
      </w:r>
    </w:p>
    <w:p w14:paraId="6478AA3C" w14:textId="77777777" w:rsidR="005D2C2C" w:rsidRPr="008C26EE" w:rsidRDefault="005D2C2C" w:rsidP="00AD1EEB">
      <w:pPr>
        <w:spacing w:before="100" w:beforeAutospacing="1" w:after="100" w:afterAutospacing="1" w:line="480" w:lineRule="auto"/>
        <w:jc w:val="both"/>
        <w:rPr>
          <w:rFonts w:ascii="Times New Roman" w:eastAsia="Times New Roman" w:hAnsi="Times New Roman" w:cs="Times New Roman"/>
          <w:sz w:val="20"/>
          <w:szCs w:val="20"/>
        </w:rPr>
      </w:pPr>
      <w:r w:rsidRPr="008C26EE">
        <w:rPr>
          <w:rFonts w:ascii="Times New Roman" w:eastAsia="Times New Roman" w:hAnsi="Times New Roman" w:cs="Times New Roman"/>
          <w:sz w:val="20"/>
          <w:szCs w:val="20"/>
        </w:rPr>
        <w:t xml:space="preserve">Given the limitations of conventional therapies and the promising pharmacological profile of </w:t>
      </w:r>
      <w:r w:rsidRPr="008C26EE">
        <w:rPr>
          <w:rFonts w:ascii="Times New Roman" w:eastAsia="Times New Roman" w:hAnsi="Times New Roman" w:cs="Times New Roman"/>
          <w:i/>
          <w:iCs/>
          <w:sz w:val="20"/>
          <w:szCs w:val="20"/>
        </w:rPr>
        <w:t>Bryophyllum pinnatum</w:t>
      </w:r>
      <w:r w:rsidRPr="008C26EE">
        <w:rPr>
          <w:rFonts w:ascii="Times New Roman" w:eastAsia="Times New Roman" w:hAnsi="Times New Roman" w:cs="Times New Roman"/>
          <w:sz w:val="20"/>
          <w:szCs w:val="20"/>
        </w:rPr>
        <w:t xml:space="preserve">, this study aims to explore its </w:t>
      </w:r>
      <w:r w:rsidRPr="008C26EE">
        <w:rPr>
          <w:rFonts w:ascii="Times New Roman" w:eastAsia="Times New Roman" w:hAnsi="Times New Roman" w:cs="Times New Roman"/>
          <w:b/>
          <w:bCs/>
          <w:sz w:val="20"/>
          <w:szCs w:val="20"/>
        </w:rPr>
        <w:t>in vivo</w:t>
      </w:r>
      <w:r w:rsidRPr="008C26EE">
        <w:rPr>
          <w:rFonts w:ascii="Times New Roman" w:eastAsia="Times New Roman" w:hAnsi="Times New Roman" w:cs="Times New Roman"/>
          <w:sz w:val="20"/>
          <w:szCs w:val="20"/>
        </w:rPr>
        <w:t xml:space="preserve"> efficacy in preventing and treating renal calculi through a scientifically controlled experimental model.</w:t>
      </w:r>
    </w:p>
    <w:p w14:paraId="7C1C1A40" w14:textId="77777777" w:rsidR="00AD1EEB" w:rsidRDefault="00AD1EEB" w:rsidP="00AD1EEB">
      <w:pPr>
        <w:pStyle w:val="Heading3"/>
        <w:spacing w:line="480" w:lineRule="auto"/>
        <w:jc w:val="both"/>
        <w:rPr>
          <w:rStyle w:val="Strong"/>
          <w:b/>
          <w:bCs/>
          <w:sz w:val="24"/>
          <w:szCs w:val="24"/>
        </w:rPr>
      </w:pPr>
    </w:p>
    <w:p w14:paraId="6591E6C8" w14:textId="77777777" w:rsidR="00AD1EEB" w:rsidRDefault="00AD1EEB" w:rsidP="00AD1EEB">
      <w:pPr>
        <w:pStyle w:val="Heading3"/>
        <w:spacing w:line="480" w:lineRule="auto"/>
        <w:jc w:val="both"/>
        <w:rPr>
          <w:rStyle w:val="Strong"/>
          <w:b/>
          <w:bCs/>
          <w:sz w:val="24"/>
          <w:szCs w:val="24"/>
        </w:rPr>
      </w:pPr>
    </w:p>
    <w:p w14:paraId="65F65124" w14:textId="77777777" w:rsidR="00AD1EEB" w:rsidRDefault="00AD1EEB" w:rsidP="00AD1EEB">
      <w:pPr>
        <w:pStyle w:val="Heading3"/>
        <w:spacing w:line="480" w:lineRule="auto"/>
        <w:jc w:val="both"/>
        <w:rPr>
          <w:rStyle w:val="Strong"/>
          <w:b/>
          <w:bCs/>
          <w:sz w:val="24"/>
          <w:szCs w:val="24"/>
        </w:rPr>
      </w:pPr>
    </w:p>
    <w:p w14:paraId="0427B224" w14:textId="294F6584" w:rsidR="005D2C2C" w:rsidRPr="008C26EE" w:rsidRDefault="005D2C2C" w:rsidP="00AD1EEB">
      <w:pPr>
        <w:pStyle w:val="Heading3"/>
        <w:spacing w:line="480" w:lineRule="auto"/>
        <w:jc w:val="both"/>
        <w:rPr>
          <w:b w:val="0"/>
          <w:sz w:val="24"/>
          <w:szCs w:val="24"/>
        </w:rPr>
      </w:pPr>
      <w:r w:rsidRPr="008C26EE">
        <w:rPr>
          <w:rStyle w:val="Strong"/>
          <w:b/>
          <w:bCs/>
          <w:sz w:val="24"/>
          <w:szCs w:val="24"/>
        </w:rPr>
        <w:t>MATERIALS AND METHODS</w:t>
      </w:r>
    </w:p>
    <w:p w14:paraId="01E9C99A"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Study Design and Ethical Approval</w:t>
      </w:r>
    </w:p>
    <w:p w14:paraId="00E7C71B"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This </w:t>
      </w:r>
      <w:r w:rsidRPr="00A21BC0">
        <w:rPr>
          <w:rStyle w:val="Strong"/>
          <w:rFonts w:ascii="Times New Roman" w:hAnsi="Times New Roman" w:cs="Times New Roman"/>
          <w:b w:val="0"/>
          <w:sz w:val="20"/>
          <w:szCs w:val="20"/>
        </w:rPr>
        <w:t>experimental, controlled in vivo study</w:t>
      </w:r>
      <w:r w:rsidRPr="00A21BC0">
        <w:rPr>
          <w:rFonts w:ascii="Times New Roman" w:hAnsi="Times New Roman" w:cs="Times New Roman"/>
          <w:sz w:val="20"/>
          <w:szCs w:val="20"/>
        </w:rPr>
        <w:t xml:space="preserve"> was conducted in the Department of Pharmacology, Browns College of Pharmacy, following approval from the Institutional Animal Ethics Committee (IAEC), constituted under the guidelines of the Committee for the Purpose of Control and Supervision of Experiments on Animals (CPCSEA), Government of India. All procedures complied with CPCSEA norms for the ethical treatment of laboratory animals.</w:t>
      </w:r>
    </w:p>
    <w:p w14:paraId="56CE0617"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Animals</w:t>
      </w:r>
    </w:p>
    <w:p w14:paraId="38CC826E"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A total of 24 </w:t>
      </w:r>
      <w:r w:rsidRPr="00A21BC0">
        <w:rPr>
          <w:rStyle w:val="Strong"/>
          <w:rFonts w:ascii="Times New Roman" w:hAnsi="Times New Roman" w:cs="Times New Roman"/>
          <w:b w:val="0"/>
          <w:sz w:val="20"/>
          <w:szCs w:val="20"/>
        </w:rPr>
        <w:t>healthy adult male Wistar albino rats</w:t>
      </w:r>
      <w:r w:rsidRPr="00A21BC0">
        <w:rPr>
          <w:rFonts w:ascii="Times New Roman" w:hAnsi="Times New Roman" w:cs="Times New Roman"/>
          <w:sz w:val="20"/>
          <w:szCs w:val="20"/>
        </w:rPr>
        <w:t xml:space="preserve"> weighing between </w:t>
      </w:r>
      <w:r w:rsidRPr="00A21BC0">
        <w:rPr>
          <w:rStyle w:val="Strong"/>
          <w:rFonts w:ascii="Times New Roman" w:hAnsi="Times New Roman" w:cs="Times New Roman"/>
          <w:b w:val="0"/>
          <w:sz w:val="20"/>
          <w:szCs w:val="20"/>
        </w:rPr>
        <w:t>180–220 grams</w:t>
      </w:r>
      <w:r w:rsidRPr="00A21BC0">
        <w:rPr>
          <w:rFonts w:ascii="Times New Roman" w:hAnsi="Times New Roman" w:cs="Times New Roman"/>
          <w:sz w:val="20"/>
          <w:szCs w:val="20"/>
        </w:rPr>
        <w:t xml:space="preserve"> were selected for the study. The animals were housed in polypropylene cages under standard laboratory conditions with a </w:t>
      </w:r>
      <w:r w:rsidRPr="00A21BC0">
        <w:rPr>
          <w:rStyle w:val="Strong"/>
          <w:rFonts w:ascii="Times New Roman" w:hAnsi="Times New Roman" w:cs="Times New Roman"/>
          <w:b w:val="0"/>
          <w:sz w:val="20"/>
          <w:szCs w:val="20"/>
        </w:rPr>
        <w:t>12-hour light/dark cycle</w:t>
      </w:r>
      <w:r w:rsidRPr="00A21BC0">
        <w:rPr>
          <w:rFonts w:ascii="Times New Roman" w:hAnsi="Times New Roman" w:cs="Times New Roman"/>
          <w:sz w:val="20"/>
          <w:szCs w:val="20"/>
        </w:rPr>
        <w:t xml:space="preserve">, temperature of </w:t>
      </w:r>
      <w:r w:rsidRPr="00A21BC0">
        <w:rPr>
          <w:rStyle w:val="Strong"/>
          <w:rFonts w:ascii="Times New Roman" w:hAnsi="Times New Roman" w:cs="Times New Roman"/>
          <w:b w:val="0"/>
          <w:sz w:val="20"/>
          <w:szCs w:val="20"/>
        </w:rPr>
        <w:t>22 ± 2°C</w:t>
      </w:r>
      <w:r w:rsidRPr="00A21BC0">
        <w:rPr>
          <w:rFonts w:ascii="Times New Roman" w:hAnsi="Times New Roman" w:cs="Times New Roman"/>
          <w:sz w:val="20"/>
          <w:szCs w:val="20"/>
        </w:rPr>
        <w:t xml:space="preserve">, and relative humidity of </w:t>
      </w:r>
      <w:r w:rsidRPr="00A21BC0">
        <w:rPr>
          <w:rStyle w:val="Strong"/>
          <w:rFonts w:ascii="Times New Roman" w:hAnsi="Times New Roman" w:cs="Times New Roman"/>
          <w:b w:val="0"/>
          <w:sz w:val="20"/>
          <w:szCs w:val="20"/>
        </w:rPr>
        <w:t>55%–65%</w:t>
      </w:r>
      <w:r w:rsidRPr="00A21BC0">
        <w:rPr>
          <w:rFonts w:ascii="Times New Roman" w:hAnsi="Times New Roman" w:cs="Times New Roman"/>
          <w:sz w:val="20"/>
          <w:szCs w:val="20"/>
        </w:rPr>
        <w:t xml:space="preserve">. They were fed with a standard pellet diet and had access to water </w:t>
      </w:r>
      <w:r w:rsidRPr="00A21BC0">
        <w:rPr>
          <w:rStyle w:val="Strong"/>
          <w:rFonts w:ascii="Times New Roman" w:hAnsi="Times New Roman" w:cs="Times New Roman"/>
          <w:b w:val="0"/>
          <w:sz w:val="20"/>
          <w:szCs w:val="20"/>
        </w:rPr>
        <w:t>ad libitum</w:t>
      </w:r>
      <w:r w:rsidRPr="00A21BC0">
        <w:rPr>
          <w:rFonts w:ascii="Times New Roman" w:hAnsi="Times New Roman" w:cs="Times New Roman"/>
          <w:sz w:val="20"/>
          <w:szCs w:val="20"/>
        </w:rPr>
        <w:t>.</w:t>
      </w:r>
    </w:p>
    <w:p w14:paraId="18B49A25"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Plant Material and Extraction</w:t>
      </w:r>
    </w:p>
    <w:p w14:paraId="638A2B4C"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Fresh leaves of </w:t>
      </w:r>
      <w:r w:rsidRPr="00A21BC0">
        <w:rPr>
          <w:rStyle w:val="Emphasis"/>
          <w:rFonts w:ascii="Times New Roman" w:hAnsi="Times New Roman" w:cs="Times New Roman"/>
          <w:sz w:val="20"/>
          <w:szCs w:val="20"/>
        </w:rPr>
        <w:t>Bryophyllum pinnatum</w:t>
      </w:r>
      <w:r w:rsidRPr="00A21BC0">
        <w:rPr>
          <w:rFonts w:ascii="Times New Roman" w:hAnsi="Times New Roman" w:cs="Times New Roman"/>
          <w:sz w:val="20"/>
          <w:szCs w:val="20"/>
        </w:rPr>
        <w:t xml:space="preserve"> were collected from the local botanical garden and authenticated by a taxonomist from the Department of Botany, [insert university/institution name]. The leaves were washed, shade dried, and coarsely powdered. </w:t>
      </w:r>
      <w:r w:rsidRPr="00A21BC0">
        <w:rPr>
          <w:rStyle w:val="Strong"/>
          <w:rFonts w:ascii="Times New Roman" w:hAnsi="Times New Roman" w:cs="Times New Roman"/>
          <w:b w:val="0"/>
          <w:sz w:val="20"/>
          <w:szCs w:val="20"/>
        </w:rPr>
        <w:t>Aqueous extract</w:t>
      </w:r>
      <w:r w:rsidRPr="00A21BC0">
        <w:rPr>
          <w:rFonts w:ascii="Times New Roman" w:hAnsi="Times New Roman" w:cs="Times New Roman"/>
          <w:sz w:val="20"/>
          <w:szCs w:val="20"/>
        </w:rPr>
        <w:t xml:space="preserve"> was prepared using </w:t>
      </w:r>
      <w:r w:rsidRPr="00A21BC0">
        <w:rPr>
          <w:rStyle w:val="Strong"/>
          <w:rFonts w:ascii="Times New Roman" w:hAnsi="Times New Roman" w:cs="Times New Roman"/>
          <w:b w:val="0"/>
          <w:sz w:val="20"/>
          <w:szCs w:val="20"/>
        </w:rPr>
        <w:t>cold maceration</w:t>
      </w:r>
      <w:r w:rsidRPr="00A21BC0">
        <w:rPr>
          <w:rFonts w:ascii="Times New Roman" w:hAnsi="Times New Roman" w:cs="Times New Roman"/>
          <w:sz w:val="20"/>
          <w:szCs w:val="20"/>
        </w:rPr>
        <w:t xml:space="preserve"> for 48 hours, followed by filtration and concentration using a rotary evaporator at 40°C. The extract was stored at 4°C until further use.</w:t>
      </w:r>
    </w:p>
    <w:p w14:paraId="46ABE2BE"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Induction of Renal Calculi</w:t>
      </w:r>
    </w:p>
    <w:p w14:paraId="4B266E96"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Urolithiasis was experimentally induced using a </w:t>
      </w:r>
      <w:r w:rsidRPr="00A21BC0">
        <w:rPr>
          <w:rStyle w:val="Strong"/>
          <w:rFonts w:ascii="Times New Roman" w:hAnsi="Times New Roman" w:cs="Times New Roman"/>
          <w:b w:val="0"/>
          <w:sz w:val="20"/>
          <w:szCs w:val="20"/>
        </w:rPr>
        <w:t>0.75% v/v ethylene glycol (EG)</w:t>
      </w:r>
      <w:r w:rsidRPr="00A21BC0">
        <w:rPr>
          <w:rFonts w:ascii="Times New Roman" w:hAnsi="Times New Roman" w:cs="Times New Roman"/>
          <w:sz w:val="20"/>
          <w:szCs w:val="20"/>
        </w:rPr>
        <w:t xml:space="preserve"> solution administered in drinking water for </w:t>
      </w:r>
      <w:r w:rsidRPr="00A21BC0">
        <w:rPr>
          <w:rStyle w:val="Strong"/>
          <w:rFonts w:ascii="Times New Roman" w:hAnsi="Times New Roman" w:cs="Times New Roman"/>
          <w:b w:val="0"/>
          <w:sz w:val="20"/>
          <w:szCs w:val="20"/>
        </w:rPr>
        <w:t>28 days</w:t>
      </w:r>
      <w:r w:rsidRPr="00A21BC0">
        <w:rPr>
          <w:rFonts w:ascii="Times New Roman" w:hAnsi="Times New Roman" w:cs="Times New Roman"/>
          <w:sz w:val="20"/>
          <w:szCs w:val="20"/>
        </w:rPr>
        <w:t>, a well-established model for calcium oxalate crystal formation This method promotes hyperoxaluria and mimics human pathological conditions of renal calculi.</w:t>
      </w:r>
    </w:p>
    <w:p w14:paraId="1C6D48FC"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Experimental Grouping</w:t>
      </w:r>
    </w:p>
    <w:p w14:paraId="2795B2E1"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Animals were randomly divided into </w:t>
      </w:r>
      <w:r w:rsidRPr="00A21BC0">
        <w:rPr>
          <w:rStyle w:val="Strong"/>
          <w:rFonts w:ascii="Times New Roman" w:hAnsi="Times New Roman" w:cs="Times New Roman"/>
          <w:b w:val="0"/>
          <w:sz w:val="20"/>
          <w:szCs w:val="20"/>
        </w:rPr>
        <w:t>four groups</w:t>
      </w:r>
      <w:r w:rsidRPr="00A21BC0">
        <w:rPr>
          <w:rFonts w:ascii="Times New Roman" w:hAnsi="Times New Roman" w:cs="Times New Roman"/>
          <w:sz w:val="20"/>
          <w:szCs w:val="20"/>
        </w:rPr>
        <w:t xml:space="preserve"> (n = 6 per group):</w:t>
      </w:r>
    </w:p>
    <w:p w14:paraId="34FC3895" w14:textId="77777777" w:rsidR="005D2C2C" w:rsidRPr="00A21BC0" w:rsidRDefault="005D2C2C" w:rsidP="00AD1EEB">
      <w:pPr>
        <w:numPr>
          <w:ilvl w:val="0"/>
          <w:numId w:val="1"/>
        </w:numPr>
        <w:spacing w:before="100" w:beforeAutospacing="1" w:after="100" w:afterAutospacing="1" w:line="480" w:lineRule="auto"/>
        <w:jc w:val="both"/>
        <w:rPr>
          <w:rFonts w:ascii="Times New Roman" w:hAnsi="Times New Roman" w:cs="Times New Roman"/>
          <w:sz w:val="20"/>
          <w:szCs w:val="20"/>
        </w:rPr>
      </w:pPr>
      <w:r w:rsidRPr="00A21BC0">
        <w:rPr>
          <w:rStyle w:val="Strong"/>
          <w:rFonts w:ascii="Times New Roman" w:hAnsi="Times New Roman" w:cs="Times New Roman"/>
          <w:b w:val="0"/>
          <w:sz w:val="20"/>
          <w:szCs w:val="20"/>
        </w:rPr>
        <w:t>Group I (Normal Control):</w:t>
      </w:r>
      <w:r w:rsidRPr="00A21BC0">
        <w:rPr>
          <w:rFonts w:ascii="Times New Roman" w:hAnsi="Times New Roman" w:cs="Times New Roman"/>
          <w:sz w:val="20"/>
          <w:szCs w:val="20"/>
        </w:rPr>
        <w:t xml:space="preserve"> Received standard diet and drinking water.</w:t>
      </w:r>
    </w:p>
    <w:p w14:paraId="4B13739C" w14:textId="77777777" w:rsidR="005D2C2C" w:rsidRPr="00A21BC0" w:rsidRDefault="005D2C2C" w:rsidP="00AD1EEB">
      <w:pPr>
        <w:numPr>
          <w:ilvl w:val="0"/>
          <w:numId w:val="1"/>
        </w:numPr>
        <w:spacing w:before="100" w:beforeAutospacing="1" w:after="100" w:afterAutospacing="1" w:line="480" w:lineRule="auto"/>
        <w:jc w:val="both"/>
        <w:rPr>
          <w:rFonts w:ascii="Times New Roman" w:hAnsi="Times New Roman" w:cs="Times New Roman"/>
          <w:sz w:val="20"/>
          <w:szCs w:val="20"/>
        </w:rPr>
      </w:pPr>
      <w:r w:rsidRPr="00A21BC0">
        <w:rPr>
          <w:rStyle w:val="Strong"/>
          <w:rFonts w:ascii="Times New Roman" w:hAnsi="Times New Roman" w:cs="Times New Roman"/>
          <w:b w:val="0"/>
          <w:sz w:val="20"/>
          <w:szCs w:val="20"/>
        </w:rPr>
        <w:t>Group II (Negative Control):</w:t>
      </w:r>
      <w:r w:rsidRPr="00A21BC0">
        <w:rPr>
          <w:rFonts w:ascii="Times New Roman" w:hAnsi="Times New Roman" w:cs="Times New Roman"/>
          <w:sz w:val="20"/>
          <w:szCs w:val="20"/>
        </w:rPr>
        <w:t xml:space="preserve"> Received 0.75% ethylene glycol in drinking water for 28 days to induce nephrolithiasis.</w:t>
      </w:r>
    </w:p>
    <w:p w14:paraId="44470C73" w14:textId="77777777" w:rsidR="005D2C2C" w:rsidRPr="00A21BC0" w:rsidRDefault="005D2C2C" w:rsidP="00AD1EEB">
      <w:pPr>
        <w:numPr>
          <w:ilvl w:val="0"/>
          <w:numId w:val="1"/>
        </w:numPr>
        <w:spacing w:before="100" w:beforeAutospacing="1" w:after="100" w:afterAutospacing="1" w:line="480" w:lineRule="auto"/>
        <w:jc w:val="both"/>
        <w:rPr>
          <w:rFonts w:ascii="Times New Roman" w:hAnsi="Times New Roman" w:cs="Times New Roman"/>
          <w:sz w:val="20"/>
          <w:szCs w:val="20"/>
        </w:rPr>
      </w:pPr>
      <w:r w:rsidRPr="00A21BC0">
        <w:rPr>
          <w:rStyle w:val="Strong"/>
          <w:rFonts w:ascii="Times New Roman" w:hAnsi="Times New Roman" w:cs="Times New Roman"/>
          <w:b w:val="0"/>
          <w:sz w:val="20"/>
          <w:szCs w:val="20"/>
        </w:rPr>
        <w:t>Group III (Standard Group):</w:t>
      </w:r>
      <w:r w:rsidRPr="00A21BC0">
        <w:rPr>
          <w:rFonts w:ascii="Times New Roman" w:hAnsi="Times New Roman" w:cs="Times New Roman"/>
          <w:sz w:val="20"/>
          <w:szCs w:val="20"/>
        </w:rPr>
        <w:t xml:space="preserve"> Received ethylene glycol and </w:t>
      </w:r>
      <w:proofErr w:type="spellStart"/>
      <w:r w:rsidRPr="00A21BC0">
        <w:rPr>
          <w:rStyle w:val="Strong"/>
          <w:rFonts w:ascii="Times New Roman" w:hAnsi="Times New Roman" w:cs="Times New Roman"/>
          <w:b w:val="0"/>
          <w:sz w:val="20"/>
          <w:szCs w:val="20"/>
        </w:rPr>
        <w:t>Cystone</w:t>
      </w:r>
      <w:proofErr w:type="spellEnd"/>
      <w:r w:rsidRPr="00A21BC0">
        <w:rPr>
          <w:rFonts w:ascii="Times New Roman" w:hAnsi="Times New Roman" w:cs="Times New Roman"/>
          <w:sz w:val="20"/>
          <w:szCs w:val="20"/>
        </w:rPr>
        <w:t xml:space="preserve"> (750 mg/kg body weight, </w:t>
      </w:r>
      <w:proofErr w:type="spellStart"/>
      <w:r w:rsidRPr="00A21BC0">
        <w:rPr>
          <w:rFonts w:ascii="Times New Roman" w:hAnsi="Times New Roman" w:cs="Times New Roman"/>
          <w:sz w:val="20"/>
          <w:szCs w:val="20"/>
        </w:rPr>
        <w:t>p.o.</w:t>
      </w:r>
      <w:proofErr w:type="spellEnd"/>
      <w:r w:rsidRPr="00A21BC0">
        <w:rPr>
          <w:rFonts w:ascii="Times New Roman" w:hAnsi="Times New Roman" w:cs="Times New Roman"/>
          <w:sz w:val="20"/>
          <w:szCs w:val="20"/>
        </w:rPr>
        <w:t>) from day 15 to day 28.</w:t>
      </w:r>
    </w:p>
    <w:p w14:paraId="74B57D61" w14:textId="77777777" w:rsidR="005D2C2C" w:rsidRPr="00A21BC0" w:rsidRDefault="005D2C2C" w:rsidP="00AD1EEB">
      <w:pPr>
        <w:numPr>
          <w:ilvl w:val="0"/>
          <w:numId w:val="1"/>
        </w:numPr>
        <w:spacing w:before="100" w:beforeAutospacing="1" w:after="100" w:afterAutospacing="1" w:line="480" w:lineRule="auto"/>
        <w:jc w:val="both"/>
        <w:rPr>
          <w:rFonts w:ascii="Times New Roman" w:hAnsi="Times New Roman" w:cs="Times New Roman"/>
          <w:sz w:val="20"/>
          <w:szCs w:val="20"/>
        </w:rPr>
      </w:pPr>
      <w:r w:rsidRPr="00A21BC0">
        <w:rPr>
          <w:rStyle w:val="Strong"/>
          <w:rFonts w:ascii="Times New Roman" w:hAnsi="Times New Roman" w:cs="Times New Roman"/>
          <w:b w:val="0"/>
          <w:sz w:val="20"/>
          <w:szCs w:val="20"/>
        </w:rPr>
        <w:t>Group IV (Test Group):</w:t>
      </w:r>
      <w:r w:rsidRPr="00A21BC0">
        <w:rPr>
          <w:rFonts w:ascii="Times New Roman" w:hAnsi="Times New Roman" w:cs="Times New Roman"/>
          <w:sz w:val="20"/>
          <w:szCs w:val="20"/>
        </w:rPr>
        <w:t xml:space="preserve"> Received ethylene glycol and </w:t>
      </w:r>
      <w:r w:rsidRPr="00A21BC0">
        <w:rPr>
          <w:rStyle w:val="Emphasis"/>
          <w:rFonts w:ascii="Times New Roman" w:hAnsi="Times New Roman" w:cs="Times New Roman"/>
          <w:sz w:val="20"/>
          <w:szCs w:val="20"/>
        </w:rPr>
        <w:t>Bryophyllum pinnatum</w:t>
      </w:r>
      <w:r w:rsidRPr="00A21BC0">
        <w:rPr>
          <w:rFonts w:ascii="Times New Roman" w:hAnsi="Times New Roman" w:cs="Times New Roman"/>
          <w:sz w:val="20"/>
          <w:szCs w:val="20"/>
        </w:rPr>
        <w:t xml:space="preserve"> aqueous extract (</w:t>
      </w:r>
      <w:r w:rsidRPr="00A21BC0">
        <w:rPr>
          <w:rStyle w:val="Strong"/>
          <w:rFonts w:ascii="Times New Roman" w:hAnsi="Times New Roman" w:cs="Times New Roman"/>
          <w:b w:val="0"/>
          <w:sz w:val="20"/>
          <w:szCs w:val="20"/>
        </w:rPr>
        <w:t xml:space="preserve">500 mg/kg body weight, </w:t>
      </w:r>
      <w:proofErr w:type="spellStart"/>
      <w:r w:rsidRPr="00A21BC0">
        <w:rPr>
          <w:rStyle w:val="Strong"/>
          <w:rFonts w:ascii="Times New Roman" w:hAnsi="Times New Roman" w:cs="Times New Roman"/>
          <w:b w:val="0"/>
          <w:sz w:val="20"/>
          <w:szCs w:val="20"/>
        </w:rPr>
        <w:t>p.o.</w:t>
      </w:r>
      <w:proofErr w:type="spellEnd"/>
      <w:r w:rsidRPr="00A21BC0">
        <w:rPr>
          <w:rFonts w:ascii="Times New Roman" w:hAnsi="Times New Roman" w:cs="Times New Roman"/>
          <w:sz w:val="20"/>
          <w:szCs w:val="20"/>
        </w:rPr>
        <w:t>) from day 15 to day 28.</w:t>
      </w:r>
    </w:p>
    <w:p w14:paraId="7197D7C3"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Biochemical Analysis</w:t>
      </w:r>
    </w:p>
    <w:p w14:paraId="693D58D6"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At the end of the treatment period, </w:t>
      </w:r>
      <w:r w:rsidRPr="00A21BC0">
        <w:rPr>
          <w:rStyle w:val="Strong"/>
          <w:rFonts w:ascii="Times New Roman" w:hAnsi="Times New Roman" w:cs="Times New Roman"/>
          <w:b w:val="0"/>
          <w:sz w:val="20"/>
          <w:szCs w:val="20"/>
        </w:rPr>
        <w:t>24-hour urine samples</w:t>
      </w:r>
      <w:r w:rsidRPr="00A21BC0">
        <w:rPr>
          <w:rFonts w:ascii="Times New Roman" w:hAnsi="Times New Roman" w:cs="Times New Roman"/>
          <w:sz w:val="20"/>
          <w:szCs w:val="20"/>
        </w:rPr>
        <w:t xml:space="preserve"> were collected using metabolic cages. Urine was analyzed for </w:t>
      </w:r>
      <w:r w:rsidRPr="00A21BC0">
        <w:rPr>
          <w:rStyle w:val="Strong"/>
          <w:rFonts w:ascii="Times New Roman" w:hAnsi="Times New Roman" w:cs="Times New Roman"/>
          <w:b w:val="0"/>
          <w:sz w:val="20"/>
          <w:szCs w:val="20"/>
        </w:rPr>
        <w:t>calcium, oxalate, phosphate, magnesium</w:t>
      </w:r>
      <w:r w:rsidRPr="00A21BC0">
        <w:rPr>
          <w:rFonts w:ascii="Times New Roman" w:hAnsi="Times New Roman" w:cs="Times New Roman"/>
          <w:sz w:val="20"/>
          <w:szCs w:val="20"/>
        </w:rPr>
        <w:t xml:space="preserve">, and </w:t>
      </w:r>
      <w:r w:rsidRPr="00A21BC0">
        <w:rPr>
          <w:rStyle w:val="Strong"/>
          <w:rFonts w:ascii="Times New Roman" w:hAnsi="Times New Roman" w:cs="Times New Roman"/>
          <w:b w:val="0"/>
          <w:sz w:val="20"/>
          <w:szCs w:val="20"/>
        </w:rPr>
        <w:t>creatinine</w:t>
      </w:r>
      <w:r w:rsidRPr="00A21BC0">
        <w:rPr>
          <w:rFonts w:ascii="Times New Roman" w:hAnsi="Times New Roman" w:cs="Times New Roman"/>
          <w:sz w:val="20"/>
          <w:szCs w:val="20"/>
        </w:rPr>
        <w:t xml:space="preserve"> using standard colorimetric methods. Blood was collected via retro-orbital plexus under </w:t>
      </w:r>
      <w:proofErr w:type="spellStart"/>
      <w:r w:rsidRPr="00A21BC0">
        <w:rPr>
          <w:rFonts w:ascii="Times New Roman" w:hAnsi="Times New Roman" w:cs="Times New Roman"/>
          <w:sz w:val="20"/>
          <w:szCs w:val="20"/>
        </w:rPr>
        <w:t>anaesthesia</w:t>
      </w:r>
      <w:proofErr w:type="spellEnd"/>
      <w:r w:rsidRPr="00A21BC0">
        <w:rPr>
          <w:rFonts w:ascii="Times New Roman" w:hAnsi="Times New Roman" w:cs="Times New Roman"/>
          <w:sz w:val="20"/>
          <w:szCs w:val="20"/>
        </w:rPr>
        <w:t xml:space="preserve">, and serum was separated for biochemical parameters like </w:t>
      </w:r>
      <w:r w:rsidRPr="00A21BC0">
        <w:rPr>
          <w:rStyle w:val="Strong"/>
          <w:rFonts w:ascii="Times New Roman" w:hAnsi="Times New Roman" w:cs="Times New Roman"/>
          <w:b w:val="0"/>
          <w:sz w:val="20"/>
          <w:szCs w:val="20"/>
        </w:rPr>
        <w:t>blood urea nitrogen (BUN), serum creatinine, and uric acid</w:t>
      </w:r>
      <w:r w:rsidRPr="00A21BC0">
        <w:rPr>
          <w:rFonts w:ascii="Times New Roman" w:hAnsi="Times New Roman" w:cs="Times New Roman"/>
          <w:sz w:val="20"/>
          <w:szCs w:val="20"/>
        </w:rPr>
        <w:t>.</w:t>
      </w:r>
    </w:p>
    <w:p w14:paraId="7185F377"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Kidney Histopathology</w:t>
      </w:r>
    </w:p>
    <w:p w14:paraId="3ADA0162"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After sacrifice, both kidneys were harvested, weighed, and examined grossly. One kidney was fixed in </w:t>
      </w:r>
      <w:r w:rsidRPr="00A21BC0">
        <w:rPr>
          <w:rStyle w:val="Strong"/>
          <w:rFonts w:ascii="Times New Roman" w:hAnsi="Times New Roman" w:cs="Times New Roman"/>
          <w:b w:val="0"/>
          <w:sz w:val="20"/>
          <w:szCs w:val="20"/>
        </w:rPr>
        <w:t>10% neutral buffered formalin</w:t>
      </w:r>
      <w:r w:rsidRPr="00A21BC0">
        <w:rPr>
          <w:rFonts w:ascii="Times New Roman" w:hAnsi="Times New Roman" w:cs="Times New Roman"/>
          <w:sz w:val="20"/>
          <w:szCs w:val="20"/>
        </w:rPr>
        <w:t>, processed, and embedded in paraffin. Sections of 5 </w:t>
      </w:r>
      <w:proofErr w:type="spellStart"/>
      <w:r w:rsidRPr="00A21BC0">
        <w:rPr>
          <w:rFonts w:ascii="Times New Roman" w:hAnsi="Times New Roman" w:cs="Times New Roman"/>
          <w:sz w:val="20"/>
          <w:szCs w:val="20"/>
        </w:rPr>
        <w:t>μm</w:t>
      </w:r>
      <w:proofErr w:type="spellEnd"/>
      <w:r w:rsidRPr="00A21BC0">
        <w:rPr>
          <w:rFonts w:ascii="Times New Roman" w:hAnsi="Times New Roman" w:cs="Times New Roman"/>
          <w:sz w:val="20"/>
          <w:szCs w:val="20"/>
        </w:rPr>
        <w:t xml:space="preserve"> thickness were stained with </w:t>
      </w:r>
      <w:r w:rsidRPr="00A21BC0">
        <w:rPr>
          <w:rStyle w:val="Strong"/>
          <w:rFonts w:ascii="Times New Roman" w:hAnsi="Times New Roman" w:cs="Times New Roman"/>
          <w:b w:val="0"/>
          <w:sz w:val="20"/>
          <w:szCs w:val="20"/>
        </w:rPr>
        <w:t>hematoxylin and eosin (H&amp;E)</w:t>
      </w:r>
      <w:r w:rsidRPr="00A21BC0">
        <w:rPr>
          <w:rFonts w:ascii="Times New Roman" w:hAnsi="Times New Roman" w:cs="Times New Roman"/>
          <w:sz w:val="20"/>
          <w:szCs w:val="20"/>
        </w:rPr>
        <w:t xml:space="preserve"> and evaluated under a microscope for </w:t>
      </w:r>
      <w:r w:rsidRPr="00A21BC0">
        <w:rPr>
          <w:rStyle w:val="Strong"/>
          <w:rFonts w:ascii="Times New Roman" w:hAnsi="Times New Roman" w:cs="Times New Roman"/>
          <w:b w:val="0"/>
          <w:sz w:val="20"/>
          <w:szCs w:val="20"/>
        </w:rPr>
        <w:t>calcium oxalate crystal deposition, tubular necrosis, and inflammatory changes</w:t>
      </w:r>
      <w:r w:rsidRPr="00A21BC0">
        <w:rPr>
          <w:rFonts w:ascii="Times New Roman" w:hAnsi="Times New Roman" w:cs="Times New Roman"/>
          <w:sz w:val="20"/>
          <w:szCs w:val="20"/>
        </w:rPr>
        <w:t>.</w:t>
      </w:r>
    </w:p>
    <w:p w14:paraId="5873EED5" w14:textId="77777777" w:rsidR="005D2C2C" w:rsidRPr="00A21BC0" w:rsidRDefault="005D2C2C" w:rsidP="00AD1EEB">
      <w:pPr>
        <w:pStyle w:val="Heading4"/>
        <w:spacing w:line="480" w:lineRule="auto"/>
        <w:jc w:val="both"/>
        <w:rPr>
          <w:rFonts w:ascii="Times New Roman" w:hAnsi="Times New Roman" w:cs="Times New Roman"/>
          <w:i w:val="0"/>
          <w:iCs w:val="0"/>
          <w:color w:val="auto"/>
          <w:sz w:val="20"/>
          <w:szCs w:val="20"/>
        </w:rPr>
      </w:pPr>
      <w:r w:rsidRPr="00A21BC0">
        <w:rPr>
          <w:rStyle w:val="Strong"/>
          <w:rFonts w:ascii="Times New Roman" w:hAnsi="Times New Roman" w:cs="Times New Roman"/>
          <w:i w:val="0"/>
          <w:iCs w:val="0"/>
          <w:color w:val="auto"/>
          <w:sz w:val="20"/>
          <w:szCs w:val="20"/>
        </w:rPr>
        <w:t>Statistical Analysis</w:t>
      </w:r>
    </w:p>
    <w:p w14:paraId="729E403C" w14:textId="77777777" w:rsidR="005D2C2C" w:rsidRPr="00A21BC0" w:rsidRDefault="005D2C2C"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Data were expressed as </w:t>
      </w:r>
      <w:r w:rsidRPr="00A21BC0">
        <w:rPr>
          <w:rStyle w:val="Strong"/>
          <w:rFonts w:ascii="Times New Roman" w:hAnsi="Times New Roman" w:cs="Times New Roman"/>
          <w:b w:val="0"/>
          <w:sz w:val="20"/>
          <w:szCs w:val="20"/>
        </w:rPr>
        <w:t>mean ± standard deviation (SD)</w:t>
      </w:r>
      <w:r w:rsidRPr="00A21BC0">
        <w:rPr>
          <w:rFonts w:ascii="Times New Roman" w:hAnsi="Times New Roman" w:cs="Times New Roman"/>
          <w:sz w:val="20"/>
          <w:szCs w:val="20"/>
        </w:rPr>
        <w:t xml:space="preserve">. Inter-group comparisons were performed using </w:t>
      </w:r>
      <w:r w:rsidRPr="00A21BC0">
        <w:rPr>
          <w:rStyle w:val="Strong"/>
          <w:rFonts w:ascii="Times New Roman" w:hAnsi="Times New Roman" w:cs="Times New Roman"/>
          <w:b w:val="0"/>
          <w:sz w:val="20"/>
          <w:szCs w:val="20"/>
        </w:rPr>
        <w:t>one-way ANOVA</w:t>
      </w:r>
      <w:r w:rsidRPr="00A21BC0">
        <w:rPr>
          <w:rFonts w:ascii="Times New Roman" w:hAnsi="Times New Roman" w:cs="Times New Roman"/>
          <w:sz w:val="20"/>
          <w:szCs w:val="20"/>
        </w:rPr>
        <w:t xml:space="preserve"> followed by </w:t>
      </w:r>
      <w:r w:rsidRPr="00A21BC0">
        <w:rPr>
          <w:rStyle w:val="Strong"/>
          <w:rFonts w:ascii="Times New Roman" w:hAnsi="Times New Roman" w:cs="Times New Roman"/>
          <w:b w:val="0"/>
          <w:sz w:val="20"/>
          <w:szCs w:val="20"/>
        </w:rPr>
        <w:t>Tukey’s post hoc test</w:t>
      </w:r>
      <w:r w:rsidRPr="00A21BC0">
        <w:rPr>
          <w:rFonts w:ascii="Times New Roman" w:hAnsi="Times New Roman" w:cs="Times New Roman"/>
          <w:sz w:val="20"/>
          <w:szCs w:val="20"/>
        </w:rPr>
        <w:t xml:space="preserve">. A </w:t>
      </w:r>
      <w:r w:rsidRPr="00A21BC0">
        <w:rPr>
          <w:rStyle w:val="Emphasis"/>
          <w:rFonts w:ascii="Times New Roman" w:hAnsi="Times New Roman" w:cs="Times New Roman"/>
          <w:sz w:val="20"/>
          <w:szCs w:val="20"/>
        </w:rPr>
        <w:t>p</w:t>
      </w:r>
      <w:r w:rsidRPr="00A21BC0">
        <w:rPr>
          <w:rFonts w:ascii="Times New Roman" w:hAnsi="Times New Roman" w:cs="Times New Roman"/>
          <w:sz w:val="20"/>
          <w:szCs w:val="20"/>
        </w:rPr>
        <w:t xml:space="preserve"> value of </w:t>
      </w:r>
      <w:r w:rsidRPr="00A21BC0">
        <w:rPr>
          <w:rStyle w:val="Strong"/>
          <w:rFonts w:ascii="Times New Roman" w:hAnsi="Times New Roman" w:cs="Times New Roman"/>
          <w:b w:val="0"/>
          <w:sz w:val="20"/>
          <w:szCs w:val="20"/>
        </w:rPr>
        <w:t>&lt;0.05</w:t>
      </w:r>
      <w:r w:rsidRPr="00A21BC0">
        <w:rPr>
          <w:rFonts w:ascii="Times New Roman" w:hAnsi="Times New Roman" w:cs="Times New Roman"/>
          <w:sz w:val="20"/>
          <w:szCs w:val="20"/>
        </w:rPr>
        <w:t xml:space="preserve"> was considered statistically significant. Statistical analysis was performed using </w:t>
      </w:r>
      <w:r w:rsidRPr="00A21BC0">
        <w:rPr>
          <w:rStyle w:val="Strong"/>
          <w:rFonts w:ascii="Times New Roman" w:hAnsi="Times New Roman" w:cs="Times New Roman"/>
          <w:b w:val="0"/>
          <w:sz w:val="20"/>
          <w:szCs w:val="20"/>
        </w:rPr>
        <w:t>GraphPad Prism (version 9.0)</w:t>
      </w:r>
      <w:r w:rsidRPr="00A21BC0">
        <w:rPr>
          <w:rFonts w:ascii="Times New Roman" w:hAnsi="Times New Roman" w:cs="Times New Roman"/>
          <w:sz w:val="20"/>
          <w:szCs w:val="20"/>
        </w:rPr>
        <w:t>.</w:t>
      </w:r>
    </w:p>
    <w:p w14:paraId="01C353AC" w14:textId="77777777" w:rsidR="00AD1EEB" w:rsidRDefault="00AD1EEB" w:rsidP="00AD1EEB">
      <w:pPr>
        <w:spacing w:before="100" w:beforeAutospacing="1" w:after="100" w:afterAutospacing="1" w:line="480" w:lineRule="auto"/>
        <w:jc w:val="both"/>
        <w:rPr>
          <w:rFonts w:ascii="Times New Roman" w:hAnsi="Times New Roman" w:cs="Times New Roman"/>
          <w:b/>
          <w:bCs/>
          <w:sz w:val="24"/>
          <w:szCs w:val="24"/>
        </w:rPr>
      </w:pPr>
    </w:p>
    <w:p w14:paraId="2ECB1150" w14:textId="77777777" w:rsidR="00AD1EEB" w:rsidRDefault="00AD1EEB" w:rsidP="00AD1EEB">
      <w:pPr>
        <w:spacing w:before="100" w:beforeAutospacing="1" w:after="100" w:afterAutospacing="1" w:line="480" w:lineRule="auto"/>
        <w:jc w:val="both"/>
        <w:rPr>
          <w:rFonts w:ascii="Times New Roman" w:hAnsi="Times New Roman" w:cs="Times New Roman"/>
          <w:b/>
          <w:bCs/>
          <w:sz w:val="24"/>
          <w:szCs w:val="24"/>
        </w:rPr>
      </w:pPr>
    </w:p>
    <w:p w14:paraId="3C133C5A" w14:textId="3D6D8D1B" w:rsidR="005D2C2C" w:rsidRPr="00A21BC0" w:rsidRDefault="00A21BC0" w:rsidP="00AD1EEB">
      <w:pPr>
        <w:spacing w:before="100" w:beforeAutospacing="1" w:after="100" w:afterAutospacing="1" w:line="480" w:lineRule="auto"/>
        <w:jc w:val="both"/>
        <w:rPr>
          <w:rFonts w:ascii="Times New Roman" w:hAnsi="Times New Roman" w:cs="Times New Roman"/>
          <w:b/>
          <w:bCs/>
          <w:sz w:val="24"/>
          <w:szCs w:val="24"/>
        </w:rPr>
      </w:pPr>
      <w:r w:rsidRPr="00A21BC0">
        <w:rPr>
          <w:rFonts w:ascii="Times New Roman" w:hAnsi="Times New Roman" w:cs="Times New Roman"/>
          <w:b/>
          <w:bCs/>
          <w:sz w:val="24"/>
          <w:szCs w:val="24"/>
        </w:rPr>
        <w:t>RESULTS</w:t>
      </w:r>
    </w:p>
    <w:p w14:paraId="48FF1A97"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All animals tolerated the study protocol without mortality, and general health status remained stable across groups. The animals in the ethylene glycol (EG)-treated group (Group II) began to show signs of lethargy and reduced activity by the second week, indicating systemic distress secondary to urolithiasis. No such signs were observed in either the control (Group I), standard treatment (Group III), or test (Bryophyllum pinnatum, Group IV) groups, suggesting a potential protective effect of the interventions.</w:t>
      </w:r>
    </w:p>
    <w:p w14:paraId="7DAC0125"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Urinary biochemical analysis after 28 days revealed that Group II exhibited a significant increase in urinary calcium (6.78 ± 0.48 mg/dL), oxalate (4.67 ± 0.29 mg/dL), and phosphate (3.56 ± 0.33 mg/dL) levels compared to the normal control group, confirming successful induction of </w:t>
      </w:r>
      <w:proofErr w:type="spellStart"/>
      <w:r w:rsidRPr="00A21BC0">
        <w:rPr>
          <w:rFonts w:ascii="Times New Roman" w:eastAsia="Times New Roman" w:hAnsi="Times New Roman" w:cs="Times New Roman"/>
          <w:sz w:val="20"/>
          <w:szCs w:val="20"/>
        </w:rPr>
        <w:t>lithogenesis</w:t>
      </w:r>
      <w:proofErr w:type="spellEnd"/>
      <w:r w:rsidRPr="00A21BC0">
        <w:rPr>
          <w:rFonts w:ascii="Times New Roman" w:eastAsia="Times New Roman" w:hAnsi="Times New Roman" w:cs="Times New Roman"/>
          <w:sz w:val="20"/>
          <w:szCs w:val="20"/>
        </w:rPr>
        <w:t xml:space="preserve">. Concurrently, a marked reduction in urinary magnesium (1.10 ± 0.13 mg/dL) was observed in Group II, aligning with the known role of magnesium as an inhibitor of calcium oxalate crystallization. In contrast, animals treated with Bryophyllum pinnatum extract (Group IV) showed significantly lower levels of urinary calcium (3.21 ± 0.31 mg/dL), oxalate (1.24 ± 0.19 mg/dL), and phosphate (1.76 ± 0.23 mg/dL) when compared to Group II (p &lt; 0.01). Urinary magnesium levels also improved (1.79 ± 0.20 mg/dL), closely matching those seen in the standard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-treated group (Group III).</w:t>
      </w:r>
    </w:p>
    <w:p w14:paraId="4AB4F708"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Serum biochemical parameters further substantiated the </w:t>
      </w:r>
      <w:proofErr w:type="spellStart"/>
      <w:r w:rsidRPr="00A21BC0">
        <w:rPr>
          <w:rFonts w:ascii="Times New Roman" w:eastAsia="Times New Roman" w:hAnsi="Times New Roman" w:cs="Times New Roman"/>
          <w:sz w:val="20"/>
          <w:szCs w:val="20"/>
        </w:rPr>
        <w:t>renoprotective</w:t>
      </w:r>
      <w:proofErr w:type="spellEnd"/>
      <w:r w:rsidRPr="00A21BC0">
        <w:rPr>
          <w:rFonts w:ascii="Times New Roman" w:eastAsia="Times New Roman" w:hAnsi="Times New Roman" w:cs="Times New Roman"/>
          <w:sz w:val="20"/>
          <w:szCs w:val="20"/>
        </w:rPr>
        <w:t xml:space="preserve"> effect of </w:t>
      </w:r>
      <w:proofErr w:type="spellStart"/>
      <w:r w:rsidRPr="00A21BC0">
        <w:rPr>
          <w:rFonts w:ascii="Times New Roman" w:eastAsia="Times New Roman" w:hAnsi="Times New Roman" w:cs="Times New Roman"/>
          <w:sz w:val="20"/>
          <w:szCs w:val="20"/>
        </w:rPr>
        <w:t>Bryophyllum</w:t>
      </w:r>
      <w:proofErr w:type="spellEnd"/>
      <w:r w:rsidRPr="00A21BC0">
        <w:rPr>
          <w:rFonts w:ascii="Times New Roman" w:eastAsia="Times New Roman" w:hAnsi="Times New Roman" w:cs="Times New Roman"/>
          <w:sz w:val="20"/>
          <w:szCs w:val="20"/>
        </w:rPr>
        <w:t xml:space="preserve"> pinnatum. Group II rats displayed a marked elevation in serum creatinine (1.81 ± 0.12 mg/dL), blood urea nitrogen (38.5 ± 2.1 mg/dL), and uric acid (5.6 ± 0.5 mg/dL), reflecting compromised renal function due to oxalate crystal burden and tubular injury. However, rats in Group IV exhibited significant normalization of these markers: serum creatinine was reduced to 0.77 ± 0.07 mg/dL, BUN to 22.1 ± 1.4 mg/dL, and uric acid to 3.3 ± 0.4 mg/dL (p &lt; 0.01), comparable to values observed in the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xml:space="preserve"> group.</w:t>
      </w:r>
    </w:p>
    <w:p w14:paraId="1B75BADC"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A comparison of kidney weights, taken as a surrogate marker for inflammation and crystal deposition, revealed that Group II animals had significantly higher kidney-to-body weight ratios (1.08 ± 0.04 g/100 g body weight) than controls (0.69 ± 0.03 g/100 g). Treatment with Bryophyllum pinnatum led to a noticeable reduction (0.76 ± 0.06 g/100 g), indicating mitigation of tissue inflammation and congestion.</w:t>
      </w:r>
    </w:p>
    <w:p w14:paraId="0E8E524E"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Histopathological examination of renal tissue provided compelling evidence of the protective effect of Bryophyllum pinnatum. Sections from Group II revealed extensive calcium oxalate crystal deposition within tubules, pronounced tubular epithelial degeneration, inflammatory infiltrates, and focal necrosis. In contrast, Group IV kidneys demonstrated preserved architecture, with minimal tubular dilation, reduced crystal deposition, and only mild inflammatory changes. These observations were comparable to the protective changes noted in the standard treatment group.</w:t>
      </w:r>
    </w:p>
    <w:p w14:paraId="04F83FA6"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Statistical comparisons using ANOVA followed by Tukey’s post hoc test confirmed that the improvements in both urinary and serum biochemical profiles, as well as histological restoration in the test group, were highly significant when compared to the negative control group (p &lt; 0.01 across most parameters). Overall, Bryophyllum pinnatum demonstrated a robust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effect, evidenced by normalization of urinary and systemic markers and preservation of renal histology, comparable to that achieved with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xml:space="preserve">, a clinically validated </w:t>
      </w:r>
      <w:proofErr w:type="spellStart"/>
      <w:r w:rsidRPr="00A21BC0">
        <w:rPr>
          <w:rFonts w:ascii="Times New Roman" w:eastAsia="Times New Roman" w:hAnsi="Times New Roman" w:cs="Times New Roman"/>
          <w:sz w:val="20"/>
          <w:szCs w:val="20"/>
        </w:rPr>
        <w:t>phytotherapeutic</w:t>
      </w:r>
      <w:proofErr w:type="spellEnd"/>
      <w:r w:rsidRPr="00A21BC0">
        <w:rPr>
          <w:rFonts w:ascii="Times New Roman" w:eastAsia="Times New Roman" w:hAnsi="Times New Roman" w:cs="Times New Roman"/>
          <w:sz w:val="20"/>
          <w:szCs w:val="20"/>
        </w:rPr>
        <w:t xml:space="preserve"> agent.</w:t>
      </w:r>
    </w:p>
    <w:p w14:paraId="42AE7774" w14:textId="77777777" w:rsidR="00DE7075" w:rsidRPr="00A21BC0" w:rsidRDefault="00DE7075" w:rsidP="00AD1EEB">
      <w:pPr>
        <w:spacing w:before="100" w:beforeAutospacing="1" w:after="100" w:afterAutospacing="1" w:line="480" w:lineRule="auto"/>
        <w:jc w:val="both"/>
        <w:rPr>
          <w:rFonts w:ascii="Times New Roman" w:hAnsi="Times New Roman" w:cs="Times New Roman"/>
          <w:sz w:val="20"/>
          <w:szCs w:val="20"/>
        </w:rPr>
      </w:pPr>
      <w:r w:rsidRPr="00A21BC0">
        <w:rPr>
          <w:rFonts w:ascii="Times New Roman" w:hAnsi="Times New Roman" w:cs="Times New Roman"/>
          <w:sz w:val="20"/>
          <w:szCs w:val="20"/>
        </w:rPr>
        <w:t xml:space="preserve">Throughout the 28-day treatment period, no mortality was recorded. All animals remained active with normal feeding behavior, except for mild lethargy observed in the </w:t>
      </w:r>
      <w:r w:rsidRPr="00A21BC0">
        <w:rPr>
          <w:rStyle w:val="Strong"/>
          <w:rFonts w:ascii="Times New Roman" w:hAnsi="Times New Roman" w:cs="Times New Roman"/>
          <w:sz w:val="20"/>
          <w:szCs w:val="20"/>
        </w:rPr>
        <w:t>Negative Control Group (Group II)</w:t>
      </w:r>
      <w:r w:rsidRPr="00A21BC0">
        <w:rPr>
          <w:rFonts w:ascii="Times New Roman" w:hAnsi="Times New Roman" w:cs="Times New Roman"/>
          <w:sz w:val="20"/>
          <w:szCs w:val="20"/>
        </w:rPr>
        <w:t xml:space="preserve"> from day 15 onwards, suggestive of systemic distress due to nephrolithiasis.</w:t>
      </w:r>
    </w:p>
    <w:p w14:paraId="3A29872A" w14:textId="77777777" w:rsidR="00DE7075" w:rsidRPr="00A21BC0" w:rsidRDefault="00DE7075" w:rsidP="00AD1EEB">
      <w:pPr>
        <w:pStyle w:val="Heading3"/>
        <w:spacing w:line="480" w:lineRule="auto"/>
        <w:rPr>
          <w:sz w:val="24"/>
          <w:szCs w:val="24"/>
        </w:rPr>
      </w:pPr>
      <w:r w:rsidRPr="00A21BC0">
        <w:rPr>
          <w:rStyle w:val="Strong"/>
          <w:b/>
          <w:bCs/>
          <w:sz w:val="20"/>
          <w:szCs w:val="20"/>
        </w:rPr>
        <w:t>1.</w:t>
      </w:r>
      <w:r w:rsidRPr="00A21BC0">
        <w:rPr>
          <w:rStyle w:val="Strong"/>
          <w:b/>
          <w:bCs/>
          <w:sz w:val="24"/>
          <w:szCs w:val="24"/>
        </w:rPr>
        <w:t xml:space="preserve"> </w:t>
      </w:r>
      <w:r w:rsidRPr="00A21BC0">
        <w:rPr>
          <w:rStyle w:val="Strong"/>
          <w:b/>
          <w:bCs/>
          <w:sz w:val="20"/>
          <w:szCs w:val="20"/>
        </w:rPr>
        <w:t>Effect on Urinary Biochemical Parameters</w:t>
      </w:r>
    </w:p>
    <w:p w14:paraId="663330EB" w14:textId="77777777" w:rsidR="00DE7075" w:rsidRDefault="00DE7075" w:rsidP="00AD1EEB">
      <w:pPr>
        <w:spacing w:before="100" w:beforeAutospacing="1" w:after="100" w:afterAutospacing="1" w:line="480" w:lineRule="auto"/>
        <w:rPr>
          <w:rFonts w:ascii="Times New Roman" w:hAnsi="Times New Roman" w:cs="Times New Roman"/>
          <w:sz w:val="20"/>
          <w:szCs w:val="20"/>
        </w:rPr>
      </w:pPr>
      <w:r w:rsidRPr="00A21BC0">
        <w:rPr>
          <w:rFonts w:ascii="Times New Roman" w:hAnsi="Times New Roman" w:cs="Times New Roman"/>
          <w:sz w:val="20"/>
          <w:szCs w:val="20"/>
        </w:rPr>
        <w:t>The 24-hour urine analysis demonstrated the following:</w:t>
      </w:r>
    </w:p>
    <w:p w14:paraId="2F3070AB" w14:textId="77777777" w:rsidR="00A21BC0" w:rsidRPr="00A21BC0" w:rsidRDefault="00A21BC0" w:rsidP="00AD1EEB">
      <w:pPr>
        <w:spacing w:before="100" w:beforeAutospacing="1" w:after="100" w:afterAutospacing="1" w:line="480" w:lineRule="auto"/>
        <w:rPr>
          <w:rFonts w:ascii="Times New Roman" w:hAnsi="Times New Roman" w:cs="Times New Roman"/>
          <w:sz w:val="20"/>
          <w:szCs w:val="20"/>
        </w:rPr>
      </w:pPr>
    </w:p>
    <w:tbl>
      <w:tblPr>
        <w:tblW w:w="9805" w:type="dxa"/>
        <w:tblCellSpacing w:w="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15" w:type="dxa"/>
          <w:left w:w="15" w:type="dxa"/>
          <w:bottom w:w="15" w:type="dxa"/>
          <w:right w:w="15" w:type="dxa"/>
        </w:tblCellMar>
        <w:tblLook w:val="04A0" w:firstRow="1" w:lastRow="0" w:firstColumn="1" w:lastColumn="0" w:noHBand="0" w:noVBand="1"/>
      </w:tblPr>
      <w:tblGrid>
        <w:gridCol w:w="2099"/>
        <w:gridCol w:w="1766"/>
        <w:gridCol w:w="1710"/>
        <w:gridCol w:w="1980"/>
        <w:gridCol w:w="2250"/>
      </w:tblGrid>
      <w:tr w:rsidR="00DE7075" w:rsidRPr="00A21BC0" w14:paraId="766B534F" w14:textId="77777777" w:rsidTr="00773C1C">
        <w:trPr>
          <w:tblHeader/>
          <w:tblCellSpacing w:w="15" w:type="dxa"/>
        </w:trPr>
        <w:tc>
          <w:tcPr>
            <w:tcW w:w="0" w:type="auto"/>
            <w:vAlign w:val="center"/>
            <w:hideMark/>
          </w:tcPr>
          <w:p w14:paraId="54E89F55" w14:textId="77777777" w:rsidR="00DE7075" w:rsidRPr="00A21BC0" w:rsidRDefault="00DE7075" w:rsidP="00AD1EEB">
            <w:pPr>
              <w:spacing w:after="0" w:line="480" w:lineRule="auto"/>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Parameter</w:t>
            </w:r>
          </w:p>
        </w:tc>
        <w:tc>
          <w:tcPr>
            <w:tcW w:w="1736" w:type="dxa"/>
            <w:vAlign w:val="center"/>
            <w:hideMark/>
          </w:tcPr>
          <w:p w14:paraId="7B35524C" w14:textId="77777777" w:rsidR="00DE7075" w:rsidRPr="00A21BC0" w:rsidRDefault="00DE7075" w:rsidP="00AD1EEB">
            <w:pPr>
              <w:spacing w:line="480" w:lineRule="auto"/>
              <w:jc w:val="center"/>
              <w:rPr>
                <w:sz w:val="20"/>
                <w:szCs w:val="20"/>
              </w:rPr>
            </w:pPr>
            <w:r w:rsidRPr="00A21BC0">
              <w:rPr>
                <w:rStyle w:val="Strong"/>
                <w:rFonts w:ascii="Times New Roman" w:hAnsi="Times New Roman" w:cs="Times New Roman"/>
                <w:sz w:val="20"/>
                <w:szCs w:val="20"/>
              </w:rPr>
              <w:t>Normal Control</w:t>
            </w:r>
          </w:p>
          <w:p w14:paraId="47A32652"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sz w:val="20"/>
                <w:szCs w:val="20"/>
              </w:rPr>
              <w:t>(</w:t>
            </w:r>
            <w:r w:rsidRPr="00A21BC0">
              <w:rPr>
                <w:rFonts w:ascii="Times New Roman" w:hAnsi="Times New Roman" w:cs="Times New Roman"/>
                <w:b/>
                <w:bCs/>
                <w:sz w:val="20"/>
                <w:szCs w:val="20"/>
              </w:rPr>
              <w:t>Group I)</w:t>
            </w:r>
          </w:p>
        </w:tc>
        <w:tc>
          <w:tcPr>
            <w:tcW w:w="1680" w:type="dxa"/>
            <w:vAlign w:val="center"/>
            <w:hideMark/>
          </w:tcPr>
          <w:p w14:paraId="5901E33E" w14:textId="77777777" w:rsidR="00DE7075" w:rsidRPr="00A21BC0" w:rsidRDefault="00DE7075" w:rsidP="00AD1EEB">
            <w:pPr>
              <w:spacing w:line="480" w:lineRule="auto"/>
              <w:jc w:val="center"/>
              <w:rPr>
                <w:sz w:val="20"/>
                <w:szCs w:val="20"/>
              </w:rPr>
            </w:pPr>
            <w:r w:rsidRPr="00A21BC0">
              <w:rPr>
                <w:rStyle w:val="Strong"/>
                <w:rFonts w:ascii="Times New Roman" w:hAnsi="Times New Roman" w:cs="Times New Roman"/>
                <w:sz w:val="20"/>
                <w:szCs w:val="20"/>
              </w:rPr>
              <w:t>Negative Control</w:t>
            </w:r>
          </w:p>
          <w:p w14:paraId="387797FE"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rFonts w:ascii="Times New Roman" w:hAnsi="Times New Roman" w:cs="Times New Roman"/>
                <w:b/>
                <w:bCs/>
                <w:sz w:val="20"/>
                <w:szCs w:val="20"/>
              </w:rPr>
              <w:t>(Group II)</w:t>
            </w:r>
          </w:p>
        </w:tc>
        <w:tc>
          <w:tcPr>
            <w:tcW w:w="1950" w:type="dxa"/>
            <w:vAlign w:val="center"/>
            <w:hideMark/>
          </w:tcPr>
          <w:p w14:paraId="5F0EB646" w14:textId="77777777" w:rsidR="00DE7075" w:rsidRPr="00A21BC0" w:rsidRDefault="00DE7075" w:rsidP="00AD1EEB">
            <w:pPr>
              <w:spacing w:line="480" w:lineRule="auto"/>
              <w:jc w:val="center"/>
              <w:rPr>
                <w:sz w:val="20"/>
                <w:szCs w:val="20"/>
              </w:rPr>
            </w:pPr>
            <w:r w:rsidRPr="00A21BC0">
              <w:rPr>
                <w:rStyle w:val="Strong"/>
                <w:rFonts w:ascii="Times New Roman" w:hAnsi="Times New Roman" w:cs="Times New Roman"/>
                <w:sz w:val="20"/>
                <w:szCs w:val="20"/>
              </w:rPr>
              <w:t>Standard (</w:t>
            </w:r>
            <w:proofErr w:type="spellStart"/>
            <w:r w:rsidRPr="00A21BC0">
              <w:rPr>
                <w:rStyle w:val="Strong"/>
                <w:rFonts w:ascii="Times New Roman" w:hAnsi="Times New Roman" w:cs="Times New Roman"/>
                <w:sz w:val="20"/>
                <w:szCs w:val="20"/>
              </w:rPr>
              <w:t>Cystone</w:t>
            </w:r>
            <w:proofErr w:type="spellEnd"/>
            <w:r w:rsidRPr="00A21BC0">
              <w:rPr>
                <w:rStyle w:val="Strong"/>
                <w:rFonts w:ascii="Times New Roman" w:hAnsi="Times New Roman" w:cs="Times New Roman"/>
                <w:sz w:val="20"/>
                <w:szCs w:val="20"/>
              </w:rPr>
              <w:t>)</w:t>
            </w:r>
          </w:p>
          <w:p w14:paraId="527394D0"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rFonts w:ascii="Times New Roman" w:hAnsi="Times New Roman" w:cs="Times New Roman"/>
                <w:b/>
                <w:bCs/>
                <w:sz w:val="20"/>
                <w:szCs w:val="20"/>
              </w:rPr>
              <w:t>(Group III)</w:t>
            </w:r>
          </w:p>
        </w:tc>
        <w:tc>
          <w:tcPr>
            <w:tcW w:w="2205" w:type="dxa"/>
            <w:vAlign w:val="center"/>
            <w:hideMark/>
          </w:tcPr>
          <w:p w14:paraId="3720D34B" w14:textId="77777777" w:rsidR="00DE7075" w:rsidRPr="00A21BC0" w:rsidRDefault="00DE7075" w:rsidP="00AD1EEB">
            <w:pPr>
              <w:spacing w:line="480" w:lineRule="auto"/>
              <w:jc w:val="center"/>
              <w:rPr>
                <w:sz w:val="20"/>
                <w:szCs w:val="20"/>
              </w:rPr>
            </w:pPr>
            <w:r w:rsidRPr="00A21BC0">
              <w:rPr>
                <w:rStyle w:val="Strong"/>
                <w:rFonts w:ascii="Times New Roman" w:hAnsi="Times New Roman" w:cs="Times New Roman"/>
                <w:sz w:val="20"/>
                <w:szCs w:val="20"/>
              </w:rPr>
              <w:t>Test                                 (B. pinnatum)</w:t>
            </w:r>
          </w:p>
          <w:p w14:paraId="0156B506"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rFonts w:ascii="Times New Roman" w:hAnsi="Times New Roman" w:cs="Times New Roman"/>
                <w:b/>
                <w:bCs/>
                <w:sz w:val="20"/>
                <w:szCs w:val="20"/>
              </w:rPr>
              <w:t>(Group IV)</w:t>
            </w:r>
          </w:p>
        </w:tc>
      </w:tr>
      <w:tr w:rsidR="00DE7075" w:rsidRPr="00A21BC0" w14:paraId="4E0F6257" w14:textId="77777777" w:rsidTr="00773C1C">
        <w:trPr>
          <w:tblCellSpacing w:w="15" w:type="dxa"/>
        </w:trPr>
        <w:tc>
          <w:tcPr>
            <w:tcW w:w="0" w:type="auto"/>
            <w:vAlign w:val="center"/>
            <w:hideMark/>
          </w:tcPr>
          <w:p w14:paraId="0E67FD62" w14:textId="77777777" w:rsidR="00DE7075" w:rsidRPr="00A21BC0" w:rsidRDefault="00DE7075" w:rsidP="00AD1EEB">
            <w:pPr>
              <w:spacing w:line="480" w:lineRule="auto"/>
              <w:jc w:val="center"/>
              <w:rPr>
                <w:rFonts w:ascii="Times New Roman" w:hAnsi="Times New Roman" w:cs="Times New Roman"/>
                <w:sz w:val="20"/>
                <w:szCs w:val="20"/>
              </w:rPr>
            </w:pPr>
            <w:r w:rsidRPr="00A21BC0">
              <w:rPr>
                <w:rStyle w:val="Strong"/>
                <w:rFonts w:ascii="Times New Roman" w:hAnsi="Times New Roman" w:cs="Times New Roman"/>
                <w:sz w:val="20"/>
                <w:szCs w:val="20"/>
              </w:rPr>
              <w:t>Urinary Calcium (mg/dL)</w:t>
            </w:r>
          </w:p>
        </w:tc>
        <w:tc>
          <w:tcPr>
            <w:tcW w:w="1736" w:type="dxa"/>
            <w:vAlign w:val="center"/>
            <w:hideMark/>
          </w:tcPr>
          <w:p w14:paraId="46704509"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2.42 ± 0.32</w:t>
            </w:r>
          </w:p>
        </w:tc>
        <w:tc>
          <w:tcPr>
            <w:tcW w:w="1680" w:type="dxa"/>
            <w:vAlign w:val="center"/>
            <w:hideMark/>
          </w:tcPr>
          <w:p w14:paraId="5C153918"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6.78 ± 0.48**</w:t>
            </w:r>
          </w:p>
        </w:tc>
        <w:tc>
          <w:tcPr>
            <w:tcW w:w="1950" w:type="dxa"/>
            <w:vAlign w:val="center"/>
            <w:hideMark/>
          </w:tcPr>
          <w:p w14:paraId="353C2ADB"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3.14 ± 0.34††</w:t>
            </w:r>
          </w:p>
        </w:tc>
        <w:tc>
          <w:tcPr>
            <w:tcW w:w="2205" w:type="dxa"/>
            <w:vAlign w:val="center"/>
            <w:hideMark/>
          </w:tcPr>
          <w:p w14:paraId="6044E4EE"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3.21 ± 0.31††</w:t>
            </w:r>
          </w:p>
        </w:tc>
      </w:tr>
      <w:tr w:rsidR="00DE7075" w:rsidRPr="00A21BC0" w14:paraId="6BF1AC55" w14:textId="77777777" w:rsidTr="00773C1C">
        <w:trPr>
          <w:tblCellSpacing w:w="15" w:type="dxa"/>
        </w:trPr>
        <w:tc>
          <w:tcPr>
            <w:tcW w:w="0" w:type="auto"/>
            <w:vAlign w:val="center"/>
            <w:hideMark/>
          </w:tcPr>
          <w:p w14:paraId="3F3C8251" w14:textId="77777777" w:rsidR="00DE7075" w:rsidRPr="00A21BC0" w:rsidRDefault="00DE7075" w:rsidP="00AD1EEB">
            <w:pPr>
              <w:spacing w:line="480" w:lineRule="auto"/>
              <w:jc w:val="center"/>
              <w:rPr>
                <w:rFonts w:ascii="Times New Roman" w:hAnsi="Times New Roman" w:cs="Times New Roman"/>
                <w:sz w:val="20"/>
                <w:szCs w:val="20"/>
              </w:rPr>
            </w:pPr>
            <w:r w:rsidRPr="00A21BC0">
              <w:rPr>
                <w:rStyle w:val="Strong"/>
                <w:rFonts w:ascii="Times New Roman" w:hAnsi="Times New Roman" w:cs="Times New Roman"/>
                <w:sz w:val="20"/>
                <w:szCs w:val="20"/>
              </w:rPr>
              <w:t>Urinary Oxalate (mg/dL)</w:t>
            </w:r>
          </w:p>
        </w:tc>
        <w:tc>
          <w:tcPr>
            <w:tcW w:w="1736" w:type="dxa"/>
            <w:vAlign w:val="center"/>
            <w:hideMark/>
          </w:tcPr>
          <w:p w14:paraId="0F6027AF"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0.89 ± 0.16</w:t>
            </w:r>
          </w:p>
        </w:tc>
        <w:tc>
          <w:tcPr>
            <w:tcW w:w="1680" w:type="dxa"/>
            <w:vAlign w:val="center"/>
            <w:hideMark/>
          </w:tcPr>
          <w:p w14:paraId="76DF1846"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4.67 ± 0.29**</w:t>
            </w:r>
          </w:p>
        </w:tc>
        <w:tc>
          <w:tcPr>
            <w:tcW w:w="1950" w:type="dxa"/>
            <w:vAlign w:val="center"/>
            <w:hideMark/>
          </w:tcPr>
          <w:p w14:paraId="67B31C01"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1.12 ± 0.17††</w:t>
            </w:r>
          </w:p>
        </w:tc>
        <w:tc>
          <w:tcPr>
            <w:tcW w:w="2205" w:type="dxa"/>
            <w:vAlign w:val="center"/>
            <w:hideMark/>
          </w:tcPr>
          <w:p w14:paraId="5D4645D4"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1.24 ± 0.19††</w:t>
            </w:r>
          </w:p>
        </w:tc>
      </w:tr>
      <w:tr w:rsidR="00DE7075" w:rsidRPr="00A21BC0" w14:paraId="63E7B4BD" w14:textId="77777777" w:rsidTr="00773C1C">
        <w:trPr>
          <w:tblCellSpacing w:w="15" w:type="dxa"/>
        </w:trPr>
        <w:tc>
          <w:tcPr>
            <w:tcW w:w="0" w:type="auto"/>
            <w:vAlign w:val="center"/>
            <w:hideMark/>
          </w:tcPr>
          <w:p w14:paraId="316D1C4F" w14:textId="77777777" w:rsidR="00DE7075" w:rsidRPr="00A21BC0" w:rsidRDefault="00DE7075" w:rsidP="00AD1EEB">
            <w:pPr>
              <w:spacing w:line="480" w:lineRule="auto"/>
              <w:jc w:val="center"/>
              <w:rPr>
                <w:rFonts w:ascii="Times New Roman" w:hAnsi="Times New Roman" w:cs="Times New Roman"/>
                <w:sz w:val="20"/>
                <w:szCs w:val="20"/>
              </w:rPr>
            </w:pPr>
            <w:r w:rsidRPr="00A21BC0">
              <w:rPr>
                <w:rStyle w:val="Strong"/>
                <w:rFonts w:ascii="Times New Roman" w:hAnsi="Times New Roman" w:cs="Times New Roman"/>
                <w:sz w:val="20"/>
                <w:szCs w:val="20"/>
              </w:rPr>
              <w:t>Urinary Phosphate (mg/dL)</w:t>
            </w:r>
          </w:p>
        </w:tc>
        <w:tc>
          <w:tcPr>
            <w:tcW w:w="1736" w:type="dxa"/>
            <w:vAlign w:val="center"/>
            <w:hideMark/>
          </w:tcPr>
          <w:p w14:paraId="41E3DE09"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1.48 ± 0.20</w:t>
            </w:r>
          </w:p>
        </w:tc>
        <w:tc>
          <w:tcPr>
            <w:tcW w:w="1680" w:type="dxa"/>
            <w:vAlign w:val="center"/>
            <w:hideMark/>
          </w:tcPr>
          <w:p w14:paraId="5DC9E937"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3.56 ± 0.33**</w:t>
            </w:r>
          </w:p>
        </w:tc>
        <w:tc>
          <w:tcPr>
            <w:tcW w:w="1950" w:type="dxa"/>
            <w:vAlign w:val="center"/>
            <w:hideMark/>
          </w:tcPr>
          <w:p w14:paraId="2604DD0A"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1.71 ± 0.25††</w:t>
            </w:r>
          </w:p>
        </w:tc>
        <w:tc>
          <w:tcPr>
            <w:tcW w:w="2205" w:type="dxa"/>
            <w:vAlign w:val="center"/>
            <w:hideMark/>
          </w:tcPr>
          <w:p w14:paraId="23A09E5A"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1.76 ± 0.23††</w:t>
            </w:r>
          </w:p>
        </w:tc>
      </w:tr>
      <w:tr w:rsidR="00DE7075" w:rsidRPr="00A21BC0" w14:paraId="5562B18F" w14:textId="77777777" w:rsidTr="00773C1C">
        <w:trPr>
          <w:tblCellSpacing w:w="15" w:type="dxa"/>
        </w:trPr>
        <w:tc>
          <w:tcPr>
            <w:tcW w:w="0" w:type="auto"/>
            <w:vAlign w:val="center"/>
            <w:hideMark/>
          </w:tcPr>
          <w:p w14:paraId="4B0DB2E4" w14:textId="77777777" w:rsidR="00DE7075" w:rsidRPr="00A21BC0" w:rsidRDefault="00DE7075" w:rsidP="00AD1EEB">
            <w:pPr>
              <w:spacing w:line="480" w:lineRule="auto"/>
              <w:jc w:val="center"/>
              <w:rPr>
                <w:rFonts w:ascii="Times New Roman" w:hAnsi="Times New Roman" w:cs="Times New Roman"/>
                <w:sz w:val="20"/>
                <w:szCs w:val="20"/>
              </w:rPr>
            </w:pPr>
            <w:r w:rsidRPr="00A21BC0">
              <w:rPr>
                <w:rStyle w:val="Strong"/>
                <w:rFonts w:ascii="Times New Roman" w:hAnsi="Times New Roman" w:cs="Times New Roman"/>
                <w:sz w:val="20"/>
                <w:szCs w:val="20"/>
              </w:rPr>
              <w:t>Urinary Magnesium (mg/dL)</w:t>
            </w:r>
          </w:p>
        </w:tc>
        <w:tc>
          <w:tcPr>
            <w:tcW w:w="1736" w:type="dxa"/>
            <w:vAlign w:val="center"/>
            <w:hideMark/>
          </w:tcPr>
          <w:p w14:paraId="6794B4CF"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1.95 ± 0.18</w:t>
            </w:r>
          </w:p>
        </w:tc>
        <w:tc>
          <w:tcPr>
            <w:tcW w:w="1680" w:type="dxa"/>
            <w:vAlign w:val="center"/>
            <w:hideMark/>
          </w:tcPr>
          <w:p w14:paraId="4EE95D30"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1.10 ± 0.13**</w:t>
            </w:r>
          </w:p>
        </w:tc>
        <w:tc>
          <w:tcPr>
            <w:tcW w:w="1950" w:type="dxa"/>
            <w:vAlign w:val="center"/>
            <w:hideMark/>
          </w:tcPr>
          <w:p w14:paraId="69A8DB2B"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1.83 ± 0.16††</w:t>
            </w:r>
          </w:p>
        </w:tc>
        <w:tc>
          <w:tcPr>
            <w:tcW w:w="2205" w:type="dxa"/>
            <w:vAlign w:val="center"/>
            <w:hideMark/>
          </w:tcPr>
          <w:p w14:paraId="0DECED92"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1.79 ± 0.20††</w:t>
            </w:r>
          </w:p>
        </w:tc>
      </w:tr>
    </w:tbl>
    <w:p w14:paraId="4D7FF69E" w14:textId="77777777" w:rsidR="00A21BC0" w:rsidRDefault="00A21BC0" w:rsidP="00AD1EEB">
      <w:pPr>
        <w:pStyle w:val="Heading3"/>
        <w:spacing w:line="480" w:lineRule="auto"/>
        <w:rPr>
          <w:rStyle w:val="Strong"/>
          <w:b/>
          <w:bCs/>
          <w:sz w:val="20"/>
          <w:szCs w:val="20"/>
        </w:rPr>
      </w:pPr>
    </w:p>
    <w:p w14:paraId="4642ABA4" w14:textId="6AE42583" w:rsidR="00DE7075" w:rsidRPr="00A21BC0" w:rsidRDefault="00DE7075" w:rsidP="00AD1EEB">
      <w:pPr>
        <w:pStyle w:val="Heading3"/>
        <w:spacing w:line="480" w:lineRule="auto"/>
        <w:rPr>
          <w:sz w:val="20"/>
          <w:szCs w:val="20"/>
        </w:rPr>
      </w:pPr>
      <w:r w:rsidRPr="00A21BC0">
        <w:rPr>
          <w:rStyle w:val="Strong"/>
          <w:b/>
          <w:bCs/>
          <w:sz w:val="20"/>
          <w:szCs w:val="20"/>
        </w:rPr>
        <w:t>2. Serum Biochemical Profile</w:t>
      </w:r>
    </w:p>
    <w:tbl>
      <w:tblPr>
        <w:tblW w:w="9715" w:type="dxa"/>
        <w:tblCellSpacing w:w="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15" w:type="dxa"/>
          <w:left w:w="15" w:type="dxa"/>
          <w:bottom w:w="15" w:type="dxa"/>
          <w:right w:w="15" w:type="dxa"/>
        </w:tblCellMar>
        <w:tblLook w:val="04A0" w:firstRow="1" w:lastRow="0" w:firstColumn="1" w:lastColumn="0" w:noHBand="0" w:noVBand="1"/>
      </w:tblPr>
      <w:tblGrid>
        <w:gridCol w:w="2681"/>
        <w:gridCol w:w="1483"/>
        <w:gridCol w:w="1574"/>
        <w:gridCol w:w="1791"/>
        <w:gridCol w:w="2186"/>
      </w:tblGrid>
      <w:tr w:rsidR="00DE7075" w:rsidRPr="00A21BC0" w14:paraId="782908F8" w14:textId="77777777" w:rsidTr="00DE7075">
        <w:trPr>
          <w:tblHeader/>
          <w:tblCellSpacing w:w="15" w:type="dxa"/>
        </w:trPr>
        <w:tc>
          <w:tcPr>
            <w:tcW w:w="0" w:type="auto"/>
            <w:vAlign w:val="center"/>
            <w:hideMark/>
          </w:tcPr>
          <w:p w14:paraId="06BF939D" w14:textId="77777777" w:rsidR="00DE7075" w:rsidRPr="00A21BC0" w:rsidRDefault="00DE7075">
            <w:pPr>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Parameter</w:t>
            </w:r>
          </w:p>
        </w:tc>
        <w:tc>
          <w:tcPr>
            <w:tcW w:w="0" w:type="auto"/>
            <w:vAlign w:val="center"/>
            <w:hideMark/>
          </w:tcPr>
          <w:p w14:paraId="7E8EAA20" w14:textId="77777777" w:rsidR="00DE7075" w:rsidRPr="00A21BC0" w:rsidRDefault="00DE7075">
            <w:pPr>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Normal Control</w:t>
            </w:r>
          </w:p>
        </w:tc>
        <w:tc>
          <w:tcPr>
            <w:tcW w:w="0" w:type="auto"/>
            <w:vAlign w:val="center"/>
            <w:hideMark/>
          </w:tcPr>
          <w:p w14:paraId="42218164" w14:textId="77777777" w:rsidR="00DE7075" w:rsidRPr="00A21BC0" w:rsidRDefault="00DE7075">
            <w:pPr>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Negative Control</w:t>
            </w:r>
          </w:p>
        </w:tc>
        <w:tc>
          <w:tcPr>
            <w:tcW w:w="0" w:type="auto"/>
            <w:vAlign w:val="center"/>
            <w:hideMark/>
          </w:tcPr>
          <w:p w14:paraId="1A6DA53C" w14:textId="77777777" w:rsidR="00DE7075" w:rsidRPr="00A21BC0" w:rsidRDefault="00DE7075">
            <w:pPr>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Standard (</w:t>
            </w:r>
            <w:proofErr w:type="spellStart"/>
            <w:r w:rsidRPr="00A21BC0">
              <w:rPr>
                <w:rStyle w:val="Strong"/>
                <w:rFonts w:ascii="Times New Roman" w:hAnsi="Times New Roman" w:cs="Times New Roman"/>
                <w:sz w:val="20"/>
                <w:szCs w:val="20"/>
              </w:rPr>
              <w:t>Cystone</w:t>
            </w:r>
            <w:proofErr w:type="spellEnd"/>
            <w:r w:rsidRPr="00A21BC0">
              <w:rPr>
                <w:rStyle w:val="Strong"/>
                <w:rFonts w:ascii="Times New Roman" w:hAnsi="Times New Roman" w:cs="Times New Roman"/>
                <w:sz w:val="20"/>
                <w:szCs w:val="20"/>
              </w:rPr>
              <w:t>)</w:t>
            </w:r>
          </w:p>
        </w:tc>
        <w:tc>
          <w:tcPr>
            <w:tcW w:w="2141" w:type="dxa"/>
            <w:vAlign w:val="center"/>
            <w:hideMark/>
          </w:tcPr>
          <w:p w14:paraId="7B68A258" w14:textId="77777777" w:rsidR="00DE7075" w:rsidRPr="00A21BC0" w:rsidRDefault="00DE7075">
            <w:pPr>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Test (B. pinnatum)</w:t>
            </w:r>
          </w:p>
        </w:tc>
      </w:tr>
      <w:tr w:rsidR="00DE7075" w:rsidRPr="00A21BC0" w14:paraId="36AFDE59" w14:textId="77777777" w:rsidTr="00DE7075">
        <w:trPr>
          <w:tblCellSpacing w:w="15" w:type="dxa"/>
        </w:trPr>
        <w:tc>
          <w:tcPr>
            <w:tcW w:w="0" w:type="auto"/>
            <w:vAlign w:val="center"/>
            <w:hideMark/>
          </w:tcPr>
          <w:p w14:paraId="594A0DCD" w14:textId="77777777" w:rsidR="00DE7075" w:rsidRPr="00A21BC0" w:rsidRDefault="00DE7075">
            <w:pPr>
              <w:rPr>
                <w:rFonts w:ascii="Times New Roman" w:hAnsi="Times New Roman" w:cs="Times New Roman"/>
                <w:sz w:val="20"/>
                <w:szCs w:val="20"/>
              </w:rPr>
            </w:pPr>
            <w:r w:rsidRPr="00A21BC0">
              <w:rPr>
                <w:rStyle w:val="Strong"/>
                <w:rFonts w:ascii="Times New Roman" w:hAnsi="Times New Roman" w:cs="Times New Roman"/>
                <w:sz w:val="20"/>
                <w:szCs w:val="20"/>
              </w:rPr>
              <w:t>Serum Creatinine (mg/dL)</w:t>
            </w:r>
          </w:p>
        </w:tc>
        <w:tc>
          <w:tcPr>
            <w:tcW w:w="0" w:type="auto"/>
            <w:vAlign w:val="center"/>
            <w:hideMark/>
          </w:tcPr>
          <w:p w14:paraId="0900471F"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0.64 ± 0.09</w:t>
            </w:r>
          </w:p>
        </w:tc>
        <w:tc>
          <w:tcPr>
            <w:tcW w:w="0" w:type="auto"/>
            <w:vAlign w:val="center"/>
            <w:hideMark/>
          </w:tcPr>
          <w:p w14:paraId="6AB514F9"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1.81 ± 0.12**</w:t>
            </w:r>
          </w:p>
        </w:tc>
        <w:tc>
          <w:tcPr>
            <w:tcW w:w="0" w:type="auto"/>
            <w:vAlign w:val="center"/>
            <w:hideMark/>
          </w:tcPr>
          <w:p w14:paraId="3FF294CF"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0.71 ± 0.08††</w:t>
            </w:r>
          </w:p>
        </w:tc>
        <w:tc>
          <w:tcPr>
            <w:tcW w:w="2141" w:type="dxa"/>
            <w:vAlign w:val="center"/>
            <w:hideMark/>
          </w:tcPr>
          <w:p w14:paraId="5843A8CE"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0.77 ± 0.07††</w:t>
            </w:r>
          </w:p>
        </w:tc>
      </w:tr>
      <w:tr w:rsidR="00DE7075" w:rsidRPr="00A21BC0" w14:paraId="2983A64F" w14:textId="77777777" w:rsidTr="00DE7075">
        <w:trPr>
          <w:tblCellSpacing w:w="15" w:type="dxa"/>
        </w:trPr>
        <w:tc>
          <w:tcPr>
            <w:tcW w:w="0" w:type="auto"/>
            <w:vAlign w:val="center"/>
            <w:hideMark/>
          </w:tcPr>
          <w:p w14:paraId="13F1CB4F" w14:textId="77777777" w:rsidR="00DE7075" w:rsidRPr="00A21BC0" w:rsidRDefault="00DE7075">
            <w:pPr>
              <w:rPr>
                <w:rFonts w:ascii="Times New Roman" w:hAnsi="Times New Roman" w:cs="Times New Roman"/>
                <w:sz w:val="20"/>
                <w:szCs w:val="20"/>
              </w:rPr>
            </w:pPr>
            <w:r w:rsidRPr="00A21BC0">
              <w:rPr>
                <w:rStyle w:val="Strong"/>
                <w:rFonts w:ascii="Times New Roman" w:hAnsi="Times New Roman" w:cs="Times New Roman"/>
                <w:sz w:val="20"/>
                <w:szCs w:val="20"/>
              </w:rPr>
              <w:t>Blood Urea Nitrogen (mg/dL)</w:t>
            </w:r>
          </w:p>
        </w:tc>
        <w:tc>
          <w:tcPr>
            <w:tcW w:w="0" w:type="auto"/>
            <w:vAlign w:val="center"/>
            <w:hideMark/>
          </w:tcPr>
          <w:p w14:paraId="3E115A69"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18.2 ± 1.6</w:t>
            </w:r>
          </w:p>
        </w:tc>
        <w:tc>
          <w:tcPr>
            <w:tcW w:w="0" w:type="auto"/>
            <w:vAlign w:val="center"/>
            <w:hideMark/>
          </w:tcPr>
          <w:p w14:paraId="3AC63746"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38.5 ± 2.1**</w:t>
            </w:r>
          </w:p>
        </w:tc>
        <w:tc>
          <w:tcPr>
            <w:tcW w:w="0" w:type="auto"/>
            <w:vAlign w:val="center"/>
            <w:hideMark/>
          </w:tcPr>
          <w:p w14:paraId="61435D0F"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20.7 ± 1.3††</w:t>
            </w:r>
          </w:p>
        </w:tc>
        <w:tc>
          <w:tcPr>
            <w:tcW w:w="2141" w:type="dxa"/>
            <w:vAlign w:val="center"/>
            <w:hideMark/>
          </w:tcPr>
          <w:p w14:paraId="7055E01D"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22.1 ± 1.4††</w:t>
            </w:r>
          </w:p>
        </w:tc>
      </w:tr>
      <w:tr w:rsidR="00DE7075" w:rsidRPr="00A21BC0" w14:paraId="5875FF5A" w14:textId="77777777" w:rsidTr="00DE7075">
        <w:trPr>
          <w:tblCellSpacing w:w="15" w:type="dxa"/>
        </w:trPr>
        <w:tc>
          <w:tcPr>
            <w:tcW w:w="0" w:type="auto"/>
            <w:vAlign w:val="center"/>
            <w:hideMark/>
          </w:tcPr>
          <w:p w14:paraId="3A8FDC39" w14:textId="77777777" w:rsidR="00DE7075" w:rsidRPr="00A21BC0" w:rsidRDefault="00DE7075">
            <w:pPr>
              <w:rPr>
                <w:rFonts w:ascii="Times New Roman" w:hAnsi="Times New Roman" w:cs="Times New Roman"/>
                <w:sz w:val="20"/>
                <w:szCs w:val="20"/>
              </w:rPr>
            </w:pPr>
            <w:r w:rsidRPr="00A21BC0">
              <w:rPr>
                <w:rStyle w:val="Strong"/>
                <w:rFonts w:ascii="Times New Roman" w:hAnsi="Times New Roman" w:cs="Times New Roman"/>
                <w:sz w:val="20"/>
                <w:szCs w:val="20"/>
              </w:rPr>
              <w:t>Serum Uric Acid (mg/dL)</w:t>
            </w:r>
          </w:p>
        </w:tc>
        <w:tc>
          <w:tcPr>
            <w:tcW w:w="0" w:type="auto"/>
            <w:vAlign w:val="center"/>
            <w:hideMark/>
          </w:tcPr>
          <w:p w14:paraId="3C004109"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2.8 ± 0.4</w:t>
            </w:r>
          </w:p>
        </w:tc>
        <w:tc>
          <w:tcPr>
            <w:tcW w:w="0" w:type="auto"/>
            <w:vAlign w:val="center"/>
            <w:hideMark/>
          </w:tcPr>
          <w:p w14:paraId="70CBD74D"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5.6 ± 0.5**</w:t>
            </w:r>
          </w:p>
        </w:tc>
        <w:tc>
          <w:tcPr>
            <w:tcW w:w="0" w:type="auto"/>
            <w:vAlign w:val="center"/>
            <w:hideMark/>
          </w:tcPr>
          <w:p w14:paraId="570F876D"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3.0 ± 0.3††</w:t>
            </w:r>
          </w:p>
        </w:tc>
        <w:tc>
          <w:tcPr>
            <w:tcW w:w="2141" w:type="dxa"/>
            <w:vAlign w:val="center"/>
            <w:hideMark/>
          </w:tcPr>
          <w:p w14:paraId="09CB5484" w14:textId="77777777" w:rsidR="00DE7075" w:rsidRPr="00A21BC0" w:rsidRDefault="00DE7075">
            <w:pPr>
              <w:rPr>
                <w:rFonts w:ascii="Times New Roman" w:hAnsi="Times New Roman" w:cs="Times New Roman"/>
                <w:sz w:val="20"/>
                <w:szCs w:val="20"/>
              </w:rPr>
            </w:pPr>
            <w:r w:rsidRPr="00A21BC0">
              <w:rPr>
                <w:rFonts w:ascii="Times New Roman" w:hAnsi="Times New Roman" w:cs="Times New Roman"/>
                <w:sz w:val="20"/>
                <w:szCs w:val="20"/>
              </w:rPr>
              <w:t>3.3 ± 0.4††</w:t>
            </w:r>
          </w:p>
        </w:tc>
      </w:tr>
    </w:tbl>
    <w:p w14:paraId="41D210C3" w14:textId="77777777" w:rsidR="00DE7075" w:rsidRPr="00A21BC0" w:rsidRDefault="00DE7075" w:rsidP="00DE7075">
      <w:pPr>
        <w:spacing w:after="0"/>
        <w:rPr>
          <w:rFonts w:ascii="Times New Roman" w:hAnsi="Times New Roman" w:cs="Times New Roman"/>
          <w:sz w:val="20"/>
          <w:szCs w:val="20"/>
        </w:rPr>
      </w:pPr>
    </w:p>
    <w:p w14:paraId="32D9E65A" w14:textId="77777777" w:rsidR="00DE7075" w:rsidRPr="00A21BC0" w:rsidRDefault="00773C1C" w:rsidP="00AD1EEB">
      <w:pPr>
        <w:pStyle w:val="Heading3"/>
        <w:spacing w:line="480" w:lineRule="auto"/>
        <w:rPr>
          <w:sz w:val="20"/>
          <w:szCs w:val="20"/>
        </w:rPr>
      </w:pPr>
      <w:r w:rsidRPr="00A21BC0">
        <w:rPr>
          <w:rStyle w:val="Strong"/>
          <w:b/>
          <w:bCs/>
          <w:sz w:val="20"/>
          <w:szCs w:val="20"/>
        </w:rPr>
        <w:t>3</w:t>
      </w:r>
      <w:r w:rsidR="00DE7075" w:rsidRPr="00A21BC0">
        <w:rPr>
          <w:rStyle w:val="Strong"/>
          <w:b/>
          <w:bCs/>
          <w:sz w:val="20"/>
          <w:szCs w:val="20"/>
        </w:rPr>
        <w:t>. Kidney Weight and Gross Examination</w:t>
      </w:r>
    </w:p>
    <w:tbl>
      <w:tblPr>
        <w:tblW w:w="5000" w:type="pct"/>
        <w:tblCellSpacing w:w="1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15" w:type="dxa"/>
          <w:left w:w="15" w:type="dxa"/>
          <w:bottom w:w="15" w:type="dxa"/>
          <w:right w:w="15" w:type="dxa"/>
        </w:tblCellMar>
        <w:tblLook w:val="04A0" w:firstRow="1" w:lastRow="0" w:firstColumn="1" w:lastColumn="0" w:noHBand="0" w:noVBand="1"/>
      </w:tblPr>
      <w:tblGrid>
        <w:gridCol w:w="3510"/>
        <w:gridCol w:w="5840"/>
      </w:tblGrid>
      <w:tr w:rsidR="00DE7075" w:rsidRPr="00A21BC0" w14:paraId="2C8BF316" w14:textId="77777777" w:rsidTr="00DE7075">
        <w:trPr>
          <w:tblHeader/>
          <w:tblCellSpacing w:w="15" w:type="dxa"/>
        </w:trPr>
        <w:tc>
          <w:tcPr>
            <w:tcW w:w="1843" w:type="pct"/>
            <w:vAlign w:val="center"/>
            <w:hideMark/>
          </w:tcPr>
          <w:p w14:paraId="6C66D88B"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Group</w:t>
            </w:r>
          </w:p>
        </w:tc>
        <w:tc>
          <w:tcPr>
            <w:tcW w:w="3083" w:type="pct"/>
            <w:vAlign w:val="center"/>
            <w:hideMark/>
          </w:tcPr>
          <w:p w14:paraId="408E4222" w14:textId="77777777" w:rsidR="00DE7075" w:rsidRPr="00A21BC0" w:rsidRDefault="00DE7075" w:rsidP="00AD1EEB">
            <w:pPr>
              <w:spacing w:line="480" w:lineRule="auto"/>
              <w:jc w:val="center"/>
              <w:rPr>
                <w:rFonts w:ascii="Times New Roman" w:hAnsi="Times New Roman" w:cs="Times New Roman"/>
                <w:b/>
                <w:bCs/>
                <w:sz w:val="20"/>
                <w:szCs w:val="20"/>
              </w:rPr>
            </w:pPr>
            <w:r w:rsidRPr="00A21BC0">
              <w:rPr>
                <w:rStyle w:val="Strong"/>
                <w:rFonts w:ascii="Times New Roman" w:hAnsi="Times New Roman" w:cs="Times New Roman"/>
                <w:sz w:val="20"/>
                <w:szCs w:val="20"/>
              </w:rPr>
              <w:t>Kidney Weight (g/100g body weight)</w:t>
            </w:r>
          </w:p>
        </w:tc>
      </w:tr>
      <w:tr w:rsidR="00DE7075" w:rsidRPr="00A21BC0" w14:paraId="2D3EF337" w14:textId="77777777" w:rsidTr="00DE7075">
        <w:trPr>
          <w:tblCellSpacing w:w="15" w:type="dxa"/>
        </w:trPr>
        <w:tc>
          <w:tcPr>
            <w:tcW w:w="1843" w:type="pct"/>
            <w:vAlign w:val="center"/>
            <w:hideMark/>
          </w:tcPr>
          <w:p w14:paraId="0FF95994"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Normal Control (I)</w:t>
            </w:r>
          </w:p>
        </w:tc>
        <w:tc>
          <w:tcPr>
            <w:tcW w:w="3083" w:type="pct"/>
            <w:vAlign w:val="center"/>
            <w:hideMark/>
          </w:tcPr>
          <w:p w14:paraId="6BEE3A49"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0.69 ± 0.03</w:t>
            </w:r>
          </w:p>
        </w:tc>
      </w:tr>
      <w:tr w:rsidR="00DE7075" w:rsidRPr="00A21BC0" w14:paraId="324EF73E" w14:textId="77777777" w:rsidTr="00DE7075">
        <w:trPr>
          <w:tblCellSpacing w:w="15" w:type="dxa"/>
        </w:trPr>
        <w:tc>
          <w:tcPr>
            <w:tcW w:w="1843" w:type="pct"/>
            <w:vAlign w:val="center"/>
            <w:hideMark/>
          </w:tcPr>
          <w:p w14:paraId="63053FA6"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Negative Control (II)</w:t>
            </w:r>
          </w:p>
        </w:tc>
        <w:tc>
          <w:tcPr>
            <w:tcW w:w="3083" w:type="pct"/>
            <w:vAlign w:val="center"/>
            <w:hideMark/>
          </w:tcPr>
          <w:p w14:paraId="5B67A5C2"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1.08 ± 0.04**</w:t>
            </w:r>
          </w:p>
        </w:tc>
      </w:tr>
      <w:tr w:rsidR="00DE7075" w:rsidRPr="00A21BC0" w14:paraId="19863C58" w14:textId="77777777" w:rsidTr="00DE7075">
        <w:trPr>
          <w:tblCellSpacing w:w="15" w:type="dxa"/>
        </w:trPr>
        <w:tc>
          <w:tcPr>
            <w:tcW w:w="1843" w:type="pct"/>
            <w:vAlign w:val="center"/>
            <w:hideMark/>
          </w:tcPr>
          <w:p w14:paraId="1A6FD15A"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Standard (</w:t>
            </w:r>
            <w:proofErr w:type="spellStart"/>
            <w:r w:rsidRPr="00A21BC0">
              <w:rPr>
                <w:rFonts w:ascii="Times New Roman" w:hAnsi="Times New Roman" w:cs="Times New Roman"/>
                <w:sz w:val="20"/>
                <w:szCs w:val="20"/>
              </w:rPr>
              <w:t>Cystone</w:t>
            </w:r>
            <w:proofErr w:type="spellEnd"/>
            <w:r w:rsidRPr="00A21BC0">
              <w:rPr>
                <w:rFonts w:ascii="Times New Roman" w:hAnsi="Times New Roman" w:cs="Times New Roman"/>
                <w:sz w:val="20"/>
                <w:szCs w:val="20"/>
              </w:rPr>
              <w:t>, III)</w:t>
            </w:r>
          </w:p>
        </w:tc>
        <w:tc>
          <w:tcPr>
            <w:tcW w:w="3083" w:type="pct"/>
            <w:vAlign w:val="center"/>
            <w:hideMark/>
          </w:tcPr>
          <w:p w14:paraId="4EBF3CA4"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0.74 ± 0.05††</w:t>
            </w:r>
          </w:p>
        </w:tc>
      </w:tr>
      <w:tr w:rsidR="00DE7075" w:rsidRPr="00A21BC0" w14:paraId="0A792A9A" w14:textId="77777777" w:rsidTr="00DE7075">
        <w:trPr>
          <w:tblCellSpacing w:w="15" w:type="dxa"/>
        </w:trPr>
        <w:tc>
          <w:tcPr>
            <w:tcW w:w="1843" w:type="pct"/>
            <w:vAlign w:val="center"/>
            <w:hideMark/>
          </w:tcPr>
          <w:p w14:paraId="4DC5AA80"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Test (B. pinnatum, IV)</w:t>
            </w:r>
          </w:p>
        </w:tc>
        <w:tc>
          <w:tcPr>
            <w:tcW w:w="3083" w:type="pct"/>
            <w:vAlign w:val="center"/>
            <w:hideMark/>
          </w:tcPr>
          <w:p w14:paraId="332AC29F" w14:textId="77777777" w:rsidR="00DE7075" w:rsidRPr="00A21BC0" w:rsidRDefault="00DE7075" w:rsidP="00AD1EEB">
            <w:pPr>
              <w:spacing w:line="480" w:lineRule="auto"/>
              <w:jc w:val="center"/>
              <w:rPr>
                <w:rFonts w:ascii="Times New Roman" w:hAnsi="Times New Roman" w:cs="Times New Roman"/>
                <w:sz w:val="20"/>
                <w:szCs w:val="20"/>
              </w:rPr>
            </w:pPr>
            <w:r w:rsidRPr="00A21BC0">
              <w:rPr>
                <w:rFonts w:ascii="Times New Roman" w:hAnsi="Times New Roman" w:cs="Times New Roman"/>
                <w:sz w:val="20"/>
                <w:szCs w:val="20"/>
              </w:rPr>
              <w:t>0.76 ± 0.06††</w:t>
            </w:r>
          </w:p>
        </w:tc>
      </w:tr>
    </w:tbl>
    <w:p w14:paraId="7A42B94C" w14:textId="77777777" w:rsidR="00A21BC0" w:rsidRDefault="00A21BC0" w:rsidP="00AD1EEB">
      <w:pPr>
        <w:spacing w:before="100" w:beforeAutospacing="1" w:after="100" w:afterAutospacing="1" w:line="480" w:lineRule="auto"/>
        <w:jc w:val="both"/>
        <w:rPr>
          <w:rFonts w:ascii="Times New Roman" w:eastAsia="Times New Roman" w:hAnsi="Times New Roman" w:cs="Times New Roman"/>
          <w:b/>
          <w:bCs/>
          <w:sz w:val="20"/>
          <w:szCs w:val="20"/>
        </w:rPr>
      </w:pPr>
    </w:p>
    <w:p w14:paraId="7B4493C0" w14:textId="77777777" w:rsidR="00AD1EEB" w:rsidRDefault="00AD1EEB" w:rsidP="00AD1EEB">
      <w:pPr>
        <w:spacing w:before="100" w:beforeAutospacing="1" w:after="100" w:afterAutospacing="1" w:line="480" w:lineRule="auto"/>
        <w:jc w:val="both"/>
        <w:rPr>
          <w:rFonts w:ascii="Times New Roman" w:eastAsia="Times New Roman" w:hAnsi="Times New Roman" w:cs="Times New Roman"/>
          <w:b/>
          <w:bCs/>
          <w:sz w:val="20"/>
          <w:szCs w:val="20"/>
        </w:rPr>
      </w:pPr>
    </w:p>
    <w:p w14:paraId="7D9C7455" w14:textId="0665679D" w:rsidR="00A21BC0" w:rsidRPr="00A21BC0" w:rsidRDefault="00A21BC0" w:rsidP="00AD1EEB">
      <w:pPr>
        <w:spacing w:before="100" w:beforeAutospacing="1" w:after="100" w:afterAutospacing="1" w:line="480" w:lineRule="auto"/>
        <w:jc w:val="both"/>
        <w:rPr>
          <w:rFonts w:ascii="Times New Roman" w:eastAsia="Times New Roman" w:hAnsi="Times New Roman" w:cs="Times New Roman"/>
          <w:b/>
          <w:bCs/>
          <w:sz w:val="20"/>
          <w:szCs w:val="20"/>
        </w:rPr>
      </w:pPr>
      <w:r w:rsidRPr="00A21BC0">
        <w:rPr>
          <w:rFonts w:ascii="Times New Roman" w:eastAsia="Times New Roman" w:hAnsi="Times New Roman" w:cs="Times New Roman"/>
          <w:b/>
          <w:bCs/>
          <w:sz w:val="20"/>
          <w:szCs w:val="20"/>
        </w:rPr>
        <w:t>DISCUSSION</w:t>
      </w:r>
    </w:p>
    <w:p w14:paraId="4A17E26A" w14:textId="12CA7FFB"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The present investigation demonstrated that ethylene glycol (EG) administration in Wistar rats resulted in profound metabolic derangements, as evidenced by the significant elevation in urinary calcium, oxalate, and phosphate levels, alongside a marked reduction in urinary magnesium. These findings align with those reported by Atmani et al., who observed a similar rise in lithogenic parameters upon EG induction, leading to crystal aggregation and retention in renal tubules [14]. The test group treated with Bryophyllum pinnatum aqueous extract showed a substantial decline in urinary calcium (3.21 ± 0.31 mg/dL) and oxalate (1.24 ± 0.19 mg/dL) compared to the negative control group (6.78 ± 0.48 mg/dL and 4.67 ± 0.29 mg/dL, respectively), confirming its crystal inhibitory potential. These findings are consistent with the results of </w:t>
      </w:r>
      <w:proofErr w:type="spellStart"/>
      <w:r w:rsidRPr="00A21BC0">
        <w:rPr>
          <w:rFonts w:ascii="Times New Roman" w:eastAsia="Times New Roman" w:hAnsi="Times New Roman" w:cs="Times New Roman"/>
          <w:sz w:val="20"/>
          <w:szCs w:val="20"/>
        </w:rPr>
        <w:t>Umekawa</w:t>
      </w:r>
      <w:proofErr w:type="spellEnd"/>
      <w:r w:rsidRPr="00A21BC0">
        <w:rPr>
          <w:rFonts w:ascii="Times New Roman" w:eastAsia="Times New Roman" w:hAnsi="Times New Roman" w:cs="Times New Roman"/>
          <w:sz w:val="20"/>
          <w:szCs w:val="20"/>
        </w:rPr>
        <w:t xml:space="preserve"> et al., who demonstrated the ability of plant polyphenols to interfere with calcium oxalate nucleation and aggregation [25].</w:t>
      </w:r>
    </w:p>
    <w:p w14:paraId="1155D9B9"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In terms of magnesium levels, the restoration observed in the Bryophyllum-treated group (1.79 ± 0.20 mg/dL) is particularly noteworthy. Magnesium plays a protective role by forming soluble complexes with oxalate, thereby reducing supersaturation and crystal formation. This observation correlates with the studies of Park et al., who emphasized the therapeutic advantage of increasing urinary magnesium in preventing calcium oxalate stones [17]. Phosphate levels were also normalized following treatment, indicating a rebalancing of renal excretion and possible reduction in crystal nucleation centers, as described in the work by </w:t>
      </w:r>
      <w:proofErr w:type="spellStart"/>
      <w:r w:rsidRPr="00A21BC0">
        <w:rPr>
          <w:rFonts w:ascii="Times New Roman" w:eastAsia="Times New Roman" w:hAnsi="Times New Roman" w:cs="Times New Roman"/>
          <w:sz w:val="20"/>
          <w:szCs w:val="20"/>
        </w:rPr>
        <w:t>Kesarwani</w:t>
      </w:r>
      <w:proofErr w:type="spellEnd"/>
      <w:r w:rsidRPr="00A21BC0">
        <w:rPr>
          <w:rFonts w:ascii="Times New Roman" w:eastAsia="Times New Roman" w:hAnsi="Times New Roman" w:cs="Times New Roman"/>
          <w:sz w:val="20"/>
          <w:szCs w:val="20"/>
        </w:rPr>
        <w:t xml:space="preserve"> et al. [26].</w:t>
      </w:r>
    </w:p>
    <w:p w14:paraId="258E4030"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The serum biochemical profile provides further evidence for the nephroprotective action of Bryophyllum pinnatum. Ethylene glycol administration caused a significant elevation in serum creatinine (1.81 ± 0.12 mg/dL), BUN (38.5 ± 2.1 mg/dL), and uric acid (5.6 ± 0.5 mg/dL), indicating renal impairment due to crystal-induced nephropathy. This trend mirrors the findings of Saha et al., who reported similar elevations following EG-induced renal injury in rats [19]. Treatment with Bryophyllum pinnatum extract resulted in near-normalization of these markers (serum creatinine: 0.77 ± 0.07 mg/dL, BUN: 22.1 ± 1.4 mg/dL, uric acid: 3.3 ± 0.4 mg/dL), supporting its </w:t>
      </w:r>
      <w:proofErr w:type="spellStart"/>
      <w:r w:rsidRPr="00A21BC0">
        <w:rPr>
          <w:rFonts w:ascii="Times New Roman" w:eastAsia="Times New Roman" w:hAnsi="Times New Roman" w:cs="Times New Roman"/>
          <w:sz w:val="20"/>
          <w:szCs w:val="20"/>
        </w:rPr>
        <w:t>renoprotective</w:t>
      </w:r>
      <w:proofErr w:type="spellEnd"/>
      <w:r w:rsidRPr="00A21BC0">
        <w:rPr>
          <w:rFonts w:ascii="Times New Roman" w:eastAsia="Times New Roman" w:hAnsi="Times New Roman" w:cs="Times New Roman"/>
          <w:sz w:val="20"/>
          <w:szCs w:val="20"/>
        </w:rPr>
        <w:t xml:space="preserve"> effects. These results were found to be comparable to the standard group treated with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xml:space="preserve">, a well-established </w:t>
      </w:r>
      <w:proofErr w:type="spellStart"/>
      <w:r w:rsidRPr="00A21BC0">
        <w:rPr>
          <w:rFonts w:ascii="Times New Roman" w:eastAsia="Times New Roman" w:hAnsi="Times New Roman" w:cs="Times New Roman"/>
          <w:sz w:val="20"/>
          <w:szCs w:val="20"/>
        </w:rPr>
        <w:t>polyherbal</w:t>
      </w:r>
      <w:proofErr w:type="spellEnd"/>
      <w:r w:rsidRPr="00A21BC0">
        <w:rPr>
          <w:rFonts w:ascii="Times New Roman" w:eastAsia="Times New Roman" w:hAnsi="Times New Roman" w:cs="Times New Roman"/>
          <w:sz w:val="20"/>
          <w:szCs w:val="20"/>
        </w:rPr>
        <w:t xml:space="preserve"> formulation with documented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efficacy [15].</w:t>
      </w:r>
    </w:p>
    <w:p w14:paraId="5D412AD5"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Histological findings substantiated the biochemical results. Extensive deposition of calcium oxalate crystals, along with tubular epithelial degeneration, was observed in the kidneys of animals from the negative control group, which is in agreement with earlier reports by Al-Mamun et al. and Tiwari et al. [22,24]. In contrast, sections from the Bryophyllum pinnatum-treated group revealed preserved renal architecture, minimal tubular dilation, and a marked reduction in crystal deposition. This protective histological profile highlights the plant’s dual action: preventing crystal adherence and mitigating oxidative damage, a mechanism similarly discussed by Grases et al., who emphasized the role of antioxidants in reducing tubular injury in lithiasis [21].</w:t>
      </w:r>
    </w:p>
    <w:p w14:paraId="28150C77"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The study also evaluated kidney-to-body weight ratio as a marker of renal congestion and inflammation. The increased ratio in the EG group (1.08 ± 0.04 g/100 g) indicated edema and cellular infiltration, similar to that reported by Khan et al. in </w:t>
      </w:r>
      <w:proofErr w:type="spellStart"/>
      <w:r w:rsidRPr="00A21BC0">
        <w:rPr>
          <w:rFonts w:ascii="Times New Roman" w:eastAsia="Times New Roman" w:hAnsi="Times New Roman" w:cs="Times New Roman"/>
          <w:sz w:val="20"/>
          <w:szCs w:val="20"/>
        </w:rPr>
        <w:t>nephrolithiatic</w:t>
      </w:r>
      <w:proofErr w:type="spellEnd"/>
      <w:r w:rsidRPr="00A21BC0">
        <w:rPr>
          <w:rFonts w:ascii="Times New Roman" w:eastAsia="Times New Roman" w:hAnsi="Times New Roman" w:cs="Times New Roman"/>
          <w:sz w:val="20"/>
          <w:szCs w:val="20"/>
        </w:rPr>
        <w:t xml:space="preserve"> rat models [27]. Bryophyllum pinnatum extract significantly reduced kidney weight (0.76 ± 0.06 g/100 g), suggesting alleviation of renal inflammation and reduced burden of crystal retention. This effect is likely mediated by the plant’s anti-inflammatory constituents, such as flavonoids and triterpenoids, which have been shown to stabilize renal membranes and suppress inflammatory cytokines [28].</w:t>
      </w:r>
    </w:p>
    <w:p w14:paraId="4A8BF7F6"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Comparing these findings with other herbal interventions, the effect of Bryophyllum pinnatum appears to be on par with or superior to other well-studied botanicals. For instance, studies on Tribulus </w:t>
      </w:r>
      <w:proofErr w:type="spellStart"/>
      <w:r w:rsidRPr="00A21BC0">
        <w:rPr>
          <w:rFonts w:ascii="Times New Roman" w:eastAsia="Times New Roman" w:hAnsi="Times New Roman" w:cs="Times New Roman"/>
          <w:sz w:val="20"/>
          <w:szCs w:val="20"/>
        </w:rPr>
        <w:t>terrestris</w:t>
      </w:r>
      <w:proofErr w:type="spellEnd"/>
      <w:r w:rsidRPr="00A21BC0">
        <w:rPr>
          <w:rFonts w:ascii="Times New Roman" w:eastAsia="Times New Roman" w:hAnsi="Times New Roman" w:cs="Times New Roman"/>
          <w:sz w:val="20"/>
          <w:szCs w:val="20"/>
        </w:rPr>
        <w:t xml:space="preserve"> and </w:t>
      </w:r>
      <w:proofErr w:type="spellStart"/>
      <w:r w:rsidRPr="00A21BC0">
        <w:rPr>
          <w:rFonts w:ascii="Times New Roman" w:eastAsia="Times New Roman" w:hAnsi="Times New Roman" w:cs="Times New Roman"/>
          <w:sz w:val="20"/>
          <w:szCs w:val="20"/>
        </w:rPr>
        <w:t>Bergenia</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ligulata</w:t>
      </w:r>
      <w:proofErr w:type="spellEnd"/>
      <w:r w:rsidRPr="00A21BC0">
        <w:rPr>
          <w:rFonts w:ascii="Times New Roman" w:eastAsia="Times New Roman" w:hAnsi="Times New Roman" w:cs="Times New Roman"/>
          <w:sz w:val="20"/>
          <w:szCs w:val="20"/>
        </w:rPr>
        <w:t xml:space="preserve"> demonstrated moderate reductions in urinary oxalate and calcium but were less effective in restoring renal histology [29,30]. In contrast, Bryophyllum pinnatum not only reduced lithogenic ions but also conferred substantial nephron protection, suggesting a multifactorial therapeutic mechanism involving antioxidant, anti-inflammatory, and diuretic actions.</w:t>
      </w:r>
    </w:p>
    <w:p w14:paraId="76B48430"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The phytochemical richness of Bryophyllum pinnatum, particularly its flavonoids and saponins, may explain its robust efficacy. These compounds are known to inhibit NADPH oxidase-mediated oxidative stress and reduce the expression of pro-crystallization proteins in the renal epithelium [31,32]. In line with these mechanisms, histopathological evidence in the current study showed fewer oxalate plugs and healthier glomerular structures in the test group, underscoring the cytoprotective role of its phytoconstituents.</w:t>
      </w:r>
    </w:p>
    <w:p w14:paraId="06400DE4" w14:textId="77777777" w:rsidR="00773C1C" w:rsidRPr="00A21BC0" w:rsidRDefault="00773C1C"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The therapeutic effects observed were statistically significant and biologically relevant, showing equivalence to a clinically established formulation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The consistency of results across multiple parameters and their correlation with previous literature strongly justify the ethnomedicinal use of Bryophyllum pinnatum in traditional systems such as Ayurveda for the treatment of urolithiasis</w:t>
      </w:r>
    </w:p>
    <w:p w14:paraId="62619F65" w14:textId="77777777" w:rsidR="00FB3828" w:rsidRPr="00A21BC0" w:rsidRDefault="00FB3828"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Despite the promising findings observed in this study, certain limitations must be acknowledged. First, the sample size, although adequate for an in vivo preclinical model, remains a constraint when translating outcomes to human clinical settings. The study utilized 24 animals across four groups, which may not capture the full spectrum of pharmacodynamic variability. Additionally, only a single dose of Bryophyllum pinnatum extract (500 mg/kg) was evaluated, and a dose–response curve could offer more insight into the therapeutic window and optimal dosage. Furthermore, the active phytochemical constituents responsible for the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effect were not isolated or quantified, leaving the exact molecular mechanism of action speculative. Future studies involving bioassay-guided fractionation and phytochemical standardization are essential to identify the lead molecules responsible for crystal inhibition and nephroprotection.</w:t>
      </w:r>
    </w:p>
    <w:p w14:paraId="562CCF0A" w14:textId="77777777" w:rsidR="00FB3828" w:rsidRPr="00A21BC0" w:rsidRDefault="00FB3828"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While this investigation confirms that Bryophyllum pinnatum has effects comparable to a standard </w:t>
      </w:r>
      <w:proofErr w:type="spellStart"/>
      <w:r w:rsidRPr="00A21BC0">
        <w:rPr>
          <w:rFonts w:ascii="Times New Roman" w:eastAsia="Times New Roman" w:hAnsi="Times New Roman" w:cs="Times New Roman"/>
          <w:sz w:val="20"/>
          <w:szCs w:val="20"/>
        </w:rPr>
        <w:t>polyherbal</w:t>
      </w:r>
      <w:proofErr w:type="spellEnd"/>
      <w:r w:rsidRPr="00A21BC0">
        <w:rPr>
          <w:rFonts w:ascii="Times New Roman" w:eastAsia="Times New Roman" w:hAnsi="Times New Roman" w:cs="Times New Roman"/>
          <w:sz w:val="20"/>
          <w:szCs w:val="20"/>
        </w:rPr>
        <w:t xml:space="preserve"> formulation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it remains to be established whether its efficacy is consistent across various models of urolithiasis, including struvite and uric acid stone types. Long-term studies involving chronic administration are also required to evaluate safety, systemic tolerability, and recurrence prevention. Another important aspect not explored in this study is the impact of Bryophyllum pinnatum on urinary citrate levels and pH modulation, both of which are key determinants in the pathophysiology of nephrolithiasis. Expanding the biochemical profile in future research may provide a more comprehensive understanding of the extract’s action on urine chemistry.</w:t>
      </w:r>
    </w:p>
    <w:p w14:paraId="100F9B50" w14:textId="77777777" w:rsidR="00FB3828" w:rsidRPr="00A21BC0" w:rsidRDefault="00FB3828"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Nonetheless, the clinical implications of these results are significant. Herbal medicine continues to gain traction as a complementary or alternative therapeutic approach in renal stone management, particularly in resource-limited settings where access to surgical or pharmacologic intervention is constrained. The use of Bryophyllum pinnatum, with its demonstrated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and </w:t>
      </w:r>
      <w:proofErr w:type="spellStart"/>
      <w:r w:rsidRPr="00A21BC0">
        <w:rPr>
          <w:rFonts w:ascii="Times New Roman" w:eastAsia="Times New Roman" w:hAnsi="Times New Roman" w:cs="Times New Roman"/>
          <w:sz w:val="20"/>
          <w:szCs w:val="20"/>
        </w:rPr>
        <w:t>nephroprotective</w:t>
      </w:r>
      <w:proofErr w:type="spellEnd"/>
      <w:r w:rsidRPr="00A21BC0">
        <w:rPr>
          <w:rFonts w:ascii="Times New Roman" w:eastAsia="Times New Roman" w:hAnsi="Times New Roman" w:cs="Times New Roman"/>
          <w:sz w:val="20"/>
          <w:szCs w:val="20"/>
        </w:rPr>
        <w:t xml:space="preserve"> activity, offers a promising candidate for </w:t>
      </w:r>
      <w:proofErr w:type="spellStart"/>
      <w:r w:rsidRPr="00A21BC0">
        <w:rPr>
          <w:rFonts w:ascii="Times New Roman" w:eastAsia="Times New Roman" w:hAnsi="Times New Roman" w:cs="Times New Roman"/>
          <w:sz w:val="20"/>
          <w:szCs w:val="20"/>
        </w:rPr>
        <w:t>phytotherapeutic</w:t>
      </w:r>
      <w:proofErr w:type="spellEnd"/>
      <w:r w:rsidRPr="00A21BC0">
        <w:rPr>
          <w:rFonts w:ascii="Times New Roman" w:eastAsia="Times New Roman" w:hAnsi="Times New Roman" w:cs="Times New Roman"/>
          <w:sz w:val="20"/>
          <w:szCs w:val="20"/>
        </w:rPr>
        <w:t xml:space="preserve"> development. Given the widespread availability of this plant and its traditional use in ethnomedicine, it has the potential to become a cost-effective alternative for the prevention and adjunctive management of renal calculi. However, it is essential that these preclinical findings be validated through well-designed randomized controlled clinical trials, including pharmacokinetic studies, to establish human equivalence and dosing parameters.</w:t>
      </w:r>
    </w:p>
    <w:p w14:paraId="1FFBF973" w14:textId="235D4DE5" w:rsidR="00A21BC0" w:rsidRPr="00AD1EEB" w:rsidRDefault="00FB3828"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To summarize, the present study highlights the multifaceted protective effect of Bryophyllum pinnatum against ethylene glycol-induced nephrolithiasis in a validated animal model. The extract significantly reduced urinary calcium and oxalate levels, restored serum biochemical parameters, mitigated kidney weight changes, and improved histological integrity of renal tissue. These outcomes were statistically and biologically comparable to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reinforcing the therapeutic potential of this plant. While further studies are necessary to isolate active compounds, understand long-term safety, and evaluate efficacy in human models, the findings provide a strong scientific basis for the continued investigation and potential clinical use of Bryophyllum pinnatum in urolithiasis management.</w:t>
      </w:r>
    </w:p>
    <w:p w14:paraId="627C133A" w14:textId="29AAFEC1" w:rsidR="00773C1C" w:rsidRPr="00A21BC0" w:rsidRDefault="00A21BC0" w:rsidP="00AD1EEB">
      <w:pPr>
        <w:spacing w:before="100" w:beforeAutospacing="1" w:after="100" w:afterAutospacing="1" w:line="480" w:lineRule="auto"/>
        <w:jc w:val="both"/>
        <w:rPr>
          <w:rFonts w:ascii="Times New Roman" w:eastAsia="Times New Roman" w:hAnsi="Times New Roman" w:cs="Times New Roman"/>
          <w:b/>
          <w:bCs/>
          <w:sz w:val="24"/>
          <w:szCs w:val="24"/>
        </w:rPr>
      </w:pPr>
      <w:r w:rsidRPr="00A21BC0">
        <w:rPr>
          <w:rFonts w:ascii="Times New Roman" w:eastAsia="Times New Roman" w:hAnsi="Times New Roman" w:cs="Times New Roman"/>
          <w:b/>
          <w:bCs/>
          <w:sz w:val="24"/>
          <w:szCs w:val="24"/>
        </w:rPr>
        <w:t>CONCLUSION</w:t>
      </w:r>
    </w:p>
    <w:p w14:paraId="06282007" w14:textId="1330F5F8" w:rsidR="00AD1EEB" w:rsidRPr="007C4A2E" w:rsidRDefault="00FB3828" w:rsidP="00AD1EEB">
      <w:p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The findings of this in vivo study provide compelling evidence for the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and </w:t>
      </w:r>
      <w:proofErr w:type="spellStart"/>
      <w:r w:rsidRPr="00A21BC0">
        <w:rPr>
          <w:rFonts w:ascii="Times New Roman" w:eastAsia="Times New Roman" w:hAnsi="Times New Roman" w:cs="Times New Roman"/>
          <w:sz w:val="20"/>
          <w:szCs w:val="20"/>
        </w:rPr>
        <w:t>nephroprotective</w:t>
      </w:r>
      <w:proofErr w:type="spellEnd"/>
      <w:r w:rsidRPr="00A21BC0">
        <w:rPr>
          <w:rFonts w:ascii="Times New Roman" w:eastAsia="Times New Roman" w:hAnsi="Times New Roman" w:cs="Times New Roman"/>
          <w:sz w:val="20"/>
          <w:szCs w:val="20"/>
        </w:rPr>
        <w:t xml:space="preserve"> properties of </w:t>
      </w:r>
      <w:r w:rsidRPr="00A21BC0">
        <w:rPr>
          <w:rFonts w:ascii="Times New Roman" w:eastAsia="Times New Roman" w:hAnsi="Times New Roman" w:cs="Times New Roman"/>
          <w:i/>
          <w:iCs/>
          <w:sz w:val="20"/>
          <w:szCs w:val="20"/>
        </w:rPr>
        <w:t>Bryophyllum pinnatum</w:t>
      </w:r>
      <w:r w:rsidRPr="00A21BC0">
        <w:rPr>
          <w:rFonts w:ascii="Times New Roman" w:eastAsia="Times New Roman" w:hAnsi="Times New Roman" w:cs="Times New Roman"/>
          <w:sz w:val="20"/>
          <w:szCs w:val="20"/>
        </w:rPr>
        <w:t xml:space="preserve"> leaf extract. Administration of the aqueous extract to ethylene glycol-induced </w:t>
      </w:r>
      <w:proofErr w:type="spellStart"/>
      <w:r w:rsidRPr="00A21BC0">
        <w:rPr>
          <w:rFonts w:ascii="Times New Roman" w:eastAsia="Times New Roman" w:hAnsi="Times New Roman" w:cs="Times New Roman"/>
          <w:sz w:val="20"/>
          <w:szCs w:val="20"/>
        </w:rPr>
        <w:t>nephrolithiatic</w:t>
      </w:r>
      <w:proofErr w:type="spellEnd"/>
      <w:r w:rsidRPr="00A21BC0">
        <w:rPr>
          <w:rFonts w:ascii="Times New Roman" w:eastAsia="Times New Roman" w:hAnsi="Times New Roman" w:cs="Times New Roman"/>
          <w:sz w:val="20"/>
          <w:szCs w:val="20"/>
        </w:rPr>
        <w:t xml:space="preserve"> rats resulted in a significant reduction in urinary calcium, oxalate, and phosphate excretion, along with restoration of urinary magnesium levels—key parameters involved in calcium oxalate stone formation. Moreover, the extract effectively normalized elevated serum creatinine, blood urea nitrogen, and uric acid levels, indicating preservation of renal function. Histopathological examination further confirmed the extract’s ability to mitigate tubular damage and reduce calcium oxalate crystal deposition within renal tissue. These therapeutic effects were comparable to those observed with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xml:space="preserve">, a well-established </w:t>
      </w:r>
      <w:proofErr w:type="spellStart"/>
      <w:r w:rsidRPr="00A21BC0">
        <w:rPr>
          <w:rFonts w:ascii="Times New Roman" w:eastAsia="Times New Roman" w:hAnsi="Times New Roman" w:cs="Times New Roman"/>
          <w:sz w:val="20"/>
          <w:szCs w:val="20"/>
        </w:rPr>
        <w:t>polyherbal</w:t>
      </w:r>
      <w:proofErr w:type="spellEnd"/>
      <w:r w:rsidRPr="00A21BC0">
        <w:rPr>
          <w:rFonts w:ascii="Times New Roman" w:eastAsia="Times New Roman" w:hAnsi="Times New Roman" w:cs="Times New Roman"/>
          <w:sz w:val="20"/>
          <w:szCs w:val="20"/>
        </w:rPr>
        <w:t xml:space="preserve"> formulation, thereby validating the efficacy of </w:t>
      </w:r>
      <w:r w:rsidRPr="00A21BC0">
        <w:rPr>
          <w:rFonts w:ascii="Times New Roman" w:eastAsia="Times New Roman" w:hAnsi="Times New Roman" w:cs="Times New Roman"/>
          <w:i/>
          <w:iCs/>
          <w:sz w:val="20"/>
          <w:szCs w:val="20"/>
        </w:rPr>
        <w:t>Bryophyllum pinnatum</w:t>
      </w:r>
      <w:r w:rsidRPr="00A21BC0">
        <w:rPr>
          <w:rFonts w:ascii="Times New Roman" w:eastAsia="Times New Roman" w:hAnsi="Times New Roman" w:cs="Times New Roman"/>
          <w:sz w:val="20"/>
          <w:szCs w:val="20"/>
        </w:rPr>
        <w:t xml:space="preserve"> as a potential alternative or adjunct in the management of renal calculi. While the exact phytoconstituents responsible for the observed effects remain to be elucidated, the study lays a strong scientific foundation for future research aimed at clinical translation, phytochemical characterization, and long-term safety evaluation. In conclusion, </w:t>
      </w:r>
      <w:r w:rsidRPr="00A21BC0">
        <w:rPr>
          <w:rFonts w:ascii="Times New Roman" w:eastAsia="Times New Roman" w:hAnsi="Times New Roman" w:cs="Times New Roman"/>
          <w:i/>
          <w:iCs/>
          <w:sz w:val="20"/>
          <w:szCs w:val="20"/>
        </w:rPr>
        <w:t>Bryophyllum pinnatum</w:t>
      </w:r>
      <w:r w:rsidRPr="00A21BC0">
        <w:rPr>
          <w:rFonts w:ascii="Times New Roman" w:eastAsia="Times New Roman" w:hAnsi="Times New Roman" w:cs="Times New Roman"/>
          <w:sz w:val="20"/>
          <w:szCs w:val="20"/>
        </w:rPr>
        <w:t xml:space="preserve"> holds promise as an effective, affordable, and plant-based therapeutic candidate for the prevention and management of urolithiasis, especially in settings where conventional therapies may be limited or contraindicated.</w:t>
      </w:r>
    </w:p>
    <w:p w14:paraId="42913F8B" w14:textId="2080BEE5" w:rsidR="00FB3828" w:rsidRPr="00A21BC0" w:rsidRDefault="00A21BC0" w:rsidP="00AD1EEB">
      <w:pPr>
        <w:spacing w:before="100" w:beforeAutospacing="1" w:after="100" w:afterAutospacing="1" w:line="480" w:lineRule="auto"/>
        <w:jc w:val="both"/>
        <w:rPr>
          <w:rFonts w:ascii="Times New Roman" w:eastAsia="Times New Roman" w:hAnsi="Times New Roman" w:cs="Times New Roman"/>
          <w:b/>
          <w:bCs/>
          <w:sz w:val="24"/>
          <w:szCs w:val="24"/>
        </w:rPr>
      </w:pPr>
      <w:r w:rsidRPr="00A21BC0">
        <w:rPr>
          <w:rFonts w:ascii="Times New Roman" w:eastAsia="Times New Roman" w:hAnsi="Times New Roman" w:cs="Times New Roman"/>
          <w:b/>
          <w:bCs/>
          <w:sz w:val="24"/>
          <w:szCs w:val="24"/>
        </w:rPr>
        <w:t>REFERENCE</w:t>
      </w:r>
    </w:p>
    <w:p w14:paraId="593F9C80"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Romero V, </w:t>
      </w:r>
      <w:proofErr w:type="spellStart"/>
      <w:r w:rsidRPr="00A21BC0">
        <w:rPr>
          <w:rFonts w:ascii="Times New Roman" w:eastAsia="Times New Roman" w:hAnsi="Times New Roman" w:cs="Times New Roman"/>
          <w:sz w:val="20"/>
          <w:szCs w:val="20"/>
        </w:rPr>
        <w:t>Akpinar</w:t>
      </w:r>
      <w:proofErr w:type="spellEnd"/>
      <w:r w:rsidRPr="00A21BC0">
        <w:rPr>
          <w:rFonts w:ascii="Times New Roman" w:eastAsia="Times New Roman" w:hAnsi="Times New Roman" w:cs="Times New Roman"/>
          <w:sz w:val="20"/>
          <w:szCs w:val="20"/>
        </w:rPr>
        <w:t xml:space="preserve"> H, </w:t>
      </w:r>
      <w:proofErr w:type="spellStart"/>
      <w:r w:rsidRPr="00A21BC0">
        <w:rPr>
          <w:rFonts w:ascii="Times New Roman" w:eastAsia="Times New Roman" w:hAnsi="Times New Roman" w:cs="Times New Roman"/>
          <w:sz w:val="20"/>
          <w:szCs w:val="20"/>
        </w:rPr>
        <w:t>Assimos</w:t>
      </w:r>
      <w:proofErr w:type="spellEnd"/>
      <w:r w:rsidRPr="00A21BC0">
        <w:rPr>
          <w:rFonts w:ascii="Times New Roman" w:eastAsia="Times New Roman" w:hAnsi="Times New Roman" w:cs="Times New Roman"/>
          <w:sz w:val="20"/>
          <w:szCs w:val="20"/>
        </w:rPr>
        <w:t xml:space="preserve"> DG. Kidney stones: A global picture of prevalence, incidence, and associated risk factors. Rev Urol. 2010;12(2–3):e86–96.</w:t>
      </w:r>
    </w:p>
    <w:p w14:paraId="7863AEA4"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Scales CD Jr, Smith AC, Hanley JM, Saigal CS; Urologic Diseases in America Project. Prevalence of kidney stones in the United States. </w:t>
      </w:r>
      <w:proofErr w:type="spellStart"/>
      <w:r w:rsidRPr="00A21BC0">
        <w:rPr>
          <w:rFonts w:ascii="Times New Roman" w:eastAsia="Times New Roman" w:hAnsi="Times New Roman" w:cs="Times New Roman"/>
          <w:sz w:val="20"/>
          <w:szCs w:val="20"/>
        </w:rPr>
        <w:t>Eur</w:t>
      </w:r>
      <w:proofErr w:type="spellEnd"/>
      <w:r w:rsidRPr="00A21BC0">
        <w:rPr>
          <w:rFonts w:ascii="Times New Roman" w:eastAsia="Times New Roman" w:hAnsi="Times New Roman" w:cs="Times New Roman"/>
          <w:sz w:val="20"/>
          <w:szCs w:val="20"/>
        </w:rPr>
        <w:t xml:space="preserve"> Urol. 2012 Jul;62(1):160–5.</w:t>
      </w:r>
    </w:p>
    <w:p w14:paraId="232FC91C"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Khan SR. Reactive oxygen species as the molecular modulators of calcium oxalate kidney stone formation: evidence from clinical and experimental investigations. J Urol. 2013 Aug;189(6):803–11.</w:t>
      </w:r>
    </w:p>
    <w:p w14:paraId="7B42F0A3"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Worcester EM, Coe FL. Calcium kidney stones. N Engl J Med. 2010;363(10):954–63.</w:t>
      </w:r>
    </w:p>
    <w:p w14:paraId="5216A9A1"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Preminger GM, Tiselius HG, </w:t>
      </w:r>
      <w:proofErr w:type="spellStart"/>
      <w:r w:rsidRPr="00A21BC0">
        <w:rPr>
          <w:rFonts w:ascii="Times New Roman" w:eastAsia="Times New Roman" w:hAnsi="Times New Roman" w:cs="Times New Roman"/>
          <w:sz w:val="20"/>
          <w:szCs w:val="20"/>
        </w:rPr>
        <w:t>Assimos</w:t>
      </w:r>
      <w:proofErr w:type="spellEnd"/>
      <w:r w:rsidRPr="00A21BC0">
        <w:rPr>
          <w:rFonts w:ascii="Times New Roman" w:eastAsia="Times New Roman" w:hAnsi="Times New Roman" w:cs="Times New Roman"/>
          <w:sz w:val="20"/>
          <w:szCs w:val="20"/>
        </w:rPr>
        <w:t xml:space="preserve"> DG, et al. 2007 Guideline for the management of ureteral calculi. J Urol. 2007 Dec;178(6):2418–34.</w:t>
      </w:r>
    </w:p>
    <w:p w14:paraId="4A766E9D"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Yadav RD, Jain SK, Alok S, et al. Medicinal and biological potential of Bryophyllum pinnatum: A review. Int J Pharm Sci Rev Res. 2011;7(1):23–7.</w:t>
      </w:r>
    </w:p>
    <w:p w14:paraId="3C7E50CE"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Nadkarni KM. Indian Materia Medica. Bombay: Popular Prakashan; 2000. p. 225–6.</w:t>
      </w:r>
    </w:p>
    <w:p w14:paraId="54EECB85"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A21BC0">
        <w:rPr>
          <w:rFonts w:ascii="Times New Roman" w:eastAsia="Times New Roman" w:hAnsi="Times New Roman" w:cs="Times New Roman"/>
          <w:sz w:val="20"/>
          <w:szCs w:val="20"/>
        </w:rPr>
        <w:t>Muthu</w:t>
      </w:r>
      <w:proofErr w:type="spellEnd"/>
      <w:r w:rsidRPr="00A21BC0">
        <w:rPr>
          <w:rFonts w:ascii="Times New Roman" w:eastAsia="Times New Roman" w:hAnsi="Times New Roman" w:cs="Times New Roman"/>
          <w:sz w:val="20"/>
          <w:szCs w:val="20"/>
        </w:rPr>
        <w:t xml:space="preserve"> C, </w:t>
      </w:r>
      <w:proofErr w:type="spellStart"/>
      <w:r w:rsidRPr="00A21BC0">
        <w:rPr>
          <w:rFonts w:ascii="Times New Roman" w:eastAsia="Times New Roman" w:hAnsi="Times New Roman" w:cs="Times New Roman"/>
          <w:sz w:val="20"/>
          <w:szCs w:val="20"/>
        </w:rPr>
        <w:t>Ayyanar</w:t>
      </w:r>
      <w:proofErr w:type="spellEnd"/>
      <w:r w:rsidRPr="00A21BC0">
        <w:rPr>
          <w:rFonts w:ascii="Times New Roman" w:eastAsia="Times New Roman" w:hAnsi="Times New Roman" w:cs="Times New Roman"/>
          <w:sz w:val="20"/>
          <w:szCs w:val="20"/>
        </w:rPr>
        <w:t xml:space="preserve"> M, Raja N, </w:t>
      </w:r>
      <w:proofErr w:type="spellStart"/>
      <w:r w:rsidRPr="00A21BC0">
        <w:rPr>
          <w:rFonts w:ascii="Times New Roman" w:eastAsia="Times New Roman" w:hAnsi="Times New Roman" w:cs="Times New Roman"/>
          <w:sz w:val="20"/>
          <w:szCs w:val="20"/>
        </w:rPr>
        <w:t>Ignacimuthu</w:t>
      </w:r>
      <w:proofErr w:type="spellEnd"/>
      <w:r w:rsidRPr="00A21BC0">
        <w:rPr>
          <w:rFonts w:ascii="Times New Roman" w:eastAsia="Times New Roman" w:hAnsi="Times New Roman" w:cs="Times New Roman"/>
          <w:sz w:val="20"/>
          <w:szCs w:val="20"/>
        </w:rPr>
        <w:t xml:space="preserve"> S. Medicinal plants used by traditional healers in Kancheepuram District of Tamil Nadu, India. J </w:t>
      </w:r>
      <w:proofErr w:type="spellStart"/>
      <w:r w:rsidRPr="00A21BC0">
        <w:rPr>
          <w:rFonts w:ascii="Times New Roman" w:eastAsia="Times New Roman" w:hAnsi="Times New Roman" w:cs="Times New Roman"/>
          <w:sz w:val="20"/>
          <w:szCs w:val="20"/>
        </w:rPr>
        <w:t>Ethnobiol</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Ethnomed</w:t>
      </w:r>
      <w:proofErr w:type="spellEnd"/>
      <w:r w:rsidRPr="00A21BC0">
        <w:rPr>
          <w:rFonts w:ascii="Times New Roman" w:eastAsia="Times New Roman" w:hAnsi="Times New Roman" w:cs="Times New Roman"/>
          <w:sz w:val="20"/>
          <w:szCs w:val="20"/>
        </w:rPr>
        <w:t>. 2006 May 2;2:43.</w:t>
      </w:r>
    </w:p>
    <w:p w14:paraId="6802A19A"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A21BC0">
        <w:rPr>
          <w:rFonts w:ascii="Times New Roman" w:eastAsia="Times New Roman" w:hAnsi="Times New Roman" w:cs="Times New Roman"/>
          <w:sz w:val="20"/>
          <w:szCs w:val="20"/>
        </w:rPr>
        <w:t>Dhankhar</w:t>
      </w:r>
      <w:proofErr w:type="spellEnd"/>
      <w:r w:rsidRPr="00A21BC0">
        <w:rPr>
          <w:rFonts w:ascii="Times New Roman" w:eastAsia="Times New Roman" w:hAnsi="Times New Roman" w:cs="Times New Roman"/>
          <w:sz w:val="20"/>
          <w:szCs w:val="20"/>
        </w:rPr>
        <w:t xml:space="preserve"> S, </w:t>
      </w:r>
      <w:proofErr w:type="spellStart"/>
      <w:r w:rsidRPr="00A21BC0">
        <w:rPr>
          <w:rFonts w:ascii="Times New Roman" w:eastAsia="Times New Roman" w:hAnsi="Times New Roman" w:cs="Times New Roman"/>
          <w:sz w:val="20"/>
          <w:szCs w:val="20"/>
        </w:rPr>
        <w:t>Ruhil</w:t>
      </w:r>
      <w:proofErr w:type="spellEnd"/>
      <w:r w:rsidRPr="00A21BC0">
        <w:rPr>
          <w:rFonts w:ascii="Times New Roman" w:eastAsia="Times New Roman" w:hAnsi="Times New Roman" w:cs="Times New Roman"/>
          <w:sz w:val="20"/>
          <w:szCs w:val="20"/>
        </w:rPr>
        <w:t xml:space="preserve"> S, </w:t>
      </w:r>
      <w:proofErr w:type="spellStart"/>
      <w:r w:rsidRPr="00A21BC0">
        <w:rPr>
          <w:rFonts w:ascii="Times New Roman" w:eastAsia="Times New Roman" w:hAnsi="Times New Roman" w:cs="Times New Roman"/>
          <w:sz w:val="20"/>
          <w:szCs w:val="20"/>
        </w:rPr>
        <w:t>Balhara</w:t>
      </w:r>
      <w:proofErr w:type="spellEnd"/>
      <w:r w:rsidRPr="00A21BC0">
        <w:rPr>
          <w:rFonts w:ascii="Times New Roman" w:eastAsia="Times New Roman" w:hAnsi="Times New Roman" w:cs="Times New Roman"/>
          <w:sz w:val="20"/>
          <w:szCs w:val="20"/>
        </w:rPr>
        <w:t xml:space="preserve"> M, et al. A review on </w:t>
      </w:r>
      <w:proofErr w:type="spellStart"/>
      <w:r w:rsidRPr="00A21BC0">
        <w:rPr>
          <w:rFonts w:ascii="Times New Roman" w:eastAsia="Times New Roman" w:hAnsi="Times New Roman" w:cs="Times New Roman"/>
          <w:sz w:val="20"/>
          <w:szCs w:val="20"/>
        </w:rPr>
        <w:t>Justicia</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adhatoda</w:t>
      </w:r>
      <w:proofErr w:type="spellEnd"/>
      <w:r w:rsidRPr="00A21BC0">
        <w:rPr>
          <w:rFonts w:ascii="Times New Roman" w:eastAsia="Times New Roman" w:hAnsi="Times New Roman" w:cs="Times New Roman"/>
          <w:sz w:val="20"/>
          <w:szCs w:val="20"/>
        </w:rPr>
        <w:t xml:space="preserve">: A potential source of natural medicine. </w:t>
      </w:r>
      <w:proofErr w:type="spellStart"/>
      <w:r w:rsidRPr="00A21BC0">
        <w:rPr>
          <w:rFonts w:ascii="Times New Roman" w:eastAsia="Times New Roman" w:hAnsi="Times New Roman" w:cs="Times New Roman"/>
          <w:sz w:val="20"/>
          <w:szCs w:val="20"/>
        </w:rPr>
        <w:t>Afr</w:t>
      </w:r>
      <w:proofErr w:type="spellEnd"/>
      <w:r w:rsidRPr="00A21BC0">
        <w:rPr>
          <w:rFonts w:ascii="Times New Roman" w:eastAsia="Times New Roman" w:hAnsi="Times New Roman" w:cs="Times New Roman"/>
          <w:sz w:val="20"/>
          <w:szCs w:val="20"/>
        </w:rPr>
        <w:t xml:space="preserve"> J Plant Sci. 2011;5(11):620–7.</w:t>
      </w:r>
    </w:p>
    <w:p w14:paraId="47FE8D8D"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Tiwari A, Malviya R. Review on plant-based natural products useful in urolithiasis. Asian J Pharm Clin Res. 2011;4(1):7–12.</w:t>
      </w:r>
    </w:p>
    <w:p w14:paraId="0B8936B0"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Anbazhagan S, Selvaraj C, Gopalakrishnan S. Evaluation of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activity of </w:t>
      </w:r>
      <w:proofErr w:type="spellStart"/>
      <w:r w:rsidRPr="00A21BC0">
        <w:rPr>
          <w:rFonts w:ascii="Times New Roman" w:eastAsia="Times New Roman" w:hAnsi="Times New Roman" w:cs="Times New Roman"/>
          <w:sz w:val="20"/>
          <w:szCs w:val="20"/>
        </w:rPr>
        <w:t>polyherbal</w:t>
      </w:r>
      <w:proofErr w:type="spellEnd"/>
      <w:r w:rsidRPr="00A21BC0">
        <w:rPr>
          <w:rFonts w:ascii="Times New Roman" w:eastAsia="Times New Roman" w:hAnsi="Times New Roman" w:cs="Times New Roman"/>
          <w:sz w:val="20"/>
          <w:szCs w:val="20"/>
        </w:rPr>
        <w:t xml:space="preserve"> formulation </w:t>
      </w:r>
      <w:proofErr w:type="spellStart"/>
      <w:r w:rsidRPr="00A21BC0">
        <w:rPr>
          <w:rFonts w:ascii="Times New Roman" w:eastAsia="Times New Roman" w:hAnsi="Times New Roman" w:cs="Times New Roman"/>
          <w:sz w:val="20"/>
          <w:szCs w:val="20"/>
        </w:rPr>
        <w:t>Cystone</w:t>
      </w:r>
      <w:proofErr w:type="spellEnd"/>
      <w:r w:rsidRPr="00A21BC0">
        <w:rPr>
          <w:rFonts w:ascii="Times New Roman" w:eastAsia="Times New Roman" w:hAnsi="Times New Roman" w:cs="Times New Roman"/>
          <w:sz w:val="20"/>
          <w:szCs w:val="20"/>
        </w:rPr>
        <w:t xml:space="preserve"> in rats. Indian J Pharm Sci. 2009;71(4):376–80.</w:t>
      </w:r>
    </w:p>
    <w:p w14:paraId="2A03B6F6"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Jadoon A, Waqas MK, Zahoor F, et al. Protective role of antioxidants against nephrotoxicity induced by calcium oxalate crystals. Int J Urol. 2014;21(3):287–94.</w:t>
      </w:r>
    </w:p>
    <w:p w14:paraId="6B8EB79B"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Hall JE, Guyton AC. Textbook of Medical Physiology. 13th ed. Philadelphia: Elsevier; 2016. p. 353–7.</w:t>
      </w:r>
    </w:p>
    <w:p w14:paraId="5D26B702"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Atmani F, Slimani Y, </w:t>
      </w:r>
      <w:proofErr w:type="spellStart"/>
      <w:r w:rsidRPr="00A21BC0">
        <w:rPr>
          <w:rFonts w:ascii="Times New Roman" w:eastAsia="Times New Roman" w:hAnsi="Times New Roman" w:cs="Times New Roman"/>
          <w:sz w:val="20"/>
          <w:szCs w:val="20"/>
        </w:rPr>
        <w:t>Mimouni</w:t>
      </w:r>
      <w:proofErr w:type="spellEnd"/>
      <w:r w:rsidRPr="00A21BC0">
        <w:rPr>
          <w:rFonts w:ascii="Times New Roman" w:eastAsia="Times New Roman" w:hAnsi="Times New Roman" w:cs="Times New Roman"/>
          <w:sz w:val="20"/>
          <w:szCs w:val="20"/>
        </w:rPr>
        <w:t xml:space="preserve"> M, </w:t>
      </w:r>
      <w:proofErr w:type="spellStart"/>
      <w:r w:rsidRPr="00A21BC0">
        <w:rPr>
          <w:rFonts w:ascii="Times New Roman" w:eastAsia="Times New Roman" w:hAnsi="Times New Roman" w:cs="Times New Roman"/>
          <w:sz w:val="20"/>
          <w:szCs w:val="20"/>
        </w:rPr>
        <w:t>Hacht</w:t>
      </w:r>
      <w:proofErr w:type="spellEnd"/>
      <w:r w:rsidRPr="00A21BC0">
        <w:rPr>
          <w:rFonts w:ascii="Times New Roman" w:eastAsia="Times New Roman" w:hAnsi="Times New Roman" w:cs="Times New Roman"/>
          <w:sz w:val="20"/>
          <w:szCs w:val="20"/>
        </w:rPr>
        <w:t xml:space="preserve"> B. Prophylaxis of calcium oxalate stones by </w:t>
      </w:r>
      <w:proofErr w:type="spellStart"/>
      <w:r w:rsidRPr="00A21BC0">
        <w:rPr>
          <w:rFonts w:ascii="Times New Roman" w:eastAsia="Times New Roman" w:hAnsi="Times New Roman" w:cs="Times New Roman"/>
          <w:sz w:val="20"/>
          <w:szCs w:val="20"/>
        </w:rPr>
        <w:t>Herniaria</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hirsuta</w:t>
      </w:r>
      <w:proofErr w:type="spellEnd"/>
      <w:r w:rsidRPr="00A21BC0">
        <w:rPr>
          <w:rFonts w:ascii="Times New Roman" w:eastAsia="Times New Roman" w:hAnsi="Times New Roman" w:cs="Times New Roman"/>
          <w:sz w:val="20"/>
          <w:szCs w:val="20"/>
        </w:rPr>
        <w:t xml:space="preserve"> on experimentally induced nephrolithiasis in rats. BJU Int. 2003 Jan;92(1):137–40.</w:t>
      </w:r>
    </w:p>
    <w:p w14:paraId="3147B1C0"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Saha S, Verma RJ. Antioxidant activity of </w:t>
      </w:r>
      <w:proofErr w:type="spellStart"/>
      <w:r w:rsidRPr="00A21BC0">
        <w:rPr>
          <w:rFonts w:ascii="Times New Roman" w:eastAsia="Times New Roman" w:hAnsi="Times New Roman" w:cs="Times New Roman"/>
          <w:sz w:val="20"/>
          <w:szCs w:val="20"/>
        </w:rPr>
        <w:t>Polyalthia</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longifolia</w:t>
      </w:r>
      <w:proofErr w:type="spellEnd"/>
      <w:r w:rsidRPr="00A21BC0">
        <w:rPr>
          <w:rFonts w:ascii="Times New Roman" w:eastAsia="Times New Roman" w:hAnsi="Times New Roman" w:cs="Times New Roman"/>
          <w:sz w:val="20"/>
          <w:szCs w:val="20"/>
        </w:rPr>
        <w:t xml:space="preserve"> in preventing oxalate-induced renal cell injury. </w:t>
      </w:r>
      <w:proofErr w:type="spellStart"/>
      <w:r w:rsidRPr="00A21BC0">
        <w:rPr>
          <w:rFonts w:ascii="Times New Roman" w:eastAsia="Times New Roman" w:hAnsi="Times New Roman" w:cs="Times New Roman"/>
          <w:sz w:val="20"/>
          <w:szCs w:val="20"/>
        </w:rPr>
        <w:t>Phytother</w:t>
      </w:r>
      <w:proofErr w:type="spellEnd"/>
      <w:r w:rsidRPr="00A21BC0">
        <w:rPr>
          <w:rFonts w:ascii="Times New Roman" w:eastAsia="Times New Roman" w:hAnsi="Times New Roman" w:cs="Times New Roman"/>
          <w:sz w:val="20"/>
          <w:szCs w:val="20"/>
        </w:rPr>
        <w:t xml:space="preserve"> Res. 2011;25(8):1118–25.</w:t>
      </w:r>
    </w:p>
    <w:p w14:paraId="267AED6A"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A21BC0">
        <w:rPr>
          <w:rFonts w:ascii="Times New Roman" w:eastAsia="Times New Roman" w:hAnsi="Times New Roman" w:cs="Times New Roman"/>
          <w:sz w:val="20"/>
          <w:szCs w:val="20"/>
        </w:rPr>
        <w:t>Marickar</w:t>
      </w:r>
      <w:proofErr w:type="spellEnd"/>
      <w:r w:rsidRPr="00A21BC0">
        <w:rPr>
          <w:rFonts w:ascii="Times New Roman" w:eastAsia="Times New Roman" w:hAnsi="Times New Roman" w:cs="Times New Roman"/>
          <w:sz w:val="20"/>
          <w:szCs w:val="20"/>
        </w:rPr>
        <w:t xml:space="preserve"> YM, </w:t>
      </w:r>
      <w:proofErr w:type="spellStart"/>
      <w:r w:rsidRPr="00A21BC0">
        <w:rPr>
          <w:rFonts w:ascii="Times New Roman" w:eastAsia="Times New Roman" w:hAnsi="Times New Roman" w:cs="Times New Roman"/>
          <w:sz w:val="20"/>
          <w:szCs w:val="20"/>
        </w:rPr>
        <w:t>Lekshmi</w:t>
      </w:r>
      <w:proofErr w:type="spellEnd"/>
      <w:r w:rsidRPr="00A21BC0">
        <w:rPr>
          <w:rFonts w:ascii="Times New Roman" w:eastAsia="Times New Roman" w:hAnsi="Times New Roman" w:cs="Times New Roman"/>
          <w:sz w:val="20"/>
          <w:szCs w:val="20"/>
        </w:rPr>
        <w:t xml:space="preserve"> P, Varma L, Koshy P. Role of urinary magnesium in calcium oxalate urolithiasis. J Urol. 1997 Jul;158(1):220–2.</w:t>
      </w:r>
    </w:p>
    <w:p w14:paraId="54F2CD1B"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Park BS, Choi JH, Lee YJ, et al. The effect of magnesium supplementation on calcium oxalate stone formation in the rat model. Korean J Urol. 2007;48(3):260–4.</w:t>
      </w:r>
    </w:p>
    <w:p w14:paraId="01B3573C"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Grases F, March JG, Ramis M, Costa-Bauza A. Inhibition by flavonoids of calcium phosphate crystal growth in vitro. </w:t>
      </w:r>
      <w:proofErr w:type="spellStart"/>
      <w:r w:rsidRPr="00A21BC0">
        <w:rPr>
          <w:rFonts w:ascii="Times New Roman" w:eastAsia="Times New Roman" w:hAnsi="Times New Roman" w:cs="Times New Roman"/>
          <w:sz w:val="20"/>
          <w:szCs w:val="20"/>
        </w:rPr>
        <w:t>Urol</w:t>
      </w:r>
      <w:proofErr w:type="spellEnd"/>
      <w:r w:rsidRPr="00A21BC0">
        <w:rPr>
          <w:rFonts w:ascii="Times New Roman" w:eastAsia="Times New Roman" w:hAnsi="Times New Roman" w:cs="Times New Roman"/>
          <w:sz w:val="20"/>
          <w:szCs w:val="20"/>
        </w:rPr>
        <w:t xml:space="preserve"> Res. 1994;22(1):39–43.</w:t>
      </w:r>
    </w:p>
    <w:p w14:paraId="582644C7"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Al-Mamun MA, Khan MFR, Islam MN. </w:t>
      </w:r>
      <w:proofErr w:type="spellStart"/>
      <w:r w:rsidRPr="00A21BC0">
        <w:rPr>
          <w:rFonts w:ascii="Times New Roman" w:eastAsia="Times New Roman" w:hAnsi="Times New Roman" w:cs="Times New Roman"/>
          <w:sz w:val="20"/>
          <w:szCs w:val="20"/>
        </w:rPr>
        <w:t>Antiurolithiatic</w:t>
      </w:r>
      <w:proofErr w:type="spellEnd"/>
      <w:r w:rsidRPr="00A21BC0">
        <w:rPr>
          <w:rFonts w:ascii="Times New Roman" w:eastAsia="Times New Roman" w:hAnsi="Times New Roman" w:cs="Times New Roman"/>
          <w:sz w:val="20"/>
          <w:szCs w:val="20"/>
        </w:rPr>
        <w:t xml:space="preserve"> effect of Terminalia </w:t>
      </w:r>
      <w:proofErr w:type="spellStart"/>
      <w:r w:rsidRPr="00A21BC0">
        <w:rPr>
          <w:rFonts w:ascii="Times New Roman" w:eastAsia="Times New Roman" w:hAnsi="Times New Roman" w:cs="Times New Roman"/>
          <w:sz w:val="20"/>
          <w:szCs w:val="20"/>
        </w:rPr>
        <w:t>chebula</w:t>
      </w:r>
      <w:proofErr w:type="spellEnd"/>
      <w:r w:rsidRPr="00A21BC0">
        <w:rPr>
          <w:rFonts w:ascii="Times New Roman" w:eastAsia="Times New Roman" w:hAnsi="Times New Roman" w:cs="Times New Roman"/>
          <w:sz w:val="20"/>
          <w:szCs w:val="20"/>
        </w:rPr>
        <w:t xml:space="preserve"> fruits in ethylene glycol-induced nephrolithiasis in rats. J </w:t>
      </w:r>
      <w:proofErr w:type="spellStart"/>
      <w:r w:rsidRPr="00A21BC0">
        <w:rPr>
          <w:rFonts w:ascii="Times New Roman" w:eastAsia="Times New Roman" w:hAnsi="Times New Roman" w:cs="Times New Roman"/>
          <w:sz w:val="20"/>
          <w:szCs w:val="20"/>
        </w:rPr>
        <w:t>Pharmacogn</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Phytochem</w:t>
      </w:r>
      <w:proofErr w:type="spellEnd"/>
      <w:r w:rsidRPr="00A21BC0">
        <w:rPr>
          <w:rFonts w:ascii="Times New Roman" w:eastAsia="Times New Roman" w:hAnsi="Times New Roman" w:cs="Times New Roman"/>
          <w:sz w:val="20"/>
          <w:szCs w:val="20"/>
        </w:rPr>
        <w:t>. 2018;7(3):2670–4.</w:t>
      </w:r>
    </w:p>
    <w:p w14:paraId="4F297809"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Nishiura J, Kurita T, Matsuura T, et al. An experimental study of nephrotoxicity in ethylene glycol-induced urolithiasis. J Urol. 1988;139(5):1084–6.</w:t>
      </w:r>
    </w:p>
    <w:p w14:paraId="04EED7C6"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Tiwari A, Kumar D, Rao CV. Comparative study of aqueous extract of Cissus quadrangularis and Bryophyllum pinnatum on ethylene glycol induced urolithiasis in rats. J </w:t>
      </w:r>
      <w:proofErr w:type="spellStart"/>
      <w:r w:rsidRPr="00A21BC0">
        <w:rPr>
          <w:rFonts w:ascii="Times New Roman" w:eastAsia="Times New Roman" w:hAnsi="Times New Roman" w:cs="Times New Roman"/>
          <w:sz w:val="20"/>
          <w:szCs w:val="20"/>
        </w:rPr>
        <w:t>Ethnopharmacol</w:t>
      </w:r>
      <w:proofErr w:type="spellEnd"/>
      <w:r w:rsidRPr="00A21BC0">
        <w:rPr>
          <w:rFonts w:ascii="Times New Roman" w:eastAsia="Times New Roman" w:hAnsi="Times New Roman" w:cs="Times New Roman"/>
          <w:sz w:val="20"/>
          <w:szCs w:val="20"/>
        </w:rPr>
        <w:t>. 2010;127(2):349–51.</w:t>
      </w:r>
    </w:p>
    <w:p w14:paraId="59D88CFD"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A21BC0">
        <w:rPr>
          <w:rFonts w:ascii="Times New Roman" w:eastAsia="Times New Roman" w:hAnsi="Times New Roman" w:cs="Times New Roman"/>
          <w:sz w:val="20"/>
          <w:szCs w:val="20"/>
        </w:rPr>
        <w:t>Umekawa</w:t>
      </w:r>
      <w:proofErr w:type="spellEnd"/>
      <w:r w:rsidRPr="00A21BC0">
        <w:rPr>
          <w:rFonts w:ascii="Times New Roman" w:eastAsia="Times New Roman" w:hAnsi="Times New Roman" w:cs="Times New Roman"/>
          <w:sz w:val="20"/>
          <w:szCs w:val="20"/>
        </w:rPr>
        <w:t xml:space="preserve"> T, </w:t>
      </w:r>
      <w:proofErr w:type="spellStart"/>
      <w:r w:rsidRPr="00A21BC0">
        <w:rPr>
          <w:rFonts w:ascii="Times New Roman" w:eastAsia="Times New Roman" w:hAnsi="Times New Roman" w:cs="Times New Roman"/>
          <w:sz w:val="20"/>
          <w:szCs w:val="20"/>
        </w:rPr>
        <w:t>Chegini</w:t>
      </w:r>
      <w:proofErr w:type="spellEnd"/>
      <w:r w:rsidRPr="00A21BC0">
        <w:rPr>
          <w:rFonts w:ascii="Times New Roman" w:eastAsia="Times New Roman" w:hAnsi="Times New Roman" w:cs="Times New Roman"/>
          <w:sz w:val="20"/>
          <w:szCs w:val="20"/>
        </w:rPr>
        <w:t xml:space="preserve"> N, Khan SR. In vivo expression of </w:t>
      </w:r>
      <w:proofErr w:type="spellStart"/>
      <w:r w:rsidRPr="00A21BC0">
        <w:rPr>
          <w:rFonts w:ascii="Times New Roman" w:eastAsia="Times New Roman" w:hAnsi="Times New Roman" w:cs="Times New Roman"/>
          <w:sz w:val="20"/>
          <w:szCs w:val="20"/>
        </w:rPr>
        <w:t>osteopontin</w:t>
      </w:r>
      <w:proofErr w:type="spellEnd"/>
      <w:r w:rsidRPr="00A21BC0">
        <w:rPr>
          <w:rFonts w:ascii="Times New Roman" w:eastAsia="Times New Roman" w:hAnsi="Times New Roman" w:cs="Times New Roman"/>
          <w:sz w:val="20"/>
          <w:szCs w:val="20"/>
        </w:rPr>
        <w:t xml:space="preserve"> in the kidneys of rats with calcium oxalate nephrolithiasis. Kidney Int. 2003;64(1):234–43.</w:t>
      </w:r>
    </w:p>
    <w:p w14:paraId="63A59961"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A21BC0">
        <w:rPr>
          <w:rFonts w:ascii="Times New Roman" w:eastAsia="Times New Roman" w:hAnsi="Times New Roman" w:cs="Times New Roman"/>
          <w:sz w:val="20"/>
          <w:szCs w:val="20"/>
        </w:rPr>
        <w:t>Kesarwani</w:t>
      </w:r>
      <w:proofErr w:type="spellEnd"/>
      <w:r w:rsidRPr="00A21BC0">
        <w:rPr>
          <w:rFonts w:ascii="Times New Roman" w:eastAsia="Times New Roman" w:hAnsi="Times New Roman" w:cs="Times New Roman"/>
          <w:sz w:val="20"/>
          <w:szCs w:val="20"/>
        </w:rPr>
        <w:t xml:space="preserve"> K, Gupta R. Phytotherapy in nephrolithiasis: A systematic review. Int J Pharm Sci Rev Res. 2015;30(1):57–63.</w:t>
      </w:r>
    </w:p>
    <w:p w14:paraId="62FA056A"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Khan SR, Glenton PA, Byer KJ. Modeling of hyperoxaluric calcium oxalate nephrolithiasis: experimental induction and regulation. </w:t>
      </w:r>
      <w:proofErr w:type="spellStart"/>
      <w:r w:rsidRPr="00A21BC0">
        <w:rPr>
          <w:rFonts w:ascii="Times New Roman" w:eastAsia="Times New Roman" w:hAnsi="Times New Roman" w:cs="Times New Roman"/>
          <w:sz w:val="20"/>
          <w:szCs w:val="20"/>
        </w:rPr>
        <w:t>Urol</w:t>
      </w:r>
      <w:proofErr w:type="spellEnd"/>
      <w:r w:rsidRPr="00A21BC0">
        <w:rPr>
          <w:rFonts w:ascii="Times New Roman" w:eastAsia="Times New Roman" w:hAnsi="Times New Roman" w:cs="Times New Roman"/>
          <w:sz w:val="20"/>
          <w:szCs w:val="20"/>
        </w:rPr>
        <w:t xml:space="preserve"> Res. 2006;34(2):93–104.</w:t>
      </w:r>
    </w:p>
    <w:p w14:paraId="2CAE91EB"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Kassem HA, Kamal AM, El-Magd MAA, et al. Protective effect of flavonoid-rich extract from Bryophyllum pinnatum against sodium oxalate-induced nephrolithiasis in rats. Environ </w:t>
      </w:r>
      <w:proofErr w:type="spellStart"/>
      <w:r w:rsidRPr="00A21BC0">
        <w:rPr>
          <w:rFonts w:ascii="Times New Roman" w:eastAsia="Times New Roman" w:hAnsi="Times New Roman" w:cs="Times New Roman"/>
          <w:sz w:val="20"/>
          <w:szCs w:val="20"/>
        </w:rPr>
        <w:t>Toxicol</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Pharmacol</w:t>
      </w:r>
      <w:proofErr w:type="spellEnd"/>
      <w:r w:rsidRPr="00A21BC0">
        <w:rPr>
          <w:rFonts w:ascii="Times New Roman" w:eastAsia="Times New Roman" w:hAnsi="Times New Roman" w:cs="Times New Roman"/>
          <w:sz w:val="20"/>
          <w:szCs w:val="20"/>
        </w:rPr>
        <w:t>. 2017;50:94–102.</w:t>
      </w:r>
    </w:p>
    <w:p w14:paraId="4020B91E"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Chauhan CK, Joshi MJ. In vitro crystallization of calcium oxalate in the presence of aqueous extracts of Tribulus terrestris. J </w:t>
      </w:r>
      <w:proofErr w:type="spellStart"/>
      <w:r w:rsidRPr="00A21BC0">
        <w:rPr>
          <w:rFonts w:ascii="Times New Roman" w:eastAsia="Times New Roman" w:hAnsi="Times New Roman" w:cs="Times New Roman"/>
          <w:sz w:val="20"/>
          <w:szCs w:val="20"/>
        </w:rPr>
        <w:t>Cryst</w:t>
      </w:r>
      <w:proofErr w:type="spellEnd"/>
      <w:r w:rsidRPr="00A21BC0">
        <w:rPr>
          <w:rFonts w:ascii="Times New Roman" w:eastAsia="Times New Roman" w:hAnsi="Times New Roman" w:cs="Times New Roman"/>
          <w:sz w:val="20"/>
          <w:szCs w:val="20"/>
        </w:rPr>
        <w:t xml:space="preserve"> Growth. 2008;310(10):2602–10.</w:t>
      </w:r>
    </w:p>
    <w:p w14:paraId="426A7815"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Sharma N, Sethi R, Sood A, et al. Antilithiatic activity of aqueous extract of </w:t>
      </w:r>
      <w:proofErr w:type="spellStart"/>
      <w:r w:rsidRPr="00A21BC0">
        <w:rPr>
          <w:rFonts w:ascii="Times New Roman" w:eastAsia="Times New Roman" w:hAnsi="Times New Roman" w:cs="Times New Roman"/>
          <w:sz w:val="20"/>
          <w:szCs w:val="20"/>
        </w:rPr>
        <w:t>Bergenia</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ligulata</w:t>
      </w:r>
      <w:proofErr w:type="spellEnd"/>
      <w:r w:rsidRPr="00A21BC0">
        <w:rPr>
          <w:rFonts w:ascii="Times New Roman" w:eastAsia="Times New Roman" w:hAnsi="Times New Roman" w:cs="Times New Roman"/>
          <w:sz w:val="20"/>
          <w:szCs w:val="20"/>
        </w:rPr>
        <w:t xml:space="preserve"> rhizome in experimental animal model. J </w:t>
      </w:r>
      <w:proofErr w:type="spellStart"/>
      <w:r w:rsidRPr="00A21BC0">
        <w:rPr>
          <w:rFonts w:ascii="Times New Roman" w:eastAsia="Times New Roman" w:hAnsi="Times New Roman" w:cs="Times New Roman"/>
          <w:sz w:val="20"/>
          <w:szCs w:val="20"/>
        </w:rPr>
        <w:t>Ethnopharmacol</w:t>
      </w:r>
      <w:proofErr w:type="spellEnd"/>
      <w:r w:rsidRPr="00A21BC0">
        <w:rPr>
          <w:rFonts w:ascii="Times New Roman" w:eastAsia="Times New Roman" w:hAnsi="Times New Roman" w:cs="Times New Roman"/>
          <w:sz w:val="20"/>
          <w:szCs w:val="20"/>
        </w:rPr>
        <w:t>. 2010;127(2):398–402.</w:t>
      </w:r>
    </w:p>
    <w:p w14:paraId="098DA2B6"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Harborne JB, Williams CA. Anthocyanins and other flavonoids. Nat Prod Rep. 2001;18(3):310–33.</w:t>
      </w:r>
    </w:p>
    <w:p w14:paraId="19A7D4DF" w14:textId="77777777" w:rsidR="00F90F19" w:rsidRPr="00A21BC0" w:rsidRDefault="00F90F19" w:rsidP="00AD1EEB">
      <w:pPr>
        <w:numPr>
          <w:ilvl w:val="0"/>
          <w:numId w:val="2"/>
        </w:numPr>
        <w:spacing w:before="100" w:beforeAutospacing="1" w:after="100" w:afterAutospacing="1" w:line="480" w:lineRule="auto"/>
        <w:jc w:val="both"/>
        <w:rPr>
          <w:rFonts w:ascii="Times New Roman" w:eastAsia="Times New Roman" w:hAnsi="Times New Roman" w:cs="Times New Roman"/>
          <w:sz w:val="20"/>
          <w:szCs w:val="20"/>
        </w:rPr>
      </w:pPr>
      <w:r w:rsidRPr="00A21BC0">
        <w:rPr>
          <w:rFonts w:ascii="Times New Roman" w:eastAsia="Times New Roman" w:hAnsi="Times New Roman" w:cs="Times New Roman"/>
          <w:sz w:val="20"/>
          <w:szCs w:val="20"/>
        </w:rPr>
        <w:t xml:space="preserve">Sharma RK, Pachauri M, Dwivedi P, et al. Protective role of quercetin against nephrotoxicity and oxidative stress induced by ethylene glycol in rats. Indian J </w:t>
      </w:r>
      <w:proofErr w:type="spellStart"/>
      <w:r w:rsidRPr="00A21BC0">
        <w:rPr>
          <w:rFonts w:ascii="Times New Roman" w:eastAsia="Times New Roman" w:hAnsi="Times New Roman" w:cs="Times New Roman"/>
          <w:sz w:val="20"/>
          <w:szCs w:val="20"/>
        </w:rPr>
        <w:t>Biochem</w:t>
      </w:r>
      <w:proofErr w:type="spellEnd"/>
      <w:r w:rsidRPr="00A21BC0">
        <w:rPr>
          <w:rFonts w:ascii="Times New Roman" w:eastAsia="Times New Roman" w:hAnsi="Times New Roman" w:cs="Times New Roman"/>
          <w:sz w:val="20"/>
          <w:szCs w:val="20"/>
        </w:rPr>
        <w:t xml:space="preserve"> </w:t>
      </w:r>
      <w:proofErr w:type="spellStart"/>
      <w:r w:rsidRPr="00A21BC0">
        <w:rPr>
          <w:rFonts w:ascii="Times New Roman" w:eastAsia="Times New Roman" w:hAnsi="Times New Roman" w:cs="Times New Roman"/>
          <w:sz w:val="20"/>
          <w:szCs w:val="20"/>
        </w:rPr>
        <w:t>Biophys</w:t>
      </w:r>
      <w:proofErr w:type="spellEnd"/>
      <w:r w:rsidRPr="00A21BC0">
        <w:rPr>
          <w:rFonts w:ascii="Times New Roman" w:eastAsia="Times New Roman" w:hAnsi="Times New Roman" w:cs="Times New Roman"/>
          <w:sz w:val="20"/>
          <w:szCs w:val="20"/>
        </w:rPr>
        <w:t>. 2011;48(4):312–7.</w:t>
      </w:r>
    </w:p>
    <w:p w14:paraId="569E1DB1" w14:textId="77777777" w:rsidR="00F90F19" w:rsidRPr="00A21BC0" w:rsidRDefault="00F90F19" w:rsidP="00AD1EEB">
      <w:pPr>
        <w:spacing w:before="100" w:beforeAutospacing="1" w:after="100" w:afterAutospacing="1" w:line="480" w:lineRule="auto"/>
        <w:jc w:val="both"/>
        <w:rPr>
          <w:rFonts w:ascii="Times New Roman" w:eastAsia="Times New Roman" w:hAnsi="Times New Roman" w:cs="Times New Roman"/>
          <w:sz w:val="20"/>
          <w:szCs w:val="20"/>
        </w:rPr>
      </w:pPr>
    </w:p>
    <w:p w14:paraId="0AE5EF5D" w14:textId="77777777" w:rsidR="005D2C2C" w:rsidRPr="00A21BC0" w:rsidRDefault="005D2C2C" w:rsidP="00AD1EEB">
      <w:pPr>
        <w:spacing w:line="480" w:lineRule="auto"/>
        <w:jc w:val="both"/>
        <w:rPr>
          <w:rFonts w:ascii="Times New Roman" w:hAnsi="Times New Roman" w:cs="Times New Roman"/>
          <w:sz w:val="20"/>
          <w:szCs w:val="20"/>
        </w:rPr>
      </w:pPr>
    </w:p>
    <w:sectPr w:rsidR="005D2C2C" w:rsidRPr="00A21BC0" w:rsidSect="005D2C2C">
      <w:pgSz w:w="12240" w:h="15840"/>
      <w:pgMar w:top="1440" w:right="1440" w:bottom="1440" w:left="1440"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D327CA"/>
    <w:multiLevelType w:val="multilevel"/>
    <w:tmpl w:val="5ED0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F6090E"/>
    <w:multiLevelType w:val="multilevel"/>
    <w:tmpl w:val="0D388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83111156">
    <w:abstractNumId w:val="0"/>
  </w:num>
  <w:num w:numId="2" w16cid:durableId="13445478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C2C"/>
    <w:rsid w:val="000171F9"/>
    <w:rsid w:val="00067678"/>
    <w:rsid w:val="00096074"/>
    <w:rsid w:val="00172E80"/>
    <w:rsid w:val="00177898"/>
    <w:rsid w:val="00186A4B"/>
    <w:rsid w:val="00213CDA"/>
    <w:rsid w:val="002A15F4"/>
    <w:rsid w:val="002E2BA5"/>
    <w:rsid w:val="00307A14"/>
    <w:rsid w:val="00362864"/>
    <w:rsid w:val="00495754"/>
    <w:rsid w:val="00516621"/>
    <w:rsid w:val="00563917"/>
    <w:rsid w:val="005D2C2C"/>
    <w:rsid w:val="00733094"/>
    <w:rsid w:val="00773C1C"/>
    <w:rsid w:val="00785C8C"/>
    <w:rsid w:val="007A55CD"/>
    <w:rsid w:val="007C4A2E"/>
    <w:rsid w:val="007E763B"/>
    <w:rsid w:val="008118F4"/>
    <w:rsid w:val="00886F52"/>
    <w:rsid w:val="008933E5"/>
    <w:rsid w:val="008A04BA"/>
    <w:rsid w:val="008C26EE"/>
    <w:rsid w:val="0093051D"/>
    <w:rsid w:val="00976E35"/>
    <w:rsid w:val="00A21BC0"/>
    <w:rsid w:val="00A93C8D"/>
    <w:rsid w:val="00AD1EEB"/>
    <w:rsid w:val="00B24C4C"/>
    <w:rsid w:val="00B65EFF"/>
    <w:rsid w:val="00C23A31"/>
    <w:rsid w:val="00C625DA"/>
    <w:rsid w:val="00C679AD"/>
    <w:rsid w:val="00D04C58"/>
    <w:rsid w:val="00D214FB"/>
    <w:rsid w:val="00DE7075"/>
    <w:rsid w:val="00DF5547"/>
    <w:rsid w:val="00E15358"/>
    <w:rsid w:val="00F90F19"/>
    <w:rsid w:val="00FB3828"/>
    <w:rsid w:val="00FE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38EA23"/>
  <w15:chartTrackingRefBased/>
  <w15:docId w15:val="{CD63D2D4-BDEA-49FE-AAF8-E976C9BD5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E70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5D2C2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D2C2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D2C2C"/>
    <w:rPr>
      <w:rFonts w:ascii="Times New Roman" w:eastAsia="Times New Roman" w:hAnsi="Times New Roman" w:cs="Times New Roman"/>
      <w:b/>
      <w:bCs/>
      <w:sz w:val="27"/>
      <w:szCs w:val="27"/>
    </w:rPr>
  </w:style>
  <w:style w:type="character" w:styleId="Strong">
    <w:name w:val="Strong"/>
    <w:basedOn w:val="DefaultParagraphFont"/>
    <w:uiPriority w:val="22"/>
    <w:qFormat/>
    <w:rsid w:val="005D2C2C"/>
    <w:rPr>
      <w:b/>
      <w:bCs/>
    </w:rPr>
  </w:style>
  <w:style w:type="character" w:styleId="Emphasis">
    <w:name w:val="Emphasis"/>
    <w:basedOn w:val="DefaultParagraphFont"/>
    <w:uiPriority w:val="20"/>
    <w:qFormat/>
    <w:rsid w:val="005D2C2C"/>
    <w:rPr>
      <w:i/>
      <w:iCs/>
    </w:rPr>
  </w:style>
  <w:style w:type="character" w:customStyle="1" w:styleId="Heading4Char">
    <w:name w:val="Heading 4 Char"/>
    <w:basedOn w:val="DefaultParagraphFont"/>
    <w:link w:val="Heading4"/>
    <w:uiPriority w:val="9"/>
    <w:semiHidden/>
    <w:rsid w:val="005D2C2C"/>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DE707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82814">
      <w:bodyDiv w:val="1"/>
      <w:marLeft w:val="0"/>
      <w:marRight w:val="0"/>
      <w:marTop w:val="0"/>
      <w:marBottom w:val="0"/>
      <w:divBdr>
        <w:top w:val="none" w:sz="0" w:space="0" w:color="auto"/>
        <w:left w:val="none" w:sz="0" w:space="0" w:color="auto"/>
        <w:bottom w:val="none" w:sz="0" w:space="0" w:color="auto"/>
        <w:right w:val="none" w:sz="0" w:space="0" w:color="auto"/>
      </w:divBdr>
    </w:div>
    <w:div w:id="269317861">
      <w:bodyDiv w:val="1"/>
      <w:marLeft w:val="0"/>
      <w:marRight w:val="0"/>
      <w:marTop w:val="0"/>
      <w:marBottom w:val="0"/>
      <w:divBdr>
        <w:top w:val="none" w:sz="0" w:space="0" w:color="auto"/>
        <w:left w:val="none" w:sz="0" w:space="0" w:color="auto"/>
        <w:bottom w:val="none" w:sz="0" w:space="0" w:color="auto"/>
        <w:right w:val="none" w:sz="0" w:space="0" w:color="auto"/>
      </w:divBdr>
    </w:div>
    <w:div w:id="316225576">
      <w:bodyDiv w:val="1"/>
      <w:marLeft w:val="0"/>
      <w:marRight w:val="0"/>
      <w:marTop w:val="0"/>
      <w:marBottom w:val="0"/>
      <w:divBdr>
        <w:top w:val="none" w:sz="0" w:space="0" w:color="auto"/>
        <w:left w:val="none" w:sz="0" w:space="0" w:color="auto"/>
        <w:bottom w:val="none" w:sz="0" w:space="0" w:color="auto"/>
        <w:right w:val="none" w:sz="0" w:space="0" w:color="auto"/>
      </w:divBdr>
      <w:divsChild>
        <w:div w:id="1737627620">
          <w:marLeft w:val="0"/>
          <w:marRight w:val="0"/>
          <w:marTop w:val="0"/>
          <w:marBottom w:val="0"/>
          <w:divBdr>
            <w:top w:val="none" w:sz="0" w:space="0" w:color="auto"/>
            <w:left w:val="none" w:sz="0" w:space="0" w:color="auto"/>
            <w:bottom w:val="none" w:sz="0" w:space="0" w:color="auto"/>
            <w:right w:val="none" w:sz="0" w:space="0" w:color="auto"/>
          </w:divBdr>
        </w:div>
        <w:div w:id="1062606296">
          <w:marLeft w:val="0"/>
          <w:marRight w:val="0"/>
          <w:marTop w:val="0"/>
          <w:marBottom w:val="0"/>
          <w:divBdr>
            <w:top w:val="none" w:sz="0" w:space="0" w:color="auto"/>
            <w:left w:val="none" w:sz="0" w:space="0" w:color="auto"/>
            <w:bottom w:val="none" w:sz="0" w:space="0" w:color="auto"/>
            <w:right w:val="none" w:sz="0" w:space="0" w:color="auto"/>
          </w:divBdr>
        </w:div>
        <w:div w:id="202598207">
          <w:marLeft w:val="0"/>
          <w:marRight w:val="0"/>
          <w:marTop w:val="0"/>
          <w:marBottom w:val="0"/>
          <w:divBdr>
            <w:top w:val="none" w:sz="0" w:space="0" w:color="auto"/>
            <w:left w:val="none" w:sz="0" w:space="0" w:color="auto"/>
            <w:bottom w:val="none" w:sz="0" w:space="0" w:color="auto"/>
            <w:right w:val="none" w:sz="0" w:space="0" w:color="auto"/>
          </w:divBdr>
        </w:div>
      </w:divsChild>
    </w:div>
    <w:div w:id="711535385">
      <w:bodyDiv w:val="1"/>
      <w:marLeft w:val="0"/>
      <w:marRight w:val="0"/>
      <w:marTop w:val="0"/>
      <w:marBottom w:val="0"/>
      <w:divBdr>
        <w:top w:val="none" w:sz="0" w:space="0" w:color="auto"/>
        <w:left w:val="none" w:sz="0" w:space="0" w:color="auto"/>
        <w:bottom w:val="none" w:sz="0" w:space="0" w:color="auto"/>
        <w:right w:val="none" w:sz="0" w:space="0" w:color="auto"/>
      </w:divBdr>
    </w:div>
    <w:div w:id="811948905">
      <w:bodyDiv w:val="1"/>
      <w:marLeft w:val="0"/>
      <w:marRight w:val="0"/>
      <w:marTop w:val="0"/>
      <w:marBottom w:val="0"/>
      <w:divBdr>
        <w:top w:val="none" w:sz="0" w:space="0" w:color="auto"/>
        <w:left w:val="none" w:sz="0" w:space="0" w:color="auto"/>
        <w:bottom w:val="none" w:sz="0" w:space="0" w:color="auto"/>
        <w:right w:val="none" w:sz="0" w:space="0" w:color="auto"/>
      </w:divBdr>
    </w:div>
    <w:div w:id="1034035079">
      <w:bodyDiv w:val="1"/>
      <w:marLeft w:val="0"/>
      <w:marRight w:val="0"/>
      <w:marTop w:val="0"/>
      <w:marBottom w:val="0"/>
      <w:divBdr>
        <w:top w:val="none" w:sz="0" w:space="0" w:color="auto"/>
        <w:left w:val="none" w:sz="0" w:space="0" w:color="auto"/>
        <w:bottom w:val="none" w:sz="0" w:space="0" w:color="auto"/>
        <w:right w:val="none" w:sz="0" w:space="0" w:color="auto"/>
      </w:divBdr>
    </w:div>
    <w:div w:id="1186557803">
      <w:bodyDiv w:val="1"/>
      <w:marLeft w:val="0"/>
      <w:marRight w:val="0"/>
      <w:marTop w:val="0"/>
      <w:marBottom w:val="0"/>
      <w:divBdr>
        <w:top w:val="none" w:sz="0" w:space="0" w:color="auto"/>
        <w:left w:val="none" w:sz="0" w:space="0" w:color="auto"/>
        <w:bottom w:val="none" w:sz="0" w:space="0" w:color="auto"/>
        <w:right w:val="none" w:sz="0" w:space="0" w:color="auto"/>
      </w:divBdr>
    </w:div>
    <w:div w:id="1777096449">
      <w:bodyDiv w:val="1"/>
      <w:marLeft w:val="0"/>
      <w:marRight w:val="0"/>
      <w:marTop w:val="0"/>
      <w:marBottom w:val="0"/>
      <w:divBdr>
        <w:top w:val="none" w:sz="0" w:space="0" w:color="auto"/>
        <w:left w:val="none" w:sz="0" w:space="0" w:color="auto"/>
        <w:bottom w:val="none" w:sz="0" w:space="0" w:color="auto"/>
        <w:right w:val="none" w:sz="0" w:space="0" w:color="auto"/>
      </w:divBdr>
    </w:div>
    <w:div w:id="1846089844">
      <w:bodyDiv w:val="1"/>
      <w:marLeft w:val="0"/>
      <w:marRight w:val="0"/>
      <w:marTop w:val="0"/>
      <w:marBottom w:val="0"/>
      <w:divBdr>
        <w:top w:val="none" w:sz="0" w:space="0" w:color="auto"/>
        <w:left w:val="none" w:sz="0" w:space="0" w:color="auto"/>
        <w:bottom w:val="none" w:sz="0" w:space="0" w:color="auto"/>
        <w:right w:val="none" w:sz="0" w:space="0" w:color="auto"/>
      </w:divBdr>
    </w:div>
    <w:div w:id="214672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3594</Words>
  <Characters>23050</Characters>
  <Application>Microsoft Office Word</Application>
  <DocSecurity>0</DocSecurity>
  <Lines>192</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sanayoungene@outlook.com</cp:lastModifiedBy>
  <cp:revision>2</cp:revision>
  <dcterms:created xsi:type="dcterms:W3CDTF">2025-04-09T09:53:00Z</dcterms:created>
  <dcterms:modified xsi:type="dcterms:W3CDTF">2025-04-09T09:53:00Z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87321c35-ecb9-4dc2-b496-61a232599165</vt:lpwstr>
  </property>
</Properties>
</file>