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B6499B" w14:textId="4218D637" w:rsidR="005D2E33" w:rsidRPr="00AC6E97" w:rsidRDefault="005D2E33" w:rsidP="00AC6E97">
      <w:pPr>
        <w:spacing w:after="200" w:line="276" w:lineRule="auto"/>
        <w:jc w:val="center"/>
        <w:rPr>
          <w:rFonts w:ascii="Times New Roman" w:eastAsiaTheme="minorEastAsia" w:hAnsi="Times New Roman" w:cs="Times New Roman"/>
          <w:b/>
          <w:color w:val="000000" w:themeColor="text1"/>
          <w:sz w:val="24"/>
        </w:rPr>
      </w:pPr>
      <w:bookmarkStart w:id="0" w:name="_GoBack"/>
      <w:bookmarkEnd w:id="0"/>
      <w:r w:rsidRPr="00DC3F02">
        <w:rPr>
          <w:rFonts w:ascii="Times New Roman" w:hAnsi="Times New Roman" w:cs="Times New Roman"/>
          <w:b/>
          <w:bCs/>
          <w:sz w:val="24"/>
          <w:szCs w:val="24"/>
          <w:lang w:val="en-US"/>
        </w:rPr>
        <w:t>“</w:t>
      </w:r>
      <w:r w:rsidR="00AC6E97" w:rsidRPr="00AC6E97">
        <w:rPr>
          <w:rFonts w:ascii="Times New Roman" w:eastAsiaTheme="minorEastAsia" w:hAnsi="Times New Roman" w:cs="Times New Roman"/>
          <w:b/>
          <w:color w:val="000000" w:themeColor="text1"/>
          <w:sz w:val="24"/>
        </w:rPr>
        <w:t>A STUDY OF CONSUMER BEHAVIOR OF MOBILE BANKING IN NAGPUR RURAL REGION</w:t>
      </w:r>
      <w:r w:rsidRPr="00AC6E97">
        <w:rPr>
          <w:rFonts w:ascii="Times New Roman" w:hAnsi="Times New Roman" w:cs="Times New Roman"/>
          <w:b/>
          <w:bCs/>
          <w:color w:val="000000" w:themeColor="text1"/>
          <w:sz w:val="20"/>
          <w:szCs w:val="24"/>
          <w:lang w:val="en-US"/>
        </w:rPr>
        <w:t>”</w:t>
      </w:r>
    </w:p>
    <w:p w14:paraId="014B474A" w14:textId="6D125BD2" w:rsidR="005D2E33" w:rsidRPr="00DC3F02" w:rsidRDefault="00BB369B" w:rsidP="005D2E33">
      <w:pPr>
        <w:jc w:val="center"/>
        <w:rPr>
          <w:rFonts w:ascii="Times New Roman" w:hAnsi="Times New Roman" w:cs="Times New Roman"/>
          <w:b/>
          <w:sz w:val="24"/>
          <w:szCs w:val="24"/>
          <w:lang w:val="en-US"/>
        </w:rPr>
      </w:pPr>
      <w:r>
        <w:rPr>
          <w:rFonts w:ascii="Times New Roman" w:hAnsi="Times New Roman" w:cs="Times New Roman"/>
          <w:b/>
          <w:sz w:val="24"/>
          <w:szCs w:val="24"/>
          <w:vertAlign w:val="superscript"/>
          <w:lang w:val="en-US"/>
        </w:rPr>
        <w:t>1</w:t>
      </w:r>
      <w:r w:rsidR="00AC6E97">
        <w:rPr>
          <w:rFonts w:ascii="Times New Roman" w:hAnsi="Times New Roman" w:cs="Times New Roman"/>
          <w:b/>
          <w:sz w:val="24"/>
          <w:szCs w:val="24"/>
          <w:lang w:val="en-US"/>
        </w:rPr>
        <w:t>Saurabh Ramrao Chaudhary</w:t>
      </w:r>
      <w:r w:rsidR="005D2E33" w:rsidRPr="00DC3F02">
        <w:rPr>
          <w:rFonts w:ascii="Times New Roman" w:hAnsi="Times New Roman" w:cs="Times New Roman"/>
          <w:b/>
          <w:sz w:val="24"/>
          <w:szCs w:val="24"/>
          <w:lang w:val="en-US"/>
        </w:rPr>
        <w:t xml:space="preserve">, </w:t>
      </w:r>
      <w:r w:rsidR="005D2E33" w:rsidRPr="00DC3F02">
        <w:rPr>
          <w:rFonts w:ascii="Times New Roman" w:hAnsi="Times New Roman" w:cs="Times New Roman"/>
          <w:b/>
          <w:sz w:val="24"/>
          <w:szCs w:val="24"/>
          <w:vertAlign w:val="superscript"/>
          <w:lang w:val="en-US"/>
        </w:rPr>
        <w:t>2</w:t>
      </w:r>
      <w:r w:rsidR="00AC6E97">
        <w:rPr>
          <w:rFonts w:ascii="Times New Roman" w:hAnsi="Times New Roman" w:cs="Times New Roman"/>
          <w:b/>
          <w:sz w:val="24"/>
          <w:szCs w:val="24"/>
          <w:lang w:val="en-US"/>
        </w:rPr>
        <w:t xml:space="preserve"> Dr. Wechansing Suliya</w:t>
      </w:r>
    </w:p>
    <w:p w14:paraId="3FFA8C5E" w14:textId="74C4BF98" w:rsidR="005D2E33" w:rsidRPr="00DC3F02" w:rsidRDefault="005D2E33" w:rsidP="005D2E33">
      <w:pPr>
        <w:jc w:val="center"/>
        <w:rPr>
          <w:rFonts w:ascii="Times New Roman" w:hAnsi="Times New Roman" w:cs="Times New Roman"/>
          <w:sz w:val="24"/>
          <w:szCs w:val="24"/>
          <w:lang w:val="en-US"/>
        </w:rPr>
      </w:pPr>
      <w:r w:rsidRPr="00DC3F02">
        <w:rPr>
          <w:rFonts w:ascii="Times New Roman" w:hAnsi="Times New Roman" w:cs="Times New Roman"/>
          <w:sz w:val="24"/>
          <w:szCs w:val="24"/>
          <w:vertAlign w:val="superscript"/>
          <w:lang w:val="en-US"/>
        </w:rPr>
        <w:t>1</w:t>
      </w:r>
      <w:r w:rsidRPr="00DC3F02">
        <w:rPr>
          <w:rFonts w:ascii="Times New Roman" w:hAnsi="Times New Roman" w:cs="Times New Roman"/>
          <w:sz w:val="24"/>
          <w:szCs w:val="24"/>
          <w:lang w:val="en-US"/>
        </w:rPr>
        <w:t xml:space="preserve">Student, Department Of Business Administration </w:t>
      </w:r>
      <w:r w:rsidR="0087522B">
        <w:rPr>
          <w:rFonts w:ascii="Times New Roman" w:hAnsi="Times New Roman" w:cs="Times New Roman"/>
          <w:sz w:val="24"/>
          <w:szCs w:val="24"/>
          <w:lang w:val="en-US"/>
        </w:rPr>
        <w:t>A</w:t>
      </w:r>
      <w:r w:rsidR="0087522B" w:rsidRPr="00DC3F02">
        <w:rPr>
          <w:rFonts w:ascii="Times New Roman" w:hAnsi="Times New Roman" w:cs="Times New Roman"/>
          <w:sz w:val="24"/>
          <w:szCs w:val="24"/>
          <w:lang w:val="en-US"/>
        </w:rPr>
        <w:t>nd</w:t>
      </w:r>
      <w:r w:rsidRPr="00DC3F02">
        <w:rPr>
          <w:rFonts w:ascii="Times New Roman" w:hAnsi="Times New Roman" w:cs="Times New Roman"/>
          <w:sz w:val="24"/>
          <w:szCs w:val="24"/>
          <w:lang w:val="en-US"/>
        </w:rPr>
        <w:t xml:space="preserve"> Research, Shri Sant Gajanan Maharaj College Of Engineering Shegaon</w:t>
      </w:r>
      <w:r w:rsidR="002E4A35">
        <w:rPr>
          <w:rFonts w:ascii="Times New Roman" w:hAnsi="Times New Roman" w:cs="Times New Roman"/>
          <w:sz w:val="24"/>
          <w:szCs w:val="24"/>
          <w:lang w:val="en-US"/>
        </w:rPr>
        <w:t>.</w:t>
      </w:r>
    </w:p>
    <w:p w14:paraId="09E7CB9E" w14:textId="5F2ABC62" w:rsidR="005D2E33" w:rsidRPr="00DC3F02" w:rsidRDefault="005D2E33" w:rsidP="005D2E33">
      <w:pPr>
        <w:jc w:val="center"/>
        <w:rPr>
          <w:rFonts w:ascii="Times New Roman" w:hAnsi="Times New Roman" w:cs="Times New Roman"/>
          <w:sz w:val="24"/>
          <w:szCs w:val="24"/>
          <w:lang w:val="en-US"/>
        </w:rPr>
      </w:pPr>
      <w:r w:rsidRPr="00DC3F02">
        <w:rPr>
          <w:rFonts w:ascii="Times New Roman" w:hAnsi="Times New Roman" w:cs="Times New Roman"/>
          <w:sz w:val="24"/>
          <w:szCs w:val="24"/>
          <w:vertAlign w:val="superscript"/>
          <w:lang w:val="en-US"/>
        </w:rPr>
        <w:t>2</w:t>
      </w:r>
      <w:r w:rsidRPr="00DC3F02">
        <w:rPr>
          <w:rFonts w:ascii="Times New Roman" w:hAnsi="Times New Roman" w:cs="Times New Roman"/>
          <w:sz w:val="24"/>
          <w:szCs w:val="24"/>
          <w:lang w:val="en-US"/>
        </w:rPr>
        <w:t>Assistant professor, Department Of Business Administration And Research, Shri Sant Gajanan Maharaj College Of Engineering Shegaon</w:t>
      </w:r>
      <w:r w:rsidR="002E4A35">
        <w:rPr>
          <w:rFonts w:ascii="Times New Roman" w:hAnsi="Times New Roman" w:cs="Times New Roman"/>
          <w:sz w:val="24"/>
          <w:szCs w:val="24"/>
          <w:lang w:val="en-US"/>
        </w:rPr>
        <w:t>.</w:t>
      </w:r>
    </w:p>
    <w:p w14:paraId="1C7B26B2" w14:textId="321075FE" w:rsidR="005D2E33" w:rsidRPr="00DC3F02" w:rsidRDefault="005D2E33" w:rsidP="005D2E33">
      <w:pPr>
        <w:jc w:val="center"/>
        <w:rPr>
          <w:rFonts w:ascii="Times New Roman" w:hAnsi="Times New Roman" w:cs="Times New Roman"/>
          <w:sz w:val="24"/>
          <w:szCs w:val="24"/>
          <w:lang w:val="en-US"/>
        </w:rPr>
      </w:pPr>
      <w:r w:rsidRPr="00070828">
        <w:rPr>
          <w:rFonts w:ascii="Times New Roman" w:hAnsi="Times New Roman" w:cs="Times New Roman"/>
          <w:b/>
          <w:bCs/>
          <w:sz w:val="24"/>
          <w:szCs w:val="24"/>
          <w:lang w:val="en-US"/>
        </w:rPr>
        <w:t>Email Id:</w:t>
      </w:r>
      <w:r w:rsidRPr="00DC3F02">
        <w:rPr>
          <w:rFonts w:ascii="Times New Roman" w:hAnsi="Times New Roman" w:cs="Times New Roman"/>
          <w:sz w:val="24"/>
          <w:szCs w:val="24"/>
          <w:lang w:val="en-US"/>
        </w:rPr>
        <w:t xml:space="preserve"> </w:t>
      </w:r>
      <w:r w:rsidRPr="00AC6E97">
        <w:rPr>
          <w:rStyle w:val="Hyperlink"/>
          <w:rFonts w:ascii="Times New Roman" w:hAnsi="Times New Roman" w:cs="Times New Roman"/>
          <w:sz w:val="24"/>
          <w:szCs w:val="24"/>
          <w:vertAlign w:val="superscript"/>
          <w:lang w:val="en-US"/>
        </w:rPr>
        <w:t>1</w:t>
      </w:r>
      <w:r w:rsidR="00AC6E97">
        <w:rPr>
          <w:rStyle w:val="Hyperlink"/>
          <w:rFonts w:ascii="Times New Roman" w:hAnsi="Times New Roman" w:cs="Times New Roman"/>
          <w:sz w:val="24"/>
          <w:szCs w:val="24"/>
          <w:lang w:val="en-US"/>
        </w:rPr>
        <w:t>saurabhchaudhary3105@gmail.com</w:t>
      </w:r>
      <w:r w:rsidRPr="00DC3F02">
        <w:rPr>
          <w:rFonts w:ascii="Times New Roman" w:hAnsi="Times New Roman" w:cs="Times New Roman"/>
          <w:sz w:val="24"/>
          <w:szCs w:val="24"/>
          <w:lang w:val="en-US"/>
        </w:rPr>
        <w:t xml:space="preserve">, </w:t>
      </w:r>
      <w:r w:rsidRPr="00DC3F02">
        <w:rPr>
          <w:rFonts w:ascii="Times New Roman" w:hAnsi="Times New Roman" w:cs="Times New Roman"/>
          <w:sz w:val="24"/>
          <w:szCs w:val="24"/>
          <w:vertAlign w:val="superscript"/>
          <w:lang w:val="en-US"/>
        </w:rPr>
        <w:t>2</w:t>
      </w:r>
      <w:r w:rsidRPr="00DC3F02">
        <w:rPr>
          <w:rFonts w:ascii="Times New Roman" w:hAnsi="Times New Roman" w:cs="Times New Roman"/>
          <w:sz w:val="24"/>
          <w:szCs w:val="24"/>
          <w:lang w:val="en-US"/>
        </w:rPr>
        <w:t xml:space="preserve"> </w:t>
      </w:r>
      <w:r w:rsidR="005309F9">
        <w:rPr>
          <w:rStyle w:val="Hyperlink"/>
          <w:rFonts w:ascii="Times New Roman" w:hAnsi="Times New Roman" w:cs="Times New Roman"/>
          <w:sz w:val="24"/>
          <w:szCs w:val="24"/>
          <w:lang w:val="en-US"/>
        </w:rPr>
        <w:t>wechansingsuliya@gmail.com</w:t>
      </w:r>
    </w:p>
    <w:p w14:paraId="488A4B75" w14:textId="5A340DDA" w:rsidR="002E4A35" w:rsidRDefault="005D2E33" w:rsidP="002E4A35">
      <w:pPr>
        <w:pStyle w:val="BodyText"/>
        <w:ind w:left="26" w:right="303"/>
        <w:jc w:val="center"/>
      </w:pPr>
      <w:r w:rsidRPr="00070828">
        <w:rPr>
          <w:b/>
          <w:bCs/>
        </w:rPr>
        <w:t>Contact No:</w:t>
      </w:r>
      <w:r w:rsidRPr="00DC3F02">
        <w:t xml:space="preserve"> </w:t>
      </w:r>
      <w:r w:rsidRPr="00DC3F02">
        <w:rPr>
          <w:vertAlign w:val="superscript"/>
        </w:rPr>
        <w:t xml:space="preserve">1 </w:t>
      </w:r>
      <w:r w:rsidR="00AC6E97">
        <w:t>8999055220</w:t>
      </w:r>
      <w:r w:rsidR="002E4A35">
        <w:t xml:space="preserve">,  </w:t>
      </w:r>
      <w:r w:rsidR="002E4A35">
        <w:rPr>
          <w:spacing w:val="-2"/>
          <w:vertAlign w:val="superscript"/>
        </w:rPr>
        <w:t>2</w:t>
      </w:r>
      <w:r w:rsidR="00AC6E97">
        <w:rPr>
          <w:spacing w:val="-2"/>
        </w:rPr>
        <w:t>9604977943</w:t>
      </w:r>
    </w:p>
    <w:p w14:paraId="743097CC" w14:textId="7C7DA47D" w:rsidR="005D2E33" w:rsidRPr="00DC3F02" w:rsidRDefault="005D2E33" w:rsidP="00A32C9F">
      <w:pPr>
        <w:jc w:val="center"/>
        <w:rPr>
          <w:rFonts w:ascii="Times New Roman" w:hAnsi="Times New Roman" w:cs="Times New Roman"/>
          <w:sz w:val="24"/>
          <w:szCs w:val="24"/>
          <w:lang w:val="en-US"/>
        </w:rPr>
      </w:pPr>
    </w:p>
    <w:p w14:paraId="184C0587" w14:textId="77777777" w:rsidR="00A32C9F" w:rsidRDefault="00A32C9F" w:rsidP="00A32C9F">
      <w:pPr>
        <w:pBdr>
          <w:bottom w:val="single" w:sz="6" w:space="1" w:color="auto"/>
        </w:pBdr>
        <w:jc w:val="center"/>
        <w:rPr>
          <w:rFonts w:ascii="Times New Roman" w:hAnsi="Times New Roman" w:cs="Times New Roman"/>
          <w:lang w:val="en-US"/>
        </w:rPr>
      </w:pPr>
    </w:p>
    <w:p w14:paraId="2BF54028" w14:textId="77777777" w:rsidR="002E4A35" w:rsidRPr="005D2E33" w:rsidRDefault="002E4A35" w:rsidP="00A32C9F">
      <w:pPr>
        <w:jc w:val="center"/>
        <w:rPr>
          <w:rFonts w:ascii="Times New Roman" w:hAnsi="Times New Roman" w:cs="Times New Roman"/>
          <w:lang w:val="en-US"/>
        </w:rPr>
      </w:pPr>
    </w:p>
    <w:p w14:paraId="0EF2BBC9" w14:textId="77777777" w:rsidR="002E4A35" w:rsidRDefault="002E4A35" w:rsidP="006E08BC">
      <w:pPr>
        <w:rPr>
          <w:rFonts w:ascii="Times New Roman" w:hAnsi="Times New Roman" w:cs="Times New Roman"/>
          <w:lang w:val="en-US"/>
        </w:rPr>
      </w:pPr>
    </w:p>
    <w:p w14:paraId="74980C5A" w14:textId="111ABECD" w:rsidR="00BF204E" w:rsidRPr="00DC3F02" w:rsidRDefault="00BF204E" w:rsidP="00070828">
      <w:pPr>
        <w:jc w:val="center"/>
        <w:rPr>
          <w:rFonts w:ascii="Times New Roman" w:hAnsi="Times New Roman" w:cs="Times New Roman"/>
          <w:b/>
          <w:bCs/>
          <w:sz w:val="28"/>
          <w:szCs w:val="28"/>
        </w:rPr>
      </w:pPr>
      <w:r w:rsidRPr="00DC3F02">
        <w:rPr>
          <w:rFonts w:ascii="Times New Roman" w:hAnsi="Times New Roman" w:cs="Times New Roman"/>
          <w:b/>
          <w:bCs/>
          <w:sz w:val="28"/>
          <w:szCs w:val="28"/>
        </w:rPr>
        <w:t>Abstract</w:t>
      </w:r>
    </w:p>
    <w:p w14:paraId="6C6C257E" w14:textId="572281CE" w:rsidR="000315A5" w:rsidRDefault="00BF204E" w:rsidP="00A32C9F">
      <w:pPr>
        <w:jc w:val="both"/>
        <w:rPr>
          <w:rFonts w:ascii="Times New Roman" w:hAnsi="Times New Roman" w:cs="Times New Roman"/>
          <w:b/>
          <w:bCs/>
          <w:sz w:val="28"/>
          <w:szCs w:val="28"/>
        </w:rPr>
      </w:pPr>
      <w:r w:rsidRPr="00DC3F02">
        <w:rPr>
          <w:sz w:val="24"/>
          <w:szCs w:val="24"/>
        </w:rPr>
        <w:br/>
      </w:r>
      <w:r w:rsidR="000315A5" w:rsidRPr="000315A5">
        <w:rPr>
          <w:rFonts w:ascii="Times New Roman" w:hAnsi="Times New Roman" w:cs="Times New Roman"/>
          <w:sz w:val="24"/>
          <w:szCs w:val="24"/>
        </w:rPr>
        <w:t>This research delves into the intricate consumer behaviour surrounding mobile banking adoption and usage within the rural Nagpur region of India. It aims to identify the key factors that influence the acceptance, utilization patterns, perceived advantages, and challenges encountered by rural inhabitants. Employing a quantitative research approach, the study utilizes structured surveys to gather data from a representative sample of rural residents. The findings elucidate the primary drivers and obstacles to mobile banking adoption, underscoring the necessity for customized strategies to bolster financial inclusion and enhance digital literacy in rural settings. The study concludes by offering actionable recommendations for banks, policymakers, and stakeholders to refine mobile banking services and cater to the distinct requirements of rural consumers, thereby fostering greater financial empowerment and economic development</w:t>
      </w:r>
      <w:r w:rsidR="000315A5">
        <w:rPr>
          <w:rFonts w:ascii="Times New Roman" w:hAnsi="Times New Roman" w:cs="Times New Roman"/>
          <w:sz w:val="24"/>
          <w:szCs w:val="24"/>
        </w:rPr>
        <w:t>.</w:t>
      </w:r>
      <w:r w:rsidR="000315A5" w:rsidRPr="000315A5">
        <w:t xml:space="preserve"> </w:t>
      </w:r>
      <w:r w:rsidR="000315A5" w:rsidRPr="000315A5">
        <w:rPr>
          <w:rFonts w:ascii="Times New Roman" w:hAnsi="Times New Roman" w:cs="Times New Roman"/>
          <w:sz w:val="24"/>
          <w:szCs w:val="24"/>
        </w:rPr>
        <w:t>This research investigates the consumer behaviour surrounding mobile banking adoption in the rural Nagpur region, an area characterized by agrarian economies and dispersed populations, where mobile banking penetration remains relatively low. The study aims to identify the key factors influencing adoption, usage patterns, and perceived benefits and challenges. Employing a quantitative research design, data was collected through structured surveys from a representative sample of rural residents using stratified random sampling and face-to-face interviews. The analysis revealed that perceived usefulness, ease of use, and social influence significantly drive mobile banking adoption, while lack of trust, limited financial literacy, and poor internet connectivity act as substantial barriers. Notably, balance inquiries and fund transfers were the most frequently used services</w:t>
      </w:r>
    </w:p>
    <w:p w14:paraId="259F340B" w14:textId="67C631A0" w:rsidR="00A32C9F" w:rsidRDefault="00A32C9F" w:rsidP="00747223">
      <w:pPr>
        <w:jc w:val="center"/>
        <w:rPr>
          <w:rFonts w:ascii="Times New Roman" w:hAnsi="Times New Roman" w:cs="Times New Roman"/>
          <w:b/>
          <w:bCs/>
          <w:sz w:val="28"/>
          <w:szCs w:val="28"/>
        </w:rPr>
      </w:pPr>
      <w:r w:rsidRPr="00DC3F02">
        <w:rPr>
          <w:rFonts w:ascii="Times New Roman" w:hAnsi="Times New Roman" w:cs="Times New Roman"/>
          <w:b/>
          <w:bCs/>
          <w:sz w:val="28"/>
          <w:szCs w:val="28"/>
        </w:rPr>
        <w:t>Keywords</w:t>
      </w:r>
    </w:p>
    <w:p w14:paraId="5091212B" w14:textId="48D0A5A9" w:rsidR="004E0218" w:rsidRPr="004E0218" w:rsidRDefault="004E0218" w:rsidP="00A32C9F">
      <w:pPr>
        <w:jc w:val="both"/>
        <w:rPr>
          <w:rFonts w:ascii="Times New Roman" w:hAnsi="Times New Roman" w:cs="Times New Roman"/>
          <w:sz w:val="24"/>
          <w:szCs w:val="24"/>
        </w:rPr>
      </w:pPr>
      <w:r w:rsidRPr="004E0218">
        <w:rPr>
          <w:rFonts w:ascii="Times New Roman" w:hAnsi="Times New Roman" w:cs="Times New Roman"/>
          <w:sz w:val="24"/>
          <w:szCs w:val="24"/>
        </w:rPr>
        <w:t>Mobile Banking, Consumer Behaviour, Rural Banking, Financial Inclusion, Digital Literacy, Technology Acceptance Model (TAM), Rural Development, Nagpur Region, India.</w:t>
      </w:r>
    </w:p>
    <w:p w14:paraId="3FE310E6" w14:textId="77777777" w:rsidR="00070828" w:rsidRDefault="00070828" w:rsidP="002E4A35">
      <w:pPr>
        <w:jc w:val="center"/>
        <w:rPr>
          <w:rFonts w:ascii="Times New Roman" w:hAnsi="Times New Roman" w:cs="Times New Roman"/>
          <w:b/>
          <w:bCs/>
          <w:sz w:val="28"/>
          <w:szCs w:val="28"/>
          <w:lang w:val="en-US"/>
        </w:rPr>
      </w:pPr>
    </w:p>
    <w:p w14:paraId="40265618" w14:textId="416AAAB3" w:rsidR="00A32C9F" w:rsidRPr="00DC3F02" w:rsidRDefault="00A32C9F" w:rsidP="002E4A35">
      <w:pPr>
        <w:jc w:val="center"/>
        <w:rPr>
          <w:rFonts w:ascii="Times New Roman" w:hAnsi="Times New Roman" w:cs="Times New Roman"/>
          <w:b/>
          <w:bCs/>
          <w:sz w:val="28"/>
          <w:szCs w:val="28"/>
          <w:lang w:val="en-US"/>
        </w:rPr>
      </w:pPr>
      <w:r w:rsidRPr="00DC3F02">
        <w:rPr>
          <w:rFonts w:ascii="Times New Roman" w:hAnsi="Times New Roman" w:cs="Times New Roman"/>
          <w:b/>
          <w:bCs/>
          <w:sz w:val="28"/>
          <w:szCs w:val="28"/>
          <w:lang w:val="en-US"/>
        </w:rPr>
        <w:lastRenderedPageBreak/>
        <w:t>“</w:t>
      </w:r>
      <w:r w:rsidR="004E0218" w:rsidRPr="00AC6E97">
        <w:rPr>
          <w:rFonts w:ascii="Times New Roman" w:eastAsiaTheme="minorEastAsia" w:hAnsi="Times New Roman" w:cs="Times New Roman"/>
          <w:b/>
          <w:color w:val="000000" w:themeColor="text1"/>
          <w:sz w:val="24"/>
        </w:rPr>
        <w:t>A STUDY OF CONSUMER BEHAVIOR OF MOBILE BANKING IN NAGPUR RURAL REGION</w:t>
      </w:r>
      <w:r w:rsidRPr="00DC3F02">
        <w:rPr>
          <w:rFonts w:ascii="Times New Roman" w:hAnsi="Times New Roman" w:cs="Times New Roman"/>
          <w:b/>
          <w:bCs/>
          <w:sz w:val="28"/>
          <w:szCs w:val="28"/>
          <w:lang w:val="en-US"/>
        </w:rPr>
        <w:t>”</w:t>
      </w:r>
    </w:p>
    <w:p w14:paraId="092F0C28" w14:textId="77777777" w:rsidR="002E4A35" w:rsidRDefault="002E4A35" w:rsidP="002E4A35">
      <w:pPr>
        <w:jc w:val="center"/>
        <w:rPr>
          <w:rFonts w:ascii="Times New Roman" w:hAnsi="Times New Roman" w:cs="Times New Roman"/>
          <w:b/>
          <w:bCs/>
          <w:sz w:val="28"/>
          <w:szCs w:val="28"/>
        </w:rPr>
      </w:pPr>
    </w:p>
    <w:p w14:paraId="5C07C0EB" w14:textId="7F0BF7D1" w:rsidR="00853279" w:rsidRPr="00DC3F02" w:rsidRDefault="002B3E14" w:rsidP="002E4A35">
      <w:pPr>
        <w:jc w:val="center"/>
        <w:rPr>
          <w:rFonts w:ascii="Times New Roman" w:hAnsi="Times New Roman" w:cs="Times New Roman"/>
          <w:b/>
          <w:bCs/>
          <w:sz w:val="28"/>
          <w:szCs w:val="28"/>
        </w:rPr>
      </w:pPr>
      <w:r w:rsidRPr="00DC3F02">
        <w:rPr>
          <w:rFonts w:ascii="Times New Roman" w:hAnsi="Times New Roman" w:cs="Times New Roman"/>
          <w:b/>
          <w:bCs/>
          <w:sz w:val="28"/>
          <w:szCs w:val="28"/>
        </w:rPr>
        <w:t>Introduction</w:t>
      </w:r>
    </w:p>
    <w:p w14:paraId="2E0FA770" w14:textId="02F47DBD" w:rsidR="004E0218" w:rsidRPr="004E0218" w:rsidRDefault="004E0218" w:rsidP="004E0218">
      <w:pPr>
        <w:spacing w:line="360" w:lineRule="auto"/>
        <w:jc w:val="both"/>
        <w:rPr>
          <w:rFonts w:ascii="Times New Roman" w:hAnsi="Times New Roman" w:cs="Times New Roman"/>
          <w:sz w:val="24"/>
        </w:rPr>
      </w:pPr>
      <w:r w:rsidRPr="004E0218">
        <w:rPr>
          <w:rFonts w:ascii="Times New Roman" w:hAnsi="Times New Roman" w:cs="Times New Roman"/>
          <w:sz w:val="24"/>
        </w:rPr>
        <w:t>The advent of mobile banking has revolutionized financial service delivery, offering unprecedented convenience and accessibility. However, the diffusion of this technology remains uneven, with rural areas often lagging behind urban centres. In India, where a significant portion of the population resides in rural regions, the potential of mobile banking to drive financial inclusion and economic empowerment is immense. The rural Nagpur region, characterized by its agrarian economy and dispersed population, presents a unique context for investigating consumer behaviour towards mobile banking. This study aims to bridge the knowledge gap by exploring the factors influencing adoption, usage patterns, and perceived benefits and challenges among rural consumers in this region. By understanding these dynamics, the research seeks to provide valuable insights for developing targeted interventions that can accelerate mobile banking adoption and foster sustainable rural development.</w:t>
      </w:r>
    </w:p>
    <w:p w14:paraId="6DE7C6D1" w14:textId="6DF50686" w:rsidR="00A32C9F" w:rsidRPr="008E7FA4" w:rsidRDefault="004E0218" w:rsidP="008E7FA4">
      <w:pPr>
        <w:spacing w:line="360" w:lineRule="auto"/>
        <w:jc w:val="both"/>
        <w:rPr>
          <w:rFonts w:ascii="Times New Roman" w:hAnsi="Times New Roman" w:cs="Times New Roman"/>
          <w:sz w:val="24"/>
          <w:szCs w:val="24"/>
        </w:rPr>
      </w:pPr>
      <w:r w:rsidRPr="00C86118">
        <w:rPr>
          <w:rFonts w:ascii="Times New Roman" w:hAnsi="Times New Roman" w:cs="Times New Roman"/>
          <w:sz w:val="24"/>
          <w:szCs w:val="24"/>
        </w:rPr>
        <w:t>This is the opportune time for policymakers and other financial institutions such as banks to realize consumer behaviour on mobile banking in the rural Nagpur constituency with an aim of shaping the services in the context of the particular segment's needs and challenges. Socio-economic backgrounds, educational levels, levels of trust in technology, and how easy it is to use all have, to some critical extent, affected attitudes and behaviour among consumers toward mobile banking.</w:t>
      </w:r>
      <w:r w:rsidR="00151A29">
        <w:rPr>
          <w:rFonts w:ascii="Times New Roman" w:hAnsi="Times New Roman" w:cs="Times New Roman"/>
          <w:sz w:val="24"/>
          <w:szCs w:val="24"/>
        </w:rPr>
        <w:t xml:space="preserve"> </w:t>
      </w:r>
      <w:r w:rsidRPr="00C86118">
        <w:rPr>
          <w:rFonts w:ascii="Times New Roman" w:hAnsi="Times New Roman" w:cs="Times New Roman"/>
          <w:sz w:val="24"/>
          <w:szCs w:val="24"/>
        </w:rPr>
        <w:t>It would involve diverse determinants that influence the adoption of mobile banking among the masses in the rural region of Nagpur. This paper has understood the concept of drivers and barriers in the process of consumer behaviour. The existing research scrutinizes perception, usage pattern, and constraints and provides inputs on how to make betterment access and effectiveness of services in mobile banking by this area.</w:t>
      </w:r>
    </w:p>
    <w:p w14:paraId="2F8EABFC" w14:textId="0DD0CF02" w:rsidR="0009042E" w:rsidRPr="00DC3F02" w:rsidRDefault="00AA1F76" w:rsidP="00747223">
      <w:pPr>
        <w:jc w:val="center"/>
        <w:rPr>
          <w:rFonts w:ascii="Times New Roman" w:hAnsi="Times New Roman" w:cs="Times New Roman"/>
          <w:b/>
          <w:bCs/>
          <w:sz w:val="28"/>
          <w:szCs w:val="28"/>
        </w:rPr>
      </w:pPr>
      <w:r w:rsidRPr="00DC3F02">
        <w:rPr>
          <w:rFonts w:ascii="Times New Roman" w:hAnsi="Times New Roman" w:cs="Times New Roman"/>
          <w:b/>
          <w:bCs/>
          <w:sz w:val="28"/>
          <w:szCs w:val="28"/>
        </w:rPr>
        <w:t>Literature Review</w:t>
      </w:r>
    </w:p>
    <w:p w14:paraId="5CC1EBD4" w14:textId="3461EA7B" w:rsidR="004E0218" w:rsidRDefault="004E0218" w:rsidP="004E0218">
      <w:pPr>
        <w:pStyle w:val="ListParagraph"/>
        <w:numPr>
          <w:ilvl w:val="0"/>
          <w:numId w:val="8"/>
        </w:numPr>
        <w:spacing w:line="360" w:lineRule="auto"/>
        <w:jc w:val="both"/>
        <w:rPr>
          <w:rFonts w:ascii="Times New Roman" w:hAnsi="Times New Roman" w:cs="Times New Roman"/>
          <w:color w:val="000000"/>
          <w:spacing w:val="2"/>
          <w:sz w:val="24"/>
          <w:shd w:val="clear" w:color="auto" w:fill="FFFFFF"/>
        </w:rPr>
      </w:pPr>
      <w:r w:rsidRPr="004E0218">
        <w:rPr>
          <w:rFonts w:ascii="Times New Roman" w:hAnsi="Times New Roman" w:cs="Times New Roman"/>
          <w:color w:val="000000"/>
          <w:spacing w:val="2"/>
          <w:sz w:val="24"/>
          <w:shd w:val="clear" w:color="auto" w:fill="FFFFFF"/>
        </w:rPr>
        <w:t xml:space="preserve">In their report of </w:t>
      </w:r>
      <w:r w:rsidRPr="004E0218">
        <w:rPr>
          <w:rFonts w:ascii="Times New Roman" w:hAnsi="Times New Roman" w:cs="Times New Roman"/>
          <w:b/>
          <w:color w:val="000000"/>
          <w:spacing w:val="2"/>
          <w:sz w:val="24"/>
          <w:shd w:val="clear" w:color="auto" w:fill="FFFFFF"/>
        </w:rPr>
        <w:t xml:space="preserve">2018, Demirgüç-Kunt et al. </w:t>
      </w:r>
      <w:r w:rsidRPr="004E0218">
        <w:rPr>
          <w:rFonts w:ascii="Times New Roman" w:hAnsi="Times New Roman" w:cs="Times New Roman"/>
          <w:color w:val="000000"/>
          <w:spacing w:val="2"/>
          <w:sz w:val="24"/>
          <w:shd w:val="clear" w:color="auto" w:fill="FFFFFF"/>
        </w:rPr>
        <w:t xml:space="preserve">depicts that mobile banking has in fact been a significant contributor to financial inclusion as it has enabled them to allow people without physical branches of banks to join the mainstream economy. </w:t>
      </w:r>
    </w:p>
    <w:p w14:paraId="5EF576CB" w14:textId="0BF7E966" w:rsidR="004E0218" w:rsidRDefault="004E0218" w:rsidP="004E0218">
      <w:pPr>
        <w:pStyle w:val="ListParagraph"/>
        <w:numPr>
          <w:ilvl w:val="0"/>
          <w:numId w:val="8"/>
        </w:numPr>
        <w:spacing w:line="360" w:lineRule="auto"/>
        <w:jc w:val="both"/>
        <w:rPr>
          <w:rFonts w:ascii="Times New Roman" w:hAnsi="Times New Roman" w:cs="Times New Roman"/>
          <w:color w:val="000000"/>
          <w:spacing w:val="2"/>
          <w:sz w:val="24"/>
          <w:shd w:val="clear" w:color="auto" w:fill="FFFFFF"/>
        </w:rPr>
      </w:pPr>
      <w:r w:rsidRPr="004E0218">
        <w:rPr>
          <w:rFonts w:ascii="Times New Roman" w:hAnsi="Times New Roman" w:cs="Times New Roman"/>
          <w:b/>
          <w:color w:val="000000"/>
          <w:spacing w:val="2"/>
          <w:sz w:val="24"/>
          <w:shd w:val="clear" w:color="auto" w:fill="FFFFFF"/>
        </w:rPr>
        <w:t xml:space="preserve">Researches like Gupta and Arora (2017) </w:t>
      </w:r>
      <w:r w:rsidRPr="004E0218">
        <w:rPr>
          <w:rFonts w:ascii="Times New Roman" w:hAnsi="Times New Roman" w:cs="Times New Roman"/>
          <w:color w:val="000000"/>
          <w:spacing w:val="2"/>
          <w:sz w:val="24"/>
          <w:shd w:val="clear" w:color="auto" w:fill="FFFFFF"/>
        </w:rPr>
        <w:t xml:space="preserve">have also raised how it can create a revolution in rural India with decreases in dependence on cash-based transactions, </w:t>
      </w:r>
      <w:r w:rsidRPr="004E0218">
        <w:rPr>
          <w:rFonts w:ascii="Times New Roman" w:hAnsi="Times New Roman" w:cs="Times New Roman"/>
          <w:color w:val="000000"/>
          <w:spacing w:val="2"/>
          <w:sz w:val="24"/>
          <w:shd w:val="clear" w:color="auto" w:fill="FFFFFF"/>
        </w:rPr>
        <w:lastRenderedPageBreak/>
        <w:t xml:space="preserve">formalizing the economy in rural areas, and by an increase in access to safe financial services. </w:t>
      </w:r>
    </w:p>
    <w:p w14:paraId="6434389A" w14:textId="77777777" w:rsidR="004E0218" w:rsidRDefault="004E0218" w:rsidP="004E0218">
      <w:pPr>
        <w:pStyle w:val="ListParagraph"/>
        <w:numPr>
          <w:ilvl w:val="0"/>
          <w:numId w:val="8"/>
        </w:numPr>
        <w:spacing w:line="360" w:lineRule="auto"/>
        <w:jc w:val="both"/>
        <w:rPr>
          <w:rFonts w:ascii="Times New Roman" w:hAnsi="Times New Roman" w:cs="Times New Roman"/>
          <w:color w:val="000000"/>
          <w:spacing w:val="2"/>
          <w:sz w:val="24"/>
          <w:shd w:val="clear" w:color="auto" w:fill="FFFFFF"/>
        </w:rPr>
      </w:pPr>
      <w:r w:rsidRPr="004E0218">
        <w:rPr>
          <w:rFonts w:ascii="Times New Roman" w:hAnsi="Times New Roman" w:cs="Times New Roman"/>
          <w:b/>
          <w:color w:val="000000"/>
          <w:spacing w:val="2"/>
          <w:sz w:val="24"/>
          <w:shd w:val="clear" w:color="auto" w:fill="FFFFFF"/>
        </w:rPr>
        <w:t>Mas and Radcliffe, who cited in 2011</w:t>
      </w:r>
      <w:r w:rsidRPr="004E0218">
        <w:rPr>
          <w:rFonts w:ascii="Times New Roman" w:hAnsi="Times New Roman" w:cs="Times New Roman"/>
          <w:color w:val="000000"/>
          <w:spacing w:val="2"/>
          <w:sz w:val="24"/>
          <w:shd w:val="clear" w:color="auto" w:fill="FFFFFF"/>
        </w:rPr>
        <w:t>, present studies that although mobile banking is successful in extending other financial services in some regions, poor infrastructure, lack of awareness, and resistance to change limit it from penetrating large rural areas.</w:t>
      </w:r>
    </w:p>
    <w:p w14:paraId="112A31AD" w14:textId="77777777" w:rsidR="004E0218" w:rsidRDefault="004E0218" w:rsidP="004E0218">
      <w:pPr>
        <w:pStyle w:val="ListParagraph"/>
        <w:numPr>
          <w:ilvl w:val="0"/>
          <w:numId w:val="8"/>
        </w:numPr>
        <w:spacing w:line="360" w:lineRule="auto"/>
        <w:jc w:val="both"/>
        <w:rPr>
          <w:rFonts w:ascii="Times New Roman" w:hAnsi="Times New Roman" w:cs="Times New Roman"/>
          <w:color w:val="000000"/>
          <w:spacing w:val="2"/>
          <w:sz w:val="24"/>
          <w:shd w:val="clear" w:color="auto" w:fill="FFFFFF"/>
        </w:rPr>
      </w:pPr>
      <w:r w:rsidRPr="004E0218">
        <w:rPr>
          <w:rFonts w:ascii="Times New Roman" w:hAnsi="Times New Roman" w:cs="Times New Roman"/>
          <w:color w:val="000000"/>
          <w:spacing w:val="2"/>
          <w:sz w:val="24"/>
          <w:shd w:val="clear" w:color="auto" w:fill="FFFFFF"/>
        </w:rPr>
        <w:t xml:space="preserve">The most widely used frameworks for studying the adoption of new technologies is </w:t>
      </w:r>
      <w:r w:rsidRPr="004E0218">
        <w:rPr>
          <w:rFonts w:ascii="Times New Roman" w:hAnsi="Times New Roman" w:cs="Times New Roman"/>
          <w:b/>
          <w:color w:val="000000"/>
          <w:spacing w:val="2"/>
          <w:sz w:val="24"/>
          <w:shd w:val="clear" w:color="auto" w:fill="FFFFFF"/>
        </w:rPr>
        <w:t xml:space="preserve">Technology Acceptance Model that was developed by Davis in 1989. </w:t>
      </w:r>
      <w:r w:rsidRPr="004E0218">
        <w:rPr>
          <w:rFonts w:ascii="Times New Roman" w:hAnsi="Times New Roman" w:cs="Times New Roman"/>
          <w:color w:val="000000"/>
          <w:spacing w:val="2"/>
          <w:sz w:val="24"/>
          <w:shd w:val="clear" w:color="auto" w:fill="FFFFFF"/>
        </w:rPr>
        <w:t>TAM further postulated that perceived usefulness and perceived ease of use are the two principal determinants that impact technology adoption. For mobile banking, perceived usefulness concerns the degree to which users feel mobile banking will benefit their financial needs, and perceived ease of use is the degree to which services offered by mobile banking are easy to understand and use.</w:t>
      </w:r>
    </w:p>
    <w:p w14:paraId="1756BFB7" w14:textId="2A72E7B9" w:rsidR="0009042E" w:rsidRDefault="004E0218" w:rsidP="004E0218">
      <w:pPr>
        <w:pStyle w:val="ListParagraph"/>
        <w:numPr>
          <w:ilvl w:val="0"/>
          <w:numId w:val="8"/>
        </w:numPr>
        <w:spacing w:line="360" w:lineRule="auto"/>
        <w:jc w:val="both"/>
        <w:rPr>
          <w:rFonts w:ascii="Times New Roman" w:hAnsi="Times New Roman" w:cs="Times New Roman"/>
          <w:color w:val="000000"/>
          <w:spacing w:val="2"/>
          <w:sz w:val="24"/>
          <w:shd w:val="clear" w:color="auto" w:fill="FFFFFF"/>
        </w:rPr>
      </w:pPr>
      <w:r w:rsidRPr="004E0218">
        <w:rPr>
          <w:rFonts w:ascii="Times New Roman" w:hAnsi="Times New Roman" w:cs="Times New Roman"/>
          <w:b/>
          <w:color w:val="000000"/>
          <w:spacing w:val="2"/>
          <w:sz w:val="24"/>
          <w:shd w:val="clear" w:color="auto" w:fill="FFFFFF"/>
        </w:rPr>
        <w:t xml:space="preserve">Amin, et al. (2008) applied the TAM model </w:t>
      </w:r>
      <w:r w:rsidRPr="004E0218">
        <w:rPr>
          <w:rFonts w:ascii="Times New Roman" w:hAnsi="Times New Roman" w:cs="Times New Roman"/>
          <w:color w:val="000000"/>
          <w:spacing w:val="2"/>
          <w:sz w:val="24"/>
          <w:shd w:val="clear" w:color="auto" w:fill="FFFFFF"/>
        </w:rPr>
        <w:t xml:space="preserve">for an investigation into the adoption of mobile banking in Malaysia. The findings indicated that both usefulness and ease of use are good predictors of the adoption of mobile banking. </w:t>
      </w:r>
    </w:p>
    <w:p w14:paraId="7A3CE8C5" w14:textId="19160AB4" w:rsidR="004E0218" w:rsidRPr="00A1637C" w:rsidRDefault="004E0218" w:rsidP="00A1637C">
      <w:pPr>
        <w:pStyle w:val="ListParagraph"/>
        <w:numPr>
          <w:ilvl w:val="0"/>
          <w:numId w:val="8"/>
        </w:numPr>
        <w:spacing w:line="360" w:lineRule="auto"/>
        <w:jc w:val="both"/>
        <w:rPr>
          <w:rFonts w:ascii="Times New Roman" w:hAnsi="Times New Roman" w:cs="Times New Roman"/>
          <w:color w:val="000000"/>
          <w:spacing w:val="2"/>
          <w:sz w:val="24"/>
          <w:shd w:val="clear" w:color="auto" w:fill="FFFFFF"/>
        </w:rPr>
      </w:pPr>
      <w:r w:rsidRPr="004E0218">
        <w:rPr>
          <w:rFonts w:ascii="Times New Roman" w:hAnsi="Times New Roman" w:cs="Times New Roman"/>
          <w:color w:val="000000"/>
          <w:spacing w:val="2"/>
          <w:sz w:val="24"/>
          <w:shd w:val="clear" w:color="auto" w:fill="FFFFFF"/>
        </w:rPr>
        <w:t xml:space="preserve">Other country-specific studies, such as </w:t>
      </w:r>
      <w:r w:rsidRPr="004E0218">
        <w:rPr>
          <w:rFonts w:ascii="Times New Roman" w:hAnsi="Times New Roman" w:cs="Times New Roman"/>
          <w:b/>
          <w:color w:val="000000"/>
          <w:spacing w:val="2"/>
          <w:sz w:val="24"/>
          <w:shd w:val="clear" w:color="auto" w:fill="FFFFFF"/>
        </w:rPr>
        <w:t xml:space="preserve">the Koenig-Lewis et al. study in Germany from 2010, </w:t>
      </w:r>
      <w:r w:rsidRPr="004E0218">
        <w:rPr>
          <w:rFonts w:ascii="Times New Roman" w:hAnsi="Times New Roman" w:cs="Times New Roman"/>
          <w:color w:val="000000"/>
          <w:spacing w:val="2"/>
          <w:sz w:val="24"/>
          <w:shd w:val="clear" w:color="auto" w:fill="FFFFFF"/>
        </w:rPr>
        <w:t>show that ease of use and trust are the important determinants for consumer attitudes in regards to mobile banking.</w:t>
      </w:r>
    </w:p>
    <w:p w14:paraId="3B80596A" w14:textId="77777777" w:rsidR="00FD1BFF" w:rsidRDefault="004E0218" w:rsidP="00A1637C">
      <w:pPr>
        <w:pStyle w:val="ListParagraph"/>
        <w:numPr>
          <w:ilvl w:val="0"/>
          <w:numId w:val="8"/>
        </w:numPr>
        <w:spacing w:line="360" w:lineRule="auto"/>
        <w:jc w:val="both"/>
        <w:rPr>
          <w:rFonts w:ascii="Times New Roman" w:hAnsi="Times New Roman" w:cs="Times New Roman"/>
          <w:color w:val="000000"/>
          <w:spacing w:val="2"/>
          <w:sz w:val="24"/>
          <w:shd w:val="clear" w:color="auto" w:fill="FFFFFF"/>
        </w:rPr>
      </w:pPr>
      <w:r w:rsidRPr="004E0218">
        <w:rPr>
          <w:rFonts w:ascii="Times New Roman" w:hAnsi="Times New Roman" w:cs="Times New Roman"/>
          <w:b/>
          <w:color w:val="000000"/>
          <w:spacing w:val="2"/>
          <w:sz w:val="24"/>
          <w:shd w:val="clear" w:color="auto" w:fill="FFFFFF"/>
        </w:rPr>
        <w:t xml:space="preserve">UTAUT, or Unified Theory of Acceptance and Use Technology, is a developed extension of TAM, introduced by Venkatesh et al. in 2003. </w:t>
      </w:r>
      <w:r w:rsidRPr="004E0218">
        <w:rPr>
          <w:rFonts w:ascii="Times New Roman" w:hAnsi="Times New Roman" w:cs="Times New Roman"/>
          <w:color w:val="000000"/>
          <w:spacing w:val="2"/>
          <w:sz w:val="24"/>
          <w:shd w:val="clear" w:color="auto" w:fill="FFFFFF"/>
        </w:rPr>
        <w:t>Factors, aside from the ones already</w:t>
      </w:r>
      <w:r w:rsidRPr="004E0218">
        <w:rPr>
          <w:rFonts w:ascii="Times New Roman" w:hAnsi="Times New Roman" w:cs="Times New Roman"/>
          <w:b/>
          <w:color w:val="000000"/>
          <w:spacing w:val="2"/>
          <w:sz w:val="24"/>
          <w:shd w:val="clear" w:color="auto" w:fill="FFFFFF"/>
        </w:rPr>
        <w:t xml:space="preserve"> considered, </w:t>
      </w:r>
      <w:r w:rsidRPr="004E0218">
        <w:rPr>
          <w:rFonts w:ascii="Times New Roman" w:hAnsi="Times New Roman" w:cs="Times New Roman"/>
          <w:color w:val="000000"/>
          <w:spacing w:val="2"/>
          <w:sz w:val="24"/>
          <w:shd w:val="clear" w:color="auto" w:fill="FFFFFF"/>
        </w:rPr>
        <w:t>include social influence, faci</w:t>
      </w:r>
      <w:r w:rsidR="00FD1BFF">
        <w:rPr>
          <w:rFonts w:ascii="Times New Roman" w:hAnsi="Times New Roman" w:cs="Times New Roman"/>
          <w:color w:val="000000"/>
          <w:spacing w:val="2"/>
          <w:sz w:val="24"/>
          <w:shd w:val="clear" w:color="auto" w:fill="FFFFFF"/>
        </w:rPr>
        <w:t>litating conditions, and effort</w:t>
      </w:r>
    </w:p>
    <w:p w14:paraId="31B767E8" w14:textId="65544C03" w:rsidR="00FC6831" w:rsidRPr="008E7FA4" w:rsidRDefault="00FD1BFF" w:rsidP="008E7FA4">
      <w:pPr>
        <w:pStyle w:val="ListParagraph"/>
        <w:spacing w:line="360" w:lineRule="auto"/>
        <w:jc w:val="both"/>
        <w:rPr>
          <w:rFonts w:ascii="Times New Roman" w:hAnsi="Times New Roman" w:cs="Times New Roman"/>
          <w:color w:val="000000"/>
          <w:spacing w:val="2"/>
          <w:sz w:val="24"/>
          <w:shd w:val="clear" w:color="auto" w:fill="FFFFFF"/>
        </w:rPr>
      </w:pPr>
      <w:r>
        <w:rPr>
          <w:rFonts w:ascii="Times New Roman" w:hAnsi="Times New Roman" w:cs="Times New Roman"/>
          <w:b/>
          <w:color w:val="000000"/>
          <w:spacing w:val="2"/>
          <w:sz w:val="24"/>
          <w:shd w:val="clear" w:color="auto" w:fill="FFFFFF"/>
        </w:rPr>
        <w:t xml:space="preserve"> </w:t>
      </w:r>
      <w:r w:rsidR="004E0218" w:rsidRPr="004E0218">
        <w:rPr>
          <w:rFonts w:ascii="Times New Roman" w:hAnsi="Times New Roman" w:cs="Times New Roman"/>
          <w:color w:val="000000"/>
          <w:spacing w:val="2"/>
          <w:sz w:val="24"/>
          <w:shd w:val="clear" w:color="auto" w:fill="FFFFFF"/>
        </w:rPr>
        <w:t xml:space="preserve">expectancy. Venkatesh et al. (2013) applied the UTAUT model to the adoption of mobile banking by rural Indian customers and found that, besides facilitating conditions- infrastructure as well as support when needed, social influence (friends and family recommendations) played a critical </w:t>
      </w:r>
      <w:r w:rsidR="00151A29">
        <w:rPr>
          <w:rFonts w:ascii="Times New Roman" w:hAnsi="Times New Roman" w:cs="Times New Roman"/>
          <w:color w:val="000000"/>
          <w:spacing w:val="2"/>
          <w:sz w:val="24"/>
          <w:shd w:val="clear" w:color="auto" w:fill="FFFFFF"/>
        </w:rPr>
        <w:t>role in adopting mobile banking</w:t>
      </w:r>
      <w:r w:rsidR="004E0218" w:rsidRPr="004E0218">
        <w:rPr>
          <w:rFonts w:ascii="Times New Roman" w:hAnsi="Times New Roman" w:cs="Times New Roman"/>
          <w:color w:val="000000"/>
          <w:spacing w:val="2"/>
          <w:sz w:val="24"/>
          <w:shd w:val="clear" w:color="auto" w:fill="FFFFFF"/>
        </w:rPr>
        <w:t>.</w:t>
      </w:r>
    </w:p>
    <w:p w14:paraId="1F703A97" w14:textId="7D2E68A9" w:rsidR="00151A29" w:rsidRDefault="00603923" w:rsidP="00151A29">
      <w:pPr>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Research Methodology</w:t>
      </w:r>
    </w:p>
    <w:p w14:paraId="7872141A" w14:textId="3C82E380" w:rsidR="00603923" w:rsidRDefault="00603923" w:rsidP="00603923">
      <w:pPr>
        <w:rPr>
          <w:rFonts w:ascii="Times New Roman" w:hAnsi="Times New Roman" w:cs="Times New Roman"/>
          <w:b/>
          <w:bCs/>
          <w:sz w:val="24"/>
          <w:szCs w:val="28"/>
          <w:lang w:val="en-US"/>
        </w:rPr>
      </w:pPr>
      <w:r w:rsidRPr="00603923">
        <w:rPr>
          <w:rFonts w:ascii="Times New Roman" w:hAnsi="Times New Roman" w:cs="Times New Roman"/>
          <w:b/>
          <w:bCs/>
          <w:sz w:val="24"/>
          <w:szCs w:val="28"/>
          <w:lang w:val="en-US"/>
        </w:rPr>
        <w:t>Objectives</w:t>
      </w:r>
      <w:r>
        <w:rPr>
          <w:rFonts w:ascii="Times New Roman" w:hAnsi="Times New Roman" w:cs="Times New Roman"/>
          <w:b/>
          <w:bCs/>
          <w:sz w:val="24"/>
          <w:szCs w:val="28"/>
          <w:lang w:val="en-US"/>
        </w:rPr>
        <w:t>:-</w:t>
      </w:r>
    </w:p>
    <w:p w14:paraId="773ED31F" w14:textId="77777777" w:rsidR="004F7F86" w:rsidRDefault="004F7F86" w:rsidP="004F7F86">
      <w:pPr>
        <w:pStyle w:val="ListParagraph"/>
        <w:numPr>
          <w:ilvl w:val="0"/>
          <w:numId w:val="21"/>
        </w:numPr>
        <w:rPr>
          <w:rFonts w:ascii="Times New Roman" w:hAnsi="Times New Roman" w:cs="Times New Roman"/>
          <w:bCs/>
          <w:sz w:val="24"/>
          <w:szCs w:val="28"/>
          <w:lang w:val="en-US"/>
        </w:rPr>
      </w:pPr>
      <w:r w:rsidRPr="004F7F86">
        <w:rPr>
          <w:rFonts w:ascii="Times New Roman" w:hAnsi="Times New Roman" w:cs="Times New Roman"/>
          <w:bCs/>
          <w:sz w:val="24"/>
          <w:szCs w:val="28"/>
          <w:lang w:val="en-US"/>
        </w:rPr>
        <w:t>To identify the perceived benefits and challenges associated with mobile banking.</w:t>
      </w:r>
    </w:p>
    <w:p w14:paraId="130B02EE" w14:textId="77777777" w:rsidR="004F7F86" w:rsidRDefault="004F7F86" w:rsidP="004F7F86">
      <w:pPr>
        <w:pStyle w:val="ListParagraph"/>
        <w:numPr>
          <w:ilvl w:val="0"/>
          <w:numId w:val="21"/>
        </w:numPr>
        <w:rPr>
          <w:rFonts w:ascii="Times New Roman" w:hAnsi="Times New Roman" w:cs="Times New Roman"/>
          <w:bCs/>
          <w:sz w:val="24"/>
          <w:szCs w:val="28"/>
          <w:lang w:val="en-US"/>
        </w:rPr>
      </w:pPr>
      <w:r w:rsidRPr="004F7F86">
        <w:rPr>
          <w:rFonts w:ascii="Times New Roman" w:hAnsi="Times New Roman" w:cs="Times New Roman"/>
          <w:bCs/>
          <w:sz w:val="24"/>
          <w:szCs w:val="28"/>
          <w:lang w:val="en-US"/>
        </w:rPr>
        <w:t xml:space="preserve"> To evaluate the impact of socio-economic factors on mobile banking adoption.</w:t>
      </w:r>
    </w:p>
    <w:p w14:paraId="6041195D" w14:textId="77777777" w:rsidR="004F7F86" w:rsidRDefault="004F7F86" w:rsidP="004F7F86">
      <w:pPr>
        <w:pStyle w:val="ListParagraph"/>
        <w:numPr>
          <w:ilvl w:val="0"/>
          <w:numId w:val="21"/>
        </w:numPr>
        <w:rPr>
          <w:rFonts w:ascii="Times New Roman" w:hAnsi="Times New Roman" w:cs="Times New Roman"/>
          <w:bCs/>
          <w:sz w:val="24"/>
          <w:szCs w:val="28"/>
          <w:lang w:val="en-US"/>
        </w:rPr>
      </w:pPr>
      <w:r w:rsidRPr="004F7F86">
        <w:rPr>
          <w:rFonts w:ascii="Times New Roman" w:hAnsi="Times New Roman" w:cs="Times New Roman"/>
          <w:bCs/>
          <w:sz w:val="24"/>
          <w:szCs w:val="28"/>
          <w:lang w:val="en-US"/>
        </w:rPr>
        <w:t>To provide recommendations for improving mobile banking adoption and usage in the region.</w:t>
      </w:r>
    </w:p>
    <w:p w14:paraId="6D9AF16A" w14:textId="3C76ED50" w:rsidR="00603923" w:rsidRPr="004F7F86" w:rsidRDefault="004F7F86" w:rsidP="004F7F86">
      <w:pPr>
        <w:pStyle w:val="ListParagraph"/>
        <w:numPr>
          <w:ilvl w:val="0"/>
          <w:numId w:val="21"/>
        </w:numPr>
        <w:rPr>
          <w:rFonts w:ascii="Times New Roman" w:hAnsi="Times New Roman" w:cs="Times New Roman"/>
          <w:bCs/>
          <w:sz w:val="24"/>
          <w:szCs w:val="28"/>
          <w:lang w:val="en-US"/>
        </w:rPr>
      </w:pPr>
      <w:r w:rsidRPr="004F7F86">
        <w:rPr>
          <w:rFonts w:ascii="Times New Roman" w:hAnsi="Times New Roman" w:cs="Times New Roman"/>
          <w:bCs/>
          <w:sz w:val="24"/>
          <w:szCs w:val="28"/>
          <w:lang w:val="en-US"/>
        </w:rPr>
        <w:t>To understand the effects of lower education levels on mobile banking adoption.</w:t>
      </w:r>
    </w:p>
    <w:p w14:paraId="4655949A" w14:textId="77777777" w:rsidR="00603923" w:rsidRPr="00603923" w:rsidRDefault="00603923" w:rsidP="00603923">
      <w:pPr>
        <w:rPr>
          <w:rFonts w:ascii="Times New Roman" w:hAnsi="Times New Roman" w:cs="Times New Roman"/>
          <w:b/>
          <w:bCs/>
          <w:sz w:val="24"/>
          <w:szCs w:val="28"/>
          <w:lang w:val="en-US"/>
        </w:rPr>
      </w:pPr>
      <w:r w:rsidRPr="00603923">
        <w:rPr>
          <w:rFonts w:ascii="Times New Roman" w:hAnsi="Times New Roman" w:cs="Times New Roman"/>
          <w:b/>
          <w:bCs/>
          <w:sz w:val="24"/>
          <w:szCs w:val="28"/>
          <w:lang w:val="en-US"/>
        </w:rPr>
        <w:t>Research Design</w:t>
      </w:r>
    </w:p>
    <w:p w14:paraId="5C32B78D" w14:textId="77777777" w:rsidR="00603923" w:rsidRPr="00603923" w:rsidRDefault="00603923" w:rsidP="00603923">
      <w:pPr>
        <w:rPr>
          <w:rFonts w:ascii="Times New Roman" w:hAnsi="Times New Roman" w:cs="Times New Roman"/>
          <w:bCs/>
          <w:sz w:val="24"/>
          <w:szCs w:val="28"/>
          <w:lang w:val="en-US"/>
        </w:rPr>
      </w:pPr>
      <w:r w:rsidRPr="00603923">
        <w:rPr>
          <w:rFonts w:ascii="Times New Roman" w:hAnsi="Times New Roman" w:cs="Times New Roman"/>
          <w:bCs/>
          <w:sz w:val="24"/>
          <w:szCs w:val="28"/>
          <w:lang w:val="en-US"/>
        </w:rPr>
        <w:lastRenderedPageBreak/>
        <w:t>Cross-sectional survey design was employed to collect data from a representative sample of the rural population.</w:t>
      </w:r>
    </w:p>
    <w:p w14:paraId="20B893BC" w14:textId="77777777" w:rsidR="00603923" w:rsidRPr="00603923" w:rsidRDefault="00603923" w:rsidP="00603923">
      <w:pPr>
        <w:rPr>
          <w:rFonts w:ascii="Times New Roman" w:hAnsi="Times New Roman" w:cs="Times New Roman"/>
          <w:b/>
          <w:bCs/>
          <w:sz w:val="24"/>
          <w:szCs w:val="28"/>
          <w:lang w:val="en-US"/>
        </w:rPr>
      </w:pPr>
      <w:r w:rsidRPr="00603923">
        <w:rPr>
          <w:rFonts w:ascii="Times New Roman" w:hAnsi="Times New Roman" w:cs="Times New Roman"/>
          <w:b/>
          <w:bCs/>
          <w:sz w:val="24"/>
          <w:szCs w:val="28"/>
          <w:lang w:val="en-US"/>
        </w:rPr>
        <w:t>Sample and Sampling Technique</w:t>
      </w:r>
    </w:p>
    <w:p w14:paraId="64086245" w14:textId="77777777" w:rsidR="00603923" w:rsidRPr="00603923" w:rsidRDefault="00603923" w:rsidP="00603923">
      <w:pPr>
        <w:rPr>
          <w:rFonts w:ascii="Times New Roman" w:hAnsi="Times New Roman" w:cs="Times New Roman"/>
          <w:bCs/>
          <w:sz w:val="24"/>
          <w:szCs w:val="28"/>
          <w:lang w:val="en-US"/>
        </w:rPr>
      </w:pPr>
      <w:r w:rsidRPr="00603923">
        <w:rPr>
          <w:rFonts w:ascii="Times New Roman" w:hAnsi="Times New Roman" w:cs="Times New Roman"/>
          <w:bCs/>
          <w:sz w:val="24"/>
          <w:szCs w:val="28"/>
          <w:lang w:val="en-US"/>
        </w:rPr>
        <w:t>Stratified random sampling technique was employed to ensure representation from different villages and socio-economic groups of Nagpur area. Sample size was determined using statistical power analysis to ensure adequate statistical power.</w:t>
      </w:r>
    </w:p>
    <w:p w14:paraId="30AEDC24" w14:textId="3B8EF4C3" w:rsidR="00603923" w:rsidRDefault="005309F9" w:rsidP="00603923">
      <w:pPr>
        <w:rPr>
          <w:rFonts w:ascii="Times New Roman" w:hAnsi="Times New Roman" w:cs="Times New Roman"/>
          <w:b/>
          <w:bCs/>
          <w:color w:val="FF0000"/>
          <w:sz w:val="24"/>
          <w:szCs w:val="28"/>
          <w:lang w:val="en-US"/>
        </w:rPr>
      </w:pPr>
      <w:r>
        <w:rPr>
          <w:rFonts w:ascii="Times New Roman" w:hAnsi="Times New Roman" w:cs="Times New Roman"/>
          <w:b/>
          <w:bCs/>
          <w:sz w:val="24"/>
          <w:szCs w:val="28"/>
          <w:lang w:val="en-US"/>
        </w:rPr>
        <w:t xml:space="preserve">Data Collection Methodology </w:t>
      </w:r>
    </w:p>
    <w:p w14:paraId="7650BF5F" w14:textId="19834BC7" w:rsidR="0050030A" w:rsidRPr="0050030A" w:rsidRDefault="0050030A" w:rsidP="00603923">
      <w:pPr>
        <w:rPr>
          <w:rFonts w:ascii="Times New Roman" w:hAnsi="Times New Roman" w:cs="Times New Roman"/>
          <w:bCs/>
          <w:sz w:val="24"/>
          <w:szCs w:val="28"/>
          <w:lang w:val="en-US"/>
        </w:rPr>
      </w:pPr>
      <w:r w:rsidRPr="0050030A">
        <w:rPr>
          <w:rFonts w:ascii="Times New Roman" w:hAnsi="Times New Roman" w:cs="Times New Roman"/>
          <w:bCs/>
          <w:sz w:val="24"/>
          <w:szCs w:val="28"/>
          <w:lang w:val="en-US"/>
        </w:rPr>
        <w:t>This study employed a quantitative study design in investigating the determinants of the adoption and usage of mobile banking. A cross-sectional survey was employed, employing a structured questionnaire to collect data from 110 respondents selected at random. Convenience sampling was employed as the method of sampling employed to enable data collection under the given limitations. The questionnaire was designed to get the data concerning the respondents' comfort level using smartphones, mobile banking usage level, demographic characteristics (age, sex, education, and profession), perceived benefits, and limitations of mobile banking. Data collection was carried out by means of personal interviews to ensure ease and minimal chance of response error, considering the mixed nature of education prevailing among the populace. The questionnaire had ordinal and categorical scales to gather frequency of use and comfort levels along with demographic variables. Descriptive statistics, such as percentages and frequency distributions, were used to describe the usage behavior of mobile banking, the comfort level associated with smartphones, and the demographic profile. Cross-tabulations were utilized to identify interdependency between the demographic variables and mobile banking usage. The findings were also graphically depicted in the form of pie charts for easy interpretation and presentation of the findings. The limitations of the study such as the small, though relatively smaller, sample size and convenience sampling-related biases are acknowledged. Future research can be improved by employing more stringent sampling procedures and utilizing qualitative methods for enhanced understanding of the lived experiences and attitudes of mobile banking customers.</w:t>
      </w:r>
    </w:p>
    <w:p w14:paraId="3A865748" w14:textId="77777777" w:rsidR="004F7F86" w:rsidRDefault="0087522B" w:rsidP="004F7F86">
      <w:pPr>
        <w:rPr>
          <w:rFonts w:ascii="Times New Roman" w:hAnsi="Times New Roman" w:cs="Times New Roman"/>
          <w:b/>
          <w:bCs/>
          <w:sz w:val="28"/>
          <w:szCs w:val="28"/>
          <w:lang w:val="en-US"/>
        </w:rPr>
      </w:pPr>
      <w:r>
        <w:rPr>
          <w:rFonts w:ascii="Times New Roman" w:hAnsi="Times New Roman" w:cs="Times New Roman"/>
          <w:b/>
          <w:sz w:val="28"/>
          <w:szCs w:val="24"/>
          <w:lang w:val="en-US"/>
        </w:rPr>
        <w:t xml:space="preserve">Data </w:t>
      </w:r>
      <w:r w:rsidR="00E70084" w:rsidRPr="00E70084">
        <w:rPr>
          <w:rFonts w:ascii="Times New Roman" w:hAnsi="Times New Roman" w:cs="Times New Roman"/>
          <w:b/>
          <w:sz w:val="28"/>
          <w:szCs w:val="24"/>
          <w:lang w:val="en-US"/>
        </w:rPr>
        <w:t>Analysis and Interpretation:</w:t>
      </w:r>
    </w:p>
    <w:p w14:paraId="3E3ECB74" w14:textId="672821D5" w:rsidR="00424BCE" w:rsidRDefault="00424BCE" w:rsidP="00424BCE">
      <w:pPr>
        <w:spacing w:line="360" w:lineRule="auto"/>
        <w:rPr>
          <w:rFonts w:ascii="Times New Roman" w:hAnsi="Times New Roman" w:cs="Times New Roman"/>
          <w:bCs/>
          <w:sz w:val="24"/>
          <w:szCs w:val="28"/>
        </w:rPr>
      </w:pPr>
      <w:r w:rsidRPr="00424BCE">
        <w:rPr>
          <w:rFonts w:ascii="Times New Roman" w:hAnsi="Times New Roman" w:cs="Times New Roman"/>
          <w:bCs/>
          <w:sz w:val="24"/>
          <w:szCs w:val="28"/>
        </w:rPr>
        <w:t>The pi</w:t>
      </w:r>
      <w:r>
        <w:rPr>
          <w:rFonts w:ascii="Times New Roman" w:hAnsi="Times New Roman" w:cs="Times New Roman"/>
          <w:bCs/>
          <w:sz w:val="24"/>
          <w:szCs w:val="28"/>
        </w:rPr>
        <w:t xml:space="preserve">e chart represents the </w:t>
      </w:r>
      <w:r w:rsidR="00E70084">
        <w:rPr>
          <w:rFonts w:ascii="Times New Roman" w:hAnsi="Times New Roman" w:cs="Times New Roman"/>
          <w:bCs/>
          <w:sz w:val="24"/>
          <w:szCs w:val="28"/>
        </w:rPr>
        <w:t xml:space="preserve">Education Level </w:t>
      </w:r>
      <w:r w:rsidRPr="00424BCE">
        <w:rPr>
          <w:rFonts w:ascii="Times New Roman" w:hAnsi="Times New Roman" w:cs="Times New Roman"/>
          <w:bCs/>
          <w:sz w:val="24"/>
          <w:szCs w:val="28"/>
        </w:rPr>
        <w:t>distribution of 110 respondents. The key observations are:</w:t>
      </w:r>
    </w:p>
    <w:p w14:paraId="2CCDCFAE" w14:textId="6DB0BEA8" w:rsidR="00EF46DF" w:rsidRDefault="00EF46DF" w:rsidP="00424BCE">
      <w:pPr>
        <w:spacing w:line="360" w:lineRule="auto"/>
        <w:rPr>
          <w:rFonts w:ascii="Times New Roman" w:hAnsi="Times New Roman" w:cs="Times New Roman"/>
          <w:bCs/>
          <w:sz w:val="24"/>
          <w:szCs w:val="28"/>
        </w:rPr>
      </w:pPr>
      <w:r>
        <w:rPr>
          <w:noProof/>
          <w:lang w:val="en-US" w:bidi="hi-IN"/>
        </w:rPr>
        <w:drawing>
          <wp:inline distT="0" distB="0" distL="0" distR="0" wp14:anchorId="308F2765" wp14:editId="1B474F69">
            <wp:extent cx="5810250" cy="2274805"/>
            <wp:effectExtent l="0" t="0" r="0" b="1143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A46036E" w14:textId="5A934554" w:rsidR="00F0334E" w:rsidRDefault="00F0334E" w:rsidP="00424BCE">
      <w:pPr>
        <w:spacing w:line="360" w:lineRule="auto"/>
        <w:rPr>
          <w:rFonts w:ascii="Times New Roman" w:hAnsi="Times New Roman" w:cs="Times New Roman"/>
          <w:bCs/>
          <w:sz w:val="24"/>
          <w:szCs w:val="28"/>
        </w:rPr>
      </w:pPr>
    </w:p>
    <w:p w14:paraId="720BF97B" w14:textId="5EE6DA07" w:rsidR="00E70084" w:rsidRDefault="00166FA8" w:rsidP="00424BCE">
      <w:pPr>
        <w:pStyle w:val="ListParagraph"/>
        <w:numPr>
          <w:ilvl w:val="0"/>
          <w:numId w:val="15"/>
        </w:numPr>
        <w:spacing w:line="360" w:lineRule="auto"/>
        <w:rPr>
          <w:rFonts w:ascii="Times New Roman" w:hAnsi="Times New Roman" w:cs="Times New Roman"/>
          <w:bCs/>
          <w:sz w:val="24"/>
          <w:szCs w:val="28"/>
        </w:rPr>
      </w:pPr>
      <w:r>
        <w:rPr>
          <w:rFonts w:ascii="Times New Roman" w:hAnsi="Times New Roman" w:cs="Times New Roman"/>
          <w:bCs/>
          <w:sz w:val="24"/>
          <w:szCs w:val="28"/>
        </w:rPr>
        <w:t>Secondary School (26</w:t>
      </w:r>
      <w:r w:rsidR="00424BCE" w:rsidRPr="00E70084">
        <w:rPr>
          <w:rFonts w:ascii="Times New Roman" w:hAnsi="Times New Roman" w:cs="Times New Roman"/>
          <w:bCs/>
          <w:sz w:val="24"/>
          <w:szCs w:val="28"/>
        </w:rPr>
        <w:t>%) is the most common education level</w:t>
      </w:r>
      <w:r>
        <w:rPr>
          <w:rFonts w:ascii="Times New Roman" w:hAnsi="Times New Roman" w:cs="Times New Roman"/>
          <w:bCs/>
          <w:sz w:val="24"/>
          <w:szCs w:val="28"/>
        </w:rPr>
        <w:t>, followed by Postgraduate (24%) and Graduate (22</w:t>
      </w:r>
      <w:r w:rsidR="00424BCE" w:rsidRPr="00E70084">
        <w:rPr>
          <w:rFonts w:ascii="Times New Roman" w:hAnsi="Times New Roman" w:cs="Times New Roman"/>
          <w:bCs/>
          <w:sz w:val="24"/>
          <w:szCs w:val="28"/>
        </w:rPr>
        <w:t>%).</w:t>
      </w:r>
    </w:p>
    <w:p w14:paraId="28BC287D" w14:textId="09817709" w:rsidR="00E70084" w:rsidRDefault="00166FA8" w:rsidP="00424BCE">
      <w:pPr>
        <w:pStyle w:val="ListParagraph"/>
        <w:numPr>
          <w:ilvl w:val="0"/>
          <w:numId w:val="15"/>
        </w:numPr>
        <w:spacing w:line="360" w:lineRule="auto"/>
        <w:rPr>
          <w:rFonts w:ascii="Times New Roman" w:hAnsi="Times New Roman" w:cs="Times New Roman"/>
          <w:bCs/>
          <w:sz w:val="24"/>
          <w:szCs w:val="28"/>
        </w:rPr>
      </w:pPr>
      <w:r>
        <w:rPr>
          <w:rFonts w:ascii="Times New Roman" w:hAnsi="Times New Roman" w:cs="Times New Roman"/>
          <w:bCs/>
          <w:sz w:val="24"/>
          <w:szCs w:val="28"/>
        </w:rPr>
        <w:t>Primary School (17</w:t>
      </w:r>
      <w:r w:rsidR="00424BCE" w:rsidRPr="00E70084">
        <w:rPr>
          <w:rFonts w:ascii="Times New Roman" w:hAnsi="Times New Roman" w:cs="Times New Roman"/>
          <w:bCs/>
          <w:sz w:val="24"/>
          <w:szCs w:val="28"/>
        </w:rPr>
        <w:t>%) and No for</w:t>
      </w:r>
      <w:r>
        <w:rPr>
          <w:rFonts w:ascii="Times New Roman" w:hAnsi="Times New Roman" w:cs="Times New Roman"/>
          <w:bCs/>
          <w:sz w:val="24"/>
          <w:szCs w:val="28"/>
        </w:rPr>
        <w:t>mal education (11</w:t>
      </w:r>
      <w:r w:rsidR="00424BCE" w:rsidRPr="00E70084">
        <w:rPr>
          <w:rFonts w:ascii="Times New Roman" w:hAnsi="Times New Roman" w:cs="Times New Roman"/>
          <w:bCs/>
          <w:sz w:val="24"/>
          <w:szCs w:val="28"/>
        </w:rPr>
        <w:t>%) make up a smaller portion.</w:t>
      </w:r>
    </w:p>
    <w:p w14:paraId="356213D4" w14:textId="556A0233" w:rsidR="00424BCE" w:rsidRDefault="00424BCE" w:rsidP="00424BCE">
      <w:pPr>
        <w:pStyle w:val="ListParagraph"/>
        <w:numPr>
          <w:ilvl w:val="0"/>
          <w:numId w:val="15"/>
        </w:numPr>
        <w:spacing w:line="360" w:lineRule="auto"/>
        <w:rPr>
          <w:rFonts w:ascii="Times New Roman" w:hAnsi="Times New Roman" w:cs="Times New Roman"/>
          <w:bCs/>
          <w:sz w:val="24"/>
          <w:szCs w:val="28"/>
        </w:rPr>
      </w:pPr>
      <w:r w:rsidRPr="00E70084">
        <w:rPr>
          <w:rFonts w:ascii="Times New Roman" w:hAnsi="Times New Roman" w:cs="Times New Roman"/>
          <w:bCs/>
          <w:sz w:val="24"/>
          <w:szCs w:val="28"/>
        </w:rPr>
        <w:t>This suggests a significant portion of respondents are well-educated.</w:t>
      </w:r>
    </w:p>
    <w:p w14:paraId="6840381B" w14:textId="52EE1D80" w:rsidR="00E70084" w:rsidRDefault="00E70084" w:rsidP="00E70084">
      <w:pPr>
        <w:spacing w:line="360" w:lineRule="auto"/>
        <w:rPr>
          <w:rFonts w:ascii="Times New Roman" w:hAnsi="Times New Roman" w:cs="Times New Roman"/>
          <w:bCs/>
          <w:sz w:val="24"/>
          <w:szCs w:val="28"/>
        </w:rPr>
      </w:pPr>
      <w:r w:rsidRPr="00E70084">
        <w:rPr>
          <w:rFonts w:ascii="Times New Roman" w:hAnsi="Times New Roman" w:cs="Times New Roman"/>
          <w:bCs/>
          <w:sz w:val="24"/>
          <w:szCs w:val="28"/>
        </w:rPr>
        <w:t xml:space="preserve">The pie chart represents </w:t>
      </w:r>
      <w:r>
        <w:rPr>
          <w:rFonts w:ascii="Times New Roman" w:hAnsi="Times New Roman" w:cs="Times New Roman"/>
          <w:bCs/>
          <w:sz w:val="24"/>
          <w:szCs w:val="28"/>
        </w:rPr>
        <w:t xml:space="preserve">Occupation </w:t>
      </w:r>
      <w:r w:rsidRPr="00E70084">
        <w:rPr>
          <w:rFonts w:ascii="Times New Roman" w:hAnsi="Times New Roman" w:cs="Times New Roman"/>
          <w:bCs/>
          <w:sz w:val="24"/>
          <w:szCs w:val="28"/>
        </w:rPr>
        <w:t>distribution of 110 respondents. The key observations are:</w:t>
      </w:r>
    </w:p>
    <w:p w14:paraId="705C1E4D" w14:textId="1286BCE8" w:rsidR="00EF46DF" w:rsidRPr="00E70084" w:rsidRDefault="00EF46DF" w:rsidP="00E70084">
      <w:pPr>
        <w:spacing w:line="360" w:lineRule="auto"/>
        <w:rPr>
          <w:rFonts w:ascii="Times New Roman" w:hAnsi="Times New Roman" w:cs="Times New Roman"/>
          <w:bCs/>
          <w:sz w:val="24"/>
          <w:szCs w:val="28"/>
        </w:rPr>
      </w:pPr>
      <w:r>
        <w:rPr>
          <w:noProof/>
          <w:lang w:val="en-US" w:bidi="hi-IN"/>
        </w:rPr>
        <w:drawing>
          <wp:inline distT="0" distB="0" distL="0" distR="0" wp14:anchorId="5DF28D44" wp14:editId="06D09E1C">
            <wp:extent cx="5708650" cy="2401200"/>
            <wp:effectExtent l="0" t="0" r="6350" b="1841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0AB88EF" w14:textId="350CB14B" w:rsidR="00E70084" w:rsidRDefault="0050030A" w:rsidP="00424BCE">
      <w:pPr>
        <w:pStyle w:val="ListParagraph"/>
        <w:numPr>
          <w:ilvl w:val="0"/>
          <w:numId w:val="17"/>
        </w:numPr>
        <w:spacing w:line="360" w:lineRule="auto"/>
        <w:rPr>
          <w:rFonts w:ascii="Times New Roman" w:hAnsi="Times New Roman" w:cs="Times New Roman"/>
          <w:bCs/>
          <w:sz w:val="24"/>
          <w:szCs w:val="28"/>
        </w:rPr>
      </w:pPr>
      <w:r>
        <w:rPr>
          <w:rFonts w:ascii="Times New Roman" w:hAnsi="Times New Roman" w:cs="Times New Roman"/>
          <w:bCs/>
          <w:sz w:val="24"/>
          <w:szCs w:val="28"/>
        </w:rPr>
        <w:t>Private job holders (29</w:t>
      </w:r>
      <w:r w:rsidR="00166FA8">
        <w:rPr>
          <w:rFonts w:ascii="Times New Roman" w:hAnsi="Times New Roman" w:cs="Times New Roman"/>
          <w:bCs/>
          <w:sz w:val="24"/>
          <w:szCs w:val="28"/>
        </w:rPr>
        <w:t>%</w:t>
      </w:r>
      <w:r w:rsidR="00424BCE" w:rsidRPr="00E70084">
        <w:rPr>
          <w:rFonts w:ascii="Times New Roman" w:hAnsi="Times New Roman" w:cs="Times New Roman"/>
          <w:bCs/>
          <w:sz w:val="24"/>
          <w:szCs w:val="28"/>
        </w:rPr>
        <w:t>) form the largest segment.</w:t>
      </w:r>
    </w:p>
    <w:p w14:paraId="4D57BB57" w14:textId="798D614A" w:rsidR="00E70084" w:rsidRDefault="00166FA8" w:rsidP="00424BCE">
      <w:pPr>
        <w:pStyle w:val="ListParagraph"/>
        <w:numPr>
          <w:ilvl w:val="0"/>
          <w:numId w:val="17"/>
        </w:numPr>
        <w:spacing w:line="360" w:lineRule="auto"/>
        <w:rPr>
          <w:rFonts w:ascii="Times New Roman" w:hAnsi="Times New Roman" w:cs="Times New Roman"/>
          <w:bCs/>
          <w:sz w:val="24"/>
          <w:szCs w:val="28"/>
        </w:rPr>
      </w:pPr>
      <w:r>
        <w:rPr>
          <w:rFonts w:ascii="Times New Roman" w:hAnsi="Times New Roman" w:cs="Times New Roman"/>
          <w:bCs/>
          <w:sz w:val="24"/>
          <w:szCs w:val="28"/>
        </w:rPr>
        <w:t>Students (18</w:t>
      </w:r>
      <w:r w:rsidR="00424BCE" w:rsidRPr="00E70084">
        <w:rPr>
          <w:rFonts w:ascii="Times New Roman" w:hAnsi="Times New Roman" w:cs="Times New Roman"/>
          <w:bCs/>
          <w:sz w:val="24"/>
          <w:szCs w:val="28"/>
        </w:rPr>
        <w:t>%</w:t>
      </w:r>
      <w:r>
        <w:rPr>
          <w:rFonts w:ascii="Times New Roman" w:hAnsi="Times New Roman" w:cs="Times New Roman"/>
          <w:bCs/>
          <w:sz w:val="24"/>
          <w:szCs w:val="28"/>
        </w:rPr>
        <w:t>) and government employees (16</w:t>
      </w:r>
      <w:r w:rsidR="00424BCE" w:rsidRPr="00E70084">
        <w:rPr>
          <w:rFonts w:ascii="Times New Roman" w:hAnsi="Times New Roman" w:cs="Times New Roman"/>
          <w:bCs/>
          <w:sz w:val="24"/>
          <w:szCs w:val="28"/>
        </w:rPr>
        <w:t>%) also contribute significantly.</w:t>
      </w:r>
    </w:p>
    <w:p w14:paraId="0DC74B95" w14:textId="6A315F6A" w:rsidR="008E7FA4" w:rsidRDefault="00166FA8" w:rsidP="008E7FA4">
      <w:pPr>
        <w:pStyle w:val="ListParagraph"/>
        <w:numPr>
          <w:ilvl w:val="0"/>
          <w:numId w:val="17"/>
        </w:numPr>
        <w:spacing w:line="360" w:lineRule="auto"/>
        <w:rPr>
          <w:rFonts w:ascii="Times New Roman" w:hAnsi="Times New Roman" w:cs="Times New Roman"/>
          <w:bCs/>
          <w:sz w:val="24"/>
          <w:szCs w:val="28"/>
        </w:rPr>
      </w:pPr>
      <w:r>
        <w:rPr>
          <w:rFonts w:ascii="Times New Roman" w:hAnsi="Times New Roman" w:cs="Times New Roman"/>
          <w:bCs/>
          <w:sz w:val="24"/>
          <w:szCs w:val="28"/>
        </w:rPr>
        <w:t>Self-employed (21%) and unemployed (16</w:t>
      </w:r>
      <w:r w:rsidR="00424BCE" w:rsidRPr="00E70084">
        <w:rPr>
          <w:rFonts w:ascii="Times New Roman" w:hAnsi="Times New Roman" w:cs="Times New Roman"/>
          <w:bCs/>
          <w:sz w:val="24"/>
          <w:szCs w:val="28"/>
        </w:rPr>
        <w:t>%) groups show diverse professional backgrounds.</w:t>
      </w:r>
    </w:p>
    <w:p w14:paraId="16F9D872" w14:textId="2C2BBB04" w:rsidR="008E7FA4" w:rsidRPr="008E7FA4" w:rsidRDefault="008E7FA4" w:rsidP="008E7FA4">
      <w:pPr>
        <w:spacing w:line="360" w:lineRule="auto"/>
        <w:rPr>
          <w:rFonts w:ascii="Times New Roman" w:hAnsi="Times New Roman" w:cs="Times New Roman"/>
          <w:bCs/>
          <w:sz w:val="24"/>
          <w:szCs w:val="28"/>
        </w:rPr>
      </w:pPr>
      <w:r>
        <w:rPr>
          <w:rFonts w:ascii="Times New Roman" w:hAnsi="Times New Roman" w:cs="Times New Roman"/>
          <w:bCs/>
          <w:sz w:val="24"/>
          <w:szCs w:val="28"/>
        </w:rPr>
        <w:t xml:space="preserve">The Graph </w:t>
      </w:r>
      <w:r w:rsidRPr="008E7FA4">
        <w:rPr>
          <w:rFonts w:ascii="Times New Roman" w:hAnsi="Times New Roman" w:cs="Times New Roman"/>
          <w:bCs/>
          <w:sz w:val="24"/>
          <w:szCs w:val="28"/>
        </w:rPr>
        <w:t xml:space="preserve">represents </w:t>
      </w:r>
      <w:r>
        <w:rPr>
          <w:rFonts w:ascii="Times New Roman" w:hAnsi="Times New Roman" w:cs="Times New Roman"/>
          <w:bCs/>
          <w:sz w:val="24"/>
          <w:szCs w:val="28"/>
        </w:rPr>
        <w:t>frequently use of mobile banking</w:t>
      </w:r>
      <w:r w:rsidRPr="008E7FA4">
        <w:rPr>
          <w:rFonts w:ascii="Times New Roman" w:hAnsi="Times New Roman" w:cs="Times New Roman"/>
          <w:bCs/>
          <w:sz w:val="24"/>
          <w:szCs w:val="28"/>
        </w:rPr>
        <w:t xml:space="preserve"> of 110 respondents. The key observations are:</w:t>
      </w:r>
    </w:p>
    <w:p w14:paraId="509DE046" w14:textId="1A9896ED" w:rsidR="00E70084" w:rsidRDefault="008E7FA4" w:rsidP="00E70084">
      <w:pPr>
        <w:spacing w:line="360" w:lineRule="auto"/>
        <w:rPr>
          <w:rFonts w:ascii="Times New Roman" w:hAnsi="Times New Roman" w:cs="Times New Roman"/>
          <w:bCs/>
          <w:sz w:val="24"/>
          <w:szCs w:val="28"/>
        </w:rPr>
      </w:pPr>
      <w:r>
        <w:rPr>
          <w:noProof/>
          <w:lang w:val="en-US" w:bidi="hi-IN"/>
        </w:rPr>
        <w:drawing>
          <wp:inline distT="0" distB="0" distL="0" distR="0" wp14:anchorId="4067E103" wp14:editId="47D52B00">
            <wp:extent cx="5845810" cy="2232000"/>
            <wp:effectExtent l="0" t="0" r="2540" b="165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4B5A3CC" w14:textId="77777777" w:rsidR="003B7810" w:rsidRDefault="003B7810" w:rsidP="003B7810">
      <w:pPr>
        <w:pStyle w:val="ListParagraph"/>
        <w:numPr>
          <w:ilvl w:val="0"/>
          <w:numId w:val="23"/>
        </w:numPr>
        <w:spacing w:line="360" w:lineRule="auto"/>
        <w:rPr>
          <w:rFonts w:ascii="Times New Roman" w:hAnsi="Times New Roman" w:cs="Times New Roman"/>
          <w:bCs/>
          <w:sz w:val="24"/>
          <w:szCs w:val="28"/>
        </w:rPr>
      </w:pPr>
      <w:r w:rsidRPr="003B7810">
        <w:rPr>
          <w:rFonts w:ascii="Times New Roman" w:hAnsi="Times New Roman" w:cs="Times New Roman"/>
          <w:bCs/>
          <w:sz w:val="24"/>
          <w:szCs w:val="28"/>
        </w:rPr>
        <w:lastRenderedPageBreak/>
        <w:t>Daily: 41.8% of respondents use mobile banking every day.</w:t>
      </w:r>
    </w:p>
    <w:p w14:paraId="00E13E6B" w14:textId="00C26716" w:rsidR="003B7810" w:rsidRDefault="003B7810" w:rsidP="003B7810">
      <w:pPr>
        <w:pStyle w:val="ListParagraph"/>
        <w:numPr>
          <w:ilvl w:val="0"/>
          <w:numId w:val="23"/>
        </w:numPr>
        <w:spacing w:line="360" w:lineRule="auto"/>
        <w:rPr>
          <w:rFonts w:ascii="Times New Roman" w:hAnsi="Times New Roman" w:cs="Times New Roman"/>
          <w:bCs/>
          <w:sz w:val="24"/>
          <w:szCs w:val="28"/>
        </w:rPr>
      </w:pPr>
      <w:r w:rsidRPr="003B7810">
        <w:rPr>
          <w:rFonts w:ascii="Times New Roman" w:hAnsi="Times New Roman" w:cs="Times New Roman"/>
          <w:bCs/>
          <w:sz w:val="24"/>
          <w:szCs w:val="28"/>
        </w:rPr>
        <w:t>Weekly: 23.6% of respondents use mobile banking once a week</w:t>
      </w:r>
      <w:r>
        <w:rPr>
          <w:rFonts w:ascii="Times New Roman" w:hAnsi="Times New Roman" w:cs="Times New Roman"/>
          <w:bCs/>
          <w:sz w:val="24"/>
          <w:szCs w:val="28"/>
        </w:rPr>
        <w:t>.</w:t>
      </w:r>
    </w:p>
    <w:p w14:paraId="5512E1E1" w14:textId="77777777" w:rsidR="003B7810" w:rsidRDefault="003B7810" w:rsidP="003B7810">
      <w:pPr>
        <w:pStyle w:val="ListParagraph"/>
        <w:numPr>
          <w:ilvl w:val="0"/>
          <w:numId w:val="23"/>
        </w:numPr>
        <w:spacing w:line="360" w:lineRule="auto"/>
        <w:rPr>
          <w:rFonts w:ascii="Times New Roman" w:hAnsi="Times New Roman" w:cs="Times New Roman"/>
          <w:bCs/>
          <w:sz w:val="24"/>
          <w:szCs w:val="28"/>
        </w:rPr>
      </w:pPr>
      <w:r w:rsidRPr="003B7810">
        <w:rPr>
          <w:rFonts w:ascii="Times New Roman" w:hAnsi="Times New Roman" w:cs="Times New Roman"/>
          <w:bCs/>
          <w:sz w:val="24"/>
          <w:szCs w:val="28"/>
        </w:rPr>
        <w:t>Monthly: 18.2% of respondents use it once a month.</w:t>
      </w:r>
    </w:p>
    <w:p w14:paraId="6AE2D39E" w14:textId="507056E5" w:rsidR="003B7810" w:rsidRDefault="003B7810" w:rsidP="003B7810">
      <w:pPr>
        <w:pStyle w:val="ListParagraph"/>
        <w:numPr>
          <w:ilvl w:val="0"/>
          <w:numId w:val="23"/>
        </w:numPr>
        <w:spacing w:line="360" w:lineRule="auto"/>
        <w:rPr>
          <w:rFonts w:ascii="Times New Roman" w:hAnsi="Times New Roman" w:cs="Times New Roman"/>
          <w:bCs/>
          <w:sz w:val="24"/>
          <w:szCs w:val="28"/>
        </w:rPr>
      </w:pPr>
      <w:r w:rsidRPr="003B7810">
        <w:rPr>
          <w:rFonts w:ascii="Times New Roman" w:hAnsi="Times New Roman" w:cs="Times New Roman"/>
          <w:bCs/>
          <w:sz w:val="24"/>
          <w:szCs w:val="28"/>
        </w:rPr>
        <w:t>Rarely: 16.4% of respondents rarely use mobile banking.</w:t>
      </w:r>
    </w:p>
    <w:p w14:paraId="103527BD" w14:textId="73639F89" w:rsidR="003B7810" w:rsidRDefault="003B7810" w:rsidP="00F30A32">
      <w:pPr>
        <w:spacing w:line="360" w:lineRule="auto"/>
        <w:rPr>
          <w:noProof/>
          <w:lang w:val="en-US" w:bidi="hi-IN"/>
        </w:rPr>
      </w:pPr>
      <w:r w:rsidRPr="00F30A32">
        <w:rPr>
          <w:rFonts w:ascii="Times New Roman" w:hAnsi="Times New Roman" w:cs="Times New Roman"/>
          <w:bCs/>
          <w:sz w:val="24"/>
          <w:szCs w:val="28"/>
        </w:rPr>
        <w:t xml:space="preserve">The pie chart represents </w:t>
      </w:r>
      <w:r w:rsidR="00F30A32">
        <w:rPr>
          <w:rFonts w:ascii="Times New Roman" w:hAnsi="Times New Roman" w:cs="Times New Roman"/>
          <w:bCs/>
          <w:sz w:val="24"/>
          <w:szCs w:val="28"/>
        </w:rPr>
        <w:t xml:space="preserve">Trust on Mobile </w:t>
      </w:r>
      <w:r w:rsidR="006E08BC">
        <w:rPr>
          <w:rFonts w:ascii="Times New Roman" w:hAnsi="Times New Roman" w:cs="Times New Roman"/>
          <w:bCs/>
          <w:sz w:val="24"/>
          <w:szCs w:val="28"/>
        </w:rPr>
        <w:t xml:space="preserve">Banking </w:t>
      </w:r>
      <w:r w:rsidR="006E08BC" w:rsidRPr="00F30A32">
        <w:rPr>
          <w:rFonts w:ascii="Times New Roman" w:hAnsi="Times New Roman" w:cs="Times New Roman"/>
          <w:bCs/>
          <w:sz w:val="24"/>
          <w:szCs w:val="28"/>
        </w:rPr>
        <w:t>of</w:t>
      </w:r>
      <w:r w:rsidRPr="00F30A32">
        <w:rPr>
          <w:rFonts w:ascii="Times New Roman" w:hAnsi="Times New Roman" w:cs="Times New Roman"/>
          <w:bCs/>
          <w:sz w:val="24"/>
          <w:szCs w:val="28"/>
        </w:rPr>
        <w:t xml:space="preserve"> 110 respondents. The key observations are:</w:t>
      </w:r>
      <w:r w:rsidR="00F30A32" w:rsidRPr="00F30A32">
        <w:rPr>
          <w:noProof/>
          <w:lang w:val="en-US" w:bidi="hi-IN"/>
        </w:rPr>
        <w:t xml:space="preserve"> </w:t>
      </w:r>
      <w:r w:rsidR="00F30A32">
        <w:rPr>
          <w:noProof/>
          <w:lang w:val="en-US" w:bidi="hi-IN"/>
        </w:rPr>
        <w:drawing>
          <wp:inline distT="0" distB="0" distL="0" distR="0" wp14:anchorId="21923AD2" wp14:editId="788DCF7E">
            <wp:extent cx="5731510" cy="2146852"/>
            <wp:effectExtent l="0" t="0" r="2540" b="63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7DF6EF3" w14:textId="4977A6B3" w:rsidR="003B7810" w:rsidRPr="003B7810" w:rsidRDefault="00F30A32" w:rsidP="006E08BC">
      <w:pPr>
        <w:spacing w:line="360" w:lineRule="auto"/>
        <w:rPr>
          <w:rFonts w:ascii="Times New Roman" w:hAnsi="Times New Roman" w:cs="Times New Roman"/>
          <w:bCs/>
          <w:sz w:val="24"/>
          <w:szCs w:val="28"/>
        </w:rPr>
      </w:pPr>
      <w:r w:rsidRPr="00F30A32">
        <w:rPr>
          <w:rFonts w:ascii="Times New Roman" w:hAnsi="Times New Roman" w:cs="Times New Roman"/>
          <w:bCs/>
          <w:sz w:val="24"/>
          <w:szCs w:val="28"/>
        </w:rPr>
        <w:t>The majority of respondents (52% combining "much" and "very much") trust mobile banking, indicating a generally positive perception. However, a notable percentage (24%) remain neutral, and 24% (combining "little" and "very little") show some level of distrust. This suggests that while trust is relatively strong, there's still room to improve confidence among some users.</w:t>
      </w:r>
    </w:p>
    <w:p w14:paraId="5AEB328C" w14:textId="632E96D8" w:rsidR="00747223" w:rsidRDefault="00747223" w:rsidP="00DA4FB4">
      <w:pPr>
        <w:spacing w:line="360" w:lineRule="auto"/>
        <w:jc w:val="center"/>
        <w:rPr>
          <w:rFonts w:ascii="Times New Roman" w:hAnsi="Times New Roman" w:cs="Times New Roman"/>
          <w:b/>
          <w:bCs/>
          <w:sz w:val="28"/>
          <w:szCs w:val="28"/>
        </w:rPr>
      </w:pPr>
      <w:r w:rsidRPr="00747223">
        <w:rPr>
          <w:rFonts w:ascii="Times New Roman" w:hAnsi="Times New Roman" w:cs="Times New Roman"/>
          <w:b/>
          <w:bCs/>
          <w:sz w:val="28"/>
          <w:szCs w:val="28"/>
        </w:rPr>
        <w:t>Findings</w:t>
      </w:r>
    </w:p>
    <w:p w14:paraId="08220A00" w14:textId="619B1F60" w:rsidR="00144390" w:rsidRDefault="00144390" w:rsidP="00144390">
      <w:pPr>
        <w:pStyle w:val="ListParagraph"/>
        <w:numPr>
          <w:ilvl w:val="0"/>
          <w:numId w:val="22"/>
        </w:numPr>
        <w:spacing w:line="360" w:lineRule="auto"/>
        <w:rPr>
          <w:rFonts w:ascii="Times New Roman" w:hAnsi="Times New Roman" w:cs="Times New Roman"/>
          <w:bCs/>
          <w:sz w:val="24"/>
          <w:szCs w:val="28"/>
        </w:rPr>
      </w:pPr>
      <w:r w:rsidRPr="00144390">
        <w:rPr>
          <w:rFonts w:ascii="Times New Roman" w:hAnsi="Times New Roman" w:cs="Times New Roman"/>
          <w:bCs/>
          <w:sz w:val="24"/>
          <w:szCs w:val="28"/>
        </w:rPr>
        <w:t xml:space="preserve">While many rural customers are aware of mobile banking, there are large numbers that are not using it even with awareness. </w:t>
      </w:r>
    </w:p>
    <w:p w14:paraId="73EC4219" w14:textId="20F4923E" w:rsidR="00144390" w:rsidRDefault="00144390" w:rsidP="00144390">
      <w:pPr>
        <w:pStyle w:val="ListParagraph"/>
        <w:numPr>
          <w:ilvl w:val="0"/>
          <w:numId w:val="22"/>
        </w:numPr>
        <w:spacing w:line="360" w:lineRule="auto"/>
        <w:rPr>
          <w:rFonts w:ascii="Times New Roman" w:hAnsi="Times New Roman" w:cs="Times New Roman"/>
          <w:bCs/>
          <w:sz w:val="24"/>
          <w:szCs w:val="28"/>
        </w:rPr>
      </w:pPr>
      <w:r w:rsidRPr="00144390">
        <w:rPr>
          <w:rFonts w:ascii="Times New Roman" w:hAnsi="Times New Roman" w:cs="Times New Roman"/>
          <w:bCs/>
          <w:sz w:val="24"/>
          <w:szCs w:val="28"/>
        </w:rPr>
        <w:t>Mobile banking is primarily utilized for basic financial services such as seeing balances, sending payments, and transferring money.</w:t>
      </w:r>
    </w:p>
    <w:p w14:paraId="246DA4F4" w14:textId="2892C0A0" w:rsidR="00144390" w:rsidRDefault="00144390" w:rsidP="00144390">
      <w:pPr>
        <w:pStyle w:val="ListParagraph"/>
        <w:numPr>
          <w:ilvl w:val="0"/>
          <w:numId w:val="22"/>
        </w:numPr>
        <w:spacing w:line="360" w:lineRule="auto"/>
        <w:rPr>
          <w:rFonts w:ascii="Times New Roman" w:hAnsi="Times New Roman" w:cs="Times New Roman"/>
          <w:bCs/>
          <w:sz w:val="24"/>
          <w:szCs w:val="28"/>
        </w:rPr>
      </w:pPr>
      <w:r w:rsidRPr="00144390">
        <w:rPr>
          <w:rFonts w:ascii="Times New Roman" w:hAnsi="Times New Roman" w:cs="Times New Roman"/>
          <w:bCs/>
          <w:sz w:val="24"/>
          <w:szCs w:val="28"/>
        </w:rPr>
        <w:t>Security concerns, including fear of fraud and unauthorized transactions, discourage many prospective customers</w:t>
      </w:r>
      <w:r w:rsidR="00735D01">
        <w:rPr>
          <w:rFonts w:ascii="Times New Roman" w:hAnsi="Times New Roman" w:cs="Times New Roman"/>
          <w:bCs/>
          <w:sz w:val="24"/>
          <w:szCs w:val="28"/>
        </w:rPr>
        <w:t>.</w:t>
      </w:r>
    </w:p>
    <w:p w14:paraId="46114157" w14:textId="77777777" w:rsidR="00144390" w:rsidRDefault="00144390" w:rsidP="00144390">
      <w:pPr>
        <w:pStyle w:val="ListParagraph"/>
        <w:numPr>
          <w:ilvl w:val="0"/>
          <w:numId w:val="22"/>
        </w:numPr>
        <w:spacing w:line="360" w:lineRule="auto"/>
        <w:rPr>
          <w:rFonts w:ascii="Times New Roman" w:hAnsi="Times New Roman" w:cs="Times New Roman"/>
          <w:bCs/>
          <w:sz w:val="24"/>
          <w:szCs w:val="28"/>
        </w:rPr>
      </w:pPr>
      <w:r w:rsidRPr="00144390">
        <w:rPr>
          <w:rFonts w:ascii="Times New Roman" w:hAnsi="Times New Roman" w:cs="Times New Roman"/>
          <w:bCs/>
          <w:sz w:val="24"/>
          <w:szCs w:val="28"/>
        </w:rPr>
        <w:t>Unreliable internet connections and poor network infrastructure in rural areas cause failed transactions and delays, making mobile banking unreliable and discouraging others from adopting it wholescale.</w:t>
      </w:r>
    </w:p>
    <w:p w14:paraId="71D76012" w14:textId="53C3E04E" w:rsidR="00144390" w:rsidRPr="00735D01" w:rsidRDefault="00144390" w:rsidP="00144390">
      <w:pPr>
        <w:pStyle w:val="ListParagraph"/>
        <w:numPr>
          <w:ilvl w:val="0"/>
          <w:numId w:val="22"/>
        </w:numPr>
        <w:spacing w:line="360" w:lineRule="auto"/>
        <w:rPr>
          <w:rFonts w:ascii="Times New Roman" w:hAnsi="Times New Roman" w:cs="Times New Roman"/>
          <w:bCs/>
          <w:sz w:val="24"/>
          <w:szCs w:val="28"/>
        </w:rPr>
      </w:pPr>
      <w:r w:rsidRPr="00144390">
        <w:rPr>
          <w:rFonts w:ascii="Times New Roman" w:hAnsi="Times New Roman" w:cs="Times New Roman"/>
          <w:bCs/>
          <w:sz w:val="24"/>
          <w:szCs w:val="28"/>
        </w:rPr>
        <w:t xml:space="preserve">The majority of rural consumers are not digitally literate, and this hinders them from understanding and utilizing mobile banking apps. </w:t>
      </w:r>
    </w:p>
    <w:p w14:paraId="7422943C" w14:textId="3AA0DDD0" w:rsidR="00CA2C01" w:rsidRPr="00BB369B" w:rsidRDefault="00CA2C01" w:rsidP="00144390">
      <w:pPr>
        <w:jc w:val="center"/>
        <w:rPr>
          <w:rFonts w:ascii="Times New Roman" w:hAnsi="Times New Roman" w:cs="Times New Roman"/>
          <w:sz w:val="24"/>
          <w:szCs w:val="24"/>
        </w:rPr>
      </w:pPr>
      <w:r w:rsidRPr="00DC3F02">
        <w:rPr>
          <w:rFonts w:ascii="Times New Roman" w:hAnsi="Times New Roman" w:cs="Times New Roman"/>
          <w:b/>
          <w:bCs/>
          <w:sz w:val="28"/>
          <w:szCs w:val="28"/>
        </w:rPr>
        <w:lastRenderedPageBreak/>
        <w:t>Suggestions</w:t>
      </w:r>
    </w:p>
    <w:p w14:paraId="64F80B0D" w14:textId="77777777" w:rsidR="00BB369B" w:rsidRDefault="00BB369B" w:rsidP="00BB369B">
      <w:pPr>
        <w:pStyle w:val="ListParagraph"/>
        <w:numPr>
          <w:ilvl w:val="0"/>
          <w:numId w:val="10"/>
        </w:numPr>
        <w:spacing w:line="360" w:lineRule="auto"/>
        <w:jc w:val="both"/>
        <w:rPr>
          <w:rFonts w:ascii="Times New Roman" w:hAnsi="Times New Roman" w:cs="Times New Roman"/>
          <w:bCs/>
          <w:sz w:val="24"/>
        </w:rPr>
      </w:pPr>
      <w:r w:rsidRPr="00BB369B">
        <w:rPr>
          <w:rFonts w:ascii="Times New Roman" w:hAnsi="Times New Roman" w:cs="Times New Roman"/>
          <w:bCs/>
          <w:sz w:val="24"/>
        </w:rPr>
        <w:t>Develop and implement culturally sensitive digital literacy programs tailored to the specific needs of rural consumers.</w:t>
      </w:r>
    </w:p>
    <w:p w14:paraId="56944B4E" w14:textId="77777777" w:rsidR="00BB369B" w:rsidRDefault="00BB369B" w:rsidP="00BB369B">
      <w:pPr>
        <w:pStyle w:val="ListParagraph"/>
        <w:numPr>
          <w:ilvl w:val="0"/>
          <w:numId w:val="10"/>
        </w:numPr>
        <w:spacing w:line="360" w:lineRule="auto"/>
        <w:jc w:val="both"/>
        <w:rPr>
          <w:rFonts w:ascii="Times New Roman" w:hAnsi="Times New Roman" w:cs="Times New Roman"/>
          <w:bCs/>
          <w:sz w:val="24"/>
        </w:rPr>
      </w:pPr>
      <w:r w:rsidRPr="00BB369B">
        <w:rPr>
          <w:rFonts w:ascii="Times New Roman" w:hAnsi="Times New Roman" w:cs="Times New Roman"/>
          <w:bCs/>
          <w:sz w:val="24"/>
        </w:rPr>
        <w:t>Strengthen security measures and promote awareness campaigns to build trust in mobile banking services.</w:t>
      </w:r>
    </w:p>
    <w:p w14:paraId="4F11FA6D" w14:textId="77777777" w:rsidR="00BB369B" w:rsidRDefault="00BB369B" w:rsidP="00BB369B">
      <w:pPr>
        <w:pStyle w:val="ListParagraph"/>
        <w:numPr>
          <w:ilvl w:val="0"/>
          <w:numId w:val="10"/>
        </w:numPr>
        <w:spacing w:line="360" w:lineRule="auto"/>
        <w:jc w:val="both"/>
        <w:rPr>
          <w:rFonts w:ascii="Times New Roman" w:hAnsi="Times New Roman" w:cs="Times New Roman"/>
          <w:bCs/>
          <w:sz w:val="24"/>
        </w:rPr>
      </w:pPr>
      <w:r w:rsidRPr="00BB369B">
        <w:rPr>
          <w:rFonts w:ascii="Times New Roman" w:hAnsi="Times New Roman" w:cs="Times New Roman"/>
          <w:bCs/>
          <w:sz w:val="24"/>
        </w:rPr>
        <w:t>Invest in improving internet connectivity and mobile network coverage in rural areas.</w:t>
      </w:r>
    </w:p>
    <w:p w14:paraId="25BC283F" w14:textId="77777777" w:rsidR="00BB369B" w:rsidRDefault="00BB369B" w:rsidP="00BB369B">
      <w:pPr>
        <w:pStyle w:val="ListParagraph"/>
        <w:numPr>
          <w:ilvl w:val="0"/>
          <w:numId w:val="10"/>
        </w:numPr>
        <w:spacing w:line="360" w:lineRule="auto"/>
        <w:jc w:val="both"/>
        <w:rPr>
          <w:rFonts w:ascii="Times New Roman" w:hAnsi="Times New Roman" w:cs="Times New Roman"/>
          <w:bCs/>
          <w:sz w:val="24"/>
        </w:rPr>
      </w:pPr>
      <w:r>
        <w:rPr>
          <w:rFonts w:ascii="Times New Roman" w:hAnsi="Times New Roman" w:cs="Times New Roman"/>
          <w:bCs/>
          <w:sz w:val="24"/>
        </w:rPr>
        <w:t>M</w:t>
      </w:r>
      <w:r w:rsidRPr="00BB369B">
        <w:rPr>
          <w:rFonts w:ascii="Times New Roman" w:hAnsi="Times New Roman" w:cs="Times New Roman"/>
          <w:bCs/>
          <w:sz w:val="24"/>
        </w:rPr>
        <w:t>obile banking applications with user-friendly interfaces in local languages.</w:t>
      </w:r>
    </w:p>
    <w:p w14:paraId="6F7E29C9" w14:textId="5679F9FE" w:rsidR="00BB369B" w:rsidRDefault="00BB369B" w:rsidP="00BB369B">
      <w:pPr>
        <w:pStyle w:val="ListParagraph"/>
        <w:numPr>
          <w:ilvl w:val="0"/>
          <w:numId w:val="10"/>
        </w:numPr>
        <w:spacing w:line="360" w:lineRule="auto"/>
        <w:jc w:val="both"/>
        <w:rPr>
          <w:rFonts w:ascii="Times New Roman" w:hAnsi="Times New Roman" w:cs="Times New Roman"/>
          <w:bCs/>
          <w:sz w:val="24"/>
        </w:rPr>
      </w:pPr>
      <w:r w:rsidRPr="00BB369B">
        <w:rPr>
          <w:rFonts w:ascii="Times New Roman" w:hAnsi="Times New Roman" w:cs="Times New Roman"/>
          <w:bCs/>
          <w:sz w:val="24"/>
        </w:rPr>
        <w:t xml:space="preserve">Establish local support centres and provide hands-on training to address consumer queries and </w:t>
      </w:r>
    </w:p>
    <w:p w14:paraId="44A5A98A" w14:textId="77777777" w:rsidR="00BB369B" w:rsidRDefault="00BB369B" w:rsidP="00BB369B">
      <w:pPr>
        <w:pStyle w:val="ListParagraph"/>
        <w:numPr>
          <w:ilvl w:val="0"/>
          <w:numId w:val="10"/>
        </w:numPr>
        <w:spacing w:line="360" w:lineRule="auto"/>
        <w:jc w:val="both"/>
        <w:rPr>
          <w:rFonts w:ascii="Times New Roman" w:hAnsi="Times New Roman" w:cs="Times New Roman"/>
          <w:bCs/>
          <w:sz w:val="24"/>
        </w:rPr>
      </w:pPr>
      <w:r w:rsidRPr="00BB369B">
        <w:rPr>
          <w:rFonts w:ascii="Times New Roman" w:hAnsi="Times New Roman" w:cs="Times New Roman"/>
          <w:bCs/>
          <w:sz w:val="24"/>
        </w:rPr>
        <w:t>Reduce transaction costs and offer affordable mobile banking services.</w:t>
      </w:r>
    </w:p>
    <w:p w14:paraId="6B4C6062" w14:textId="77777777" w:rsidR="00BB369B" w:rsidRDefault="00BB369B" w:rsidP="00BB369B">
      <w:pPr>
        <w:pStyle w:val="ListParagraph"/>
        <w:numPr>
          <w:ilvl w:val="0"/>
          <w:numId w:val="10"/>
        </w:numPr>
        <w:spacing w:line="360" w:lineRule="auto"/>
        <w:jc w:val="both"/>
        <w:rPr>
          <w:rFonts w:ascii="Times New Roman" w:hAnsi="Times New Roman" w:cs="Times New Roman"/>
          <w:bCs/>
          <w:sz w:val="24"/>
        </w:rPr>
      </w:pPr>
      <w:r w:rsidRPr="00BB369B">
        <w:rPr>
          <w:rFonts w:ascii="Times New Roman" w:hAnsi="Times New Roman" w:cs="Times New Roman"/>
          <w:bCs/>
          <w:sz w:val="24"/>
        </w:rPr>
        <w:t>Leverage social influence by organizing community-based awareness campaigns to promote mobile banking.</w:t>
      </w:r>
    </w:p>
    <w:p w14:paraId="69E1AFAF" w14:textId="6C1A877D" w:rsidR="00BB369B" w:rsidRDefault="00BB369B" w:rsidP="00BB369B">
      <w:pPr>
        <w:pStyle w:val="ListParagraph"/>
        <w:numPr>
          <w:ilvl w:val="0"/>
          <w:numId w:val="10"/>
        </w:numPr>
        <w:spacing w:line="360" w:lineRule="auto"/>
        <w:jc w:val="both"/>
        <w:rPr>
          <w:rFonts w:ascii="Times New Roman" w:hAnsi="Times New Roman" w:cs="Times New Roman"/>
          <w:bCs/>
          <w:sz w:val="24"/>
        </w:rPr>
      </w:pPr>
      <w:r w:rsidRPr="00BB369B">
        <w:rPr>
          <w:rFonts w:ascii="Times New Roman" w:hAnsi="Times New Roman" w:cs="Times New Roman"/>
          <w:bCs/>
          <w:sz w:val="24"/>
        </w:rPr>
        <w:t>Collaborate with local institutions, such as self-help groups and agricultural cooperatives, to disseminate information and provide support.</w:t>
      </w:r>
    </w:p>
    <w:p w14:paraId="2212426E" w14:textId="77777777" w:rsidR="00144390" w:rsidRDefault="00747223" w:rsidP="00144390">
      <w:pPr>
        <w:jc w:val="center"/>
        <w:rPr>
          <w:rFonts w:ascii="Times New Roman" w:hAnsi="Times New Roman" w:cs="Times New Roman"/>
          <w:b/>
          <w:bCs/>
          <w:sz w:val="28"/>
          <w:szCs w:val="28"/>
        </w:rPr>
      </w:pPr>
      <w:r w:rsidRPr="00747223">
        <w:rPr>
          <w:rFonts w:ascii="Times New Roman" w:hAnsi="Times New Roman" w:cs="Times New Roman"/>
          <w:b/>
          <w:bCs/>
          <w:sz w:val="28"/>
          <w:szCs w:val="28"/>
        </w:rPr>
        <w:t>Conclusion</w:t>
      </w:r>
    </w:p>
    <w:p w14:paraId="176FA394" w14:textId="318B3653" w:rsidR="00747223" w:rsidRPr="00144390" w:rsidRDefault="00747223" w:rsidP="00735D01">
      <w:pPr>
        <w:rPr>
          <w:rFonts w:ascii="Times New Roman" w:hAnsi="Times New Roman" w:cs="Times New Roman"/>
          <w:b/>
          <w:bCs/>
          <w:sz w:val="28"/>
          <w:szCs w:val="28"/>
        </w:rPr>
      </w:pPr>
      <w:r w:rsidRPr="00747223">
        <w:rPr>
          <w:rFonts w:ascii="Times New Roman" w:hAnsi="Times New Roman" w:cs="Times New Roman"/>
          <w:bCs/>
          <w:sz w:val="24"/>
          <w:szCs w:val="28"/>
        </w:rPr>
        <w:t>This research has provided a comprehensive examination of consumer behaviour towards mobile banking within the unique context of rural Nagpur. The findings illuminate a complex interplay of factors that both facilitate and impede the adoption of this transformative technology. While the perceived benefits of mobile banking, such as enhanced convenience and time efficiency, are recognized by rural residents, significant barriers persist, hindering widespread utilization. The study underscores the critical role of perceived usefulness, ease of use, and social influence as key drivers of adoption, aligning with established theoretical frameworks such as the Technology Acceptance Model (TAM) and the Unified Theory of Acceptance and Use of Technology (UTAUT). However, the analysis also reveals that the lack of trust, stemming from security concerns and perceived risks, coupled with limited financial and digital literacy, and infrastructural deficiencies, notably inconsistent internet connectivity, pose substantial challenges.</w:t>
      </w:r>
    </w:p>
    <w:p w14:paraId="30E311E0" w14:textId="77777777" w:rsidR="00747223" w:rsidRPr="00747223" w:rsidRDefault="00747223" w:rsidP="00747223">
      <w:pPr>
        <w:spacing w:line="360" w:lineRule="auto"/>
        <w:jc w:val="both"/>
        <w:rPr>
          <w:rFonts w:ascii="Times New Roman" w:hAnsi="Times New Roman" w:cs="Times New Roman"/>
          <w:bCs/>
          <w:sz w:val="24"/>
          <w:szCs w:val="28"/>
        </w:rPr>
      </w:pPr>
      <w:r w:rsidRPr="00747223">
        <w:rPr>
          <w:rFonts w:ascii="Times New Roman" w:hAnsi="Times New Roman" w:cs="Times New Roman"/>
          <w:bCs/>
          <w:sz w:val="24"/>
          <w:szCs w:val="28"/>
        </w:rPr>
        <w:t xml:space="preserve">The implications of these findings extend beyond the immediate context of rural Nagpur. The digital divide, evident in the disparity between urban and rural mobile banking adoption, underscores the urgent need for targeted interventions to bridge this gap. The potential of mobile banking to foster financial inclusion and empower marginalized communities remains largely untapped due to these persistent barriers. Addressing these challenges requires a multi-faceted approach involving collaboration between banks, policymakers, and community stakeholders. Banks must prioritize the development of user-friendly interfaces, localized support mechanisms, and robust security measures to build trust and enhance usability. </w:t>
      </w:r>
      <w:r w:rsidRPr="00747223">
        <w:rPr>
          <w:rFonts w:ascii="Times New Roman" w:hAnsi="Times New Roman" w:cs="Times New Roman"/>
          <w:bCs/>
          <w:sz w:val="24"/>
          <w:szCs w:val="28"/>
        </w:rPr>
        <w:lastRenderedPageBreak/>
        <w:t>Policymakers should focus on investing in infrastructure development, particularly in improving internet connectivity and mobile network coverage, and implementing educational initiatives to enhance financial and digital literacy. Community-based awareness campaigns, leveraging social networks and local institutions, can play a crucial role in promoting the benefits of mobile banking and fostering a culture of digital adoption.</w:t>
      </w:r>
    </w:p>
    <w:p w14:paraId="05824941" w14:textId="77777777" w:rsidR="00070828" w:rsidRDefault="00070828" w:rsidP="002B3E14">
      <w:pPr>
        <w:jc w:val="both"/>
        <w:rPr>
          <w:rFonts w:ascii="Times New Roman" w:hAnsi="Times New Roman" w:cs="Times New Roman"/>
          <w:b/>
          <w:bCs/>
          <w:sz w:val="28"/>
          <w:szCs w:val="28"/>
        </w:rPr>
      </w:pPr>
    </w:p>
    <w:p w14:paraId="19BA90BA" w14:textId="7C426FDD" w:rsidR="00BF204E" w:rsidRPr="00DC3F02" w:rsidRDefault="00D4478D" w:rsidP="00747223">
      <w:pPr>
        <w:jc w:val="center"/>
        <w:rPr>
          <w:rFonts w:ascii="Times New Roman" w:hAnsi="Times New Roman" w:cs="Times New Roman"/>
          <w:b/>
          <w:bCs/>
          <w:sz w:val="28"/>
          <w:szCs w:val="28"/>
        </w:rPr>
      </w:pPr>
      <w:r>
        <w:rPr>
          <w:rFonts w:ascii="Times New Roman" w:hAnsi="Times New Roman" w:cs="Times New Roman"/>
          <w:b/>
          <w:bCs/>
          <w:sz w:val="28"/>
          <w:szCs w:val="28"/>
        </w:rPr>
        <w:t>References</w:t>
      </w:r>
    </w:p>
    <w:p w14:paraId="705D7753" w14:textId="77777777" w:rsidR="00D4478D" w:rsidRDefault="00D4478D" w:rsidP="00D4478D">
      <w:pPr>
        <w:pStyle w:val="ListParagraph"/>
        <w:numPr>
          <w:ilvl w:val="0"/>
          <w:numId w:val="11"/>
        </w:numPr>
        <w:jc w:val="both"/>
        <w:rPr>
          <w:rFonts w:ascii="Times New Roman" w:hAnsi="Times New Roman" w:cs="Times New Roman"/>
          <w:sz w:val="24"/>
          <w:szCs w:val="24"/>
        </w:rPr>
      </w:pPr>
      <w:r w:rsidRPr="00D4478D">
        <w:rPr>
          <w:rFonts w:ascii="Times New Roman" w:hAnsi="Times New Roman" w:cs="Times New Roman"/>
          <w:sz w:val="24"/>
          <w:szCs w:val="24"/>
        </w:rPr>
        <w:t>Davis, F. D. (1989). Perceived usefulness, perceived ease of use, and user acceptance of information technology. \textit{MIS quarterly}, \textit{13}(3), 319-340.</w:t>
      </w:r>
    </w:p>
    <w:p w14:paraId="336DFA30" w14:textId="77777777" w:rsidR="00747223" w:rsidRDefault="00D4478D" w:rsidP="00D4478D">
      <w:pPr>
        <w:pStyle w:val="ListParagraph"/>
        <w:numPr>
          <w:ilvl w:val="0"/>
          <w:numId w:val="11"/>
        </w:numPr>
        <w:jc w:val="both"/>
        <w:rPr>
          <w:rFonts w:ascii="Times New Roman" w:hAnsi="Times New Roman" w:cs="Times New Roman"/>
          <w:sz w:val="24"/>
          <w:szCs w:val="24"/>
        </w:rPr>
      </w:pPr>
      <w:r w:rsidRPr="00D4478D">
        <w:rPr>
          <w:rFonts w:ascii="Times New Roman" w:hAnsi="Times New Roman" w:cs="Times New Roman"/>
          <w:sz w:val="24"/>
          <w:szCs w:val="24"/>
        </w:rPr>
        <w:t>Donner, J., &amp; Tellez, C. A. (2008). Mobile banking and economic development: Linking adoption, impact, and use. \textit{Asian Journal of Communication}, \textit{18}(4), 318-332.</w:t>
      </w:r>
    </w:p>
    <w:p w14:paraId="27F702B7" w14:textId="77777777" w:rsidR="00747223" w:rsidRDefault="00D4478D" w:rsidP="00D4478D">
      <w:pPr>
        <w:pStyle w:val="ListParagraph"/>
        <w:numPr>
          <w:ilvl w:val="0"/>
          <w:numId w:val="11"/>
        </w:numPr>
        <w:jc w:val="both"/>
        <w:rPr>
          <w:rFonts w:ascii="Times New Roman" w:hAnsi="Times New Roman" w:cs="Times New Roman"/>
          <w:sz w:val="24"/>
          <w:szCs w:val="24"/>
        </w:rPr>
      </w:pPr>
      <w:r w:rsidRPr="00747223">
        <w:rPr>
          <w:rFonts w:ascii="Times New Roman" w:hAnsi="Times New Roman" w:cs="Times New Roman"/>
          <w:sz w:val="24"/>
          <w:szCs w:val="24"/>
        </w:rPr>
        <w:t>Laukkanen, T. (2007). Consumer value creation in mobile banking services. \textit{Journal of information technology theory and application (JITTA)}, \textit{8}(1), 1.</w:t>
      </w:r>
    </w:p>
    <w:p w14:paraId="06B5E3C3" w14:textId="77777777" w:rsidR="00747223" w:rsidRDefault="00D4478D" w:rsidP="00D4478D">
      <w:pPr>
        <w:pStyle w:val="ListParagraph"/>
        <w:numPr>
          <w:ilvl w:val="0"/>
          <w:numId w:val="11"/>
        </w:numPr>
        <w:jc w:val="both"/>
        <w:rPr>
          <w:rFonts w:ascii="Times New Roman" w:hAnsi="Times New Roman" w:cs="Times New Roman"/>
          <w:sz w:val="24"/>
          <w:szCs w:val="24"/>
        </w:rPr>
      </w:pPr>
      <w:r w:rsidRPr="00747223">
        <w:rPr>
          <w:rFonts w:ascii="Times New Roman" w:hAnsi="Times New Roman" w:cs="Times New Roman"/>
          <w:sz w:val="24"/>
          <w:szCs w:val="24"/>
        </w:rPr>
        <w:t>Mbiti, I., &amp; Weil, D. N. (2015). Mobile banking: The impact on financial development and economic growth. \textit{National Bureau of Economic Research Working Paper Series}, (21884).</w:t>
      </w:r>
    </w:p>
    <w:p w14:paraId="0C393E68" w14:textId="77777777" w:rsidR="00747223" w:rsidRDefault="00D4478D" w:rsidP="00D4478D">
      <w:pPr>
        <w:pStyle w:val="ListParagraph"/>
        <w:numPr>
          <w:ilvl w:val="0"/>
          <w:numId w:val="11"/>
        </w:numPr>
        <w:jc w:val="both"/>
        <w:rPr>
          <w:rFonts w:ascii="Times New Roman" w:hAnsi="Times New Roman" w:cs="Times New Roman"/>
          <w:sz w:val="24"/>
          <w:szCs w:val="24"/>
        </w:rPr>
      </w:pPr>
      <w:r w:rsidRPr="00747223">
        <w:rPr>
          <w:rFonts w:ascii="Times New Roman" w:hAnsi="Times New Roman" w:cs="Times New Roman"/>
          <w:sz w:val="24"/>
          <w:szCs w:val="24"/>
        </w:rPr>
        <w:t>Oliveira, T., Thomas, M., Baptista, G., &amp; Campos, P. (2016). Mobile payment: Understanding the determinants of customer adoption and intention to recommend the technology. \textit{Computers in Human Behavior}, \textit{61}, 404-414.</w:t>
      </w:r>
    </w:p>
    <w:p w14:paraId="45BEDD63" w14:textId="77777777" w:rsidR="00747223" w:rsidRDefault="00D4478D" w:rsidP="00D4478D">
      <w:pPr>
        <w:pStyle w:val="ListParagraph"/>
        <w:numPr>
          <w:ilvl w:val="0"/>
          <w:numId w:val="11"/>
        </w:numPr>
        <w:jc w:val="both"/>
        <w:rPr>
          <w:rFonts w:ascii="Times New Roman" w:hAnsi="Times New Roman" w:cs="Times New Roman"/>
          <w:sz w:val="24"/>
          <w:szCs w:val="24"/>
        </w:rPr>
      </w:pPr>
      <w:r w:rsidRPr="00747223">
        <w:rPr>
          <w:rFonts w:ascii="Times New Roman" w:hAnsi="Times New Roman" w:cs="Times New Roman"/>
          <w:sz w:val="24"/>
          <w:szCs w:val="24"/>
        </w:rPr>
        <w:t>Venkatesh, V., Morris, M. G., Davis, G. B., &amp; Davis, F. D. (2003). User acceptance of information technology: Toward a unified view. \textit{MIS quarterly}, \textit{27}(3), 425-478.</w:t>
      </w:r>
    </w:p>
    <w:p w14:paraId="330E3FBB" w14:textId="77777777" w:rsidR="00747223" w:rsidRDefault="00D4478D" w:rsidP="00D4478D">
      <w:pPr>
        <w:pStyle w:val="ListParagraph"/>
        <w:numPr>
          <w:ilvl w:val="0"/>
          <w:numId w:val="11"/>
        </w:numPr>
        <w:jc w:val="both"/>
        <w:rPr>
          <w:rFonts w:ascii="Times New Roman" w:hAnsi="Times New Roman" w:cs="Times New Roman"/>
          <w:sz w:val="24"/>
          <w:szCs w:val="24"/>
        </w:rPr>
      </w:pPr>
      <w:r w:rsidRPr="00747223">
        <w:rPr>
          <w:rFonts w:ascii="Times New Roman" w:hAnsi="Times New Roman" w:cs="Times New Roman"/>
          <w:sz w:val="24"/>
          <w:szCs w:val="24"/>
        </w:rPr>
        <w:t>Chauhan, S., &amp; Kamal, R. (2016). Determinants of mobile banking adoption in rural India: An empirical study. \textit{International Journal of Bank Marketing}, \textit{34}(7), 1012-1030.</w:t>
      </w:r>
    </w:p>
    <w:p w14:paraId="2712B72F" w14:textId="27670370" w:rsidR="00747223" w:rsidRDefault="00D4478D" w:rsidP="00D4478D">
      <w:pPr>
        <w:pStyle w:val="ListParagraph"/>
        <w:numPr>
          <w:ilvl w:val="0"/>
          <w:numId w:val="11"/>
        </w:numPr>
        <w:jc w:val="both"/>
        <w:rPr>
          <w:rFonts w:ascii="Times New Roman" w:hAnsi="Times New Roman" w:cs="Times New Roman"/>
          <w:sz w:val="24"/>
          <w:szCs w:val="24"/>
        </w:rPr>
      </w:pPr>
      <w:r w:rsidRPr="00747223">
        <w:rPr>
          <w:rFonts w:ascii="Times New Roman" w:hAnsi="Times New Roman" w:cs="Times New Roman"/>
          <w:sz w:val="24"/>
          <w:szCs w:val="24"/>
        </w:rPr>
        <w:t xml:space="preserve">Reserve Bank of India. (2020). \textit{Report of the Committee on Deepening of </w:t>
      </w:r>
      <w:r w:rsidR="00747223">
        <w:rPr>
          <w:rFonts w:ascii="Times New Roman" w:hAnsi="Times New Roman" w:cs="Times New Roman"/>
          <w:sz w:val="24"/>
          <w:szCs w:val="24"/>
        </w:rPr>
        <w:t xml:space="preserve">Digital Payments}. </w:t>
      </w:r>
    </w:p>
    <w:p w14:paraId="3D282216" w14:textId="77777777" w:rsidR="00747223" w:rsidRDefault="00D4478D" w:rsidP="00D4478D">
      <w:pPr>
        <w:pStyle w:val="ListParagraph"/>
        <w:numPr>
          <w:ilvl w:val="0"/>
          <w:numId w:val="11"/>
        </w:numPr>
        <w:jc w:val="both"/>
        <w:rPr>
          <w:rFonts w:ascii="Times New Roman" w:hAnsi="Times New Roman" w:cs="Times New Roman"/>
          <w:sz w:val="24"/>
          <w:szCs w:val="24"/>
        </w:rPr>
      </w:pPr>
      <w:r w:rsidRPr="00747223">
        <w:rPr>
          <w:rFonts w:ascii="Times New Roman" w:hAnsi="Times New Roman" w:cs="Times New Roman"/>
          <w:sz w:val="24"/>
          <w:szCs w:val="24"/>
        </w:rPr>
        <w:t>World Bank. (2017). \textit{The Global Findex Database 2017: Measuring Financial Inclusion and the Fintech Revolution}. World Bank Publications.</w:t>
      </w:r>
    </w:p>
    <w:p w14:paraId="6FD43A5B" w14:textId="47B08946" w:rsidR="00D4478D" w:rsidRPr="00747223" w:rsidRDefault="00D4478D" w:rsidP="00D4478D">
      <w:pPr>
        <w:pStyle w:val="ListParagraph"/>
        <w:numPr>
          <w:ilvl w:val="0"/>
          <w:numId w:val="11"/>
        </w:numPr>
        <w:jc w:val="both"/>
        <w:rPr>
          <w:rFonts w:ascii="Times New Roman" w:hAnsi="Times New Roman" w:cs="Times New Roman"/>
          <w:sz w:val="24"/>
          <w:szCs w:val="24"/>
        </w:rPr>
      </w:pPr>
      <w:r w:rsidRPr="00747223">
        <w:rPr>
          <w:rFonts w:ascii="Times New Roman" w:hAnsi="Times New Roman" w:cs="Times New Roman"/>
          <w:sz w:val="24"/>
          <w:szCs w:val="24"/>
        </w:rPr>
        <w:t xml:space="preserve">National Bank for Agriculture and Rural Development (NABARD). (2019). \textit{Financial Inclusion Survey Report}. NABARD. </w:t>
      </w:r>
    </w:p>
    <w:sectPr w:rsidR="00D4478D" w:rsidRPr="00747223" w:rsidSect="0085327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CAD09F" w14:textId="77777777" w:rsidR="00605A54" w:rsidRDefault="00605A54" w:rsidP="00A1637C">
      <w:pPr>
        <w:spacing w:after="0" w:line="240" w:lineRule="auto"/>
      </w:pPr>
      <w:r>
        <w:separator/>
      </w:r>
    </w:p>
  </w:endnote>
  <w:endnote w:type="continuationSeparator" w:id="0">
    <w:p w14:paraId="0CD8DDD3" w14:textId="77777777" w:rsidR="00605A54" w:rsidRDefault="00605A54" w:rsidP="00A1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0BAD7" w14:textId="77777777" w:rsidR="00605A54" w:rsidRDefault="00605A54" w:rsidP="00A1637C">
      <w:pPr>
        <w:spacing w:after="0" w:line="240" w:lineRule="auto"/>
      </w:pPr>
      <w:r>
        <w:separator/>
      </w:r>
    </w:p>
  </w:footnote>
  <w:footnote w:type="continuationSeparator" w:id="0">
    <w:p w14:paraId="3A960E49" w14:textId="77777777" w:rsidR="00605A54" w:rsidRDefault="00605A54" w:rsidP="00A163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94A81"/>
    <w:multiLevelType w:val="hybridMultilevel"/>
    <w:tmpl w:val="F74A9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864F7"/>
    <w:multiLevelType w:val="hybridMultilevel"/>
    <w:tmpl w:val="5B485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0C129B"/>
    <w:multiLevelType w:val="hybridMultilevel"/>
    <w:tmpl w:val="F3106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2374A6"/>
    <w:multiLevelType w:val="hybridMultilevel"/>
    <w:tmpl w:val="A4164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4C7B78"/>
    <w:multiLevelType w:val="hybridMultilevel"/>
    <w:tmpl w:val="106A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18022D"/>
    <w:multiLevelType w:val="hybridMultilevel"/>
    <w:tmpl w:val="35F2D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696454"/>
    <w:multiLevelType w:val="hybridMultilevel"/>
    <w:tmpl w:val="7A98A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285D2D"/>
    <w:multiLevelType w:val="hybridMultilevel"/>
    <w:tmpl w:val="3CF00E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8BE1077"/>
    <w:multiLevelType w:val="hybridMultilevel"/>
    <w:tmpl w:val="A9F0E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A089E"/>
    <w:multiLevelType w:val="hybridMultilevel"/>
    <w:tmpl w:val="6F86E2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8CE5215"/>
    <w:multiLevelType w:val="hybridMultilevel"/>
    <w:tmpl w:val="90F8F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C61754A"/>
    <w:multiLevelType w:val="hybridMultilevel"/>
    <w:tmpl w:val="E2BE3C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EA26C30"/>
    <w:multiLevelType w:val="hybridMultilevel"/>
    <w:tmpl w:val="6F9AF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88277F"/>
    <w:multiLevelType w:val="hybridMultilevel"/>
    <w:tmpl w:val="D180A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2B15B7"/>
    <w:multiLevelType w:val="hybridMultilevel"/>
    <w:tmpl w:val="A9046B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4FC1D68"/>
    <w:multiLevelType w:val="hybridMultilevel"/>
    <w:tmpl w:val="B0C60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150671"/>
    <w:multiLevelType w:val="hybridMultilevel"/>
    <w:tmpl w:val="BF3E5E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C6D665B"/>
    <w:multiLevelType w:val="hybridMultilevel"/>
    <w:tmpl w:val="DF86CA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DD72218"/>
    <w:multiLevelType w:val="hybridMultilevel"/>
    <w:tmpl w:val="62246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F706F09"/>
    <w:multiLevelType w:val="hybridMultilevel"/>
    <w:tmpl w:val="18CED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87A4007"/>
    <w:multiLevelType w:val="hybridMultilevel"/>
    <w:tmpl w:val="FE50E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F93B04"/>
    <w:multiLevelType w:val="hybridMultilevel"/>
    <w:tmpl w:val="7E6A4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BD7C10"/>
    <w:multiLevelType w:val="hybridMultilevel"/>
    <w:tmpl w:val="72D4B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7"/>
  </w:num>
  <w:num w:numId="3">
    <w:abstractNumId w:val="19"/>
  </w:num>
  <w:num w:numId="4">
    <w:abstractNumId w:val="11"/>
  </w:num>
  <w:num w:numId="5">
    <w:abstractNumId w:val="17"/>
  </w:num>
  <w:num w:numId="6">
    <w:abstractNumId w:val="9"/>
  </w:num>
  <w:num w:numId="7">
    <w:abstractNumId w:val="14"/>
  </w:num>
  <w:num w:numId="8">
    <w:abstractNumId w:val="6"/>
  </w:num>
  <w:num w:numId="9">
    <w:abstractNumId w:val="2"/>
  </w:num>
  <w:num w:numId="10">
    <w:abstractNumId w:val="10"/>
  </w:num>
  <w:num w:numId="11">
    <w:abstractNumId w:val="4"/>
  </w:num>
  <w:num w:numId="12">
    <w:abstractNumId w:val="0"/>
  </w:num>
  <w:num w:numId="13">
    <w:abstractNumId w:val="1"/>
  </w:num>
  <w:num w:numId="14">
    <w:abstractNumId w:val="13"/>
  </w:num>
  <w:num w:numId="15">
    <w:abstractNumId w:val="15"/>
  </w:num>
  <w:num w:numId="16">
    <w:abstractNumId w:val="8"/>
  </w:num>
  <w:num w:numId="17">
    <w:abstractNumId w:val="5"/>
  </w:num>
  <w:num w:numId="18">
    <w:abstractNumId w:val="18"/>
  </w:num>
  <w:num w:numId="19">
    <w:abstractNumId w:val="21"/>
  </w:num>
  <w:num w:numId="20">
    <w:abstractNumId w:val="22"/>
  </w:num>
  <w:num w:numId="21">
    <w:abstractNumId w:val="12"/>
  </w:num>
  <w:num w:numId="22">
    <w:abstractNumId w:val="2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279"/>
    <w:rsid w:val="000315A5"/>
    <w:rsid w:val="00070828"/>
    <w:rsid w:val="00086889"/>
    <w:rsid w:val="0009042E"/>
    <w:rsid w:val="000C7BB6"/>
    <w:rsid w:val="00144390"/>
    <w:rsid w:val="00151A29"/>
    <w:rsid w:val="00166FA8"/>
    <w:rsid w:val="001844EE"/>
    <w:rsid w:val="001C006B"/>
    <w:rsid w:val="00255727"/>
    <w:rsid w:val="002B3E14"/>
    <w:rsid w:val="002C0991"/>
    <w:rsid w:val="002D6F82"/>
    <w:rsid w:val="002E4A35"/>
    <w:rsid w:val="003160DF"/>
    <w:rsid w:val="003B7810"/>
    <w:rsid w:val="00401963"/>
    <w:rsid w:val="00424BCE"/>
    <w:rsid w:val="00461D4C"/>
    <w:rsid w:val="004B52B3"/>
    <w:rsid w:val="004E0218"/>
    <w:rsid w:val="004F7F86"/>
    <w:rsid w:val="0050030A"/>
    <w:rsid w:val="005309F9"/>
    <w:rsid w:val="0056665A"/>
    <w:rsid w:val="00566E78"/>
    <w:rsid w:val="00567C93"/>
    <w:rsid w:val="005D2E33"/>
    <w:rsid w:val="00603923"/>
    <w:rsid w:val="00605A54"/>
    <w:rsid w:val="006E08BC"/>
    <w:rsid w:val="007170F1"/>
    <w:rsid w:val="00735D01"/>
    <w:rsid w:val="00747223"/>
    <w:rsid w:val="007A4759"/>
    <w:rsid w:val="00853279"/>
    <w:rsid w:val="0087522B"/>
    <w:rsid w:val="008E062E"/>
    <w:rsid w:val="008E7FA4"/>
    <w:rsid w:val="008F14DF"/>
    <w:rsid w:val="00956AA4"/>
    <w:rsid w:val="009B721D"/>
    <w:rsid w:val="009C0952"/>
    <w:rsid w:val="00A1637C"/>
    <w:rsid w:val="00A32C9F"/>
    <w:rsid w:val="00A53593"/>
    <w:rsid w:val="00A556D3"/>
    <w:rsid w:val="00AA1F76"/>
    <w:rsid w:val="00AC6E97"/>
    <w:rsid w:val="00AE3E79"/>
    <w:rsid w:val="00B52C33"/>
    <w:rsid w:val="00B866C7"/>
    <w:rsid w:val="00BA5AA4"/>
    <w:rsid w:val="00BB369B"/>
    <w:rsid w:val="00BF204E"/>
    <w:rsid w:val="00CA2C01"/>
    <w:rsid w:val="00D4478D"/>
    <w:rsid w:val="00DA4FB4"/>
    <w:rsid w:val="00DC3F02"/>
    <w:rsid w:val="00E20ECB"/>
    <w:rsid w:val="00E70084"/>
    <w:rsid w:val="00EF46DF"/>
    <w:rsid w:val="00F0334E"/>
    <w:rsid w:val="00F04195"/>
    <w:rsid w:val="00F30A32"/>
    <w:rsid w:val="00F72557"/>
    <w:rsid w:val="00F72F8E"/>
    <w:rsid w:val="00F857DE"/>
    <w:rsid w:val="00FC6831"/>
    <w:rsid w:val="00FD1BF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8BC0FB"/>
  <w15:chartTrackingRefBased/>
  <w15:docId w15:val="{505F168F-41A9-402A-9D2B-78A8C2F2B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32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532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532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532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532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532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532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532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532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32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532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532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532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532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532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532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532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53279"/>
    <w:rPr>
      <w:rFonts w:eastAsiaTheme="majorEastAsia" w:cstheme="majorBidi"/>
      <w:color w:val="272727" w:themeColor="text1" w:themeTint="D8"/>
    </w:rPr>
  </w:style>
  <w:style w:type="paragraph" w:styleId="Title">
    <w:name w:val="Title"/>
    <w:basedOn w:val="Normal"/>
    <w:next w:val="Normal"/>
    <w:link w:val="TitleChar"/>
    <w:uiPriority w:val="10"/>
    <w:qFormat/>
    <w:rsid w:val="008532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532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532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532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53279"/>
    <w:pPr>
      <w:spacing w:before="160"/>
      <w:jc w:val="center"/>
    </w:pPr>
    <w:rPr>
      <w:i/>
      <w:iCs/>
      <w:color w:val="404040" w:themeColor="text1" w:themeTint="BF"/>
    </w:rPr>
  </w:style>
  <w:style w:type="character" w:customStyle="1" w:styleId="QuoteChar">
    <w:name w:val="Quote Char"/>
    <w:basedOn w:val="DefaultParagraphFont"/>
    <w:link w:val="Quote"/>
    <w:uiPriority w:val="29"/>
    <w:rsid w:val="00853279"/>
    <w:rPr>
      <w:i/>
      <w:iCs/>
      <w:color w:val="404040" w:themeColor="text1" w:themeTint="BF"/>
    </w:rPr>
  </w:style>
  <w:style w:type="paragraph" w:styleId="ListParagraph">
    <w:name w:val="List Paragraph"/>
    <w:basedOn w:val="Normal"/>
    <w:uiPriority w:val="1"/>
    <w:qFormat/>
    <w:rsid w:val="00853279"/>
    <w:pPr>
      <w:ind w:left="720"/>
      <w:contextualSpacing/>
    </w:pPr>
  </w:style>
  <w:style w:type="character" w:styleId="IntenseEmphasis">
    <w:name w:val="Intense Emphasis"/>
    <w:basedOn w:val="DefaultParagraphFont"/>
    <w:uiPriority w:val="21"/>
    <w:qFormat/>
    <w:rsid w:val="00853279"/>
    <w:rPr>
      <w:i/>
      <w:iCs/>
      <w:color w:val="2F5496" w:themeColor="accent1" w:themeShade="BF"/>
    </w:rPr>
  </w:style>
  <w:style w:type="paragraph" w:styleId="IntenseQuote">
    <w:name w:val="Intense Quote"/>
    <w:basedOn w:val="Normal"/>
    <w:next w:val="Normal"/>
    <w:link w:val="IntenseQuoteChar"/>
    <w:uiPriority w:val="30"/>
    <w:qFormat/>
    <w:rsid w:val="008532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53279"/>
    <w:rPr>
      <w:i/>
      <w:iCs/>
      <w:color w:val="2F5496" w:themeColor="accent1" w:themeShade="BF"/>
    </w:rPr>
  </w:style>
  <w:style w:type="character" w:styleId="IntenseReference">
    <w:name w:val="Intense Reference"/>
    <w:basedOn w:val="DefaultParagraphFont"/>
    <w:uiPriority w:val="32"/>
    <w:qFormat/>
    <w:rsid w:val="00853279"/>
    <w:rPr>
      <w:b/>
      <w:bCs/>
      <w:smallCaps/>
      <w:color w:val="2F5496" w:themeColor="accent1" w:themeShade="BF"/>
      <w:spacing w:val="5"/>
    </w:rPr>
  </w:style>
  <w:style w:type="character" w:styleId="Hyperlink">
    <w:name w:val="Hyperlink"/>
    <w:basedOn w:val="DefaultParagraphFont"/>
    <w:uiPriority w:val="99"/>
    <w:unhideWhenUsed/>
    <w:rsid w:val="008E062E"/>
    <w:rPr>
      <w:color w:val="0563C1" w:themeColor="hyperlink"/>
      <w:u w:val="single"/>
    </w:rPr>
  </w:style>
  <w:style w:type="character" w:customStyle="1" w:styleId="UnresolvedMention">
    <w:name w:val="Unresolved Mention"/>
    <w:basedOn w:val="DefaultParagraphFont"/>
    <w:uiPriority w:val="99"/>
    <w:semiHidden/>
    <w:unhideWhenUsed/>
    <w:rsid w:val="008E062E"/>
    <w:rPr>
      <w:color w:val="605E5C"/>
      <w:shd w:val="clear" w:color="auto" w:fill="E1DFDD"/>
    </w:rPr>
  </w:style>
  <w:style w:type="paragraph" w:styleId="NoSpacing">
    <w:name w:val="No Spacing"/>
    <w:uiPriority w:val="1"/>
    <w:qFormat/>
    <w:rsid w:val="00AA1F76"/>
    <w:pPr>
      <w:spacing w:after="0" w:line="240" w:lineRule="auto"/>
    </w:pPr>
  </w:style>
  <w:style w:type="paragraph" w:styleId="BodyText">
    <w:name w:val="Body Text"/>
    <w:basedOn w:val="Normal"/>
    <w:link w:val="BodyTextChar"/>
    <w:uiPriority w:val="1"/>
    <w:qFormat/>
    <w:rsid w:val="002E4A35"/>
    <w:pPr>
      <w:widowControl w:val="0"/>
      <w:autoSpaceDE w:val="0"/>
      <w:autoSpaceDN w:val="0"/>
      <w:spacing w:after="0" w:line="240" w:lineRule="auto"/>
      <w:ind w:left="23"/>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2E4A35"/>
    <w:rPr>
      <w:rFonts w:ascii="Times New Roman" w:eastAsia="Times New Roman" w:hAnsi="Times New Roman" w:cs="Times New Roman"/>
      <w:kern w:val="0"/>
      <w:sz w:val="24"/>
      <w:szCs w:val="24"/>
      <w:lang w:val="en-US"/>
      <w14:ligatures w14:val="none"/>
    </w:rPr>
  </w:style>
  <w:style w:type="paragraph" w:styleId="Header">
    <w:name w:val="header"/>
    <w:basedOn w:val="Normal"/>
    <w:link w:val="HeaderChar"/>
    <w:uiPriority w:val="99"/>
    <w:unhideWhenUsed/>
    <w:rsid w:val="00A163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37C"/>
  </w:style>
  <w:style w:type="paragraph" w:styleId="Footer">
    <w:name w:val="footer"/>
    <w:basedOn w:val="Normal"/>
    <w:link w:val="FooterChar"/>
    <w:uiPriority w:val="99"/>
    <w:unhideWhenUsed/>
    <w:rsid w:val="00A163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37C"/>
  </w:style>
  <w:style w:type="character" w:styleId="CommentReference">
    <w:name w:val="annotation reference"/>
    <w:basedOn w:val="DefaultParagraphFont"/>
    <w:uiPriority w:val="99"/>
    <w:semiHidden/>
    <w:unhideWhenUsed/>
    <w:rsid w:val="00603923"/>
    <w:rPr>
      <w:sz w:val="16"/>
      <w:szCs w:val="16"/>
    </w:rPr>
  </w:style>
  <w:style w:type="paragraph" w:styleId="CommentText">
    <w:name w:val="annotation text"/>
    <w:basedOn w:val="Normal"/>
    <w:link w:val="CommentTextChar"/>
    <w:uiPriority w:val="99"/>
    <w:semiHidden/>
    <w:unhideWhenUsed/>
    <w:rsid w:val="00603923"/>
    <w:pPr>
      <w:spacing w:line="240" w:lineRule="auto"/>
    </w:pPr>
    <w:rPr>
      <w:sz w:val="20"/>
      <w:szCs w:val="20"/>
    </w:rPr>
  </w:style>
  <w:style w:type="character" w:customStyle="1" w:styleId="CommentTextChar">
    <w:name w:val="Comment Text Char"/>
    <w:basedOn w:val="DefaultParagraphFont"/>
    <w:link w:val="CommentText"/>
    <w:uiPriority w:val="99"/>
    <w:semiHidden/>
    <w:rsid w:val="00603923"/>
    <w:rPr>
      <w:sz w:val="20"/>
      <w:szCs w:val="20"/>
    </w:rPr>
  </w:style>
  <w:style w:type="paragraph" w:styleId="CommentSubject">
    <w:name w:val="annotation subject"/>
    <w:basedOn w:val="CommentText"/>
    <w:next w:val="CommentText"/>
    <w:link w:val="CommentSubjectChar"/>
    <w:uiPriority w:val="99"/>
    <w:semiHidden/>
    <w:unhideWhenUsed/>
    <w:rsid w:val="00603923"/>
    <w:rPr>
      <w:b/>
      <w:bCs/>
    </w:rPr>
  </w:style>
  <w:style w:type="character" w:customStyle="1" w:styleId="CommentSubjectChar">
    <w:name w:val="Comment Subject Char"/>
    <w:basedOn w:val="CommentTextChar"/>
    <w:link w:val="CommentSubject"/>
    <w:uiPriority w:val="99"/>
    <w:semiHidden/>
    <w:rsid w:val="00603923"/>
    <w:rPr>
      <w:b/>
      <w:bCs/>
      <w:sz w:val="20"/>
      <w:szCs w:val="20"/>
    </w:rPr>
  </w:style>
  <w:style w:type="paragraph" w:styleId="BalloonText">
    <w:name w:val="Balloon Text"/>
    <w:basedOn w:val="Normal"/>
    <w:link w:val="BalloonTextChar"/>
    <w:uiPriority w:val="99"/>
    <w:semiHidden/>
    <w:unhideWhenUsed/>
    <w:rsid w:val="006039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9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865156">
      <w:bodyDiv w:val="1"/>
      <w:marLeft w:val="0"/>
      <w:marRight w:val="0"/>
      <w:marTop w:val="0"/>
      <w:marBottom w:val="0"/>
      <w:divBdr>
        <w:top w:val="none" w:sz="0" w:space="0" w:color="auto"/>
        <w:left w:val="none" w:sz="0" w:space="0" w:color="auto"/>
        <w:bottom w:val="none" w:sz="0" w:space="0" w:color="auto"/>
        <w:right w:val="none" w:sz="0" w:space="0" w:color="auto"/>
      </w:divBdr>
    </w:div>
    <w:div w:id="179666828">
      <w:bodyDiv w:val="1"/>
      <w:marLeft w:val="0"/>
      <w:marRight w:val="0"/>
      <w:marTop w:val="0"/>
      <w:marBottom w:val="0"/>
      <w:divBdr>
        <w:top w:val="none" w:sz="0" w:space="0" w:color="auto"/>
        <w:left w:val="none" w:sz="0" w:space="0" w:color="auto"/>
        <w:bottom w:val="none" w:sz="0" w:space="0" w:color="auto"/>
        <w:right w:val="none" w:sz="0" w:space="0" w:color="auto"/>
      </w:divBdr>
    </w:div>
    <w:div w:id="184755238">
      <w:bodyDiv w:val="1"/>
      <w:marLeft w:val="0"/>
      <w:marRight w:val="0"/>
      <w:marTop w:val="0"/>
      <w:marBottom w:val="0"/>
      <w:divBdr>
        <w:top w:val="none" w:sz="0" w:space="0" w:color="auto"/>
        <w:left w:val="none" w:sz="0" w:space="0" w:color="auto"/>
        <w:bottom w:val="none" w:sz="0" w:space="0" w:color="auto"/>
        <w:right w:val="none" w:sz="0" w:space="0" w:color="auto"/>
      </w:divBdr>
    </w:div>
    <w:div w:id="228075931">
      <w:bodyDiv w:val="1"/>
      <w:marLeft w:val="0"/>
      <w:marRight w:val="0"/>
      <w:marTop w:val="0"/>
      <w:marBottom w:val="0"/>
      <w:divBdr>
        <w:top w:val="none" w:sz="0" w:space="0" w:color="auto"/>
        <w:left w:val="none" w:sz="0" w:space="0" w:color="auto"/>
        <w:bottom w:val="none" w:sz="0" w:space="0" w:color="auto"/>
        <w:right w:val="none" w:sz="0" w:space="0" w:color="auto"/>
      </w:divBdr>
    </w:div>
    <w:div w:id="372924454">
      <w:bodyDiv w:val="1"/>
      <w:marLeft w:val="0"/>
      <w:marRight w:val="0"/>
      <w:marTop w:val="0"/>
      <w:marBottom w:val="0"/>
      <w:divBdr>
        <w:top w:val="none" w:sz="0" w:space="0" w:color="auto"/>
        <w:left w:val="none" w:sz="0" w:space="0" w:color="auto"/>
        <w:bottom w:val="none" w:sz="0" w:space="0" w:color="auto"/>
        <w:right w:val="none" w:sz="0" w:space="0" w:color="auto"/>
      </w:divBdr>
    </w:div>
    <w:div w:id="429275538">
      <w:bodyDiv w:val="1"/>
      <w:marLeft w:val="0"/>
      <w:marRight w:val="0"/>
      <w:marTop w:val="0"/>
      <w:marBottom w:val="0"/>
      <w:divBdr>
        <w:top w:val="none" w:sz="0" w:space="0" w:color="auto"/>
        <w:left w:val="none" w:sz="0" w:space="0" w:color="auto"/>
        <w:bottom w:val="none" w:sz="0" w:space="0" w:color="auto"/>
        <w:right w:val="none" w:sz="0" w:space="0" w:color="auto"/>
      </w:divBdr>
    </w:div>
    <w:div w:id="461659969">
      <w:bodyDiv w:val="1"/>
      <w:marLeft w:val="0"/>
      <w:marRight w:val="0"/>
      <w:marTop w:val="0"/>
      <w:marBottom w:val="0"/>
      <w:divBdr>
        <w:top w:val="none" w:sz="0" w:space="0" w:color="auto"/>
        <w:left w:val="none" w:sz="0" w:space="0" w:color="auto"/>
        <w:bottom w:val="none" w:sz="0" w:space="0" w:color="auto"/>
        <w:right w:val="none" w:sz="0" w:space="0" w:color="auto"/>
      </w:divBdr>
    </w:div>
    <w:div w:id="945501739">
      <w:bodyDiv w:val="1"/>
      <w:marLeft w:val="0"/>
      <w:marRight w:val="0"/>
      <w:marTop w:val="0"/>
      <w:marBottom w:val="0"/>
      <w:divBdr>
        <w:top w:val="none" w:sz="0" w:space="0" w:color="auto"/>
        <w:left w:val="none" w:sz="0" w:space="0" w:color="auto"/>
        <w:bottom w:val="none" w:sz="0" w:space="0" w:color="auto"/>
        <w:right w:val="none" w:sz="0" w:space="0" w:color="auto"/>
      </w:divBdr>
    </w:div>
    <w:div w:id="980815972">
      <w:bodyDiv w:val="1"/>
      <w:marLeft w:val="0"/>
      <w:marRight w:val="0"/>
      <w:marTop w:val="0"/>
      <w:marBottom w:val="0"/>
      <w:divBdr>
        <w:top w:val="none" w:sz="0" w:space="0" w:color="auto"/>
        <w:left w:val="none" w:sz="0" w:space="0" w:color="auto"/>
        <w:bottom w:val="none" w:sz="0" w:space="0" w:color="auto"/>
        <w:right w:val="none" w:sz="0" w:space="0" w:color="auto"/>
      </w:divBdr>
    </w:div>
    <w:div w:id="1064136421">
      <w:bodyDiv w:val="1"/>
      <w:marLeft w:val="0"/>
      <w:marRight w:val="0"/>
      <w:marTop w:val="0"/>
      <w:marBottom w:val="0"/>
      <w:divBdr>
        <w:top w:val="none" w:sz="0" w:space="0" w:color="auto"/>
        <w:left w:val="none" w:sz="0" w:space="0" w:color="auto"/>
        <w:bottom w:val="none" w:sz="0" w:space="0" w:color="auto"/>
        <w:right w:val="none" w:sz="0" w:space="0" w:color="auto"/>
      </w:divBdr>
    </w:div>
    <w:div w:id="1196886192">
      <w:bodyDiv w:val="1"/>
      <w:marLeft w:val="0"/>
      <w:marRight w:val="0"/>
      <w:marTop w:val="0"/>
      <w:marBottom w:val="0"/>
      <w:divBdr>
        <w:top w:val="none" w:sz="0" w:space="0" w:color="auto"/>
        <w:left w:val="none" w:sz="0" w:space="0" w:color="auto"/>
        <w:bottom w:val="none" w:sz="0" w:space="0" w:color="auto"/>
        <w:right w:val="none" w:sz="0" w:space="0" w:color="auto"/>
      </w:divBdr>
    </w:div>
    <w:div w:id="1240406700">
      <w:bodyDiv w:val="1"/>
      <w:marLeft w:val="0"/>
      <w:marRight w:val="0"/>
      <w:marTop w:val="0"/>
      <w:marBottom w:val="0"/>
      <w:divBdr>
        <w:top w:val="none" w:sz="0" w:space="0" w:color="auto"/>
        <w:left w:val="none" w:sz="0" w:space="0" w:color="auto"/>
        <w:bottom w:val="none" w:sz="0" w:space="0" w:color="auto"/>
        <w:right w:val="none" w:sz="0" w:space="0" w:color="auto"/>
      </w:divBdr>
    </w:div>
    <w:div w:id="1722288994">
      <w:bodyDiv w:val="1"/>
      <w:marLeft w:val="0"/>
      <w:marRight w:val="0"/>
      <w:marTop w:val="0"/>
      <w:marBottom w:val="0"/>
      <w:divBdr>
        <w:top w:val="none" w:sz="0" w:space="0" w:color="auto"/>
        <w:left w:val="none" w:sz="0" w:space="0" w:color="auto"/>
        <w:bottom w:val="none" w:sz="0" w:space="0" w:color="auto"/>
        <w:right w:val="none" w:sz="0" w:space="0" w:color="auto"/>
      </w:divBdr>
    </w:div>
    <w:div w:id="213906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r>
              <a:rPr lang="en-US"/>
              <a:t>Education</a:t>
            </a:r>
            <a:r>
              <a:rPr lang="en-US" baseline="0"/>
              <a:t> LevelS of respodnets </a:t>
            </a:r>
            <a:endParaRPr lang="en-US"/>
          </a:p>
        </c:rich>
      </c:tx>
      <c:overlay val="0"/>
      <c:spPr>
        <a:noFill/>
        <a:ln>
          <a:noFill/>
        </a:ln>
        <a:effectLst/>
      </c:spPr>
      <c:txPr>
        <a:bodyPr rot="0" spcFirstLastPara="1" vertOverflow="ellipsis" vert="horz" wrap="square" anchor="ctr" anchorCtr="1"/>
        <a:lstStyle/>
        <a:p>
          <a:pPr>
            <a:defRPr sz="1400" b="1" i="0" u="none" strike="noStrike" kern="1200" cap="all" spc="50" baseline="0">
              <a:solidFill>
                <a:schemeClr val="tx1">
                  <a:lumMod val="65000"/>
                  <a:lumOff val="35000"/>
                </a:schemeClr>
              </a:solidFill>
              <a:latin typeface="+mn-lt"/>
              <a:ea typeface="+mn-ea"/>
              <a:cs typeface="+mn-cs"/>
            </a:defRPr>
          </a:pPr>
          <a:endParaRPr lang="en-US"/>
        </a:p>
      </c:txPr>
    </c:title>
    <c:autoTitleDeleted val="0"/>
    <c:plotArea>
      <c:layout/>
      <c:doughnut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Sheet1!$A$8:$A$12</c:f>
              <c:strCache>
                <c:ptCount val="5"/>
                <c:pt idx="0">
                  <c:v>No Formal Education</c:v>
                </c:pt>
                <c:pt idx="1">
                  <c:v>Primary School</c:v>
                </c:pt>
                <c:pt idx="2">
                  <c:v>Secondary School</c:v>
                </c:pt>
                <c:pt idx="3">
                  <c:v>Graduate </c:v>
                </c:pt>
                <c:pt idx="4">
                  <c:v>Post Graduate </c:v>
                </c:pt>
              </c:strCache>
            </c:strRef>
          </c:cat>
          <c:val>
            <c:numRef>
              <c:f>Sheet1!$B$8:$B$12</c:f>
              <c:numCache>
                <c:formatCode>General</c:formatCode>
                <c:ptCount val="5"/>
              </c:numCache>
            </c:numRef>
          </c:val>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Sheet1!$A$8:$A$12</c:f>
              <c:strCache>
                <c:ptCount val="5"/>
                <c:pt idx="0">
                  <c:v>No Formal Education</c:v>
                </c:pt>
                <c:pt idx="1">
                  <c:v>Primary School</c:v>
                </c:pt>
                <c:pt idx="2">
                  <c:v>Secondary School</c:v>
                </c:pt>
                <c:pt idx="3">
                  <c:v>Graduate </c:v>
                </c:pt>
                <c:pt idx="4">
                  <c:v>Post Graduate </c:v>
                </c:pt>
              </c:strCache>
            </c:strRef>
          </c:cat>
          <c:val>
            <c:numRef>
              <c:f>Sheet1!$C$8:$C$12</c:f>
              <c:numCache>
                <c:formatCode>General</c:formatCode>
                <c:ptCount val="5"/>
                <c:pt idx="0">
                  <c:v>12</c:v>
                </c:pt>
                <c:pt idx="1">
                  <c:v>19</c:v>
                </c:pt>
                <c:pt idx="2">
                  <c:v>29</c:v>
                </c:pt>
                <c:pt idx="3">
                  <c:v>24</c:v>
                </c:pt>
                <c:pt idx="4">
                  <c:v>26</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dk1"/>
                </a:solidFill>
                <a:effectLst>
                  <a:outerShdw blurRad="50800" dist="38100" dir="5400000" algn="t" rotWithShape="0">
                    <a:prstClr val="black">
                      <a:alpha val="40000"/>
                    </a:prstClr>
                  </a:outerShdw>
                </a:effectLst>
                <a:latin typeface="+mn-lt"/>
                <a:ea typeface="+mn-ea"/>
                <a:cs typeface="+mn-cs"/>
              </a:defRPr>
            </a:pPr>
            <a:r>
              <a:rPr lang="en-US"/>
              <a:t>Occupation </a:t>
            </a:r>
            <a:r>
              <a:rPr lang="en-US" sz="1600" b="1" i="0" u="none" strike="noStrike" baseline="0">
                <a:effectLst/>
              </a:rPr>
              <a:t>of respondents </a:t>
            </a:r>
            <a:endParaRPr lang="en-US"/>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dk1"/>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plotArea>
      <c:layout/>
      <c:doughnut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Sheet1!$D$19:$D$23</c:f>
              <c:strCache>
                <c:ptCount val="5"/>
                <c:pt idx="0">
                  <c:v>Self empolyed </c:v>
                </c:pt>
                <c:pt idx="1">
                  <c:v>Private Job</c:v>
                </c:pt>
                <c:pt idx="2">
                  <c:v>Government Job</c:v>
                </c:pt>
                <c:pt idx="3">
                  <c:v>Student</c:v>
                </c:pt>
                <c:pt idx="4">
                  <c:v>Unempolyed</c:v>
                </c:pt>
              </c:strCache>
            </c:strRef>
          </c:cat>
          <c:val>
            <c:numRef>
              <c:f>Sheet1!$E$19:$E$23</c:f>
              <c:numCache>
                <c:formatCode>General</c:formatCode>
                <c:ptCount val="5"/>
              </c:numCache>
            </c:numRef>
          </c:val>
        </c:ser>
        <c:ser>
          <c:idx val="1"/>
          <c:order val="1"/>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Pt>
            <c:idx val="4"/>
            <c:bubble3D val="0"/>
            <c:spPr>
              <a:gradFill rotWithShape="1">
                <a:gsLst>
                  <a:gs pos="0">
                    <a:schemeClr val="accent5">
                      <a:satMod val="103000"/>
                      <a:lumMod val="102000"/>
                      <a:tint val="94000"/>
                    </a:schemeClr>
                  </a:gs>
                  <a:gs pos="50000">
                    <a:schemeClr val="accent5">
                      <a:satMod val="110000"/>
                      <a:lumMod val="100000"/>
                      <a:shade val="100000"/>
                    </a:schemeClr>
                  </a:gs>
                  <a:gs pos="100000">
                    <a:schemeClr val="accent5">
                      <a:lumMod val="99000"/>
                      <a:satMod val="120000"/>
                      <a:shade val="78000"/>
                    </a:schemeClr>
                  </a:gs>
                </a:gsLst>
                <a:lin ang="5400000" scaled="0"/>
              </a:gradFill>
              <a:ln>
                <a:noFill/>
              </a:ln>
              <a:effectLst>
                <a:outerShdw blurRad="57150" dist="19050" dir="5400000" algn="ctr" rotWithShape="0">
                  <a:srgbClr val="000000">
                    <a:alpha val="63000"/>
                  </a:srgbClr>
                </a:outerShdw>
              </a:effectLst>
            </c:spPr>
          </c:dPt>
          <c:dLbls>
            <c:spPr>
              <a:solidFill>
                <a:schemeClr val="lt1"/>
              </a:solidFill>
              <a:ln w="12700" cap="flat" cmpd="sng" algn="ctr">
                <a:solidFill>
                  <a:schemeClr val="accent2"/>
                </a:solidFill>
                <a:prstDash val="solid"/>
                <a:miter lim="800000"/>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solidFill>
                    <a:latin typeface="+mn-lt"/>
                    <a:ea typeface="+mn-ea"/>
                    <a:cs typeface="+mn-cs"/>
                  </a:defRPr>
                </a:pPr>
                <a:endParaRPr lang="en-US"/>
              </a:p>
            </c:txPr>
            <c:showLegendKey val="0"/>
            <c:showVal val="1"/>
            <c:showCatName val="0"/>
            <c:showSerName val="0"/>
            <c:showPercent val="1"/>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Sheet1!$D$19:$D$23</c:f>
              <c:strCache>
                <c:ptCount val="5"/>
                <c:pt idx="0">
                  <c:v>Self empolyed </c:v>
                </c:pt>
                <c:pt idx="1">
                  <c:v>Private Job</c:v>
                </c:pt>
                <c:pt idx="2">
                  <c:v>Government Job</c:v>
                </c:pt>
                <c:pt idx="3">
                  <c:v>Student</c:v>
                </c:pt>
                <c:pt idx="4">
                  <c:v>Unempolyed</c:v>
                </c:pt>
              </c:strCache>
            </c:strRef>
          </c:cat>
          <c:val>
            <c:numRef>
              <c:f>Sheet1!$F$19:$F$23</c:f>
              <c:numCache>
                <c:formatCode>General</c:formatCode>
                <c:ptCount val="5"/>
                <c:pt idx="0">
                  <c:v>19</c:v>
                </c:pt>
                <c:pt idx="1">
                  <c:v>35</c:v>
                </c:pt>
                <c:pt idx="2">
                  <c:v>20</c:v>
                </c:pt>
                <c:pt idx="3">
                  <c:v>22</c:v>
                </c:pt>
                <c:pt idx="4">
                  <c:v>26</c:v>
                </c:pt>
              </c:numCache>
            </c:numRef>
          </c:val>
        </c:ser>
        <c:dLbls>
          <c:showLegendKey val="0"/>
          <c:showVal val="1"/>
          <c:showCatName val="0"/>
          <c:showSerName val="0"/>
          <c:showPercent val="0"/>
          <c:showBubbleSize val="0"/>
          <c:showLeaderLines val="1"/>
        </c:dLbls>
        <c:firstSliceAng val="0"/>
        <c:holeSize val="75"/>
      </c:doughnut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solidFill>
              <a:latin typeface="+mn-lt"/>
              <a:ea typeface="+mn-ea"/>
              <a:cs typeface="+mn-cs"/>
            </a:defRPr>
          </a:pPr>
          <a:endParaRPr lang="en-US"/>
        </a:p>
      </c:txPr>
    </c:legend>
    <c:plotVisOnly val="1"/>
    <c:dispBlanksAs val="gap"/>
    <c:showDLblsOverMax val="0"/>
  </c:chart>
  <c:spPr>
    <a:solidFill>
      <a:schemeClr val="lt1"/>
    </a:solidFill>
    <a:ln w="12700" cap="flat" cmpd="sng" algn="ctr">
      <a:solidFill>
        <a:schemeClr val="accent1"/>
      </a:solidFill>
      <a:prstDash val="solid"/>
      <a:miter lim="800000"/>
    </a:ln>
    <a:effectLst/>
  </c:spPr>
  <c:txPr>
    <a:bodyPr/>
    <a:lstStyle/>
    <a:p>
      <a:pPr>
        <a:defRPr>
          <a:solidFill>
            <a:schemeClr val="dk1"/>
          </a:solidFill>
          <a:latin typeface="+mn-lt"/>
          <a:ea typeface="+mn-ea"/>
          <a:cs typeface="+mn-cs"/>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baseline="0">
                <a:solidFill>
                  <a:schemeClr val="dk1">
                    <a:lumMod val="65000"/>
                    <a:lumOff val="35000"/>
                  </a:schemeClr>
                </a:solidFill>
                <a:effectLst/>
                <a:latin typeface="+mn-lt"/>
                <a:ea typeface="+mn-ea"/>
                <a:cs typeface="+mn-cs"/>
              </a:defRPr>
            </a:pPr>
            <a:r>
              <a:rPr lang="en-US" sz="1200"/>
              <a:t>Frequently use of mobile banking of </a:t>
            </a:r>
            <a:r>
              <a:rPr lang="en-US" sz="1200" b="0" i="0" u="none" strike="noStrike" baseline="0">
                <a:effectLst/>
              </a:rPr>
              <a:t>respondents</a:t>
            </a:r>
            <a:r>
              <a:rPr lang="en-US" sz="1200"/>
              <a:t> </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dk1">
                  <a:lumMod val="65000"/>
                  <a:lumOff val="35000"/>
                </a:schemeClr>
              </a:solidFill>
              <a:effectLst/>
              <a:latin typeface="+mn-lt"/>
              <a:ea typeface="+mn-ea"/>
              <a:cs typeface="+mn-cs"/>
            </a:defRPr>
          </a:pPr>
          <a:endParaRPr lang="en-US"/>
        </a:p>
      </c:txPr>
    </c:title>
    <c:autoTitleDeleted val="0"/>
    <c:plotArea>
      <c:layout/>
      <c:barChart>
        <c:barDir val="col"/>
        <c:grouping val="clustered"/>
        <c:varyColors val="0"/>
        <c:ser>
          <c:idx val="0"/>
          <c:order val="0"/>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Sheet1!$G$2:$G$5</c:f>
              <c:strCache>
                <c:ptCount val="4"/>
                <c:pt idx="0">
                  <c:v>DAILY</c:v>
                </c:pt>
                <c:pt idx="1">
                  <c:v>WEEKLY </c:v>
                </c:pt>
                <c:pt idx="2">
                  <c:v>MONTHLY</c:v>
                </c:pt>
                <c:pt idx="3">
                  <c:v>RARELY</c:v>
                </c:pt>
              </c:strCache>
            </c:strRef>
          </c:cat>
          <c:val>
            <c:numRef>
              <c:f>Sheet1!$H$2:$H$5</c:f>
              <c:numCache>
                <c:formatCode>General</c:formatCode>
                <c:ptCount val="4"/>
                <c:pt idx="0">
                  <c:v>41.8</c:v>
                </c:pt>
                <c:pt idx="1">
                  <c:v>23.6</c:v>
                </c:pt>
                <c:pt idx="2">
                  <c:v>18.2</c:v>
                </c:pt>
                <c:pt idx="3">
                  <c:v>16.399999999999999</c:v>
                </c:pt>
              </c:numCache>
            </c:numRef>
          </c:val>
        </c:ser>
        <c:dLbls>
          <c:dLblPos val="inEnd"/>
          <c:showLegendKey val="0"/>
          <c:showVal val="1"/>
          <c:showCatName val="0"/>
          <c:showSerName val="0"/>
          <c:showPercent val="0"/>
          <c:showBubbleSize val="0"/>
        </c:dLbls>
        <c:gapWidth val="41"/>
        <c:axId val="486411632"/>
        <c:axId val="486413200"/>
      </c:barChart>
      <c:catAx>
        <c:axId val="486411632"/>
        <c:scaling>
          <c:orientation val="minMax"/>
        </c:scaling>
        <c:delete val="0"/>
        <c:axPos val="b"/>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US"/>
          </a:p>
        </c:txPr>
        <c:crossAx val="486413200"/>
        <c:crosses val="autoZero"/>
        <c:auto val="1"/>
        <c:lblAlgn val="ctr"/>
        <c:lblOffset val="100"/>
        <c:noMultiLvlLbl val="0"/>
      </c:catAx>
      <c:valAx>
        <c:axId val="486413200"/>
        <c:scaling>
          <c:orientation val="minMax"/>
        </c:scaling>
        <c:delete val="0"/>
        <c:axPos val="l"/>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t>PERCENTAGES</a:t>
                </a:r>
              </a:p>
            </c:rich>
          </c:tx>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486411632"/>
        <c:crosses val="autoZero"/>
        <c:crossBetween val="between"/>
      </c:valAx>
      <c:dTable>
        <c:showHorzBorder val="1"/>
        <c:showVertBorder val="1"/>
        <c:showOutline val="1"/>
        <c:showKeys val="1"/>
        <c:spPr>
          <a:noFill/>
          <a:ln w="9525">
            <a:solidFill>
              <a:schemeClr val="dk1">
                <a:lumMod val="15000"/>
                <a:lumOff val="85000"/>
              </a:schemeClr>
            </a:solid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solidFill>
                  <a:sysClr val="windowText" lastClr="000000">
                    <a:lumMod val="65000"/>
                    <a:lumOff val="35000"/>
                  </a:sysClr>
                </a:solidFill>
                <a:latin typeface="+mn-lt"/>
                <a:ea typeface="+mn-ea"/>
                <a:cs typeface="+mn-cs"/>
              </a:defRPr>
            </a:pPr>
            <a:r>
              <a:rPr lang="en-US" sz="1200" b="0" i="0" baseline="0">
                <a:solidFill>
                  <a:sysClr val="windowText" lastClr="000000"/>
                </a:solidFill>
                <a:effectLst>
                  <a:outerShdw blurRad="50800" dist="38100" dir="5400000" algn="t" rotWithShape="0">
                    <a:srgbClr val="000000">
                      <a:alpha val="40000"/>
                    </a:srgbClr>
                  </a:outerShdw>
                </a:effectLst>
                <a:latin typeface="Times New Roman" panose="02020603050405020304" pitchFamily="18" charset="0"/>
                <a:cs typeface="Times New Roman" panose="02020603050405020304" pitchFamily="18" charset="0"/>
              </a:rPr>
              <a:t>Trust on mobile banking </a:t>
            </a:r>
            <a:r>
              <a:rPr lang="en-US" sz="1200" b="0" i="0" baseline="0">
                <a:solidFill>
                  <a:sysClr val="windowText" lastClr="000000"/>
                </a:solidFill>
                <a:effectLst/>
                <a:latin typeface="Times New Roman" panose="02020603050405020304" pitchFamily="18" charset="0"/>
                <a:cs typeface="Times New Roman" panose="02020603050405020304" pitchFamily="18" charset="0"/>
              </a:rPr>
              <a:t>of </a:t>
            </a:r>
            <a:r>
              <a:rPr lang="en-US" sz="1200" b="1" i="0" baseline="0">
                <a:solidFill>
                  <a:sysClr val="windowText" lastClr="000000"/>
                </a:solidFill>
                <a:effectLst/>
                <a:latin typeface="Times New Roman" panose="02020603050405020304" pitchFamily="18" charset="0"/>
                <a:cs typeface="Times New Roman" panose="02020603050405020304" pitchFamily="18" charset="0"/>
              </a:rPr>
              <a:t>respondents</a:t>
            </a:r>
            <a:r>
              <a:rPr lang="en-US" sz="1200" b="1" i="0" baseline="0">
                <a:solidFill>
                  <a:sysClr val="windowText" lastClr="000000"/>
                </a:solidFill>
                <a:effectLst/>
              </a:rPr>
              <a:t> </a:t>
            </a:r>
            <a:endParaRPr lang="en-US" sz="1050">
              <a:solidFill>
                <a:sysClr val="windowText" lastClr="000000"/>
              </a:solidFill>
              <a:effectLst/>
            </a:endParaRPr>
          </a:p>
        </c:rich>
      </c:tx>
      <c:layout>
        <c:manualLayout>
          <c:xMode val="edge"/>
          <c:yMode val="edge"/>
          <c:x val="0.12057381039202582"/>
          <c:y val="3.5502958579881658E-2"/>
        </c:manualLayout>
      </c:layout>
      <c:overlay val="0"/>
      <c:spPr>
        <a:noFill/>
        <a:ln>
          <a:noFill/>
        </a:ln>
        <a:effectLst/>
      </c:spPr>
      <c:txPr>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1" i="0" u="none" strike="noStrike" kern="1200" cap="all" spc="50" baseline="0">
              <a:solidFill>
                <a:sysClr val="windowText" lastClr="000000">
                  <a:lumMod val="65000"/>
                  <a:lumOff val="35000"/>
                </a:sysClr>
              </a:solidFill>
              <a:latin typeface="+mn-lt"/>
              <a:ea typeface="+mn-ea"/>
              <a:cs typeface="+mn-cs"/>
            </a:defRPr>
          </a:pPr>
          <a:endParaRPr lang="en-US"/>
        </a:p>
      </c:txPr>
    </c:title>
    <c:autoTitleDeleted val="0"/>
    <c:plotArea>
      <c:layout>
        <c:manualLayout>
          <c:layoutTarget val="inner"/>
          <c:xMode val="edge"/>
          <c:yMode val="edge"/>
          <c:x val="0.39444561729805933"/>
          <c:y val="0.30777907437829266"/>
          <c:w val="0.2488851977925538"/>
          <c:h val="0.62315617742026852"/>
        </c:manualLayout>
      </c:layout>
      <c:doughnutChart>
        <c:varyColors val="1"/>
        <c:ser>
          <c:idx val="0"/>
          <c:order val="0"/>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Sheet1!$F$15:$F$19</c:f>
              <c:strCache>
                <c:ptCount val="5"/>
                <c:pt idx="0">
                  <c:v>very much</c:v>
                </c:pt>
                <c:pt idx="1">
                  <c:v>much</c:v>
                </c:pt>
                <c:pt idx="2">
                  <c:v>netural</c:v>
                </c:pt>
                <c:pt idx="3">
                  <c:v>little</c:v>
                </c:pt>
                <c:pt idx="4">
                  <c:v>very  little</c:v>
                </c:pt>
              </c:strCache>
            </c:strRef>
          </c:cat>
          <c:val>
            <c:numRef>
              <c:f>Sheet1!$G$15:$G$19</c:f>
              <c:numCache>
                <c:formatCode>General</c:formatCode>
                <c:ptCount val="5"/>
              </c:numCache>
            </c:numRef>
          </c:val>
        </c:ser>
        <c:ser>
          <c:idx val="1"/>
          <c:order val="1"/>
          <c:dPt>
            <c:idx val="0"/>
            <c:bubble3D val="0"/>
            <c:spPr>
              <a:solidFill>
                <a:schemeClr val="accent1"/>
              </a:solidFill>
              <a:ln>
                <a:noFill/>
              </a:ln>
              <a:effectLst/>
              <a:scene3d>
                <a:camera prst="orthographicFront"/>
                <a:lightRig rig="brightRoom" dir="t"/>
              </a:scene3d>
              <a:sp3d prstMaterial="flat">
                <a:bevelT w="50800" h="101600" prst="angle"/>
                <a:contourClr>
                  <a:srgbClr val="000000"/>
                </a:contourClr>
              </a:sp3d>
            </c:spPr>
          </c:dPt>
          <c:dPt>
            <c:idx val="1"/>
            <c:bubble3D val="0"/>
            <c:spPr>
              <a:solidFill>
                <a:schemeClr val="accent2"/>
              </a:solidFill>
              <a:ln>
                <a:noFill/>
              </a:ln>
              <a:effectLst/>
              <a:scene3d>
                <a:camera prst="orthographicFront"/>
                <a:lightRig rig="brightRoom" dir="t"/>
              </a:scene3d>
              <a:sp3d prstMaterial="flat">
                <a:bevelT w="50800" h="101600" prst="angle"/>
                <a:contourClr>
                  <a:srgbClr val="000000"/>
                </a:contourClr>
              </a:sp3d>
            </c:spPr>
          </c:dPt>
          <c:dPt>
            <c:idx val="2"/>
            <c:bubble3D val="0"/>
            <c:spPr>
              <a:solidFill>
                <a:schemeClr val="accent3"/>
              </a:solidFill>
              <a:ln>
                <a:noFill/>
              </a:ln>
              <a:effectLst/>
              <a:scene3d>
                <a:camera prst="orthographicFront"/>
                <a:lightRig rig="brightRoom" dir="t"/>
              </a:scene3d>
              <a:sp3d prstMaterial="flat">
                <a:bevelT w="50800" h="101600" prst="angle"/>
                <a:contourClr>
                  <a:srgbClr val="000000"/>
                </a:contourClr>
              </a:sp3d>
            </c:spPr>
          </c:dPt>
          <c:dPt>
            <c:idx val="3"/>
            <c:bubble3D val="0"/>
            <c:spPr>
              <a:solidFill>
                <a:schemeClr val="accent4"/>
              </a:solidFill>
              <a:ln>
                <a:noFill/>
              </a:ln>
              <a:effectLst/>
              <a:scene3d>
                <a:camera prst="orthographicFront"/>
                <a:lightRig rig="brightRoom" dir="t"/>
              </a:scene3d>
              <a:sp3d prstMaterial="flat">
                <a:bevelT w="50800" h="101600" prst="angle"/>
                <a:contourClr>
                  <a:srgbClr val="000000"/>
                </a:contourClr>
              </a:sp3d>
            </c:spPr>
          </c:dPt>
          <c:dPt>
            <c:idx val="4"/>
            <c:bubble3D val="0"/>
            <c:spPr>
              <a:solidFill>
                <a:schemeClr val="accent5"/>
              </a:solidFill>
              <a:ln>
                <a:noFill/>
              </a:ln>
              <a:effectLst/>
              <a:scene3d>
                <a:camera prst="orthographicFront"/>
                <a:lightRig rig="brightRoom" dir="t"/>
              </a:scene3d>
              <a:sp3d prstMaterial="flat">
                <a:bevelT w="50800" h="101600" prst="angle"/>
                <a:contourClr>
                  <a:srgbClr val="000000"/>
                </a:contourClr>
              </a:sp3d>
            </c:spPr>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Sheet1!$F$15:$F$19</c:f>
              <c:strCache>
                <c:ptCount val="5"/>
                <c:pt idx="0">
                  <c:v>very much</c:v>
                </c:pt>
                <c:pt idx="1">
                  <c:v>much</c:v>
                </c:pt>
                <c:pt idx="2">
                  <c:v>netural</c:v>
                </c:pt>
                <c:pt idx="3">
                  <c:v>little</c:v>
                </c:pt>
                <c:pt idx="4">
                  <c:v>very  little</c:v>
                </c:pt>
              </c:strCache>
            </c:strRef>
          </c:cat>
          <c:val>
            <c:numRef>
              <c:f>Sheet1!$H$15:$H$19</c:f>
              <c:numCache>
                <c:formatCode>General</c:formatCode>
                <c:ptCount val="5"/>
                <c:pt idx="0">
                  <c:v>17</c:v>
                </c:pt>
                <c:pt idx="1">
                  <c:v>41</c:v>
                </c:pt>
                <c:pt idx="2">
                  <c:v>26</c:v>
                </c:pt>
                <c:pt idx="3">
                  <c:v>18</c:v>
                </c:pt>
                <c:pt idx="4">
                  <c:v>9</c:v>
                </c:pt>
              </c:numCache>
            </c:numRef>
          </c:val>
        </c:ser>
        <c:dLbls>
          <c:showLegendKey val="0"/>
          <c:showVal val="0"/>
          <c:showCatName val="0"/>
          <c:showSerName val="0"/>
          <c:showPercent val="1"/>
          <c:showBubbleSize val="0"/>
          <c:showLeaderLines val="1"/>
        </c:dLbls>
        <c:firstSliceAng val="0"/>
        <c:holeSize val="50"/>
      </c:doughnutChart>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7">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58">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1"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scene3d>
        <a:camera prst="orthographicFront"/>
        <a:lightRig rig="brightRoom" dir="t"/>
      </a:scene3d>
      <a:sp3d prstMaterial="flat">
        <a:bevelT w="50800" h="101600" prst="angle"/>
        <a:contourClr>
          <a:srgbClr val="000000"/>
        </a:contourClr>
      </a:sp3d>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1" i="0" kern="1200" cap="all" spc="5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FD891-253E-4F6D-AF84-D2401331B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2428</Words>
  <Characters>13846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Hrutuja Takwale</dc:creator>
  <cp:keywords/>
  <dc:description/>
  <cp:lastModifiedBy>Microsoft account</cp:lastModifiedBy>
  <cp:revision>2</cp:revision>
  <dcterms:created xsi:type="dcterms:W3CDTF">2025-04-08T16:22:00Z</dcterms:created>
  <dcterms:modified xsi:type="dcterms:W3CDTF">2025-04-08T16:22:00Z</dcterms:modified>
</cp:coreProperties>
</file>