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“Comparative Analysis of Google Workspace Vs. Microsoft Legacy Applications in Nagpur IT Park”</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Sanket Gaikwad</w:t>
      </w:r>
      <w:r w:rsidDel="00000000" w:rsidR="00000000" w:rsidRPr="00000000">
        <w:rPr>
          <w:rFonts w:ascii="Times New Roman" w:cs="Times New Roman" w:eastAsia="Times New Roman" w:hAnsi="Times New Roman"/>
          <w:vertAlign w:val="superscript"/>
          <w:rtl w:val="0"/>
        </w:rPr>
        <w:t xml:space="preserve"> 2</w:t>
      </w:r>
      <w:r w:rsidDel="00000000" w:rsidR="00000000" w:rsidRPr="00000000">
        <w:rPr>
          <w:rFonts w:ascii="Times New Roman" w:cs="Times New Roman" w:eastAsia="Times New Roman" w:hAnsi="Times New Roman"/>
          <w:rtl w:val="0"/>
        </w:rPr>
        <w:t xml:space="preserve">Dr.Mayur Dande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Student,</w:t>
      </w:r>
      <w:r w:rsidDel="00000000" w:rsidR="00000000" w:rsidRPr="00000000">
        <w:rPr>
          <w:rFonts w:ascii="Times New Roman" w:cs="Times New Roman" w:eastAsia="Times New Roman" w:hAnsi="Times New Roman"/>
          <w:rtl w:val="0"/>
        </w:rPr>
        <w:t xml:space="preserve">Department of Business Administration and Research, Shri Sant Gajanan Maharaj College Of Engineering,Shegaon</w:t>
      </w:r>
    </w:p>
    <w:p w:rsidR="00000000" w:rsidDel="00000000" w:rsidP="00000000" w:rsidRDefault="00000000" w:rsidRPr="00000000" w14:paraId="0000000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Fonts w:ascii="Times New Roman" w:cs="Times New Roman" w:eastAsia="Times New Roman" w:hAnsi="Times New Roman"/>
          <w:b w:val="1"/>
          <w:rtl w:val="0"/>
        </w:rPr>
        <w:t xml:space="preserve">Asst. Professor, </w:t>
      </w:r>
      <w:r w:rsidDel="00000000" w:rsidR="00000000" w:rsidRPr="00000000">
        <w:rPr>
          <w:rFonts w:ascii="Times New Roman" w:cs="Times New Roman" w:eastAsia="Times New Roman" w:hAnsi="Times New Roman"/>
          <w:rtl w:val="0"/>
        </w:rPr>
        <w:t xml:space="preserve">Department of Business Administration and Research, Shri Sant Gajanan Maharaj CollegeOf Engineering</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,Shegaon.</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Id - </w:t>
      </w:r>
      <w:hyperlink r:id="rId6">
        <w:r w:rsidDel="00000000" w:rsidR="00000000" w:rsidRPr="00000000">
          <w:rPr>
            <w:rFonts w:ascii="Times New Roman" w:cs="Times New Roman" w:eastAsia="Times New Roman" w:hAnsi="Times New Roman"/>
            <w:b w:val="1"/>
            <w:color w:val="1155cc"/>
            <w:u w:val="single"/>
            <w:vertAlign w:val="superscript"/>
            <w:rtl w:val="0"/>
          </w:rPr>
          <w:t xml:space="preserve">1</w:t>
        </w:r>
      </w:hyperlink>
      <w:hyperlink r:id="rId7">
        <w:r w:rsidDel="00000000" w:rsidR="00000000" w:rsidRPr="00000000">
          <w:rPr>
            <w:rFonts w:ascii="Times New Roman" w:cs="Times New Roman" w:eastAsia="Times New Roman" w:hAnsi="Times New Roman"/>
            <w:color w:val="1155cc"/>
            <w:u w:val="single"/>
            <w:rtl w:val="0"/>
          </w:rPr>
          <w:t xml:space="preserve">gaikwafsanket@gmail.com</w:t>
        </w:r>
      </w:hyperlink>
      <w:r w:rsidDel="00000000" w:rsidR="00000000" w:rsidRPr="00000000">
        <w:rPr>
          <w:rFonts w:ascii="Times New Roman" w:cs="Times New Roman" w:eastAsia="Times New Roman" w:hAnsi="Times New Roman"/>
          <w:rtl w:val="0"/>
        </w:rPr>
        <w:t xml:space="preserve"> , </w:t>
      </w:r>
      <w:hyperlink r:id="rId8">
        <w:r w:rsidDel="00000000" w:rsidR="00000000" w:rsidRPr="00000000">
          <w:rPr>
            <w:rFonts w:ascii="Times New Roman" w:cs="Times New Roman" w:eastAsia="Times New Roman" w:hAnsi="Times New Roman"/>
            <w:b w:val="1"/>
            <w:color w:val="1155cc"/>
            <w:u w:val="single"/>
            <w:vertAlign w:val="superscript"/>
            <w:rtl w:val="0"/>
          </w:rPr>
          <w:t xml:space="preserve">2</w:t>
        </w:r>
      </w:hyperlink>
      <w:hyperlink r:id="rId9">
        <w:r w:rsidDel="00000000" w:rsidR="00000000" w:rsidRPr="00000000">
          <w:rPr>
            <w:rFonts w:ascii="Times New Roman" w:cs="Times New Roman" w:eastAsia="Times New Roman" w:hAnsi="Times New Roman"/>
            <w:color w:val="1155cc"/>
            <w:u w:val="single"/>
            <w:rtl w:val="0"/>
          </w:rPr>
          <w:t xml:space="preserve">madande@ssgmce.ac.in</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Abstract </w:t>
      </w:r>
    </w:p>
    <w:p w:rsidR="00000000" w:rsidDel="00000000" w:rsidP="00000000" w:rsidRDefault="00000000" w:rsidRPr="00000000" w14:paraId="0000000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presents a comparative analysis of Google Workspace and Microsoft Legacy Applications within the context of Nagpur IT Park, focusing on their adoption, usability, and impact on productivity in the workplace. The research aims to evaluate the efficiency, cost-effectiveness, and user satisfaction associated with these two dominant productivity suites in a real-world business environment.</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was collected through surveys, interviews, and performance metrics from various IT companies operating within Nagpur IT Park. The analysis highlights key differences in features such as collaboration tools, cloud integration, user interface, and scalability. Additionally, the study examines the challenges faced by organizations during the transition from traditional Microsoft Legacy Applications (such as Microsoft Office) to the cloud-based Google Workspace.</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findings reveal that while Microsoft Legacy Applications are preferred for their robust offline capabilities and familiarity among long-term users, Google Workspace is increasingly favored for its seamless collaboration, real-time editing, and cost efficiency. However, the transition to Google Workspace often requires significant changes in workflow and user training, which can pose temporary productivity challenges.</w:t>
      </w:r>
    </w:p>
    <w:p w:rsidR="00000000" w:rsidDel="00000000" w:rsidP="00000000" w:rsidRDefault="00000000" w:rsidRPr="00000000" w14:paraId="0000000F">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research provides valuable insights for IT decision-makers in Nagpur IT Park and similar business hubs, offering a balanced perspective on the strengths and limitations of both platforms. The study concludes with recommendations for organizations considering a shift to cloud-based productivity tools, emphasizing the importance of aligning technology choices with specific business needs and user preferences.</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 </w:t>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rapidly evolving landscape of information technology, businesses are increasingly reliant on productivity tools to enhance efficiency, collaboration, and overall operational effectiveness. Two of the most prominent solutions in this domain are Google Workspace and Microsoft Legacy Applications. While Google Workspace represents a modern, cloud-based suite designed for seamless collaboration and real-time productivity, Microsoft Legacy Applications, such as Microsoft Office, have long been the cornerstone of traditional office productivity with their robust offline capabilities and extensive feature sets.</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Nagpur IT Park, a growing hub for technology-driven enterprises, serves as an ideal setting for examining the adoption and impact of these two productivity suites. As organizations in the IT Park strive to remain competitive, the choice between Google Workspace and Microsoft Legacy Applications has become a critical decision, influencing not only daily operations but also long-term strategic goals. This comparative analysis seeks to explore the strengths and weaknesses of both platforms, focusing on their usability, cost-effectiveness, collaboration features, and overall impact on workplace productivity.</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is motivated by the need to provide actionable insights for IT decision-makers in Nagpur IT Park, who are often faced with the challenge of selecting the right tools to meet their organizational needs. By evaluating user experiences, implementation challenges, and performance metrics, this research aims to shed light on the factors that influence the preference for one platform over the other. Furthermore, it addresses the transition challenges associated with moving from traditional Microsoft Legacy Applications to the cloud-based Google Workspace, offering recommendations to facilitate a smooth and effective adoption process.</w:t>
      </w:r>
    </w:p>
    <w:p w:rsidR="00000000" w:rsidDel="00000000" w:rsidP="00000000" w:rsidRDefault="00000000" w:rsidRPr="00000000" w14:paraId="00000016">
      <w:pPr>
        <w:spacing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this comparative analysis, the study aims to contribute to a deeper understanding of how these productivity tools can be leveraged to drive innovation and efficiency in a dynamic business environment like Nagpur IT Park.</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Literature Review</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Adams J. &amp; Green M. (2021)</w:t>
      </w:r>
      <w:r w:rsidDel="00000000" w:rsidR="00000000" w:rsidRPr="00000000">
        <w:rPr>
          <w:rFonts w:ascii="Times New Roman" w:cs="Times New Roman" w:eastAsia="Times New Roman" w:hAnsi="Times New Roman"/>
          <w:rtl w:val="0"/>
        </w:rPr>
        <w:t xml:space="preserve"> Challenges of bequest software system systems. Journal of Software Maintenance -This explores the persistent difficulties associated with maintaining legacy software systems focusing on integration challenges and system obsolescence. their read inch the diary of software system care provides Understandings into the Complicatedities and limitations Characteristics away organizations relying along obsolete Tech</w:t>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Carter north &amp; phillips radius. (2022)</w:t>
      </w:r>
      <w:r w:rsidDel="00000000" w:rsidR="00000000" w:rsidRPr="00000000">
        <w:rPr>
          <w:rFonts w:ascii="Times New Roman" w:cs="Times New Roman" w:eastAsia="Times New Roman" w:hAnsi="Times New Roman"/>
          <w:rtl w:val="0"/>
        </w:rPr>
        <w:t xml:space="preserve"> Teaching and Support for Cloud-Based Tools. it education diary -carter and phillips (2022) Check the education and back mechanisms important for good acceptance of cloud-based tools highlight strategies for facilitating exploiter passage and current help. Their article in the IT Teaching Journal Highlights best practices for optimizing Operator proficiency and support in cloud environments.</w:t>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Evans S. (2023).</w:t>
      </w:r>
      <w:r w:rsidDel="00000000" w:rsidR="00000000" w:rsidRPr="00000000">
        <w:rPr>
          <w:rFonts w:ascii="Times New Roman" w:cs="Times New Roman" w:eastAsia="Times New Roman" w:hAnsi="Times New Roman"/>
          <w:rtl w:val="0"/>
        </w:rPr>
        <w:t xml:space="preserve"> Real-Time Collaboration in Cloud Suites. productiveness search every quarter - it investigates the capabilities of cloud-based suites inch facultative real-time coaction focus along however these tools raise teamwork and communicating. Published in Productivity Research Quarterly the study highlights the advantages and challenges of using cloud Tech for collaborative work.</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ind w:left="0" w:firstLine="0"/>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Gordon T. (2020)</w:t>
      </w:r>
      <w:r w:rsidDel="00000000" w:rsidR="00000000" w:rsidRPr="00000000">
        <w:rPr>
          <w:rFonts w:ascii="Times New Roman" w:cs="Times New Roman" w:eastAsia="Times New Roman" w:hAnsi="Times New Roman"/>
          <w:rtl w:val="0"/>
        </w:rPr>
        <w:t xml:space="preserve">. Limitations of Traditional Software Answers. software system Tech Understandings - this explores the constraints and inefficiencies of conventional software system Answers accenting Problems relevant to Expandability and consolidation. His article in Software Engineering Understandings provides a difficult examination of how legacy systems fall short in meeting modern technological demands.</w:t>
      </w:r>
    </w:p>
    <w:p w:rsidR="00000000" w:rsidDel="00000000" w:rsidP="00000000" w:rsidRDefault="00000000" w:rsidRPr="00000000" w14:paraId="00000021">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Bhandari, R. (2022)</w:t>
      </w:r>
      <w:r w:rsidDel="00000000" w:rsidR="00000000" w:rsidRPr="00000000">
        <w:rPr>
          <w:rFonts w:ascii="Times New Roman" w:cs="Times New Roman" w:eastAsia="Times New Roman" w:hAnsi="Times New Roman"/>
          <w:rtl w:val="0"/>
        </w:rPr>
        <w:t xml:space="preserve">. Explores the cybersecurity risks associated with legacy office applications, particularly older versions of Microsoft Office. The study highlights vulnerabilities such as outdated encryption protocols, lack of security patches, and susceptibility to malware and phishing attacks. It emphasizes the growing risks as cyber threats evolve while legacy systems remain unchanged. The author recommends transitioning to cloud-based solutions or implementing strict security measures, such as network monitoring and access controls, to mitigate potential threats.</w:t>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Fonts w:ascii="Cardo" w:cs="Cardo" w:eastAsia="Cardo" w:hAnsi="Cardo"/>
          <w:rtl w:val="0"/>
        </w:rPr>
        <w:t xml:space="preserve">⦁ </w:t>
      </w:r>
      <w:r w:rsidDel="00000000" w:rsidR="00000000" w:rsidRPr="00000000">
        <w:rPr>
          <w:rFonts w:ascii="Times New Roman" w:cs="Times New Roman" w:eastAsia="Times New Roman" w:hAnsi="Times New Roman"/>
          <w:b w:val="1"/>
          <w:rtl w:val="0"/>
        </w:rPr>
        <w:t xml:space="preserve">D'Souza, R. (2021) </w:t>
      </w:r>
      <w:r w:rsidDel="00000000" w:rsidR="00000000" w:rsidRPr="00000000">
        <w:rPr>
          <w:rFonts w:ascii="Times New Roman" w:cs="Times New Roman" w:eastAsia="Times New Roman" w:hAnsi="Times New Roman"/>
          <w:rtl w:val="0"/>
        </w:rPr>
        <w:t xml:space="preserve">Examines the challenges of using traditional office software, such as Microsoft Legacy Applications, in remote work environments. The study identifies key limitations, including the lack of real-time collaboration, dependence on manual file sharing, and security vulnerabilities when accessing files remotely. It highlights inefficiencies caused by version control issues and limited cloud integration. The author suggests that organizations should adopt cloud-based solutions like Google Workspace or Microsoft 365 to enhance productivity, security, and seamless collaboration in remote work settings.</w:t>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Fonts w:ascii="Cardo" w:cs="Cardo" w:eastAsia="Cardo" w:hAnsi="Cardo"/>
          <w:rtl w:val="0"/>
        </w:rPr>
        <w:t xml:space="preserve">⦁</w:t>
      </w:r>
      <w:r w:rsidDel="00000000" w:rsidR="00000000" w:rsidRPr="00000000">
        <w:rPr>
          <w:rFonts w:ascii="Times New Roman" w:cs="Times New Roman" w:eastAsia="Times New Roman" w:hAnsi="Times New Roman"/>
          <w:b w:val="1"/>
          <w:rtl w:val="0"/>
        </w:rPr>
        <w:t xml:space="preserve">Singh et al. (2022)</w:t>
      </w:r>
      <w:r w:rsidDel="00000000" w:rsidR="00000000" w:rsidRPr="00000000">
        <w:rPr>
          <w:rFonts w:ascii="Times New Roman" w:cs="Times New Roman" w:eastAsia="Times New Roman" w:hAnsi="Times New Roman"/>
          <w:rtl w:val="0"/>
        </w:rPr>
        <w:t xml:space="preserve"> Analyze how security concerns impact organizations' choices between cloud-based and legacy office applications. The study highlights risks such as data breaches, compliance requirements, and cybersecurity threats. It emphasizes that organizations prioritize solutions that align with industry regulations and data protection standards. While cloud-based platforms like Google Workspace offer advanced security features and compliance certifications, some firms prefer legacy applications due to perceived control over data storage. The study concludes that security and regulatory compliance play a critical role in IT firms' software adoption decisions.</w:t>
      </w:r>
    </w:p>
    <w:p w:rsidR="00000000" w:rsidDel="00000000" w:rsidP="00000000" w:rsidRDefault="00000000" w:rsidRPr="00000000" w14:paraId="00000027">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Research Methodology</w:t>
      </w:r>
    </w:p>
    <w:p w:rsidR="00000000" w:rsidDel="00000000" w:rsidP="00000000" w:rsidRDefault="00000000" w:rsidRPr="00000000" w14:paraId="0000002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rPr>
          <w:rFonts w:ascii="Times New Roman" w:cs="Times New Roman" w:eastAsia="Times New Roman" w:hAnsi="Times New Roman"/>
          <w:b w:val="1"/>
          <w:color w:val="000000"/>
          <w:sz w:val="22"/>
          <w:szCs w:val="22"/>
        </w:rPr>
      </w:pPr>
      <w:bookmarkStart w:colFirst="0" w:colLast="0" w:name="_iry1fuiwpa5k" w:id="0"/>
      <w:bookmarkEnd w:id="0"/>
      <w:r w:rsidDel="00000000" w:rsidR="00000000" w:rsidRPr="00000000">
        <w:rPr>
          <w:rFonts w:ascii="Times New Roman" w:cs="Times New Roman" w:eastAsia="Times New Roman" w:hAnsi="Times New Roman"/>
          <w:b w:val="1"/>
          <w:color w:val="000000"/>
          <w:sz w:val="22"/>
          <w:szCs w:val="22"/>
          <w:rtl w:val="0"/>
        </w:rPr>
        <w:t xml:space="preserve">Objectives:-</w:t>
      </w:r>
    </w:p>
    <w:p w:rsidR="00000000" w:rsidDel="00000000" w:rsidP="00000000" w:rsidRDefault="00000000" w:rsidRPr="00000000" w14:paraId="0000002C">
      <w:pPr>
        <w:numPr>
          <w:ilvl w:val="0"/>
          <w:numId w:val="10"/>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analyze the features, tools, and services offered by Google Workspace and Office 365, focusing on their relevance to IT companies in Nagpur IT Park.</w:t>
      </w:r>
    </w:p>
    <w:p w:rsidR="00000000" w:rsidDel="00000000" w:rsidP="00000000" w:rsidRDefault="00000000" w:rsidRPr="00000000" w14:paraId="0000002D">
      <w:pPr>
        <w:numPr>
          <w:ilvl w:val="0"/>
          <w:numId w:val="10"/>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compare the collaborative capabilities, security features, and pricing models of both platforms as they apply to businesses operating in Nagpur.</w:t>
      </w:r>
    </w:p>
    <w:p w:rsidR="00000000" w:rsidDel="00000000" w:rsidP="00000000" w:rsidRDefault="00000000" w:rsidRPr="00000000" w14:paraId="0000002E">
      <w:pPr>
        <w:numPr>
          <w:ilvl w:val="0"/>
          <w:numId w:val="10"/>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evaluate the user experience, integration with other technologies, and scalability of both platforms for startups and established enterprises within the IT Park.</w:t>
      </w:r>
    </w:p>
    <w:p w:rsidR="00000000" w:rsidDel="00000000" w:rsidP="00000000" w:rsidRDefault="00000000" w:rsidRPr="00000000" w14:paraId="0000002F">
      <w:pPr>
        <w:numPr>
          <w:ilvl w:val="0"/>
          <w:numId w:val="10"/>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explore the role of each platform in enhancing remote work, data storage, and communication in the context of Nagpur IT Park's growing tech landscape.</w:t>
      </w:r>
    </w:p>
    <w:p w:rsidR="00000000" w:rsidDel="00000000" w:rsidP="00000000" w:rsidRDefault="00000000" w:rsidRPr="00000000" w14:paraId="00000030">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Sampling Techniques - </w:t>
      </w:r>
      <w:r w:rsidDel="00000000" w:rsidR="00000000" w:rsidRPr="00000000">
        <w:rPr>
          <w:rFonts w:ascii="Times New Roman" w:cs="Times New Roman" w:eastAsia="Times New Roman" w:hAnsi="Times New Roman"/>
          <w:rtl w:val="0"/>
        </w:rPr>
        <w:t xml:space="preserve">Simple Random Techniques</w:t>
      </w:r>
    </w:p>
    <w:p w:rsidR="00000000" w:rsidDel="00000000" w:rsidP="00000000" w:rsidRDefault="00000000" w:rsidRPr="00000000" w14:paraId="00000031">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Sample Size -</w:t>
      </w:r>
      <w:r w:rsidDel="00000000" w:rsidR="00000000" w:rsidRPr="00000000">
        <w:rPr>
          <w:rFonts w:ascii="Times New Roman" w:cs="Times New Roman" w:eastAsia="Times New Roman" w:hAnsi="Times New Roman"/>
          <w:rtl w:val="0"/>
        </w:rPr>
        <w:t xml:space="preserve"> 100</w:t>
      </w:r>
    </w:p>
    <w:p w:rsidR="00000000" w:rsidDel="00000000" w:rsidP="00000000" w:rsidRDefault="00000000" w:rsidRPr="00000000" w14:paraId="00000032">
      <w:pPr>
        <w:spacing w:after="240" w:befor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240" w:before="240" w:lineRule="auto"/>
        <w:ind w:left="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Data Analysis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34">
      <w:pPr>
        <w:spacing w:after="240" w:befor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rtl w:val="0"/>
        </w:rPr>
        <w:t xml:space="preserve">Fig.01 - </w:t>
      </w:r>
      <w:r w:rsidDel="00000000" w:rsidR="00000000" w:rsidRPr="00000000">
        <w:rPr>
          <w:rFonts w:ascii="Times New Roman" w:cs="Times New Roman" w:eastAsia="Times New Roman" w:hAnsi="Times New Roman"/>
          <w:rtl w:val="0"/>
        </w:rPr>
        <w:t xml:space="preserve">Shows the response of </w:t>
      </w:r>
      <w:r w:rsidDel="00000000" w:rsidR="00000000" w:rsidRPr="00000000">
        <w:rPr>
          <w:rFonts w:ascii="Times New Roman" w:cs="Times New Roman" w:eastAsia="Times New Roman" w:hAnsi="Times New Roman"/>
          <w:highlight w:val="white"/>
          <w:rtl w:val="0"/>
        </w:rPr>
        <w:t xml:space="preserve">what industry does their organization belongs to</w:t>
      </w:r>
    </w:p>
    <w:p w:rsidR="00000000" w:rsidDel="00000000" w:rsidP="00000000" w:rsidRDefault="00000000" w:rsidRPr="00000000" w14:paraId="0000003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205163" cy="1966982"/>
            <wp:effectExtent b="0" l="0" r="0" t="0"/>
            <wp:docPr descr="Chart" id="4" name="image2.png"/>
            <a:graphic>
              <a:graphicData uri="http://schemas.openxmlformats.org/drawingml/2006/picture">
                <pic:pic>
                  <pic:nvPicPr>
                    <pic:cNvPr descr="Chart" id="0" name="image2.png"/>
                    <pic:cNvPicPr preferRelativeResize="0"/>
                  </pic:nvPicPr>
                  <pic:blipFill>
                    <a:blip r:embed="rId10"/>
                    <a:srcRect b="0" l="0" r="0" t="0"/>
                    <a:stretch>
                      <a:fillRect/>
                    </a:stretch>
                  </pic:blipFill>
                  <pic:spPr>
                    <a:xfrm>
                      <a:off x="0" y="0"/>
                      <a:ext cx="3205163" cy="1966982"/>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Fig.02 - </w:t>
      </w:r>
      <w:r w:rsidDel="00000000" w:rsidR="00000000" w:rsidRPr="00000000">
        <w:rPr>
          <w:rFonts w:ascii="Times New Roman" w:cs="Times New Roman" w:eastAsia="Times New Roman" w:hAnsi="Times New Roman"/>
          <w:highlight w:val="white"/>
          <w:rtl w:val="0"/>
        </w:rPr>
        <w:t xml:space="preserve">Shows the response of what type of applications does their organization primarily uses</w:t>
      </w:r>
    </w:p>
    <w:p w:rsidR="00000000" w:rsidDel="00000000" w:rsidP="00000000" w:rsidRDefault="00000000" w:rsidRPr="00000000" w14:paraId="00000038">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292392" cy="2031647"/>
            <wp:effectExtent b="0" l="0" r="0" t="0"/>
            <wp:docPr descr="Chart" id="3" name="image5.png"/>
            <a:graphic>
              <a:graphicData uri="http://schemas.openxmlformats.org/drawingml/2006/picture">
                <pic:pic>
                  <pic:nvPicPr>
                    <pic:cNvPr descr="Chart" id="0" name="image5.png"/>
                    <pic:cNvPicPr preferRelativeResize="0"/>
                  </pic:nvPicPr>
                  <pic:blipFill>
                    <a:blip r:embed="rId11"/>
                    <a:srcRect b="0" l="0" r="0" t="0"/>
                    <a:stretch>
                      <a:fillRect/>
                    </a:stretch>
                  </pic:blipFill>
                  <pic:spPr>
                    <a:xfrm>
                      <a:off x="0" y="0"/>
                      <a:ext cx="3292392" cy="2031647"/>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Fig.03 - </w:t>
      </w:r>
      <w:r w:rsidDel="00000000" w:rsidR="00000000" w:rsidRPr="00000000">
        <w:rPr>
          <w:rFonts w:ascii="Times New Roman" w:cs="Times New Roman" w:eastAsia="Times New Roman" w:hAnsi="Times New Roman"/>
          <w:highlight w:val="white"/>
          <w:rtl w:val="0"/>
        </w:rPr>
        <w:t xml:space="preserve">Shows the response of which application suite do they find more user-friendly</w:t>
      </w:r>
    </w:p>
    <w:p w:rsidR="00000000" w:rsidDel="00000000" w:rsidP="00000000" w:rsidRDefault="00000000" w:rsidRPr="00000000" w14:paraId="0000003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431093" cy="2128838"/>
            <wp:effectExtent b="0" l="0" r="0" t="0"/>
            <wp:docPr descr="Chart" id="7" name="image1.png"/>
            <a:graphic>
              <a:graphicData uri="http://schemas.openxmlformats.org/drawingml/2006/picture">
                <pic:pic>
                  <pic:nvPicPr>
                    <pic:cNvPr descr="Chart" id="0" name="image1.png"/>
                    <pic:cNvPicPr preferRelativeResize="0"/>
                  </pic:nvPicPr>
                  <pic:blipFill>
                    <a:blip r:embed="rId12"/>
                    <a:srcRect b="0" l="0" r="0" t="0"/>
                    <a:stretch>
                      <a:fillRect/>
                    </a:stretch>
                  </pic:blipFill>
                  <pic:spPr>
                    <a:xfrm>
                      <a:off x="0" y="0"/>
                      <a:ext cx="3431093"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Fig.04 -</w:t>
      </w:r>
      <w:r w:rsidDel="00000000" w:rsidR="00000000" w:rsidRPr="00000000">
        <w:rPr>
          <w:rFonts w:ascii="Times New Roman" w:cs="Times New Roman" w:eastAsia="Times New Roman" w:hAnsi="Times New Roman"/>
          <w:highlight w:val="white"/>
          <w:rtl w:val="0"/>
        </w:rPr>
        <w:t xml:space="preserve"> Show the response of which platform provides better collaboration tools for remote work</w:t>
      </w:r>
    </w:p>
    <w:p w:rsidR="00000000" w:rsidDel="00000000" w:rsidP="00000000" w:rsidRDefault="00000000" w:rsidRPr="00000000" w14:paraId="00000040">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356198" cy="2060400"/>
            <wp:effectExtent b="0" l="0" r="0" t="0"/>
            <wp:docPr descr="Chart" id="5" name="image7.png"/>
            <a:graphic>
              <a:graphicData uri="http://schemas.openxmlformats.org/drawingml/2006/picture">
                <pic:pic>
                  <pic:nvPicPr>
                    <pic:cNvPr descr="Chart" id="0" name="image7.png"/>
                    <pic:cNvPicPr preferRelativeResize="0"/>
                  </pic:nvPicPr>
                  <pic:blipFill>
                    <a:blip r:embed="rId13"/>
                    <a:srcRect b="0" l="0" r="0" t="0"/>
                    <a:stretch>
                      <a:fillRect/>
                    </a:stretch>
                  </pic:blipFill>
                  <pic:spPr>
                    <a:xfrm>
                      <a:off x="0" y="0"/>
                      <a:ext cx="3356198" cy="2060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Fig.05 -</w:t>
      </w:r>
      <w:r w:rsidDel="00000000" w:rsidR="00000000" w:rsidRPr="00000000">
        <w:rPr>
          <w:rFonts w:ascii="Times New Roman" w:cs="Times New Roman" w:eastAsia="Times New Roman" w:hAnsi="Times New Roman"/>
          <w:highlight w:val="white"/>
          <w:rtl w:val="0"/>
        </w:rPr>
        <w:t xml:space="preserve"> Show the response of how often does the organization experience compatibility issues with these tools</w:t>
      </w:r>
    </w:p>
    <w:p w:rsidR="00000000" w:rsidDel="00000000" w:rsidP="00000000" w:rsidRDefault="00000000" w:rsidRPr="00000000" w14:paraId="0000004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367088" cy="2077974"/>
            <wp:effectExtent b="0" l="0" r="0" t="0"/>
            <wp:docPr descr="Chart" id="6" name="image3.png"/>
            <a:graphic>
              <a:graphicData uri="http://schemas.openxmlformats.org/drawingml/2006/picture">
                <pic:pic>
                  <pic:nvPicPr>
                    <pic:cNvPr descr="Chart" id="0" name="image3.png"/>
                    <pic:cNvPicPr preferRelativeResize="0"/>
                  </pic:nvPicPr>
                  <pic:blipFill>
                    <a:blip r:embed="rId14"/>
                    <a:srcRect b="0" l="0" r="0" t="0"/>
                    <a:stretch>
                      <a:fillRect/>
                    </a:stretch>
                  </pic:blipFill>
                  <pic:spPr>
                    <a:xfrm>
                      <a:off x="0" y="0"/>
                      <a:ext cx="3367088" cy="207797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Fig.06 -</w:t>
      </w:r>
      <w:r w:rsidDel="00000000" w:rsidR="00000000" w:rsidRPr="00000000">
        <w:rPr>
          <w:rFonts w:ascii="Times New Roman" w:cs="Times New Roman" w:eastAsia="Times New Roman" w:hAnsi="Times New Roman"/>
          <w:highlight w:val="white"/>
          <w:rtl w:val="0"/>
        </w:rPr>
        <w:t xml:space="preserve"> Show the response of in terms of security and data privacy, which suite do they trust more </w:t>
      </w:r>
    </w:p>
    <w:p w:rsidR="00000000" w:rsidDel="00000000" w:rsidP="00000000" w:rsidRDefault="00000000" w:rsidRPr="00000000" w14:paraId="0000004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299289" cy="2041496"/>
            <wp:effectExtent b="0" l="0" r="0" t="0"/>
            <wp:docPr descr="Chart" id="2" name="image4.png"/>
            <a:graphic>
              <a:graphicData uri="http://schemas.openxmlformats.org/drawingml/2006/picture">
                <pic:pic>
                  <pic:nvPicPr>
                    <pic:cNvPr descr="Chart" id="0" name="image4.png"/>
                    <pic:cNvPicPr preferRelativeResize="0"/>
                  </pic:nvPicPr>
                  <pic:blipFill>
                    <a:blip r:embed="rId15"/>
                    <a:srcRect b="0" l="0" r="0" t="0"/>
                    <a:stretch>
                      <a:fillRect/>
                    </a:stretch>
                  </pic:blipFill>
                  <pic:spPr>
                    <a:xfrm>
                      <a:off x="0" y="0"/>
                      <a:ext cx="3299289" cy="204149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Fig.07 - </w:t>
      </w:r>
      <w:r w:rsidDel="00000000" w:rsidR="00000000" w:rsidRPr="00000000">
        <w:rPr>
          <w:rFonts w:ascii="Times New Roman" w:cs="Times New Roman" w:eastAsia="Times New Roman" w:hAnsi="Times New Roman"/>
          <w:highlight w:val="white"/>
          <w:rtl w:val="0"/>
        </w:rPr>
        <w:t xml:space="preserve">Shows the response on how does their organization handle licensing costs for these applications</w:t>
      </w:r>
    </w:p>
    <w:p w:rsidR="00000000" w:rsidDel="00000000" w:rsidP="00000000" w:rsidRDefault="00000000" w:rsidRPr="00000000" w14:paraId="0000004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3395883" cy="2098500"/>
            <wp:effectExtent b="0" l="0" r="0" t="0"/>
            <wp:docPr descr="Chart" id="1" name="image6.png"/>
            <a:graphic>
              <a:graphicData uri="http://schemas.openxmlformats.org/drawingml/2006/picture">
                <pic:pic>
                  <pic:nvPicPr>
                    <pic:cNvPr descr="Chart" id="0" name="image6.png"/>
                    <pic:cNvPicPr preferRelativeResize="0"/>
                  </pic:nvPicPr>
                  <pic:blipFill>
                    <a:blip r:embed="rId16"/>
                    <a:srcRect b="0" l="0" r="0" t="0"/>
                    <a:stretch>
                      <a:fillRect/>
                    </a:stretch>
                  </pic:blipFill>
                  <pic:spPr>
                    <a:xfrm>
                      <a:off x="0" y="0"/>
                      <a:ext cx="3395883" cy="20985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Findings and Results </w:t>
      </w:r>
    </w:p>
    <w:p w:rsidR="00000000" w:rsidDel="00000000" w:rsidP="00000000" w:rsidRDefault="00000000" w:rsidRPr="00000000" w14:paraId="00000051">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52">
      <w:pPr>
        <w:spacing w:after="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study compares Google Workspace and Microsoft Legacy Applications based on feedback from various organizations in Nagpur IT Park. Here are the key findings and results</w:t>
      </w:r>
    </w:p>
    <w:p w:rsidR="00000000" w:rsidDel="00000000" w:rsidP="00000000" w:rsidRDefault="00000000" w:rsidRPr="00000000" w14:paraId="00000053">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mb1feuq631uz" w:id="1"/>
      <w:bookmarkEnd w:id="1"/>
      <w:r w:rsidDel="00000000" w:rsidR="00000000" w:rsidRPr="00000000">
        <w:rPr>
          <w:rFonts w:ascii="Times New Roman" w:cs="Times New Roman" w:eastAsia="Times New Roman" w:hAnsi="Times New Roman"/>
          <w:b w:val="1"/>
          <w:color w:val="000000"/>
          <w:sz w:val="22"/>
          <w:szCs w:val="22"/>
          <w:highlight w:val="white"/>
          <w:rtl w:val="0"/>
        </w:rPr>
        <w:t xml:space="preserve">1. Organization Size and Industry</w:t>
      </w:r>
    </w:p>
    <w:p w:rsidR="00000000" w:rsidDel="00000000" w:rsidP="00000000" w:rsidRDefault="00000000" w:rsidRPr="00000000" w14:paraId="00000054">
      <w:pPr>
        <w:numPr>
          <w:ilvl w:val="0"/>
          <w:numId w:val="6"/>
        </w:numPr>
        <w:spacing w:after="0" w:afterAutospacing="0"/>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Organizations of various sizes (Small, Medium, Large) participated in the study.</w:t>
      </w:r>
    </w:p>
    <w:p w:rsidR="00000000" w:rsidDel="00000000" w:rsidP="00000000" w:rsidRDefault="00000000" w:rsidRPr="00000000" w14:paraId="00000055">
      <w:pPr>
        <w:numPr>
          <w:ilvl w:val="0"/>
          <w:numId w:val="6"/>
        </w:numPr>
        <w:spacing w:before="0" w:beforeAutospacing="0" w:lineRule="auto"/>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Industries represented include IT &amp; Software, Real Estate, Manufacturing, Healthcare, and Education.</w:t>
      </w:r>
    </w:p>
    <w:p w:rsidR="00000000" w:rsidDel="00000000" w:rsidP="00000000" w:rsidRDefault="00000000" w:rsidRPr="00000000" w14:paraId="00000056">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xk31xo6pf1ln" w:id="2"/>
      <w:bookmarkEnd w:id="2"/>
      <w:r w:rsidDel="00000000" w:rsidR="00000000" w:rsidRPr="00000000">
        <w:rPr>
          <w:rFonts w:ascii="Times New Roman" w:cs="Times New Roman" w:eastAsia="Times New Roman" w:hAnsi="Times New Roman"/>
          <w:b w:val="1"/>
          <w:color w:val="000000"/>
          <w:sz w:val="22"/>
          <w:szCs w:val="22"/>
          <w:highlight w:val="white"/>
          <w:rtl w:val="0"/>
        </w:rPr>
        <w:t xml:space="preserve">2. Application Usage</w:t>
      </w:r>
    </w:p>
    <w:p w:rsidR="00000000" w:rsidDel="00000000" w:rsidP="00000000" w:rsidRDefault="00000000" w:rsidRPr="00000000" w14:paraId="00000057">
      <w:pPr>
        <w:numPr>
          <w:ilvl w:val="0"/>
          <w:numId w:val="3"/>
        </w:numPr>
        <w:spacing w:after="0" w:afterAutospacing="0"/>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Google Workspace</w:t>
      </w:r>
      <w:r w:rsidDel="00000000" w:rsidR="00000000" w:rsidRPr="00000000">
        <w:rPr>
          <w:rFonts w:ascii="Times New Roman" w:cs="Times New Roman" w:eastAsia="Times New Roman" w:hAnsi="Times New Roman"/>
          <w:highlight w:val="white"/>
          <w:rtl w:val="0"/>
        </w:rPr>
        <w:t xml:space="preserve"> is primarily used for collaboration tools like Google Meet, Drive, and Docs.</w:t>
      </w:r>
    </w:p>
    <w:p w:rsidR="00000000" w:rsidDel="00000000" w:rsidP="00000000" w:rsidRDefault="00000000" w:rsidRPr="00000000" w14:paraId="00000058">
      <w:pPr>
        <w:numPr>
          <w:ilvl w:val="0"/>
          <w:numId w:val="3"/>
        </w:numPr>
        <w:spacing w:after="0" w:afterAutospacing="0"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Microsoft Legacy Applications</w:t>
      </w:r>
      <w:r w:rsidDel="00000000" w:rsidR="00000000" w:rsidRPr="00000000">
        <w:rPr>
          <w:rFonts w:ascii="Times New Roman" w:cs="Times New Roman" w:eastAsia="Times New Roman" w:hAnsi="Times New Roman"/>
          <w:highlight w:val="white"/>
          <w:rtl w:val="0"/>
        </w:rPr>
        <w:t xml:space="preserve"> are used for traditional office tasks with tools like MS Office, Outlook, and SharePoint.</w:t>
      </w:r>
    </w:p>
    <w:p w:rsidR="00000000" w:rsidDel="00000000" w:rsidP="00000000" w:rsidRDefault="00000000" w:rsidRPr="00000000" w14:paraId="00000059">
      <w:pPr>
        <w:numPr>
          <w:ilvl w:val="0"/>
          <w:numId w:val="3"/>
        </w:numPr>
        <w:spacing w:before="0" w:beforeAutospacing="0" w:lineRule="auto"/>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Some organizations use both suites depending on their needs.</w:t>
      </w:r>
    </w:p>
    <w:p w:rsidR="00000000" w:rsidDel="00000000" w:rsidP="00000000" w:rsidRDefault="00000000" w:rsidRPr="00000000" w14:paraId="0000005A">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iwwfwew2k4v0" w:id="3"/>
      <w:bookmarkEnd w:id="3"/>
      <w:r w:rsidDel="00000000" w:rsidR="00000000" w:rsidRPr="00000000">
        <w:rPr>
          <w:rFonts w:ascii="Times New Roman" w:cs="Times New Roman" w:eastAsia="Times New Roman" w:hAnsi="Times New Roman"/>
          <w:b w:val="1"/>
          <w:color w:val="000000"/>
          <w:sz w:val="22"/>
          <w:szCs w:val="22"/>
          <w:highlight w:val="white"/>
          <w:rtl w:val="0"/>
        </w:rPr>
        <w:t xml:space="preserve">3. User-Friendliness</w:t>
      </w:r>
    </w:p>
    <w:p w:rsidR="00000000" w:rsidDel="00000000" w:rsidP="00000000" w:rsidRDefault="00000000" w:rsidRPr="00000000" w14:paraId="0000005B">
      <w:pPr>
        <w:numPr>
          <w:ilvl w:val="0"/>
          <w:numId w:val="12"/>
        </w:numPr>
        <w:spacing w:after="0" w:afterAutospacing="0"/>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Opinions on user-friendliness are split. Some organizations find both suites equally user-friendly, while others prefer one over the other.</w:t>
      </w:r>
    </w:p>
    <w:p w:rsidR="00000000" w:rsidDel="00000000" w:rsidP="00000000" w:rsidRDefault="00000000" w:rsidRPr="00000000" w14:paraId="0000005C">
      <w:pPr>
        <w:numPr>
          <w:ilvl w:val="0"/>
          <w:numId w:val="12"/>
        </w:numPr>
        <w:spacing w:after="0" w:afterAutospacing="0"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Google Workspace</w:t>
      </w:r>
      <w:r w:rsidDel="00000000" w:rsidR="00000000" w:rsidRPr="00000000">
        <w:rPr>
          <w:rFonts w:ascii="Times New Roman" w:cs="Times New Roman" w:eastAsia="Times New Roman" w:hAnsi="Times New Roman"/>
          <w:highlight w:val="white"/>
          <w:rtl w:val="0"/>
        </w:rPr>
        <w:t xml:space="preserve"> is often praised for its simplicity and ease of use.</w:t>
      </w:r>
    </w:p>
    <w:p w:rsidR="00000000" w:rsidDel="00000000" w:rsidP="00000000" w:rsidRDefault="00000000" w:rsidRPr="00000000" w14:paraId="0000005D">
      <w:pPr>
        <w:numPr>
          <w:ilvl w:val="0"/>
          <w:numId w:val="12"/>
        </w:numPr>
        <w:spacing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Microsoft Legacy Applications</w:t>
      </w:r>
      <w:r w:rsidDel="00000000" w:rsidR="00000000" w:rsidRPr="00000000">
        <w:rPr>
          <w:rFonts w:ascii="Times New Roman" w:cs="Times New Roman" w:eastAsia="Times New Roman" w:hAnsi="Times New Roman"/>
          <w:highlight w:val="white"/>
          <w:rtl w:val="0"/>
        </w:rPr>
        <w:t xml:space="preserve"> are favored for their familiarity and robust features.</w:t>
      </w:r>
    </w:p>
    <w:p w:rsidR="00000000" w:rsidDel="00000000" w:rsidP="00000000" w:rsidRDefault="00000000" w:rsidRPr="00000000" w14:paraId="0000005E">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q3rmk6egl9gt" w:id="4"/>
      <w:bookmarkEnd w:id="4"/>
      <w:r w:rsidDel="00000000" w:rsidR="00000000" w:rsidRPr="00000000">
        <w:rPr>
          <w:rFonts w:ascii="Times New Roman" w:cs="Times New Roman" w:eastAsia="Times New Roman" w:hAnsi="Times New Roman"/>
          <w:b w:val="1"/>
          <w:color w:val="000000"/>
          <w:sz w:val="22"/>
          <w:szCs w:val="22"/>
          <w:highlight w:val="white"/>
          <w:rtl w:val="0"/>
        </w:rPr>
        <w:t xml:space="preserve">4. Collaboration Tools</w:t>
      </w:r>
    </w:p>
    <w:p w:rsidR="00000000" w:rsidDel="00000000" w:rsidP="00000000" w:rsidRDefault="00000000" w:rsidRPr="00000000" w14:paraId="0000005F">
      <w:pPr>
        <w:numPr>
          <w:ilvl w:val="0"/>
          <w:numId w:val="11"/>
        </w:numPr>
        <w:spacing w:after="0" w:afterAutospacing="0"/>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Google Workspace</w:t>
      </w:r>
      <w:r w:rsidDel="00000000" w:rsidR="00000000" w:rsidRPr="00000000">
        <w:rPr>
          <w:rFonts w:ascii="Times New Roman" w:cs="Times New Roman" w:eastAsia="Times New Roman" w:hAnsi="Times New Roman"/>
          <w:highlight w:val="white"/>
          <w:rtl w:val="0"/>
        </w:rPr>
        <w:t xml:space="preserve"> is generally preferred for remote work collaboration, particularly for tools like Google Meet and Google Drive.</w:t>
      </w:r>
    </w:p>
    <w:p w:rsidR="00000000" w:rsidDel="00000000" w:rsidP="00000000" w:rsidRDefault="00000000" w:rsidRPr="00000000" w14:paraId="00000060">
      <w:pPr>
        <w:numPr>
          <w:ilvl w:val="0"/>
          <w:numId w:val="11"/>
        </w:numPr>
        <w:spacing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Microsoft Teams and SharePoint</w:t>
      </w:r>
      <w:r w:rsidDel="00000000" w:rsidR="00000000" w:rsidRPr="00000000">
        <w:rPr>
          <w:rFonts w:ascii="Times New Roman" w:cs="Times New Roman" w:eastAsia="Times New Roman" w:hAnsi="Times New Roman"/>
          <w:highlight w:val="white"/>
          <w:rtl w:val="0"/>
        </w:rPr>
        <w:t xml:space="preserve"> are also recognized for their collaboration capabilities, especially in larger organizations.</w:t>
      </w:r>
    </w:p>
    <w:p w:rsidR="00000000" w:rsidDel="00000000" w:rsidP="00000000" w:rsidRDefault="00000000" w:rsidRPr="00000000" w14:paraId="00000061">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x51uzxcjku76" w:id="5"/>
      <w:bookmarkEnd w:id="5"/>
      <w:r w:rsidDel="00000000" w:rsidR="00000000" w:rsidRPr="00000000">
        <w:rPr>
          <w:rFonts w:ascii="Times New Roman" w:cs="Times New Roman" w:eastAsia="Times New Roman" w:hAnsi="Times New Roman"/>
          <w:b w:val="1"/>
          <w:color w:val="000000"/>
          <w:sz w:val="22"/>
          <w:szCs w:val="22"/>
          <w:highlight w:val="white"/>
          <w:rtl w:val="0"/>
        </w:rPr>
        <w:t xml:space="preserve">5. Compatibility Issues</w:t>
      </w:r>
    </w:p>
    <w:p w:rsidR="00000000" w:rsidDel="00000000" w:rsidP="00000000" w:rsidRDefault="00000000" w:rsidRPr="00000000" w14:paraId="00000062">
      <w:pPr>
        <w:numPr>
          <w:ilvl w:val="0"/>
          <w:numId w:val="15"/>
        </w:numPr>
        <w:spacing w:after="0" w:afterAutospacing="0"/>
        <w:ind w:left="720" w:hanging="360"/>
        <w:rPr>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Most organizations experience compatibility issues </w:t>
      </w:r>
      <w:r w:rsidDel="00000000" w:rsidR="00000000" w:rsidRPr="00000000">
        <w:rPr>
          <w:rFonts w:ascii="Times New Roman" w:cs="Times New Roman" w:eastAsia="Times New Roman" w:hAnsi="Times New Roman"/>
          <w:b w:val="1"/>
          <w:highlight w:val="white"/>
          <w:rtl w:val="0"/>
        </w:rPr>
        <w:t xml:space="preserve">occasionally</w:t>
      </w:r>
      <w:r w:rsidDel="00000000" w:rsidR="00000000" w:rsidRPr="00000000">
        <w:rPr>
          <w:rFonts w:ascii="Times New Roman" w:cs="Times New Roman" w:eastAsia="Times New Roman" w:hAnsi="Times New Roman"/>
          <w:highlight w:val="white"/>
          <w:rtl w:val="0"/>
        </w:rPr>
        <w:t xml:space="preserve">, regardless of the platform.</w:t>
      </w:r>
    </w:p>
    <w:p w:rsidR="00000000" w:rsidDel="00000000" w:rsidP="00000000" w:rsidRDefault="00000000" w:rsidRPr="00000000" w14:paraId="00000063">
      <w:pPr>
        <w:numPr>
          <w:ilvl w:val="0"/>
          <w:numId w:val="15"/>
        </w:numPr>
        <w:spacing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A few organizations report </w:t>
      </w:r>
      <w:r w:rsidDel="00000000" w:rsidR="00000000" w:rsidRPr="00000000">
        <w:rPr>
          <w:rFonts w:ascii="Times New Roman" w:cs="Times New Roman" w:eastAsia="Times New Roman" w:hAnsi="Times New Roman"/>
          <w:b w:val="1"/>
          <w:highlight w:val="white"/>
          <w:rtl w:val="0"/>
        </w:rPr>
        <w:t xml:space="preserve">rarely</w:t>
      </w:r>
      <w:r w:rsidDel="00000000" w:rsidR="00000000" w:rsidRPr="00000000">
        <w:rPr>
          <w:rFonts w:ascii="Times New Roman" w:cs="Times New Roman" w:eastAsia="Times New Roman" w:hAnsi="Times New Roman"/>
          <w:highlight w:val="white"/>
          <w:rtl w:val="0"/>
        </w:rPr>
        <w:t xml:space="preserve"> facing compatibility issues, particularly with Microsoft applications.</w:t>
      </w:r>
    </w:p>
    <w:p w:rsidR="00000000" w:rsidDel="00000000" w:rsidP="00000000" w:rsidRDefault="00000000" w:rsidRPr="00000000" w14:paraId="00000064">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9zbduka9c7pi" w:id="6"/>
      <w:bookmarkEnd w:id="6"/>
      <w:r w:rsidDel="00000000" w:rsidR="00000000" w:rsidRPr="00000000">
        <w:rPr>
          <w:rFonts w:ascii="Times New Roman" w:cs="Times New Roman" w:eastAsia="Times New Roman" w:hAnsi="Times New Roman"/>
          <w:b w:val="1"/>
          <w:color w:val="000000"/>
          <w:sz w:val="22"/>
          <w:szCs w:val="22"/>
          <w:highlight w:val="white"/>
          <w:rtl w:val="0"/>
        </w:rPr>
        <w:t xml:space="preserve">6. Integration with Third-Party Tools</w:t>
      </w:r>
    </w:p>
    <w:p w:rsidR="00000000" w:rsidDel="00000000" w:rsidP="00000000" w:rsidRDefault="00000000" w:rsidRPr="00000000" w14:paraId="00000065">
      <w:pPr>
        <w:numPr>
          <w:ilvl w:val="0"/>
          <w:numId w:val="9"/>
        </w:numPr>
        <w:spacing w:after="0" w:afterAutospacing="0"/>
        <w:ind w:left="720" w:hanging="360"/>
        <w:rPr>
          <w:color w:val="000000"/>
          <w:sz w:val="22"/>
          <w:szCs w:val="22"/>
          <w:highlight w:val="white"/>
        </w:rPr>
      </w:pPr>
      <w:r w:rsidDel="00000000" w:rsidR="00000000" w:rsidRPr="00000000">
        <w:rPr>
          <w:rFonts w:ascii="Times New Roman" w:cs="Times New Roman" w:eastAsia="Times New Roman" w:hAnsi="Times New Roman"/>
          <w:b w:val="1"/>
          <w:highlight w:val="white"/>
          <w:rtl w:val="0"/>
        </w:rPr>
        <w:t xml:space="preserve">Google Workspace</w:t>
      </w:r>
      <w:r w:rsidDel="00000000" w:rsidR="00000000" w:rsidRPr="00000000">
        <w:rPr>
          <w:rFonts w:ascii="Times New Roman" w:cs="Times New Roman" w:eastAsia="Times New Roman" w:hAnsi="Times New Roman"/>
          <w:highlight w:val="white"/>
          <w:rtl w:val="0"/>
        </w:rPr>
        <w:t xml:space="preserve"> is often seen as better integrated with third-party tools.</w:t>
      </w:r>
    </w:p>
    <w:p w:rsidR="00000000" w:rsidDel="00000000" w:rsidP="00000000" w:rsidRDefault="00000000" w:rsidRPr="00000000" w14:paraId="00000066">
      <w:pPr>
        <w:numPr>
          <w:ilvl w:val="0"/>
          <w:numId w:val="9"/>
        </w:numPr>
        <w:spacing w:before="0" w:beforeAutospacing="0" w:lineRule="auto"/>
        <w:ind w:left="720" w:hanging="360"/>
        <w:rPr>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However, some organizations find </w:t>
      </w:r>
      <w:r w:rsidDel="00000000" w:rsidR="00000000" w:rsidRPr="00000000">
        <w:rPr>
          <w:rFonts w:ascii="Times New Roman" w:cs="Times New Roman" w:eastAsia="Times New Roman" w:hAnsi="Times New Roman"/>
          <w:b w:val="1"/>
          <w:highlight w:val="white"/>
          <w:rtl w:val="0"/>
        </w:rPr>
        <w:t xml:space="preserve">Microsoft Legacy Applications</w:t>
      </w:r>
      <w:r w:rsidDel="00000000" w:rsidR="00000000" w:rsidRPr="00000000">
        <w:rPr>
          <w:rFonts w:ascii="Times New Roman" w:cs="Times New Roman" w:eastAsia="Times New Roman" w:hAnsi="Times New Roman"/>
          <w:highlight w:val="white"/>
          <w:rtl w:val="0"/>
        </w:rPr>
        <w:t xml:space="preserve"> equally good in this regard.</w:t>
      </w:r>
    </w:p>
    <w:p w:rsidR="00000000" w:rsidDel="00000000" w:rsidP="00000000" w:rsidRDefault="00000000" w:rsidRPr="00000000" w14:paraId="00000067">
      <w:pPr>
        <w:pStyle w:val="Heading3"/>
        <w:keepNext w:val="0"/>
        <w:keepLines w:val="0"/>
        <w:spacing w:before="280" w:line="360" w:lineRule="auto"/>
        <w:rPr>
          <w:rFonts w:ascii="Times New Roman" w:cs="Times New Roman" w:eastAsia="Times New Roman" w:hAnsi="Times New Roman"/>
          <w:b w:val="1"/>
          <w:color w:val="000000"/>
          <w:sz w:val="22"/>
          <w:szCs w:val="22"/>
          <w:highlight w:val="white"/>
        </w:rPr>
      </w:pPr>
      <w:bookmarkStart w:colFirst="0" w:colLast="0" w:name="_ug9ryzd9qdel" w:id="7"/>
      <w:bookmarkEnd w:id="7"/>
      <w:r w:rsidDel="00000000" w:rsidR="00000000" w:rsidRPr="00000000">
        <w:rPr>
          <w:rFonts w:ascii="Times New Roman" w:cs="Times New Roman" w:eastAsia="Times New Roman" w:hAnsi="Times New Roman"/>
          <w:b w:val="1"/>
          <w:color w:val="000000"/>
          <w:sz w:val="22"/>
          <w:szCs w:val="22"/>
          <w:highlight w:val="white"/>
          <w:rtl w:val="0"/>
        </w:rPr>
        <w:t xml:space="preserve">7. Security and Data Privacy</w:t>
      </w:r>
    </w:p>
    <w:p w:rsidR="00000000" w:rsidDel="00000000" w:rsidP="00000000" w:rsidRDefault="00000000" w:rsidRPr="00000000" w14:paraId="00000068">
      <w:pPr>
        <w:numPr>
          <w:ilvl w:val="0"/>
          <w:numId w:val="7"/>
        </w:numPr>
        <w:spacing w:after="0" w:afterAutospacing="0"/>
        <w:ind w:left="720" w:hanging="360"/>
        <w:rPr>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Trust in security and data privacy is divided. Some organizations trust </w:t>
      </w:r>
      <w:r w:rsidDel="00000000" w:rsidR="00000000" w:rsidRPr="00000000">
        <w:rPr>
          <w:rFonts w:ascii="Times New Roman" w:cs="Times New Roman" w:eastAsia="Times New Roman" w:hAnsi="Times New Roman"/>
          <w:b w:val="1"/>
          <w:highlight w:val="white"/>
          <w:rtl w:val="0"/>
        </w:rPr>
        <w:t xml:space="preserve">Google Workspace</w:t>
      </w:r>
      <w:r w:rsidDel="00000000" w:rsidR="00000000" w:rsidRPr="00000000">
        <w:rPr>
          <w:rFonts w:ascii="Times New Roman" w:cs="Times New Roman" w:eastAsia="Times New Roman" w:hAnsi="Times New Roman"/>
          <w:highlight w:val="white"/>
          <w:rtl w:val="0"/>
        </w:rPr>
        <w:t xml:space="preserve"> more, while others prefer </w:t>
      </w:r>
      <w:r w:rsidDel="00000000" w:rsidR="00000000" w:rsidRPr="00000000">
        <w:rPr>
          <w:rFonts w:ascii="Times New Roman" w:cs="Times New Roman" w:eastAsia="Times New Roman" w:hAnsi="Times New Roman"/>
          <w:b w:val="1"/>
          <w:highlight w:val="white"/>
          <w:rtl w:val="0"/>
        </w:rPr>
        <w:t xml:space="preserve">Microsoft</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069">
      <w:pPr>
        <w:numPr>
          <w:ilvl w:val="0"/>
          <w:numId w:val="7"/>
        </w:numPr>
        <w:spacing w:before="0" w:beforeAutospacing="0" w:lineRule="auto"/>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A few organizations consider both suites equally secure.</w:t>
      </w:r>
    </w:p>
    <w:p w:rsidR="00000000" w:rsidDel="00000000" w:rsidP="00000000" w:rsidRDefault="00000000" w:rsidRPr="00000000" w14:paraId="0000006A">
      <w:pPr>
        <w:spacing w:before="60" w:lineRule="auto"/>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B">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Conclusion </w:t>
      </w:r>
    </w:p>
    <w:p w:rsidR="00000000" w:rsidDel="00000000" w:rsidP="00000000" w:rsidRDefault="00000000" w:rsidRPr="00000000" w14:paraId="0000006E">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F">
      <w:pPr>
        <w:spacing w:after="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comparative study between Google Workspace and Microsoft Legacy Applications in Nagpur IT Park reveals that both platforms have distinct strengths and cater to different organizational needs. Google Workspace is often preferred for its cost-effectiveness, ease of use, and superior collaboration tools, particularly in smaller organizations and for remote work scenarios. Its integration with third-party tools and mobile accessibility are also highly rated. On the other hand, Microsoft Legacy Applications are favored for their robust features, familiarity, and suitability for larger organizations with more complex workflows, especially in industries like healthcare and education. Microsoft's tools, such as Teams and SharePoint, are recognized for their collaboration capabilities, though some organizations face compatibility issues with older versions.</w:t>
      </w:r>
    </w:p>
    <w:p w:rsidR="00000000" w:rsidDel="00000000" w:rsidP="00000000" w:rsidRDefault="00000000" w:rsidRPr="00000000" w14:paraId="00000070">
      <w:pPr>
        <w:spacing w:befor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While Google Workspace is generally seen as more cost-effective and user-friendly, Microsoft is often perceived as more secure and better suited for traditional office tasks. Employee preferences vary, with smaller organizations leaning towards Google Workspace and larger ones favoring Microsoft. Several organizations are considering switching platforms, driven by factors such as cost, user experience, and collaboration needs. Both platforms have room for improvement, with Google needing better support services and Microsoft requiring enhanced compatibility and reduced software size. Overall, the choice between the two depends on the specific requirements, size, and industry of the organization, with both suites offering valuable tools to enhance workplace productivity.</w:t>
      </w:r>
    </w:p>
    <w:p w:rsidR="00000000" w:rsidDel="00000000" w:rsidP="00000000" w:rsidRDefault="00000000" w:rsidRPr="00000000" w14:paraId="00000071">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Suggestions</w:t>
      </w:r>
    </w:p>
    <w:p w:rsidR="00000000" w:rsidDel="00000000" w:rsidP="00000000" w:rsidRDefault="00000000" w:rsidRPr="00000000" w14:paraId="00000075">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76">
      <w:pPr>
        <w:spacing w:after="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Here are some constructive suggestions to enhance the study on the comparative analysis of Google Workspace and Microsoft Legacy Applications in Nagpur IT Park</w:t>
      </w:r>
    </w:p>
    <w:p w:rsidR="00000000" w:rsidDel="00000000" w:rsidP="00000000" w:rsidRDefault="00000000" w:rsidRPr="00000000" w14:paraId="00000077">
      <w:pPr>
        <w:spacing w:after="240" w:lineRule="auto"/>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color w:val="000000"/>
          <w:sz w:val="22"/>
          <w:szCs w:val="22"/>
          <w:highlight w:val="white"/>
          <w:rtl w:val="0"/>
        </w:rPr>
        <w:t xml:space="preserve">1. Broaden the Sample Size and Diversity</w:t>
      </w:r>
    </w:p>
    <w:p w:rsidR="00000000" w:rsidDel="00000000" w:rsidP="00000000" w:rsidRDefault="00000000" w:rsidRPr="00000000" w14:paraId="00000078">
      <w:pPr>
        <w:numPr>
          <w:ilvl w:val="0"/>
          <w:numId w:val="14"/>
        </w:numPr>
        <w:spacing w:after="0" w:afterAutospacing="0"/>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The current sample size of 100 may not fully represent the diverse needs of all organizations in Nagpur IT Park. Expanding the sample size and including more industries (e.g., finance, retail) could provide a more comprehensive view.</w:t>
      </w:r>
    </w:p>
    <w:p w:rsidR="00000000" w:rsidDel="00000000" w:rsidP="00000000" w:rsidRDefault="00000000" w:rsidRPr="00000000" w14:paraId="00000079">
      <w:pPr>
        <w:numPr>
          <w:ilvl w:val="0"/>
          <w:numId w:val="14"/>
        </w:numPr>
        <w:spacing w:before="0" w:beforeAutospacing="0" w:lineRule="auto"/>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Stratified sampling could be used to ensure proportional representation of small, medium, and large enterprises.</w:t>
      </w:r>
    </w:p>
    <w:p w:rsidR="00000000" w:rsidDel="00000000" w:rsidP="00000000" w:rsidRDefault="00000000" w:rsidRPr="00000000" w14:paraId="0000007A">
      <w:pPr>
        <w:pStyle w:val="Heading3"/>
        <w:keepNext w:val="0"/>
        <w:keepLines w:val="0"/>
        <w:spacing w:before="280" w:line="360" w:lineRule="auto"/>
        <w:rPr>
          <w:rFonts w:ascii="Times New Roman" w:cs="Times New Roman" w:eastAsia="Times New Roman" w:hAnsi="Times New Roman"/>
          <w:color w:val="000000"/>
          <w:sz w:val="22"/>
          <w:szCs w:val="22"/>
          <w:highlight w:val="white"/>
        </w:rPr>
      </w:pPr>
      <w:bookmarkStart w:colFirst="0" w:colLast="0" w:name="_wmvhvv8pc63l" w:id="8"/>
      <w:bookmarkEnd w:id="8"/>
      <w:r w:rsidDel="00000000" w:rsidR="00000000" w:rsidRPr="00000000">
        <w:rPr>
          <w:rFonts w:ascii="Times New Roman" w:cs="Times New Roman" w:eastAsia="Times New Roman" w:hAnsi="Times New Roman"/>
          <w:color w:val="000000"/>
          <w:sz w:val="22"/>
          <w:szCs w:val="22"/>
          <w:highlight w:val="white"/>
          <w:rtl w:val="0"/>
        </w:rPr>
        <w:t xml:space="preserve">2. Include Longitudinal Data</w:t>
      </w:r>
    </w:p>
    <w:p w:rsidR="00000000" w:rsidDel="00000000" w:rsidP="00000000" w:rsidRDefault="00000000" w:rsidRPr="00000000" w14:paraId="0000007B">
      <w:pPr>
        <w:numPr>
          <w:ilvl w:val="0"/>
          <w:numId w:val="5"/>
        </w:numPr>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The study captures a snapshot of user preferences and challenges. Adding longitudinal data (e.g., tracking the same organizations over 6–12 months) could reveal trends in adoption, productivity changes, and long-term satisfaction post-transition.</w:t>
      </w:r>
    </w:p>
    <w:p w:rsidR="00000000" w:rsidDel="00000000" w:rsidP="00000000" w:rsidRDefault="00000000" w:rsidRPr="00000000" w14:paraId="0000007C">
      <w:pPr>
        <w:pStyle w:val="Heading3"/>
        <w:keepNext w:val="0"/>
        <w:keepLines w:val="0"/>
        <w:spacing w:before="280" w:line="360" w:lineRule="auto"/>
        <w:rPr>
          <w:rFonts w:ascii="Times New Roman" w:cs="Times New Roman" w:eastAsia="Times New Roman" w:hAnsi="Times New Roman"/>
          <w:color w:val="000000"/>
          <w:sz w:val="22"/>
          <w:szCs w:val="22"/>
          <w:highlight w:val="white"/>
        </w:rPr>
      </w:pPr>
      <w:bookmarkStart w:colFirst="0" w:colLast="0" w:name="_67cakmiirnav" w:id="9"/>
      <w:bookmarkEnd w:id="9"/>
      <w:r w:rsidDel="00000000" w:rsidR="00000000" w:rsidRPr="00000000">
        <w:rPr>
          <w:rFonts w:ascii="Times New Roman" w:cs="Times New Roman" w:eastAsia="Times New Roman" w:hAnsi="Times New Roman"/>
          <w:color w:val="000000"/>
          <w:sz w:val="22"/>
          <w:szCs w:val="22"/>
          <w:highlight w:val="white"/>
          <w:rtl w:val="0"/>
        </w:rPr>
        <w:t xml:space="preserve">3. Deeper Technical Analysis</w:t>
      </w:r>
    </w:p>
    <w:p w:rsidR="00000000" w:rsidDel="00000000" w:rsidP="00000000" w:rsidRDefault="00000000" w:rsidRPr="00000000" w14:paraId="0000007D">
      <w:pPr>
        <w:numPr>
          <w:ilvl w:val="0"/>
          <w:numId w:val="4"/>
        </w:numPr>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While usability and cost are highlighted, a deeper technical comparison (e.g., API integration capabilities, uptime/reliability metrics, data encryption standards) would strengthen the study’s relevance for IT decision-makers.</w:t>
      </w:r>
    </w:p>
    <w:p w:rsidR="00000000" w:rsidDel="00000000" w:rsidP="00000000" w:rsidRDefault="00000000" w:rsidRPr="00000000" w14:paraId="0000007E">
      <w:pPr>
        <w:pStyle w:val="Heading3"/>
        <w:keepNext w:val="0"/>
        <w:keepLines w:val="0"/>
        <w:spacing w:before="280" w:line="360" w:lineRule="auto"/>
        <w:rPr>
          <w:rFonts w:ascii="Times New Roman" w:cs="Times New Roman" w:eastAsia="Times New Roman" w:hAnsi="Times New Roman"/>
          <w:color w:val="000000"/>
          <w:sz w:val="22"/>
          <w:szCs w:val="22"/>
          <w:highlight w:val="white"/>
        </w:rPr>
      </w:pPr>
      <w:bookmarkStart w:colFirst="0" w:colLast="0" w:name="_xifm8mrr4vxh" w:id="10"/>
      <w:bookmarkEnd w:id="10"/>
      <w:r w:rsidDel="00000000" w:rsidR="00000000" w:rsidRPr="00000000">
        <w:rPr>
          <w:rFonts w:ascii="Times New Roman" w:cs="Times New Roman" w:eastAsia="Times New Roman" w:hAnsi="Times New Roman"/>
          <w:color w:val="000000"/>
          <w:sz w:val="22"/>
          <w:szCs w:val="22"/>
          <w:highlight w:val="white"/>
          <w:rtl w:val="0"/>
        </w:rPr>
        <w:t xml:space="preserve">4. Address Bias in User Preferences</w:t>
      </w:r>
    </w:p>
    <w:p w:rsidR="00000000" w:rsidDel="00000000" w:rsidP="00000000" w:rsidRDefault="00000000" w:rsidRPr="00000000" w14:paraId="0000007F">
      <w:pPr>
        <w:numPr>
          <w:ilvl w:val="0"/>
          <w:numId w:val="13"/>
        </w:numPr>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The preference for Microsoft Legacy Applications may stem from familiarity rather than objective superiority. Conducting controlled usability tests (e.g., task completion time, error rates) could provide more neutral insights.</w:t>
      </w:r>
    </w:p>
    <w:p w:rsidR="00000000" w:rsidDel="00000000" w:rsidP="00000000" w:rsidRDefault="00000000" w:rsidRPr="00000000" w14:paraId="00000080">
      <w:pPr>
        <w:pStyle w:val="Heading3"/>
        <w:keepNext w:val="0"/>
        <w:keepLines w:val="0"/>
        <w:spacing w:before="280" w:line="360" w:lineRule="auto"/>
        <w:rPr>
          <w:rFonts w:ascii="Times New Roman" w:cs="Times New Roman" w:eastAsia="Times New Roman" w:hAnsi="Times New Roman"/>
          <w:color w:val="000000"/>
          <w:sz w:val="22"/>
          <w:szCs w:val="22"/>
          <w:highlight w:val="white"/>
        </w:rPr>
      </w:pPr>
      <w:bookmarkStart w:colFirst="0" w:colLast="0" w:name="_1eyvrdbdmkh6" w:id="11"/>
      <w:bookmarkEnd w:id="11"/>
      <w:r w:rsidDel="00000000" w:rsidR="00000000" w:rsidRPr="00000000">
        <w:rPr>
          <w:rFonts w:ascii="Times New Roman" w:cs="Times New Roman" w:eastAsia="Times New Roman" w:hAnsi="Times New Roman"/>
          <w:color w:val="000000"/>
          <w:sz w:val="22"/>
          <w:szCs w:val="22"/>
          <w:highlight w:val="white"/>
          <w:rtl w:val="0"/>
        </w:rPr>
        <w:t xml:space="preserve">5. Explore Hybrid Solutions</w:t>
      </w:r>
    </w:p>
    <w:p w:rsidR="00000000" w:rsidDel="00000000" w:rsidP="00000000" w:rsidRDefault="00000000" w:rsidRPr="00000000" w14:paraId="00000081">
      <w:pPr>
        <w:numPr>
          <w:ilvl w:val="0"/>
          <w:numId w:val="1"/>
        </w:numPr>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Many organizations use both platforms (40% in the study). Analyzing hybrid models (e.g., Google Workspace for collaboration + Microsoft for offline tasks) and their challenges/benefits could offer practical guidance.</w:t>
      </w:r>
    </w:p>
    <w:p w:rsidR="00000000" w:rsidDel="00000000" w:rsidP="00000000" w:rsidRDefault="00000000" w:rsidRPr="00000000" w14:paraId="00000082">
      <w:pPr>
        <w:pStyle w:val="Heading3"/>
        <w:keepNext w:val="0"/>
        <w:keepLines w:val="0"/>
        <w:spacing w:before="280" w:line="360" w:lineRule="auto"/>
        <w:rPr>
          <w:rFonts w:ascii="Times New Roman" w:cs="Times New Roman" w:eastAsia="Times New Roman" w:hAnsi="Times New Roman"/>
          <w:color w:val="000000"/>
          <w:sz w:val="22"/>
          <w:szCs w:val="22"/>
          <w:highlight w:val="white"/>
        </w:rPr>
      </w:pPr>
      <w:bookmarkStart w:colFirst="0" w:colLast="0" w:name="_ex3t0cz3c27d" w:id="12"/>
      <w:bookmarkEnd w:id="12"/>
      <w:r w:rsidDel="00000000" w:rsidR="00000000" w:rsidRPr="00000000">
        <w:rPr>
          <w:rFonts w:ascii="Times New Roman" w:cs="Times New Roman" w:eastAsia="Times New Roman" w:hAnsi="Times New Roman"/>
          <w:color w:val="000000"/>
          <w:sz w:val="22"/>
          <w:szCs w:val="22"/>
          <w:highlight w:val="white"/>
          <w:rtl w:val="0"/>
        </w:rPr>
        <w:t xml:space="preserve">6. Quantify Productivity Impact</w:t>
      </w:r>
    </w:p>
    <w:p w:rsidR="00000000" w:rsidDel="00000000" w:rsidP="00000000" w:rsidRDefault="00000000" w:rsidRPr="00000000" w14:paraId="00000083">
      <w:pPr>
        <w:numPr>
          <w:ilvl w:val="0"/>
          <w:numId w:val="2"/>
        </w:numPr>
        <w:ind w:left="720" w:hanging="360"/>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highlight w:val="white"/>
          <w:rtl w:val="0"/>
        </w:rPr>
        <w:t xml:space="preserve">The study mentions "productivity challenges" but lacks quantitative metrics (e.g., time saved on collaborative tasks, reduced email overload). Surveys could include specific productivity KPIs.</w:t>
      </w:r>
    </w:p>
    <w:p w:rsidR="00000000" w:rsidDel="00000000" w:rsidP="00000000" w:rsidRDefault="00000000" w:rsidRPr="00000000" w14:paraId="00000084">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6"/>
          <w:szCs w:val="26"/>
          <w:highlight w:val="white"/>
        </w:rPr>
      </w:pPr>
      <w:r w:rsidDel="00000000" w:rsidR="00000000" w:rsidRPr="00000000">
        <w:rPr>
          <w:rFonts w:ascii="Times New Roman" w:cs="Times New Roman" w:eastAsia="Times New Roman" w:hAnsi="Times New Roman"/>
          <w:b w:val="1"/>
          <w:sz w:val="26"/>
          <w:szCs w:val="26"/>
          <w:highlight w:val="white"/>
          <w:rtl w:val="0"/>
        </w:rPr>
        <w:t xml:space="preserve">References </w:t>
      </w:r>
    </w:p>
    <w:p w:rsidR="00000000" w:rsidDel="00000000" w:rsidP="00000000" w:rsidRDefault="00000000" w:rsidRPr="00000000" w14:paraId="00000086">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87">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Adams J. &amp; Green M. (2021) – Discusses challenges associated with maintaining legacy software systems, focusing on integration difficulties and system obsolescence. Published in </w:t>
      </w:r>
      <w:r w:rsidDel="00000000" w:rsidR="00000000" w:rsidRPr="00000000">
        <w:rPr>
          <w:rFonts w:ascii="Times New Roman" w:cs="Times New Roman" w:eastAsia="Times New Roman" w:hAnsi="Times New Roman"/>
          <w:i w:val="1"/>
          <w:highlight w:val="white"/>
          <w:rtl w:val="0"/>
        </w:rPr>
        <w:t xml:space="preserve">Journal of Software Maintenance</w:t>
      </w:r>
      <w:r w:rsidDel="00000000" w:rsidR="00000000" w:rsidRPr="00000000">
        <w:rPr>
          <w:rFonts w:ascii="Times New Roman" w:cs="Times New Roman" w:eastAsia="Times New Roman" w:hAnsi="Times New Roman"/>
          <w:highlight w:val="white"/>
          <w:rtl w:val="0"/>
        </w:rPr>
        <w:t xml:space="preserve">.</w:t>
        <w:br w:type="textWrapping"/>
      </w:r>
    </w:p>
    <w:p w:rsidR="00000000" w:rsidDel="00000000" w:rsidP="00000000" w:rsidRDefault="00000000" w:rsidRPr="00000000" w14:paraId="00000088">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Carter North &amp; Phillips R. (2022) – Examines education and support mechanisms for cloud-based tools, emphasizing strategies for user transition and ongoing assistance. Published in </w:t>
      </w:r>
      <w:r w:rsidDel="00000000" w:rsidR="00000000" w:rsidRPr="00000000">
        <w:rPr>
          <w:rFonts w:ascii="Times New Roman" w:cs="Times New Roman" w:eastAsia="Times New Roman" w:hAnsi="Times New Roman"/>
          <w:i w:val="1"/>
          <w:highlight w:val="white"/>
          <w:rtl w:val="0"/>
        </w:rPr>
        <w:t xml:space="preserve">IT Education Journal</w:t>
      </w:r>
      <w:r w:rsidDel="00000000" w:rsidR="00000000" w:rsidRPr="00000000">
        <w:rPr>
          <w:rFonts w:ascii="Times New Roman" w:cs="Times New Roman" w:eastAsia="Times New Roman" w:hAnsi="Times New Roman"/>
          <w:highlight w:val="white"/>
          <w:rtl w:val="0"/>
        </w:rPr>
        <w:t xml:space="preserve">.</w:t>
        <w:br w:type="textWrapping"/>
      </w:r>
    </w:p>
    <w:p w:rsidR="00000000" w:rsidDel="00000000" w:rsidP="00000000" w:rsidRDefault="00000000" w:rsidRPr="00000000" w14:paraId="00000089">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Evans S. (2023) – Investigates real-time collaboration capabilities in cloud-based suites, focusing on their impact on teamwork and communication. Published in </w:t>
      </w:r>
      <w:r w:rsidDel="00000000" w:rsidR="00000000" w:rsidRPr="00000000">
        <w:rPr>
          <w:rFonts w:ascii="Times New Roman" w:cs="Times New Roman" w:eastAsia="Times New Roman" w:hAnsi="Times New Roman"/>
          <w:i w:val="1"/>
          <w:highlight w:val="white"/>
          <w:rtl w:val="0"/>
        </w:rPr>
        <w:t xml:space="preserve">Productivity Research Quarterly</w:t>
      </w:r>
      <w:r w:rsidDel="00000000" w:rsidR="00000000" w:rsidRPr="00000000">
        <w:rPr>
          <w:rFonts w:ascii="Times New Roman" w:cs="Times New Roman" w:eastAsia="Times New Roman" w:hAnsi="Times New Roman"/>
          <w:highlight w:val="white"/>
          <w:rtl w:val="0"/>
        </w:rPr>
        <w:t xml:space="preserve">.</w:t>
        <w:br w:type="textWrapping"/>
      </w:r>
    </w:p>
    <w:p w:rsidR="00000000" w:rsidDel="00000000" w:rsidP="00000000" w:rsidRDefault="00000000" w:rsidRPr="00000000" w14:paraId="0000008A">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Gordon T. (2020) – Explores limitations and inefficiencies of traditional software solutions, highlighting issues with scalability and integration. Published in </w:t>
      </w:r>
      <w:r w:rsidDel="00000000" w:rsidR="00000000" w:rsidRPr="00000000">
        <w:rPr>
          <w:rFonts w:ascii="Times New Roman" w:cs="Times New Roman" w:eastAsia="Times New Roman" w:hAnsi="Times New Roman"/>
          <w:i w:val="1"/>
          <w:highlight w:val="white"/>
          <w:rtl w:val="0"/>
        </w:rPr>
        <w:t xml:space="preserve">Software Engineering Insights</w:t>
      </w:r>
      <w:r w:rsidDel="00000000" w:rsidR="00000000" w:rsidRPr="00000000">
        <w:rPr>
          <w:rFonts w:ascii="Times New Roman" w:cs="Times New Roman" w:eastAsia="Times New Roman" w:hAnsi="Times New Roman"/>
          <w:highlight w:val="white"/>
          <w:rtl w:val="0"/>
        </w:rPr>
        <w:t xml:space="preserve">.</w:t>
        <w:br w:type="textWrapping"/>
      </w:r>
    </w:p>
    <w:p w:rsidR="00000000" w:rsidDel="00000000" w:rsidP="00000000" w:rsidRDefault="00000000" w:rsidRPr="00000000" w14:paraId="0000008B">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Bhandari, R. (2022) – Analyzes cybersecurity risks in legacy office applications, particularly older versions of Microsoft Office, emphasizing vulnerabilities related to outdated encryption, security patches, and malware threats.</w:t>
        <w:br w:type="textWrapping"/>
      </w:r>
    </w:p>
    <w:p w:rsidR="00000000" w:rsidDel="00000000" w:rsidP="00000000" w:rsidRDefault="00000000" w:rsidRPr="00000000" w14:paraId="0000008C">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D'Souza, R. (2021) – Evaluates challenges of using Microsoft Legacy Applications in remote work settings, highlighting issues such as lack of real-time collaboration, manual file sharing, and security concerns.</w:t>
        <w:br w:type="textWrapping"/>
      </w:r>
    </w:p>
    <w:p w:rsidR="00000000" w:rsidDel="00000000" w:rsidP="00000000" w:rsidRDefault="00000000" w:rsidRPr="00000000" w14:paraId="0000008D">
      <w:pPr>
        <w:numPr>
          <w:ilvl w:val="0"/>
          <w:numId w:val="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Singh et al. (2022) – Investigates how security concerns influence the choice between cloud-based and legacy office applications, discussing data breaches, compliance requirements, and cybersecurity threats.</w:t>
      </w:r>
    </w:p>
    <w:p w:rsidR="00000000" w:rsidDel="00000000" w:rsidP="00000000" w:rsidRDefault="00000000" w:rsidRPr="00000000" w14:paraId="0000008E">
      <w:pPr>
        <w:rPr>
          <w:rFonts w:ascii="Times New Roman" w:cs="Times New Roman" w:eastAsia="Times New Roman" w:hAnsi="Times New Roman"/>
          <w:b w:val="1"/>
          <w:sz w:val="26"/>
          <w:szCs w:val="26"/>
          <w:highlight w:val="whit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madande@ssgmce.ac.in" TargetMode="External"/><Relationship Id="rId15" Type="http://schemas.openxmlformats.org/officeDocument/2006/relationships/image" Target="media/image4.png"/><Relationship Id="rId14"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mailto:1gaikwafsanket@gmail.com" TargetMode="External"/><Relationship Id="rId7" Type="http://schemas.openxmlformats.org/officeDocument/2006/relationships/hyperlink" Target="mailto:1gaikwafsanket@gmail.com" TargetMode="External"/><Relationship Id="rId8" Type="http://schemas.openxmlformats.org/officeDocument/2006/relationships/hyperlink" Target="mailto:2madande@ssgmce.ac.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