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ascii="Times New Roman" w:cs="Times New Roman" w:eastAsia="Times New Roman" w:hAnsi="Times New Roman"/>
          <w:b/>
          <w:bCs/>
          <w:sz w:val="28"/>
          <w:szCs w:val="28"/>
        </w:rPr>
      </w:pPr>
      <w:r>
        <w:rPr>
          <w:sz w:val="28"/>
          <w:szCs w:val="28"/>
        </w:rPr>
        <w:t xml:space="preserve">     </w:t>
      </w:r>
      <w:r>
        <w:rPr>
          <w:sz w:val="28"/>
          <w:szCs w:val="28"/>
        </w:rPr>
        <w:t xml:space="preserve">          </w:t>
      </w:r>
      <w:r>
        <w:rPr>
          <w:rFonts w:ascii="Times New Roman" w:cs="Times New Roman" w:eastAsia="Times New Roman" w:hAnsi="Times New Roman"/>
          <w:b/>
          <w:bCs/>
          <w:sz w:val="28"/>
          <w:szCs w:val="28"/>
        </w:rPr>
        <w:t>THE PERC</w:t>
      </w:r>
      <w:r>
        <w:rPr>
          <w:rFonts w:ascii="Times New Roman" w:cs="Times New Roman" w:eastAsia="Times New Roman" w:hAnsi="Times New Roman"/>
          <w:b/>
          <w:bCs/>
          <w:sz w:val="28"/>
          <w:szCs w:val="28"/>
          <w:lang w:val="en-US"/>
        </w:rPr>
        <w:t>EI</w:t>
      </w:r>
      <w:r>
        <w:rPr>
          <w:rFonts w:ascii="Times New Roman" w:cs="Times New Roman" w:eastAsia="Times New Roman" w:hAnsi="Times New Roman"/>
          <w:b/>
          <w:bCs/>
          <w:sz w:val="28"/>
          <w:szCs w:val="28"/>
        </w:rPr>
        <w:t>VED IMPACT OF FIN</w:t>
      </w:r>
      <w:r>
        <w:rPr>
          <w:rFonts w:ascii="Times New Roman" w:cs="Times New Roman" w:eastAsia="Times New Roman" w:hAnsi="Times New Roman"/>
          <w:b/>
          <w:bCs/>
          <w:sz w:val="28"/>
          <w:szCs w:val="28"/>
        </w:rPr>
        <w:t xml:space="preserve">TECH GREENWASHING </w:t>
      </w:r>
    </w:p>
    <w:p>
      <w:pPr>
        <w:pStyle w:val="style0"/>
        <w:rPr>
          <w:rFonts w:ascii="Times New Roman" w:cs="Times New Roman" w:eastAsia="Times New Roman" w:hAnsi="Times New Roman"/>
          <w:b/>
          <w:bCs/>
          <w:sz w:val="28"/>
          <w:szCs w:val="28"/>
        </w:rPr>
      </w:pPr>
      <w:r>
        <w:rPr>
          <w:rFonts w:ascii="Times New Roman" w:cs="Times New Roman" w:eastAsia="Times New Roman" w:hAnsi="Times New Roman"/>
          <w:b/>
          <w:bCs/>
          <w:sz w:val="28"/>
          <w:szCs w:val="28"/>
        </w:rPr>
        <w:t xml:space="preserve">                        ON CUSTOMER TRUST AND DECISION-MAKING</w:t>
      </w:r>
    </w:p>
    <w:p>
      <w:pPr>
        <w:pStyle w:val="style0"/>
        <w:rPr>
          <w:rFonts w:ascii="Times New Roman" w:cs="Times New Roman" w:eastAsia="Times New Roman" w:hAnsi="Times New Roman"/>
          <w:b/>
          <w:bCs/>
        </w:rPr>
      </w:pPr>
      <w:r>
        <w:rPr>
          <w:rFonts w:ascii="Times New Roman" w:cs="Times New Roman" w:eastAsia="Times New Roman" w:hAnsi="Times New Roman"/>
          <w:b/>
          <w:bCs/>
        </w:rPr>
        <w:t xml:space="preserve">                                      </w:t>
      </w:r>
    </w:p>
    <w:p>
      <w:pPr>
        <w:pStyle w:val="style0"/>
        <w:rPr>
          <w:rFonts w:ascii="Times New Roman" w:cs="Times New Roman" w:eastAsia="Times New Roman" w:hAnsi="Times New Roman"/>
          <w:b/>
          <w:bCs/>
          <w:lang w:val="fr-FR"/>
        </w:rPr>
      </w:pPr>
      <w:r>
        <w:rPr>
          <w:rFonts w:ascii="Times New Roman" w:cs="Times New Roman" w:eastAsia="Times New Roman" w:hAnsi="Times New Roman"/>
          <w:lang w:val="fr-FR"/>
        </w:rPr>
        <w:t xml:space="preserve">                                        </w:t>
      </w:r>
      <w:r>
        <w:rPr>
          <w:rFonts w:ascii="Times New Roman" w:cs="Times New Roman" w:eastAsia="Times New Roman" w:hAnsi="Times New Roman"/>
          <w:lang w:val="fr-FR"/>
        </w:rPr>
        <w:t xml:space="preserve">        </w:t>
      </w:r>
      <w:r>
        <w:rPr>
          <w:rFonts w:ascii="Times New Roman" w:cs="Times New Roman" w:eastAsia="Times New Roman" w:hAnsi="Times New Roman"/>
          <w:b/>
          <w:bCs/>
          <w:lang w:val="fr-FR"/>
        </w:rPr>
        <w:t>Abubakar Umar Abdullahi</w:t>
      </w:r>
      <w:r>
        <w:rPr>
          <w:rFonts w:ascii="Times New Roman" w:cs="Times New Roman" w:eastAsia="Times New Roman" w:hAnsi="Times New Roman"/>
          <w:b/>
          <w:bCs/>
          <w:lang w:val="fr-FR"/>
        </w:rPr>
        <w:t xml:space="preserve">  </w:t>
      </w:r>
    </w:p>
    <w:p>
      <w:pPr>
        <w:pStyle w:val="style0"/>
        <w:rPr>
          <w:rFonts w:ascii="Times New Roman" w:cs="Times New Roman" w:eastAsia="Times New Roman" w:hAnsi="Times New Roman"/>
          <w:sz w:val="22"/>
          <w:szCs w:val="22"/>
        </w:rPr>
      </w:pPr>
      <w:r>
        <w:rPr>
          <w:rFonts w:ascii="Times New Roman" w:cs="Times New Roman" w:eastAsia="Times New Roman" w:hAnsi="Times New Roman"/>
          <w:b/>
          <w:bCs/>
        </w:rPr>
        <w:t xml:space="preserve">                              </w:t>
      </w:r>
      <w:r>
        <w:rPr>
          <w:rFonts w:ascii="Times New Roman" w:cs="Times New Roman" w:eastAsia="Times New Roman" w:hAnsi="Times New Roman"/>
        </w:rPr>
        <w:t>M.Com Student</w:t>
      </w:r>
      <w:r>
        <w:rPr>
          <w:rFonts w:ascii="Times New Roman" w:cs="Times New Roman" w:eastAsia="Times New Roman" w:hAnsi="Times New Roman"/>
          <w:sz w:val="22"/>
          <w:szCs w:val="22"/>
        </w:rPr>
        <w:t xml:space="preserve">, Commerce </w:t>
      </w:r>
      <w:r>
        <w:rPr>
          <w:rFonts w:ascii="Times New Roman" w:cs="Times New Roman" w:eastAsia="Times New Roman" w:hAnsi="Times New Roman"/>
          <w:sz w:val="22"/>
          <w:szCs w:val="22"/>
        </w:rPr>
        <w:t>Department</w:t>
      </w:r>
      <w:r>
        <w:rPr>
          <w:rFonts w:ascii="Times New Roman" w:cs="Times New Roman" w:eastAsia="Times New Roman" w:hAnsi="Times New Roman"/>
          <w:sz w:val="22"/>
          <w:szCs w:val="22"/>
        </w:rPr>
        <w:t xml:space="preserve">, </w:t>
      </w:r>
      <w:r>
        <w:rPr>
          <w:rFonts w:ascii="Times New Roman" w:cs="Times New Roman" w:eastAsia="Times New Roman" w:hAnsi="Times New Roman"/>
          <w:sz w:val="22"/>
          <w:szCs w:val="22"/>
        </w:rPr>
        <w:t>Kalinga</w:t>
      </w:r>
      <w:r>
        <w:rPr>
          <w:rFonts w:ascii="Times New Roman" w:cs="Times New Roman" w:eastAsia="Times New Roman" w:hAnsi="Times New Roman"/>
          <w:sz w:val="22"/>
          <w:szCs w:val="22"/>
        </w:rPr>
        <w:t xml:space="preserve"> University</w:t>
      </w:r>
    </w:p>
    <w:p>
      <w:pPr>
        <w:pStyle w:val="style0"/>
        <w:rPr>
          <w:rFonts w:ascii="Times New Roman" w:cs="Times New Roman" w:eastAsia="Times New Roman" w:hAnsi="Times New Roman"/>
          <w:sz w:val="22"/>
          <w:szCs w:val="22"/>
        </w:rPr>
      </w:pPr>
      <w:r>
        <w:rPr>
          <w:rFonts w:ascii="Times New Roman" w:cs="Times New Roman" w:eastAsia="Times New Roman" w:hAnsi="Times New Roman"/>
          <w:sz w:val="22"/>
          <w:szCs w:val="22"/>
        </w:rPr>
        <w:t xml:space="preserve">                                                </w:t>
      </w:r>
      <w:r>
        <w:rPr>
          <w:rFonts w:ascii="Times New Roman" w:cs="Times New Roman" w:eastAsia="Times New Roman" w:hAnsi="Times New Roman"/>
          <w:sz w:val="22"/>
          <w:szCs w:val="22"/>
        </w:rPr>
        <w:t xml:space="preserve"> </w:t>
      </w:r>
      <w:r>
        <w:rPr>
          <w:rFonts w:ascii="Times New Roman" w:cs="Times New Roman" w:eastAsia="Times New Roman" w:hAnsi="Times New Roman"/>
          <w:sz w:val="22"/>
          <w:szCs w:val="22"/>
        </w:rPr>
        <w:t>Raipur City, Chhattisgarh, India</w:t>
      </w:r>
      <w:r>
        <w:rPr>
          <w:rFonts w:ascii="Times New Roman" w:cs="Times New Roman" w:eastAsia="Times New Roman" w:hAnsi="Times New Roman"/>
          <w:sz w:val="22"/>
          <w:szCs w:val="22"/>
        </w:rPr>
        <w:t>.</w:t>
      </w:r>
      <w:r>
        <w:rPr>
          <w:rFonts w:ascii="Times New Roman" w:cs="Times New Roman" w:eastAsia="Times New Roman" w:hAnsi="Times New Roman"/>
          <w:sz w:val="22"/>
          <w:szCs w:val="22"/>
        </w:rPr>
        <w:t xml:space="preserve">    </w:t>
      </w:r>
    </w:p>
    <w:p>
      <w:pPr>
        <w:pStyle w:val="style0"/>
        <w:rPr>
          <w:rFonts w:ascii="Times New Roman" w:cs="Times New Roman" w:eastAsia="Times New Roman" w:hAnsi="Times New Roman"/>
          <w:sz w:val="22"/>
          <w:szCs w:val="22"/>
          <w:lang w:val="fr-FR"/>
        </w:rPr>
      </w:pPr>
    </w:p>
    <w:p>
      <w:pPr>
        <w:pStyle w:val="style0"/>
        <w:rPr>
          <w:rFonts w:ascii="Times New Roman" w:cs="Times New Roman" w:eastAsia="Times New Roman" w:hAnsi="Times New Roman"/>
          <w:sz w:val="22"/>
          <w:szCs w:val="22"/>
          <w:lang w:val="fr-FR"/>
        </w:rPr>
      </w:pPr>
    </w:p>
    <w:p>
      <w:pPr>
        <w:pStyle w:val="style0"/>
        <w:rPr>
          <w:rFonts w:ascii="Times New Roman" w:cs="Times New Roman" w:eastAsia="Times New Roman" w:hAnsi="Times New Roman"/>
          <w:sz w:val="22"/>
          <w:szCs w:val="22"/>
          <w:lang w:val="fr-FR"/>
        </w:rPr>
      </w:pPr>
    </w:p>
    <w:p>
      <w:pPr>
        <w:pStyle w:val="style0"/>
        <w:rPr>
          <w:rFonts w:ascii="Times New Roman" w:cs="Times New Roman" w:eastAsia="Times New Roman" w:hAnsi="Times New Roman"/>
          <w:sz w:val="22"/>
          <w:szCs w:val="22"/>
          <w:lang w:val="fr-FR"/>
        </w:rPr>
      </w:pPr>
    </w:p>
    <w:p>
      <w:pPr>
        <w:pStyle w:val="style0"/>
        <w:rPr>
          <w:rFonts w:ascii="Times New Roman" w:cs="Times New Roman" w:eastAsia="Times New Roman" w:hAnsi="Times New Roman"/>
          <w:sz w:val="22"/>
          <w:szCs w:val="22"/>
          <w:lang w:val="fr-FR"/>
        </w:rPr>
      </w:pPr>
    </w:p>
    <w:p>
      <w:pPr>
        <w:pStyle w:val="style0"/>
        <w:rPr>
          <w:rFonts w:ascii="Times New Roman" w:cs="Times New Roman" w:eastAsia="Times New Roman" w:hAnsi="Times New Roman"/>
          <w:sz w:val="22"/>
          <w:szCs w:val="22"/>
          <w:lang w:val="fr-FR"/>
        </w:rPr>
      </w:pPr>
    </w:p>
    <w:p>
      <w:pPr>
        <w:pStyle w:val="style0"/>
        <w:rPr>
          <w:rFonts w:ascii="Times New Roman" w:cs="Times New Roman" w:eastAsia="Times New Roman" w:hAnsi="Times New Roman"/>
          <w:sz w:val="22"/>
          <w:szCs w:val="22"/>
          <w:lang w:val="fr-FR"/>
        </w:rPr>
      </w:pPr>
    </w:p>
    <w:p>
      <w:pPr>
        <w:pStyle w:val="style0"/>
        <w:rPr>
          <w:rFonts w:ascii="Times New Roman" w:cs="Times New Roman" w:eastAsia="Times New Roman" w:hAnsi="Times New Roman"/>
          <w:sz w:val="22"/>
          <w:szCs w:val="22"/>
          <w:lang w:val="fr-FR"/>
        </w:rPr>
      </w:pPr>
    </w:p>
    <w:p>
      <w:pPr>
        <w:pStyle w:val="style0"/>
        <w:rPr>
          <w:rFonts w:ascii="Times New Roman" w:cs="Times New Roman" w:eastAsia="Times New Roman" w:hAnsi="Times New Roman"/>
          <w:sz w:val="22"/>
          <w:szCs w:val="22"/>
          <w:lang w:val="fr-FR"/>
        </w:rPr>
      </w:pPr>
    </w:p>
    <w:p>
      <w:pPr>
        <w:pStyle w:val="style0"/>
        <w:rPr>
          <w:rFonts w:ascii="Times New Roman" w:cs="Times New Roman" w:eastAsia="Times New Roman" w:hAnsi="Times New Roman"/>
          <w:sz w:val="22"/>
          <w:szCs w:val="22"/>
          <w:lang w:val="fr-FR"/>
        </w:rPr>
      </w:pPr>
    </w:p>
    <w:p>
      <w:pPr>
        <w:pStyle w:val="style0"/>
        <w:rPr>
          <w:rFonts w:ascii="Times New Roman" w:cs="Times New Roman" w:eastAsia="Times New Roman" w:hAnsi="Times New Roman"/>
          <w:sz w:val="22"/>
          <w:szCs w:val="22"/>
          <w:lang w:val="fr-FR"/>
        </w:rPr>
      </w:pPr>
    </w:p>
    <w:p>
      <w:pPr>
        <w:pStyle w:val="style0"/>
        <w:rPr>
          <w:rFonts w:ascii="Times New Roman" w:cs="Times New Roman" w:eastAsia="Times New Roman" w:hAnsi="Times New Roman"/>
          <w:sz w:val="22"/>
          <w:szCs w:val="22"/>
          <w:lang w:val="fr-FR"/>
        </w:rPr>
      </w:pPr>
    </w:p>
    <w:p>
      <w:pPr>
        <w:pStyle w:val="style0"/>
        <w:rPr>
          <w:rFonts w:ascii="Times New Roman" w:cs="Times New Roman" w:eastAsia="Times New Roman" w:hAnsi="Times New Roman"/>
          <w:sz w:val="22"/>
          <w:szCs w:val="22"/>
          <w:lang w:val="fr-FR"/>
        </w:rPr>
      </w:pPr>
    </w:p>
    <w:p>
      <w:pPr>
        <w:pStyle w:val="style0"/>
        <w:rPr>
          <w:rFonts w:ascii="Times New Roman" w:cs="Times New Roman" w:eastAsia="Times New Roman" w:hAnsi="Times New Roman"/>
          <w:sz w:val="22"/>
          <w:szCs w:val="22"/>
          <w:lang w:val="fr-FR"/>
        </w:rPr>
      </w:pPr>
    </w:p>
    <w:p>
      <w:pPr>
        <w:pStyle w:val="style0"/>
        <w:rPr>
          <w:rFonts w:ascii="Times New Roman" w:cs="Times New Roman" w:eastAsia="Times New Roman" w:hAnsi="Times New Roman"/>
          <w:sz w:val="22"/>
          <w:szCs w:val="22"/>
          <w:lang w:val="fr-FR"/>
        </w:rPr>
      </w:pPr>
    </w:p>
    <w:p>
      <w:pPr>
        <w:pStyle w:val="style0"/>
        <w:rPr>
          <w:rFonts w:ascii="Times New Roman" w:cs="Times New Roman" w:eastAsia="Times New Roman" w:hAnsi="Times New Roman"/>
          <w:sz w:val="22"/>
          <w:szCs w:val="22"/>
          <w:lang w:val="fr-FR"/>
        </w:rPr>
      </w:pPr>
    </w:p>
    <w:p>
      <w:pPr>
        <w:pStyle w:val="style0"/>
        <w:rPr>
          <w:rFonts w:ascii="Times New Roman" w:cs="Times New Roman" w:eastAsia="Times New Roman" w:hAnsi="Times New Roman"/>
          <w:sz w:val="22"/>
          <w:szCs w:val="22"/>
          <w:lang w:val="fr-FR"/>
        </w:rPr>
      </w:pPr>
    </w:p>
    <w:p>
      <w:pPr>
        <w:pStyle w:val="style0"/>
        <w:rPr>
          <w:rFonts w:ascii="Times New Roman" w:cs="Times New Roman" w:eastAsia="Times New Roman" w:hAnsi="Times New Roman"/>
          <w:sz w:val="22"/>
          <w:szCs w:val="22"/>
          <w:lang w:val="fr-FR"/>
        </w:rPr>
      </w:pPr>
    </w:p>
    <w:p>
      <w:pPr>
        <w:pStyle w:val="style0"/>
        <w:rPr>
          <w:rFonts w:ascii="Times New Roman" w:cs="Times New Roman" w:eastAsia="Times New Roman" w:hAnsi="Times New Roman"/>
          <w:sz w:val="22"/>
          <w:szCs w:val="22"/>
          <w:lang w:val="fr-FR"/>
        </w:rPr>
      </w:pPr>
    </w:p>
    <w:p>
      <w:pPr>
        <w:pStyle w:val="style0"/>
        <w:rPr>
          <w:rFonts w:ascii="Times New Roman" w:cs="Times New Roman" w:eastAsia="Times New Roman" w:hAnsi="Times New Roman"/>
          <w:sz w:val="22"/>
          <w:szCs w:val="22"/>
          <w:lang w:val="fr-FR"/>
        </w:rPr>
      </w:pPr>
    </w:p>
    <w:p>
      <w:pPr>
        <w:pStyle w:val="style0"/>
        <w:rPr>
          <w:rFonts w:ascii="Times New Roman" w:cs="Times New Roman" w:eastAsia="Times New Roman" w:hAnsi="Times New Roman"/>
          <w:sz w:val="22"/>
          <w:szCs w:val="22"/>
          <w:lang w:val="fr-FR"/>
        </w:rPr>
      </w:pPr>
    </w:p>
    <w:p>
      <w:pPr>
        <w:pStyle w:val="style0"/>
        <w:rPr>
          <w:rFonts w:ascii="Times New Roman" w:cs="Times New Roman" w:eastAsia="Times New Roman" w:hAnsi="Times New Roman"/>
          <w:sz w:val="22"/>
          <w:szCs w:val="22"/>
          <w:lang w:val="fr-FR"/>
        </w:rPr>
      </w:pPr>
    </w:p>
    <w:p>
      <w:pPr>
        <w:pStyle w:val="style0"/>
        <w:rPr>
          <w:rFonts w:ascii="Times New Roman" w:cs="Times New Roman" w:eastAsia="Times New Roman" w:hAnsi="Times New Roman"/>
          <w:b/>
          <w:bCs/>
          <w:lang w:val="fr-FR"/>
        </w:rPr>
      </w:pPr>
      <w:r>
        <w:rPr>
          <w:rFonts w:ascii="Times New Roman" w:cs="Times New Roman" w:eastAsia="Times New Roman" w:hAnsi="Times New Roman"/>
          <w:b/>
          <w:bCs/>
          <w:lang w:val="fr-FR"/>
        </w:rPr>
        <w:t xml:space="preserve">ABSTRACT </w:t>
      </w:r>
    </w:p>
    <w:p>
      <w:pPr>
        <w:pStyle w:val="style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The study intended to examine the influence of </w:t>
      </w:r>
      <w:r>
        <w:rPr>
          <w:rFonts w:ascii="Times New Roman" w:cs="Times New Roman" w:eastAsia="Times New Roman" w:hAnsi="Times New Roman"/>
          <w:sz w:val="20"/>
          <w:szCs w:val="20"/>
        </w:rPr>
        <w:t>fintech</w:t>
      </w:r>
      <w:r>
        <w:rPr>
          <w:rFonts w:ascii="Times New Roman" w:cs="Times New Roman" w:eastAsia="Times New Roman" w:hAnsi="Times New Roman"/>
          <w:sz w:val="20"/>
          <w:szCs w:val="20"/>
        </w:rPr>
        <w:t xml:space="preserve"> greenwashing perception on user trust and decision-making. The data w</w:t>
      </w:r>
      <w:r>
        <w:rPr>
          <w:rFonts w:ascii="Times New Roman" w:cs="Times New Roman" w:eastAsia="Times New Roman" w:hAnsi="Times New Roman"/>
          <w:sz w:val="20"/>
          <w:szCs w:val="20"/>
        </w:rPr>
        <w:t>ere</w:t>
      </w:r>
      <w:r>
        <w:rPr>
          <w:rFonts w:ascii="Times New Roman" w:cs="Times New Roman" w:eastAsia="Times New Roman" w:hAnsi="Times New Roman"/>
          <w:sz w:val="20"/>
          <w:szCs w:val="20"/>
        </w:rPr>
        <w:t xml:space="preserve"> obtained through an online platform survey, in which a questionnaire was sent to respondents, particularly users of </w:t>
      </w:r>
      <w:r>
        <w:rPr>
          <w:rFonts w:ascii="Times New Roman" w:cs="Times New Roman" w:eastAsia="Times New Roman" w:hAnsi="Times New Roman"/>
          <w:sz w:val="20"/>
          <w:szCs w:val="20"/>
        </w:rPr>
        <w:t>fintech</w:t>
      </w:r>
      <w:r>
        <w:rPr>
          <w:rFonts w:ascii="Times New Roman" w:cs="Times New Roman" w:eastAsia="Times New Roman" w:hAnsi="Times New Roman"/>
          <w:sz w:val="20"/>
          <w:szCs w:val="20"/>
        </w:rPr>
        <w:t xml:space="preserve"> in Kano State</w:t>
      </w:r>
      <w:r>
        <w:rPr>
          <w:rFonts w:ascii="Times New Roman" w:cs="Times New Roman" w:eastAsia="Times New Roman" w:hAnsi="Times New Roman"/>
          <w:sz w:val="20"/>
          <w:szCs w:val="20"/>
        </w:rPr>
        <w:t xml:space="preserve"> </w:t>
      </w:r>
      <w:r>
        <w:rPr>
          <w:rFonts w:ascii="Times New Roman" w:cs="Times New Roman" w:eastAsia="Times New Roman" w:hAnsi="Times New Roman"/>
          <w:sz w:val="20"/>
          <w:szCs w:val="20"/>
        </w:rPr>
        <w:t>metropolitan area</w:t>
      </w:r>
      <w:r>
        <w:rPr>
          <w:rFonts w:ascii="Times New Roman" w:cs="Times New Roman" w:eastAsia="Times New Roman" w:hAnsi="Times New Roman"/>
          <w:sz w:val="20"/>
          <w:szCs w:val="20"/>
        </w:rPr>
        <w:t>, Nigeria. The sample size consist</w:t>
      </w:r>
      <w:r>
        <w:rPr>
          <w:rFonts w:ascii="Times New Roman" w:cs="Times New Roman" w:eastAsia="Times New Roman" w:hAnsi="Times New Roman"/>
          <w:sz w:val="20"/>
          <w:szCs w:val="20"/>
        </w:rPr>
        <w:t>ed</w:t>
      </w:r>
      <w:r>
        <w:rPr>
          <w:rFonts w:ascii="Times New Roman" w:cs="Times New Roman" w:eastAsia="Times New Roman" w:hAnsi="Times New Roman"/>
          <w:sz w:val="20"/>
          <w:szCs w:val="20"/>
        </w:rPr>
        <w:t xml:space="preserve"> of a total of 302 respondents. The data were analyzed using a hierarchical regression approach </w:t>
      </w:r>
      <w:r>
        <w:rPr>
          <w:rFonts w:ascii="Times New Roman" w:cs="Times New Roman" w:eastAsia="Times New Roman" w:hAnsi="Times New Roman"/>
          <w:sz w:val="20"/>
          <w:szCs w:val="20"/>
        </w:rPr>
        <w:t>with</w:t>
      </w:r>
      <w:r>
        <w:rPr>
          <w:rFonts w:ascii="Times New Roman" w:cs="Times New Roman" w:eastAsia="Times New Roman" w:hAnsi="Times New Roman"/>
          <w:sz w:val="20"/>
          <w:szCs w:val="20"/>
        </w:rPr>
        <w:t xml:space="preserve"> SPSS Version 29. The outcomes of the research indicated a significant positive impact of greenwashing perception on customer trust and decision-making. This implies that a higher perception of greenwashing is associated with a significant change in customer trust and decision-making. It i</w:t>
      </w:r>
      <w:r>
        <w:rPr>
          <w:rFonts w:ascii="Times New Roman" w:cs="Times New Roman" w:eastAsia="Times New Roman" w:hAnsi="Times New Roman"/>
          <w:sz w:val="20"/>
          <w:szCs w:val="20"/>
        </w:rPr>
        <w:t>ndicates</w:t>
      </w:r>
      <w:r>
        <w:rPr>
          <w:rFonts w:ascii="Times New Roman" w:cs="Times New Roman" w:eastAsia="Times New Roman" w:hAnsi="Times New Roman"/>
          <w:sz w:val="20"/>
          <w:szCs w:val="20"/>
        </w:rPr>
        <w:t xml:space="preserve"> that a high perception of misleading practices in </w:t>
      </w:r>
      <w:r>
        <w:rPr>
          <w:rFonts w:ascii="Times New Roman" w:cs="Times New Roman" w:eastAsia="Times New Roman" w:hAnsi="Times New Roman"/>
          <w:sz w:val="20"/>
          <w:szCs w:val="20"/>
        </w:rPr>
        <w:t>fintech</w:t>
      </w:r>
      <w:r>
        <w:rPr>
          <w:rFonts w:ascii="Times New Roman" w:cs="Times New Roman" w:eastAsia="Times New Roman" w:hAnsi="Times New Roman"/>
          <w:sz w:val="20"/>
          <w:szCs w:val="20"/>
        </w:rPr>
        <w:t xml:space="preserve"> firms results in the loss of customer trust and either stopping or changing </w:t>
      </w:r>
      <w:r>
        <w:rPr>
          <w:rFonts w:ascii="Times New Roman" w:cs="Times New Roman" w:eastAsia="Times New Roman" w:hAnsi="Times New Roman"/>
          <w:sz w:val="20"/>
          <w:szCs w:val="20"/>
        </w:rPr>
        <w:t>fintech</w:t>
      </w:r>
      <w:r>
        <w:rPr>
          <w:rFonts w:ascii="Times New Roman" w:cs="Times New Roman" w:eastAsia="Times New Roman" w:hAnsi="Times New Roman"/>
          <w:sz w:val="20"/>
          <w:szCs w:val="20"/>
        </w:rPr>
        <w:t xml:space="preserve"> services to a non-greenwashing company. The study recommended that </w:t>
      </w:r>
      <w:r>
        <w:rPr>
          <w:rFonts w:ascii="Times New Roman" w:cs="Times New Roman" w:eastAsia="Times New Roman" w:hAnsi="Times New Roman"/>
          <w:sz w:val="20"/>
          <w:szCs w:val="20"/>
        </w:rPr>
        <w:t>fintech</w:t>
      </w:r>
      <w:r>
        <w:rPr>
          <w:rFonts w:ascii="Times New Roman" w:cs="Times New Roman" w:eastAsia="Times New Roman" w:hAnsi="Times New Roman"/>
          <w:sz w:val="20"/>
          <w:szCs w:val="20"/>
        </w:rPr>
        <w:t xml:space="preserve"> companies should provide their environmental practices in </w:t>
      </w:r>
      <w:r>
        <w:rPr>
          <w:rFonts w:ascii="Times New Roman" w:cs="Times New Roman" w:eastAsia="Times New Roman" w:hAnsi="Times New Roman"/>
          <w:sz w:val="20"/>
          <w:szCs w:val="20"/>
        </w:rPr>
        <w:t xml:space="preserve">a </w:t>
      </w:r>
      <w:r>
        <w:rPr>
          <w:rFonts w:ascii="Times New Roman" w:cs="Times New Roman" w:eastAsia="Times New Roman" w:hAnsi="Times New Roman"/>
          <w:sz w:val="20"/>
          <w:szCs w:val="20"/>
        </w:rPr>
        <w:t xml:space="preserve">transparent and honest manner; they should avoid misleading practices in the form of greenwashing as a benefit to customers; and </w:t>
      </w:r>
      <w:r>
        <w:rPr>
          <w:rFonts w:ascii="Times New Roman" w:cs="Times New Roman" w:eastAsia="Times New Roman" w:hAnsi="Times New Roman"/>
          <w:sz w:val="20"/>
          <w:szCs w:val="20"/>
        </w:rPr>
        <w:t>they should</w:t>
      </w:r>
      <w:r>
        <w:rPr>
          <w:rFonts w:ascii="Times New Roman" w:cs="Times New Roman" w:eastAsia="Times New Roman" w:hAnsi="Times New Roman"/>
          <w:sz w:val="20"/>
          <w:szCs w:val="20"/>
        </w:rPr>
        <w:t xml:space="preserve"> stop using eco-friendly claims in their marketing strategies to have genuine claims.</w:t>
      </w:r>
    </w:p>
    <w:p>
      <w:pPr>
        <w:pStyle w:val="style0"/>
        <w:rPr>
          <w:rFonts w:ascii="Times New Roman" w:cs="Times New Roman" w:eastAsia="Times New Roman" w:hAnsi="Times New Roman"/>
          <w:sz w:val="20"/>
          <w:szCs w:val="20"/>
          <w:lang w:val="fr-FR"/>
        </w:rPr>
      </w:pPr>
      <w:r>
        <w:rPr>
          <w:rFonts w:ascii="Times New Roman" w:cs="Times New Roman" w:eastAsia="Times New Roman" w:hAnsi="Times New Roman"/>
          <w:b/>
          <w:bCs/>
          <w:sz w:val="20"/>
          <w:szCs w:val="20"/>
          <w:lang w:val="fr-FR"/>
        </w:rPr>
        <w:t>Key words:</w:t>
      </w:r>
      <w:r>
        <w:rPr>
          <w:rFonts w:ascii="Times New Roman" w:cs="Times New Roman" w:eastAsia="Times New Roman" w:hAnsi="Times New Roman"/>
          <w:sz w:val="20"/>
          <w:szCs w:val="20"/>
          <w:lang w:val="fr-FR"/>
        </w:rPr>
        <w:t xml:space="preserve"> Greenwashing, </w:t>
      </w:r>
      <w:r>
        <w:rPr>
          <w:rFonts w:ascii="Times New Roman" w:cs="Times New Roman" w:eastAsia="Times New Roman" w:hAnsi="Times New Roman"/>
          <w:sz w:val="20"/>
          <w:szCs w:val="20"/>
          <w:lang w:val="fr-FR"/>
        </w:rPr>
        <w:t>f</w:t>
      </w:r>
      <w:r>
        <w:rPr>
          <w:rFonts w:ascii="Times New Roman" w:cs="Times New Roman" w:eastAsia="Times New Roman" w:hAnsi="Times New Roman"/>
          <w:sz w:val="20"/>
          <w:szCs w:val="20"/>
          <w:lang w:val="fr-FR"/>
        </w:rPr>
        <w:t xml:space="preserve">intech, </w:t>
      </w:r>
      <w:r>
        <w:rPr>
          <w:rFonts w:ascii="Times New Roman" w:cs="Times New Roman" w:eastAsia="Times New Roman" w:hAnsi="Times New Roman"/>
          <w:sz w:val="20"/>
          <w:szCs w:val="20"/>
          <w:lang w:val="fr-FR"/>
        </w:rPr>
        <w:t>c</w:t>
      </w:r>
      <w:r>
        <w:rPr>
          <w:rFonts w:ascii="Times New Roman" w:cs="Times New Roman" w:eastAsia="Times New Roman" w:hAnsi="Times New Roman"/>
          <w:sz w:val="20"/>
          <w:szCs w:val="20"/>
          <w:lang w:val="fr-FR"/>
        </w:rPr>
        <w:t xml:space="preserve">ustomer </w:t>
      </w:r>
      <w:r>
        <w:rPr>
          <w:rFonts w:ascii="Times New Roman" w:cs="Times New Roman" w:eastAsia="Times New Roman" w:hAnsi="Times New Roman"/>
          <w:sz w:val="20"/>
          <w:szCs w:val="20"/>
          <w:lang w:val="fr-FR"/>
        </w:rPr>
        <w:t>t</w:t>
      </w:r>
      <w:r>
        <w:rPr>
          <w:rFonts w:ascii="Times New Roman" w:cs="Times New Roman" w:eastAsia="Times New Roman" w:hAnsi="Times New Roman"/>
          <w:sz w:val="20"/>
          <w:szCs w:val="20"/>
          <w:lang w:val="fr-FR"/>
        </w:rPr>
        <w:t xml:space="preserve">rust, </w:t>
      </w:r>
      <w:r>
        <w:rPr>
          <w:rFonts w:ascii="Times New Roman" w:cs="Times New Roman" w:eastAsia="Times New Roman" w:hAnsi="Times New Roman"/>
          <w:sz w:val="20"/>
          <w:szCs w:val="20"/>
          <w:lang w:val="fr-FR"/>
        </w:rPr>
        <w:t>c</w:t>
      </w:r>
      <w:r>
        <w:rPr>
          <w:rFonts w:ascii="Times New Roman" w:cs="Times New Roman" w:eastAsia="Times New Roman" w:hAnsi="Times New Roman"/>
          <w:sz w:val="20"/>
          <w:szCs w:val="20"/>
          <w:lang w:val="fr-FR"/>
        </w:rPr>
        <w:t xml:space="preserve">ustomer </w:t>
      </w:r>
      <w:r>
        <w:rPr>
          <w:rFonts w:ascii="Times New Roman" w:cs="Times New Roman" w:eastAsia="Times New Roman" w:hAnsi="Times New Roman"/>
          <w:sz w:val="20"/>
          <w:szCs w:val="20"/>
          <w:lang w:val="fr-FR"/>
        </w:rPr>
        <w:t>d</w:t>
      </w:r>
      <w:r>
        <w:rPr>
          <w:rFonts w:ascii="Times New Roman" w:cs="Times New Roman" w:eastAsia="Times New Roman" w:hAnsi="Times New Roman"/>
          <w:sz w:val="20"/>
          <w:szCs w:val="20"/>
          <w:lang w:val="fr-FR"/>
        </w:rPr>
        <w:t xml:space="preserve">ecision-making, </w:t>
      </w:r>
      <w:r>
        <w:rPr>
          <w:rFonts w:ascii="Times New Roman" w:cs="Times New Roman" w:eastAsia="Times New Roman" w:hAnsi="Times New Roman"/>
          <w:sz w:val="20"/>
          <w:szCs w:val="20"/>
          <w:lang w:val="fr-FR"/>
        </w:rPr>
        <w:t>f</w:t>
      </w:r>
      <w:r>
        <w:rPr>
          <w:rFonts w:ascii="Times New Roman" w:cs="Times New Roman" w:eastAsia="Times New Roman" w:hAnsi="Times New Roman"/>
          <w:sz w:val="20"/>
          <w:szCs w:val="20"/>
          <w:lang w:val="fr-FR"/>
        </w:rPr>
        <w:t xml:space="preserve">inancial </w:t>
      </w:r>
      <w:r>
        <w:rPr>
          <w:rFonts w:ascii="Times New Roman" w:cs="Times New Roman" w:eastAsia="Times New Roman" w:hAnsi="Times New Roman"/>
          <w:sz w:val="20"/>
          <w:szCs w:val="20"/>
          <w:lang w:val="fr-FR"/>
        </w:rPr>
        <w:t>l</w:t>
      </w:r>
      <w:r>
        <w:rPr>
          <w:rFonts w:ascii="Times New Roman" w:cs="Times New Roman" w:eastAsia="Times New Roman" w:hAnsi="Times New Roman"/>
          <w:sz w:val="20"/>
          <w:szCs w:val="20"/>
          <w:lang w:val="fr-FR"/>
        </w:rPr>
        <w:t>i</w:t>
      </w:r>
      <w:r>
        <w:rPr>
          <w:rFonts w:ascii="Times New Roman" w:cs="Times New Roman" w:eastAsia="Times New Roman" w:hAnsi="Times New Roman"/>
          <w:sz w:val="20"/>
          <w:szCs w:val="20"/>
          <w:lang w:val="fr-FR"/>
        </w:rPr>
        <w:t>teracy</w:t>
      </w:r>
    </w:p>
    <w:p>
      <w:pPr>
        <w:pStyle w:val="style0"/>
        <w:rPr>
          <w:rFonts w:ascii="Times New Roman" w:cs="Times New Roman" w:eastAsia="Times New Roman" w:hAnsi="Times New Roman"/>
          <w:sz w:val="20"/>
          <w:szCs w:val="20"/>
          <w:lang w:val="fr-FR"/>
        </w:rPr>
      </w:pPr>
    </w:p>
    <w:p>
      <w:pPr>
        <w:pStyle w:val="style0"/>
        <w:rPr>
          <w:rFonts w:ascii="Times New Roman" w:cs="Times New Roman" w:eastAsia="Times New Roman" w:hAnsi="Times New Roman"/>
          <w:sz w:val="20"/>
          <w:szCs w:val="20"/>
          <w:lang w:val="fr-FR"/>
        </w:rPr>
      </w:pPr>
    </w:p>
    <w:p>
      <w:pPr>
        <w:pStyle w:val="style0"/>
        <w:rPr>
          <w:rFonts w:ascii="Times New Roman" w:cs="Times New Roman" w:eastAsia="Times New Roman" w:hAnsi="Times New Roman"/>
          <w:sz w:val="20"/>
          <w:szCs w:val="20"/>
          <w:lang w:val="fr-FR"/>
        </w:rPr>
      </w:pPr>
    </w:p>
    <w:p>
      <w:pPr>
        <w:pStyle w:val="style0"/>
        <w:rPr>
          <w:rFonts w:ascii="Times New Roman" w:cs="Times New Roman" w:eastAsia="Times New Roman" w:hAnsi="Times New Roman"/>
          <w:sz w:val="20"/>
          <w:szCs w:val="20"/>
          <w:lang w:val="fr-FR"/>
        </w:rPr>
      </w:pPr>
    </w:p>
    <w:p>
      <w:pPr>
        <w:pStyle w:val="style0"/>
        <w:rPr>
          <w:rFonts w:ascii="Times New Roman" w:cs="Times New Roman" w:eastAsia="Times New Roman" w:hAnsi="Times New Roman"/>
          <w:sz w:val="20"/>
          <w:szCs w:val="20"/>
          <w:lang w:val="fr-FR"/>
        </w:rPr>
      </w:pPr>
    </w:p>
    <w:p>
      <w:pPr>
        <w:pStyle w:val="style0"/>
        <w:rPr>
          <w:rFonts w:ascii="Times New Roman" w:cs="Times New Roman" w:eastAsia="Times New Roman" w:hAnsi="Times New Roman"/>
          <w:sz w:val="20"/>
          <w:szCs w:val="20"/>
          <w:lang w:val="fr-FR"/>
        </w:rPr>
      </w:pPr>
    </w:p>
    <w:p>
      <w:pPr>
        <w:pStyle w:val="style0"/>
        <w:rPr>
          <w:rFonts w:ascii="Times New Roman" w:cs="Times New Roman" w:eastAsia="Times New Roman" w:hAnsi="Times New Roman"/>
          <w:sz w:val="20"/>
          <w:szCs w:val="20"/>
          <w:lang w:val="fr-FR"/>
        </w:rPr>
      </w:pPr>
    </w:p>
    <w:p>
      <w:pPr>
        <w:pStyle w:val="style0"/>
        <w:rPr>
          <w:rFonts w:ascii="Times New Roman" w:cs="Times New Roman" w:eastAsia="Times New Roman" w:hAnsi="Times New Roman"/>
          <w:sz w:val="20"/>
          <w:szCs w:val="20"/>
          <w:lang w:val="fr-FR"/>
        </w:rPr>
      </w:pPr>
    </w:p>
    <w:p>
      <w:pPr>
        <w:pStyle w:val="style0"/>
        <w:rPr>
          <w:rFonts w:ascii="Times New Roman" w:cs="Times New Roman" w:eastAsia="Times New Roman" w:hAnsi="Times New Roman"/>
          <w:sz w:val="20"/>
          <w:szCs w:val="20"/>
          <w:lang w:val="fr-FR"/>
        </w:rPr>
      </w:pPr>
    </w:p>
    <w:p>
      <w:pPr>
        <w:pStyle w:val="style0"/>
        <w:rPr>
          <w:rFonts w:ascii="Times New Roman" w:cs="Times New Roman" w:eastAsia="Times New Roman" w:hAnsi="Times New Roman"/>
          <w:sz w:val="20"/>
          <w:szCs w:val="20"/>
          <w:lang w:val="fr-FR"/>
        </w:rPr>
      </w:pPr>
    </w:p>
    <w:p>
      <w:pPr>
        <w:pStyle w:val="style0"/>
        <w:rPr>
          <w:rFonts w:ascii="Times New Roman" w:cs="Times New Roman" w:eastAsia="Times New Roman" w:hAnsi="Times New Roman"/>
          <w:sz w:val="20"/>
          <w:szCs w:val="20"/>
          <w:lang w:val="fr-FR"/>
        </w:rPr>
      </w:pPr>
    </w:p>
    <w:p>
      <w:pPr>
        <w:pStyle w:val="style0"/>
        <w:rPr>
          <w:rFonts w:ascii="Times New Roman" w:cs="Times New Roman" w:eastAsia="Times New Roman" w:hAnsi="Times New Roman"/>
          <w:sz w:val="20"/>
          <w:szCs w:val="20"/>
          <w:lang w:val="fr-FR"/>
        </w:rPr>
      </w:pPr>
    </w:p>
    <w:p>
      <w:pPr>
        <w:pStyle w:val="style0"/>
        <w:rPr>
          <w:rFonts w:ascii="Times New Roman" w:cs="Times New Roman" w:eastAsia="Times New Roman" w:hAnsi="Times New Roman"/>
          <w:sz w:val="20"/>
          <w:szCs w:val="20"/>
          <w:lang w:val="fr-FR"/>
        </w:rPr>
      </w:pPr>
    </w:p>
    <w:p>
      <w:pPr>
        <w:pStyle w:val="style0"/>
        <w:rPr>
          <w:rFonts w:ascii="Times New Roman" w:cs="Times New Roman" w:eastAsia="Times New Roman" w:hAnsi="Times New Roman"/>
          <w:sz w:val="20"/>
          <w:szCs w:val="20"/>
          <w:lang w:val="fr-FR"/>
        </w:rPr>
      </w:pPr>
    </w:p>
    <w:p>
      <w:pPr>
        <w:pStyle w:val="style0"/>
        <w:rPr>
          <w:rFonts w:ascii="Times New Roman" w:cs="Times New Roman" w:eastAsia="Times New Roman" w:hAnsi="Times New Roman"/>
          <w:sz w:val="20"/>
          <w:szCs w:val="20"/>
          <w:lang w:val="fr-FR"/>
        </w:rPr>
      </w:pPr>
    </w:p>
    <w:p>
      <w:pPr>
        <w:pStyle w:val="style0"/>
        <w:rPr>
          <w:rFonts w:ascii="Times New Roman" w:cs="Times New Roman" w:eastAsia="Times New Roman" w:hAnsi="Times New Roman"/>
          <w:sz w:val="20"/>
          <w:szCs w:val="20"/>
          <w:lang w:val="fr-FR"/>
        </w:rPr>
      </w:pPr>
    </w:p>
    <w:p>
      <w:pPr>
        <w:pStyle w:val="style0"/>
        <w:rPr>
          <w:rFonts w:ascii="Times New Roman" w:cs="Times New Roman" w:eastAsia="Times New Roman" w:hAnsi="Times New Roman"/>
          <w:sz w:val="20"/>
          <w:szCs w:val="20"/>
          <w:lang w:val="fr-FR"/>
        </w:rPr>
      </w:pPr>
    </w:p>
    <w:p>
      <w:pPr>
        <w:pStyle w:val="style0"/>
        <w:rPr>
          <w:rFonts w:ascii="Times New Roman" w:cs="Times New Roman" w:eastAsia="Times New Roman" w:hAnsi="Times New Roman"/>
          <w:sz w:val="20"/>
          <w:szCs w:val="20"/>
          <w:lang w:val="fr-FR"/>
        </w:rPr>
      </w:pPr>
    </w:p>
    <w:p>
      <w:pPr>
        <w:pStyle w:val="style0"/>
        <w:rPr>
          <w:rFonts w:ascii="Times New Roman" w:cs="Times New Roman" w:eastAsia="Times New Roman" w:hAnsi="Times New Roman"/>
          <w:sz w:val="20"/>
          <w:szCs w:val="20"/>
          <w:lang w:val="fr-FR"/>
        </w:rPr>
      </w:pPr>
    </w:p>
    <w:p>
      <w:pPr>
        <w:pStyle w:val="style0"/>
        <w:rPr>
          <w:rFonts w:ascii="Times New Roman" w:cs="Times New Roman" w:eastAsia="Times New Roman" w:hAnsi="Times New Roman"/>
          <w:sz w:val="20"/>
          <w:szCs w:val="20"/>
          <w:lang w:val="fr-FR"/>
        </w:rPr>
      </w:pPr>
    </w:p>
    <w:p>
      <w:pPr>
        <w:pStyle w:val="style0"/>
        <w:rPr>
          <w:rFonts w:ascii="Times New Roman" w:cs="Times New Roman" w:eastAsia="Times New Roman" w:hAnsi="Times New Roman"/>
          <w:b/>
          <w:bCs/>
          <w:lang w:val="fr-FR"/>
        </w:rPr>
      </w:pPr>
      <w:r>
        <w:rPr>
          <w:rFonts w:ascii="Times New Roman" w:cs="Times New Roman" w:eastAsia="Times New Roman" w:hAnsi="Times New Roman"/>
          <w:b/>
          <w:bCs/>
          <w:lang w:val="fr-FR"/>
        </w:rPr>
        <w:t>I</w:t>
      </w:r>
      <w:r>
        <w:rPr>
          <w:rFonts w:ascii="Times New Roman" w:cs="Times New Roman" w:eastAsia="Times New Roman" w:hAnsi="Times New Roman"/>
          <w:b/>
          <w:bCs/>
          <w:lang w:val="fr-FR"/>
        </w:rPr>
        <w:t>NTRODUCTION</w:t>
      </w:r>
    </w:p>
    <w:p>
      <w:pPr>
        <w:pStyle w:val="style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Fintech has emerged because of the innovative technology used by financial services companies to provide their financial products and services. This aids in offering user-friendly solutions to both customers and investors, promoting flexibility, convenience, and accessibility. However, </w:t>
      </w:r>
      <w:r>
        <w:rPr>
          <w:rFonts w:ascii="Times New Roman" w:cs="Times New Roman" w:eastAsia="Times New Roman" w:hAnsi="Times New Roman"/>
          <w:sz w:val="20"/>
          <w:szCs w:val="20"/>
        </w:rPr>
        <w:t>fintech</w:t>
      </w:r>
      <w:r>
        <w:rPr>
          <w:rFonts w:ascii="Times New Roman" w:cs="Times New Roman" w:eastAsia="Times New Roman" w:hAnsi="Times New Roman"/>
          <w:sz w:val="20"/>
          <w:szCs w:val="20"/>
        </w:rPr>
        <w:t xml:space="preserve"> companies have been promoting their green finance to persuade environmentally conscious users due to concerns about the environment, social issues, and governance. According to  </w:t>
      </w:r>
      <w:r>
        <w:rPr>
          <w:rFonts w:ascii="Times New Roman" w:cs="Times New Roman" w:eastAsia="Times New Roman" w:hAnsi="Times New Roman"/>
          <w:sz w:val="20"/>
          <w:szCs w:val="20"/>
        </w:rPr>
        <w:t>Cevik</w:t>
      </w:r>
      <w:r>
        <w:rPr>
          <w:rFonts w:ascii="Times New Roman" w:cs="Times New Roman" w:eastAsia="Times New Roman" w:hAnsi="Times New Roman"/>
          <w:sz w:val="20"/>
          <w:szCs w:val="20"/>
        </w:rPr>
        <w:t xml:space="preserve"> (2024), significant advancements in digital technology are undeniably transforming the financial sector, as evidenced by a widespread increase in the adoption of cutting-edge productivity tools by companies and financial products worldwide to enhance and streamline traditional financial services. According to Wang et al. (2023), the research conducted by </w:t>
      </w:r>
      <w:r>
        <w:rPr>
          <w:rFonts w:ascii="Times New Roman" w:cs="Times New Roman" w:eastAsia="Times New Roman" w:hAnsi="Times New Roman"/>
          <w:sz w:val="20"/>
          <w:szCs w:val="20"/>
        </w:rPr>
        <w:t>Primeaux</w:t>
      </w:r>
      <w:r>
        <w:rPr>
          <w:rFonts w:ascii="Times New Roman" w:cs="Times New Roman" w:eastAsia="Times New Roman" w:hAnsi="Times New Roman"/>
          <w:sz w:val="20"/>
          <w:szCs w:val="20"/>
        </w:rPr>
        <w:t xml:space="preserve"> (2017) highlighted that the impact of Fintech is observed across a range of sectors, encompassing digital payments, investment, lending, and regulatory compliance, leading to significant changes in financial management practices. Despite the environmental benefits offered by </w:t>
      </w:r>
      <w:r>
        <w:rPr>
          <w:rFonts w:ascii="Times New Roman" w:cs="Times New Roman" w:eastAsia="Times New Roman" w:hAnsi="Times New Roman"/>
          <w:sz w:val="20"/>
          <w:szCs w:val="20"/>
        </w:rPr>
        <w:t>fintech</w:t>
      </w:r>
      <w:r>
        <w:rPr>
          <w:rFonts w:ascii="Times New Roman" w:cs="Times New Roman" w:eastAsia="Times New Roman" w:hAnsi="Times New Roman"/>
          <w:sz w:val="20"/>
          <w:szCs w:val="20"/>
        </w:rPr>
        <w:t xml:space="preserve"> companies, some engage in greenwashing by providing green financial products and services, which poses a challenge for the </w:t>
      </w:r>
      <w:r>
        <w:rPr>
          <w:rFonts w:ascii="Times New Roman" w:cs="Times New Roman" w:eastAsia="Times New Roman" w:hAnsi="Times New Roman"/>
          <w:sz w:val="20"/>
          <w:szCs w:val="20"/>
        </w:rPr>
        <w:t>fintech</w:t>
      </w:r>
      <w:r>
        <w:rPr>
          <w:rFonts w:ascii="Times New Roman" w:cs="Times New Roman" w:eastAsia="Times New Roman" w:hAnsi="Times New Roman"/>
          <w:sz w:val="20"/>
          <w:szCs w:val="20"/>
        </w:rPr>
        <w:t xml:space="preserve"> industry. Greenwashing is the act of overemphasizing the environmental benefits of online financial products and services or making false claims about the environmentally friendly nature of financial offerings by financial technology companies to attract investors and customers for quick patronage. The study by </w:t>
      </w:r>
      <w:r>
        <w:rPr>
          <w:rFonts w:ascii="Times New Roman" w:cs="Times New Roman" w:eastAsia="Times New Roman" w:hAnsi="Times New Roman"/>
          <w:sz w:val="20"/>
          <w:szCs w:val="20"/>
        </w:rPr>
        <w:t>Xie</w:t>
      </w:r>
      <w:r>
        <w:rPr>
          <w:rFonts w:ascii="Times New Roman" w:cs="Times New Roman" w:eastAsia="Times New Roman" w:hAnsi="Times New Roman"/>
          <w:sz w:val="20"/>
          <w:szCs w:val="20"/>
        </w:rPr>
        <w:t xml:space="preserve"> et al. (2023) stated that greenwashing behavior refers to the act of disseminating inaccurate information or creating a false impression regarding the level of environmental friendliness of companies' products.</w:t>
      </w:r>
    </w:p>
    <w:p>
      <w:pPr>
        <w:pStyle w:val="style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Customer trust is a pivotal phenomenon in the financial services industry. Financial technology companies provide their services to gain the trust of investors and customers, enhancing their confidence regarding the claims and benefits promised to the users of their services. Greenwashing can reduce or erode this trust if investors and customers are able to perceive the misleading practices of these companies. Fintech companies may engage in greenwashing, hiding behind the cover of providing green financial services. Unfortunately, they might lose the confidence of consumers and investors if they are perceived as engaging in misleading behavior while providing their services. </w:t>
      </w:r>
      <w:r>
        <w:rPr>
          <w:rFonts w:ascii="Times New Roman" w:cs="Times New Roman" w:eastAsia="Times New Roman" w:hAnsi="Times New Roman"/>
          <w:sz w:val="20"/>
          <w:szCs w:val="20"/>
        </w:rPr>
        <w:t xml:space="preserve">Vergara &amp; </w:t>
      </w:r>
      <w:r>
        <w:rPr>
          <w:rFonts w:ascii="Times New Roman" w:cs="Times New Roman" w:eastAsia="Times New Roman" w:hAnsi="Times New Roman"/>
          <w:sz w:val="20"/>
          <w:szCs w:val="20"/>
        </w:rPr>
        <w:t>Agudo</w:t>
      </w:r>
      <w:r>
        <w:rPr>
          <w:rFonts w:ascii="Times New Roman" w:cs="Times New Roman" w:eastAsia="Times New Roman" w:hAnsi="Times New Roman"/>
          <w:sz w:val="20"/>
          <w:szCs w:val="20"/>
        </w:rPr>
        <w:t xml:space="preserve"> (2021) described that the greenwashing is done by using vague language and images to describe the environmental aspects of a product, while omitting crucial details or presenting data in a misleading manner. Ultimately, greenwashing practices jeopardize customer trust.</w:t>
      </w:r>
      <w:r>
        <w:rPr>
          <w:rFonts w:ascii="Times New Roman" w:cs="Times New Roman" w:eastAsia="Times New Roman" w:hAnsi="Times New Roman"/>
          <w:sz w:val="20"/>
          <w:szCs w:val="20"/>
        </w:rPr>
        <w:t xml:space="preserve"> Conversely, it has been found that customer confidence contributes more to the application of technology in the </w:t>
      </w:r>
      <w:r>
        <w:rPr>
          <w:rFonts w:ascii="Times New Roman" w:cs="Times New Roman" w:eastAsia="Times New Roman" w:hAnsi="Times New Roman"/>
          <w:sz w:val="20"/>
          <w:szCs w:val="20"/>
        </w:rPr>
        <w:t>fintech</w:t>
      </w:r>
      <w:r>
        <w:rPr>
          <w:rFonts w:ascii="Times New Roman" w:cs="Times New Roman" w:eastAsia="Times New Roman" w:hAnsi="Times New Roman"/>
          <w:sz w:val="20"/>
          <w:szCs w:val="20"/>
        </w:rPr>
        <w:t xml:space="preserve"> industry, surpassing other factors in importance. The intention of consumers to use the services of </w:t>
      </w:r>
      <w:r>
        <w:rPr>
          <w:rFonts w:ascii="Times New Roman" w:cs="Times New Roman" w:eastAsia="Times New Roman" w:hAnsi="Times New Roman"/>
          <w:sz w:val="20"/>
          <w:szCs w:val="20"/>
        </w:rPr>
        <w:t>fintech</w:t>
      </w:r>
      <w:r>
        <w:rPr>
          <w:rFonts w:ascii="Times New Roman" w:cs="Times New Roman" w:eastAsia="Times New Roman" w:hAnsi="Times New Roman"/>
          <w:sz w:val="20"/>
          <w:szCs w:val="20"/>
        </w:rPr>
        <w:t xml:space="preserve"> is mostly determined by the degree of trust they have in the technology (Zhao et al. 2024). Customers lose trust or faith in the </w:t>
      </w:r>
      <w:r>
        <w:rPr>
          <w:rFonts w:ascii="Times New Roman" w:cs="Times New Roman" w:eastAsia="Times New Roman" w:hAnsi="Times New Roman"/>
          <w:sz w:val="20"/>
          <w:szCs w:val="20"/>
        </w:rPr>
        <w:t>fintech's</w:t>
      </w:r>
      <w:r>
        <w:rPr>
          <w:rFonts w:ascii="Times New Roman" w:cs="Times New Roman" w:eastAsia="Times New Roman" w:hAnsi="Times New Roman"/>
          <w:sz w:val="20"/>
          <w:szCs w:val="20"/>
        </w:rPr>
        <w:t xml:space="preserve"> integrity and reliability when they find that the company's green claims are false or exaggerated. It has also revealed that the integration of </w:t>
      </w:r>
      <w:r>
        <w:rPr>
          <w:rFonts w:ascii="Times New Roman" w:cs="Times New Roman" w:eastAsia="Times New Roman" w:hAnsi="Times New Roman"/>
          <w:sz w:val="20"/>
          <w:szCs w:val="20"/>
        </w:rPr>
        <w:t>fintech</w:t>
      </w:r>
      <w:r>
        <w:rPr>
          <w:rFonts w:ascii="Times New Roman" w:cs="Times New Roman" w:eastAsia="Times New Roman" w:hAnsi="Times New Roman"/>
          <w:sz w:val="20"/>
          <w:szCs w:val="20"/>
        </w:rPr>
        <w:t xml:space="preserve"> has a noteworthy positive influence on attainment expectation, endeavor expectation, and perceived trust (</w:t>
      </w:r>
      <w:r>
        <w:rPr>
          <w:rFonts w:ascii="Times New Roman" w:cs="Times New Roman" w:eastAsia="Times New Roman" w:hAnsi="Times New Roman"/>
          <w:sz w:val="20"/>
          <w:szCs w:val="20"/>
        </w:rPr>
        <w:t>Elsaman</w:t>
      </w:r>
      <w:r>
        <w:rPr>
          <w:rFonts w:ascii="Times New Roman" w:cs="Times New Roman" w:eastAsia="Times New Roman" w:hAnsi="Times New Roman"/>
          <w:sz w:val="20"/>
          <w:szCs w:val="20"/>
        </w:rPr>
        <w:t xml:space="preserve"> et al. 2024). The study by Hassan et al. (2024) also states that trust functions as a beneficial accelerating factor in the association between behavioral intention and the actual application of </w:t>
      </w:r>
      <w:r>
        <w:rPr>
          <w:rFonts w:ascii="Times New Roman" w:cs="Times New Roman" w:eastAsia="Times New Roman" w:hAnsi="Times New Roman"/>
          <w:sz w:val="20"/>
          <w:szCs w:val="20"/>
        </w:rPr>
        <w:t>fintech</w:t>
      </w:r>
      <w:r>
        <w:rPr>
          <w:rFonts w:ascii="Times New Roman" w:cs="Times New Roman" w:eastAsia="Times New Roman" w:hAnsi="Times New Roman"/>
          <w:sz w:val="20"/>
          <w:szCs w:val="20"/>
        </w:rPr>
        <w:t xml:space="preserve"> services. This indicates that users of </w:t>
      </w:r>
      <w:r>
        <w:rPr>
          <w:rFonts w:ascii="Times New Roman" w:cs="Times New Roman" w:eastAsia="Times New Roman" w:hAnsi="Times New Roman"/>
          <w:sz w:val="20"/>
          <w:szCs w:val="20"/>
        </w:rPr>
        <w:t>fintech</w:t>
      </w:r>
      <w:r>
        <w:rPr>
          <w:rFonts w:ascii="Times New Roman" w:cs="Times New Roman" w:eastAsia="Times New Roman" w:hAnsi="Times New Roman"/>
          <w:sz w:val="20"/>
          <w:szCs w:val="20"/>
        </w:rPr>
        <w:t xml:space="preserve"> have a clear perception of green financial services unless they perceive misrepresentation in the form of greenwashing.</w:t>
      </w:r>
    </w:p>
    <w:p>
      <w:pPr>
        <w:pStyle w:val="style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Misleading practices in the form of greenwashing by </w:t>
      </w:r>
      <w:r>
        <w:rPr>
          <w:rFonts w:ascii="Times New Roman" w:cs="Times New Roman" w:eastAsia="Times New Roman" w:hAnsi="Times New Roman"/>
          <w:sz w:val="20"/>
          <w:szCs w:val="20"/>
        </w:rPr>
        <w:t>fintech</w:t>
      </w:r>
      <w:r>
        <w:rPr>
          <w:rFonts w:ascii="Times New Roman" w:cs="Times New Roman" w:eastAsia="Times New Roman" w:hAnsi="Times New Roman"/>
          <w:sz w:val="20"/>
          <w:szCs w:val="20"/>
        </w:rPr>
        <w:t xml:space="preserve"> could also undermine the decision-making of users, such as customers and investors. Customers may choose to cease using the services; alternatively, they may shift to another company perceived as the best in providing green financial services free from greenwashing. The study by </w:t>
      </w:r>
      <w:r>
        <w:rPr>
          <w:rFonts w:ascii="Times New Roman" w:cs="Times New Roman" w:eastAsia="Times New Roman" w:hAnsi="Times New Roman"/>
          <w:sz w:val="20"/>
          <w:szCs w:val="20"/>
        </w:rPr>
        <w:t>Pundarika</w:t>
      </w:r>
      <w:r>
        <w:rPr>
          <w:rFonts w:ascii="Times New Roman" w:cs="Times New Roman" w:eastAsia="Times New Roman" w:hAnsi="Times New Roman"/>
          <w:sz w:val="20"/>
          <w:szCs w:val="20"/>
        </w:rPr>
        <w:t xml:space="preserve"> et al. (2024) states that users' attitudes toward the Quick Response Indonesian Standard are positively influenced by performance and effort expectancy, suggesting that individuals are more inclined to maintain usage of the system if they perceive it as efficient and convenient. Customers or investors may rely on the technology and promise of </w:t>
      </w:r>
      <w:r>
        <w:rPr>
          <w:rFonts w:ascii="Times New Roman" w:cs="Times New Roman" w:eastAsia="Times New Roman" w:hAnsi="Times New Roman"/>
          <w:sz w:val="20"/>
          <w:szCs w:val="20"/>
        </w:rPr>
        <w:t>fintech</w:t>
      </w:r>
      <w:r>
        <w:rPr>
          <w:rFonts w:ascii="Times New Roman" w:cs="Times New Roman" w:eastAsia="Times New Roman" w:hAnsi="Times New Roman"/>
          <w:sz w:val="20"/>
          <w:szCs w:val="20"/>
        </w:rPr>
        <w:t xml:space="preserve"> to choose sustainable products or services that would bring a regular stream of income, but the funds might not be used as promised or intended. This may affect the users' overall financial health or well-being as they lose their expected income; hence, they change their decision to continue using the products or services. </w:t>
      </w:r>
      <w:r>
        <w:rPr>
          <w:rFonts w:ascii="Times New Roman" w:cs="Times New Roman" w:eastAsia="Times New Roman" w:hAnsi="Times New Roman"/>
          <w:sz w:val="20"/>
          <w:szCs w:val="20"/>
        </w:rPr>
        <w:t xml:space="preserve">As noted by </w:t>
      </w:r>
      <w:r>
        <w:rPr>
          <w:rFonts w:ascii="Times New Roman" w:cs="Times New Roman" w:eastAsia="Times New Roman" w:hAnsi="Times New Roman"/>
          <w:sz w:val="20"/>
          <w:szCs w:val="20"/>
        </w:rPr>
        <w:t>Savitha</w:t>
      </w:r>
      <w:r>
        <w:rPr>
          <w:rFonts w:ascii="Times New Roman" w:cs="Times New Roman" w:eastAsia="Times New Roman" w:hAnsi="Times New Roman"/>
          <w:sz w:val="20"/>
          <w:szCs w:val="20"/>
        </w:rPr>
        <w:t xml:space="preserve"> et al. (2022) that confirmation of previous expectations and perception of usefulness after adoption are key factors in driving the willingness to continue using Fin Tech payment services.</w:t>
      </w:r>
      <w:r>
        <w:rPr>
          <w:rFonts w:ascii="Times New Roman" w:cs="Times New Roman" w:eastAsia="Times New Roman" w:hAnsi="Times New Roman"/>
          <w:sz w:val="20"/>
          <w:szCs w:val="20"/>
        </w:rPr>
        <w:t xml:space="preserve"> It has</w:t>
      </w:r>
      <w:r>
        <w:rPr>
          <w:rFonts w:ascii="Times New Roman" w:cs="Times New Roman" w:eastAsia="Times New Roman" w:hAnsi="Times New Roman"/>
          <w:sz w:val="20"/>
          <w:szCs w:val="20"/>
        </w:rPr>
        <w:t xml:space="preserve"> also</w:t>
      </w:r>
      <w:r>
        <w:rPr>
          <w:rFonts w:ascii="Times New Roman" w:cs="Times New Roman" w:eastAsia="Times New Roman" w:hAnsi="Times New Roman"/>
          <w:sz w:val="20"/>
          <w:szCs w:val="20"/>
        </w:rPr>
        <w:t xml:space="preserve"> been described that non-bank applications tend to present data policies that are more intrusive and default settings that are subpar compared to those of banks. These apps often employ deceptive strategies to hide pricing information, promote user engagement, and discourage users from leaving the application (</w:t>
      </w:r>
      <w:r>
        <w:rPr>
          <w:rFonts w:ascii="Times New Roman" w:cs="Times New Roman" w:eastAsia="Times New Roman" w:hAnsi="Times New Roman"/>
          <w:sz w:val="20"/>
          <w:szCs w:val="20"/>
        </w:rPr>
        <w:t>Rakovic</w:t>
      </w:r>
      <w:r>
        <w:rPr>
          <w:rFonts w:ascii="Times New Roman" w:cs="Times New Roman" w:eastAsia="Times New Roman" w:hAnsi="Times New Roman"/>
          <w:sz w:val="20"/>
          <w:szCs w:val="20"/>
        </w:rPr>
        <w:t xml:space="preserve"> &amp; </w:t>
      </w:r>
      <w:r>
        <w:rPr>
          <w:rFonts w:ascii="Times New Roman" w:cs="Times New Roman" w:eastAsia="Times New Roman" w:hAnsi="Times New Roman"/>
          <w:sz w:val="20"/>
          <w:szCs w:val="20"/>
        </w:rPr>
        <w:t>Inal</w:t>
      </w:r>
      <w:r>
        <w:rPr>
          <w:rFonts w:ascii="Times New Roman" w:cs="Times New Roman" w:eastAsia="Times New Roman" w:hAnsi="Times New Roman"/>
          <w:sz w:val="20"/>
          <w:szCs w:val="20"/>
        </w:rPr>
        <w:t xml:space="preserve">, 2023). However, it is confirmed that both observed usability and observed enjoyment exhibit a substantial and favorable influence on consumers' choice to use </w:t>
      </w:r>
      <w:r>
        <w:rPr>
          <w:rFonts w:ascii="Times New Roman" w:cs="Times New Roman" w:eastAsia="Times New Roman" w:hAnsi="Times New Roman"/>
          <w:sz w:val="20"/>
          <w:szCs w:val="20"/>
        </w:rPr>
        <w:t>fintech</w:t>
      </w:r>
      <w:r>
        <w:rPr>
          <w:rFonts w:ascii="Times New Roman" w:cs="Times New Roman" w:eastAsia="Times New Roman" w:hAnsi="Times New Roman"/>
          <w:sz w:val="20"/>
          <w:szCs w:val="20"/>
        </w:rPr>
        <w:t xml:space="preserve"> offerings (Al-</w:t>
      </w:r>
      <w:r>
        <w:rPr>
          <w:rFonts w:ascii="Times New Roman" w:cs="Times New Roman" w:eastAsia="Times New Roman" w:hAnsi="Times New Roman"/>
          <w:sz w:val="20"/>
          <w:szCs w:val="20"/>
        </w:rPr>
        <w:t>Okaily</w:t>
      </w:r>
      <w:r>
        <w:rPr>
          <w:rFonts w:ascii="Times New Roman" w:cs="Times New Roman" w:eastAsia="Times New Roman" w:hAnsi="Times New Roman"/>
          <w:sz w:val="20"/>
          <w:szCs w:val="20"/>
        </w:rPr>
        <w:t xml:space="preserve"> et al., 2021).</w:t>
      </w:r>
    </w:p>
    <w:p>
      <w:pPr>
        <w:pStyle w:val="style0"/>
        <w:jc w:val="both"/>
        <w:rPr>
          <w:rFonts w:ascii="Times New Roman" w:cs="Times New Roman" w:eastAsia="Times New Roman" w:hAnsi="Times New Roman"/>
          <w:sz w:val="20"/>
          <w:szCs w:val="20"/>
          <w:lang w:val="fr-FR"/>
        </w:rPr>
      </w:pPr>
      <w:r>
        <w:rPr>
          <w:rFonts w:ascii="Times New Roman" w:cs="Times New Roman" w:eastAsia="Times New Roman" w:hAnsi="Times New Roman"/>
          <w:sz w:val="20"/>
          <w:szCs w:val="20"/>
          <w:lang w:val="fr-FR"/>
        </w:rPr>
        <w:t>Furthermore, greenwashing is a common phenomenon and a challenging factor among fintech companies. It can be mitigated by adopting diverse strategies, including clarity, customer enlightenment, frequent audits, and third-party confirmation. Fintech corporations could enhance customers' trust and sustainable decision-making by making them aware of genuine sustainable products, providing clear information about the environmental impact of products and services, and relying on reputable environmental third-party companies. Sun et al. (2024) described that individuals involved in the fintech sector who possess limited financial knowledge experience challenges with comprehending financial information and operating the software, as evidenced by a higher rate of revisiting financial labels. It has also been stated that financial literacy contributed to enhancing one's understanding of fintech, which in turn has a significant influence on the utilization of fintech services (Mulyono, 2022). Thus, fintech customers can easily perceive misleading practices if they possess a high level of financial literacy and a minimum level of fintech knowledge. This will minimize the occurrence of greenwashing as a result of negative user responses after perceiving misleading practices by fintech companies.</w:t>
      </w:r>
    </w:p>
    <w:p>
      <w:pPr>
        <w:pStyle w:val="style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The current study intends to investigate the response of </w:t>
      </w:r>
      <w:r>
        <w:rPr>
          <w:rFonts w:ascii="Times New Roman" w:cs="Times New Roman" w:eastAsia="Times New Roman" w:hAnsi="Times New Roman"/>
          <w:sz w:val="20"/>
          <w:szCs w:val="20"/>
        </w:rPr>
        <w:t>fintech</w:t>
      </w:r>
      <w:r>
        <w:rPr>
          <w:rFonts w:ascii="Times New Roman" w:cs="Times New Roman" w:eastAsia="Times New Roman" w:hAnsi="Times New Roman"/>
          <w:sz w:val="20"/>
          <w:szCs w:val="20"/>
        </w:rPr>
        <w:t xml:space="preserve"> customers after perceiving greenwashing activities. It focuses on exploring the perceived impact of </w:t>
      </w:r>
      <w:r>
        <w:rPr>
          <w:rFonts w:ascii="Times New Roman" w:cs="Times New Roman" w:eastAsia="Times New Roman" w:hAnsi="Times New Roman"/>
          <w:sz w:val="20"/>
          <w:szCs w:val="20"/>
        </w:rPr>
        <w:t>fintech</w:t>
      </w:r>
      <w:r>
        <w:rPr>
          <w:rFonts w:ascii="Times New Roman" w:cs="Times New Roman" w:eastAsia="Times New Roman" w:hAnsi="Times New Roman"/>
          <w:sz w:val="20"/>
          <w:szCs w:val="20"/>
        </w:rPr>
        <w:t xml:space="preserve"> greenwashing on customer trust and decision-making. The study is conducted </w:t>
      </w:r>
      <w:r>
        <w:rPr>
          <w:rFonts w:ascii="Times New Roman" w:cs="Times New Roman" w:eastAsia="Times New Roman" w:hAnsi="Times New Roman"/>
          <w:sz w:val="20"/>
          <w:szCs w:val="20"/>
        </w:rPr>
        <w:t>because</w:t>
      </w:r>
      <w:r>
        <w:rPr>
          <w:rFonts w:ascii="Times New Roman" w:cs="Times New Roman" w:eastAsia="Times New Roman" w:hAnsi="Times New Roman"/>
          <w:sz w:val="20"/>
          <w:szCs w:val="20"/>
        </w:rPr>
        <w:t xml:space="preserve"> of limited studies on greenwashing in the financial industry. Among the few studies conducted in this area is the study titled "The Role of Artificial Intelligence and Fintech in Promoting Eco-Friendly Investments and Non-Greenwashing Practices in the US Market," which found that financial technology (</w:t>
      </w:r>
      <w:r>
        <w:rPr>
          <w:rFonts w:ascii="Times New Roman" w:cs="Times New Roman" w:eastAsia="Times New Roman" w:hAnsi="Times New Roman"/>
          <w:sz w:val="20"/>
          <w:szCs w:val="20"/>
        </w:rPr>
        <w:t>fintech</w:t>
      </w:r>
      <w:r>
        <w:rPr>
          <w:rFonts w:ascii="Times New Roman" w:cs="Times New Roman" w:eastAsia="Times New Roman" w:hAnsi="Times New Roman"/>
          <w:sz w:val="20"/>
          <w:szCs w:val="20"/>
        </w:rPr>
        <w:t xml:space="preserve">) and artificial intelligence (AI) contribute significantly to promoting green financing efforts and aligning financial strategies with environmentally friendly goals (Si Mohammed et al. 2024). There is also a study titled "Impact of Bank Fintech on ESG Greenwashing," which found that bank </w:t>
      </w:r>
      <w:r>
        <w:rPr>
          <w:rFonts w:ascii="Times New Roman" w:cs="Times New Roman" w:eastAsia="Times New Roman" w:hAnsi="Times New Roman"/>
          <w:sz w:val="20"/>
          <w:szCs w:val="20"/>
        </w:rPr>
        <w:t>fintech</w:t>
      </w:r>
      <w:r>
        <w:rPr>
          <w:rFonts w:ascii="Times New Roman" w:cs="Times New Roman" w:eastAsia="Times New Roman" w:hAnsi="Times New Roman"/>
          <w:sz w:val="20"/>
          <w:szCs w:val="20"/>
        </w:rPr>
        <w:t xml:space="preserve"> mitigates ESG greenwashing through the alleviation of financial constraints and addressing information asymmetry (Liu &amp; Li 2024). Furthermore, a study titled "Impact of Fintech on Corporate Greenwashing Behavior and the Mediating Role of Financing Constraints" found that </w:t>
      </w:r>
      <w:r>
        <w:rPr>
          <w:rFonts w:ascii="Times New Roman" w:cs="Times New Roman" w:eastAsia="Times New Roman" w:hAnsi="Times New Roman"/>
          <w:sz w:val="20"/>
          <w:szCs w:val="20"/>
        </w:rPr>
        <w:t>fintech</w:t>
      </w:r>
      <w:r>
        <w:rPr>
          <w:rFonts w:ascii="Times New Roman" w:cs="Times New Roman" w:eastAsia="Times New Roman" w:hAnsi="Times New Roman"/>
          <w:sz w:val="20"/>
          <w:szCs w:val="20"/>
        </w:rPr>
        <w:t xml:space="preserve"> greatly impedes companies' misleading attitudes, and funding limitations further enhance such constraint impact (</w:t>
      </w:r>
      <w:r>
        <w:rPr>
          <w:rFonts w:ascii="Times New Roman" w:cs="Times New Roman" w:eastAsia="Times New Roman" w:hAnsi="Times New Roman"/>
          <w:sz w:val="20"/>
          <w:szCs w:val="20"/>
        </w:rPr>
        <w:t>Xie</w:t>
      </w:r>
      <w:r>
        <w:rPr>
          <w:rFonts w:ascii="Times New Roman" w:cs="Times New Roman" w:eastAsia="Times New Roman" w:hAnsi="Times New Roman"/>
          <w:sz w:val="20"/>
          <w:szCs w:val="20"/>
        </w:rPr>
        <w:t xml:space="preserve"> et al. 2023). </w:t>
      </w:r>
    </w:p>
    <w:p>
      <w:pPr>
        <w:pStyle w:val="style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The above studies explored how </w:t>
      </w:r>
      <w:r>
        <w:rPr>
          <w:rFonts w:ascii="Times New Roman" w:cs="Times New Roman" w:eastAsia="Times New Roman" w:hAnsi="Times New Roman"/>
          <w:sz w:val="20"/>
          <w:szCs w:val="20"/>
        </w:rPr>
        <w:t>fintech</w:t>
      </w:r>
      <w:r>
        <w:rPr>
          <w:rFonts w:ascii="Times New Roman" w:cs="Times New Roman" w:eastAsia="Times New Roman" w:hAnsi="Times New Roman"/>
          <w:sz w:val="20"/>
          <w:szCs w:val="20"/>
        </w:rPr>
        <w:t xml:space="preserve"> and AI contribute significantly to providing green financial services and avoiding greenwashing practices; financial constraints accelerate such effects. There is a need to investigate the </w:t>
      </w:r>
      <w:r>
        <w:rPr>
          <w:rFonts w:ascii="Times New Roman" w:cs="Times New Roman" w:eastAsia="Times New Roman" w:hAnsi="Times New Roman"/>
          <w:sz w:val="20"/>
          <w:szCs w:val="20"/>
        </w:rPr>
        <w:t>fintech</w:t>
      </w:r>
      <w:r>
        <w:rPr>
          <w:rFonts w:ascii="Times New Roman" w:cs="Times New Roman" w:eastAsia="Times New Roman" w:hAnsi="Times New Roman"/>
          <w:sz w:val="20"/>
          <w:szCs w:val="20"/>
        </w:rPr>
        <w:t xml:space="preserve"> greenwashing impact on users such as customers and investors. The current study will focus on </w:t>
      </w:r>
      <w:r>
        <w:rPr>
          <w:rFonts w:ascii="Times New Roman" w:cs="Times New Roman" w:eastAsia="Times New Roman" w:hAnsi="Times New Roman"/>
          <w:sz w:val="20"/>
          <w:szCs w:val="20"/>
        </w:rPr>
        <w:t>fintech</w:t>
      </w:r>
      <w:r>
        <w:rPr>
          <w:rFonts w:ascii="Times New Roman" w:cs="Times New Roman" w:eastAsia="Times New Roman" w:hAnsi="Times New Roman"/>
          <w:sz w:val="20"/>
          <w:szCs w:val="20"/>
        </w:rPr>
        <w:t xml:space="preserve"> customers, thereby investigating the perceived impact of </w:t>
      </w:r>
      <w:r>
        <w:rPr>
          <w:rFonts w:ascii="Times New Roman" w:cs="Times New Roman" w:eastAsia="Times New Roman" w:hAnsi="Times New Roman"/>
          <w:sz w:val="20"/>
          <w:szCs w:val="20"/>
        </w:rPr>
        <w:t>fintech</w:t>
      </w:r>
      <w:r>
        <w:rPr>
          <w:rFonts w:ascii="Times New Roman" w:cs="Times New Roman" w:eastAsia="Times New Roman" w:hAnsi="Times New Roman"/>
          <w:sz w:val="20"/>
          <w:szCs w:val="20"/>
        </w:rPr>
        <w:t xml:space="preserve"> greenwashing on customer trust and decision-making.</w:t>
      </w:r>
    </w:p>
    <w:p>
      <w:pPr>
        <w:pStyle w:val="style0"/>
        <w:spacing w:after="0"/>
        <w:jc w:val="both"/>
        <w:rPr>
          <w:rFonts w:ascii="Times New Roman" w:cs="Times New Roman" w:eastAsia="Times New Roman" w:hAnsi="Times New Roman"/>
          <w:b/>
          <w:bCs/>
          <w:lang w:val="fr-FR"/>
        </w:rPr>
      </w:pPr>
    </w:p>
    <w:p>
      <w:pPr>
        <w:pStyle w:val="style0"/>
        <w:spacing w:after="0"/>
        <w:jc w:val="both"/>
        <w:rPr>
          <w:rFonts w:ascii="Times New Roman" w:cs="Times New Roman" w:eastAsia="Times New Roman" w:hAnsi="Times New Roman"/>
          <w:b/>
          <w:bCs/>
          <w:lang w:val="fr-FR"/>
        </w:rPr>
      </w:pPr>
    </w:p>
    <w:p>
      <w:pPr>
        <w:pStyle w:val="style0"/>
        <w:spacing w:after="0"/>
        <w:jc w:val="both"/>
        <w:rPr>
          <w:rFonts w:ascii="Times New Roman" w:cs="Times New Roman" w:eastAsia="Times New Roman" w:hAnsi="Times New Roman"/>
          <w:b/>
          <w:bCs/>
          <w:lang w:val="fr-FR"/>
        </w:rPr>
      </w:pPr>
    </w:p>
    <w:p>
      <w:pPr>
        <w:pStyle w:val="style0"/>
        <w:spacing w:after="0"/>
        <w:jc w:val="both"/>
        <w:rPr>
          <w:rFonts w:ascii="Times New Roman" w:cs="Times New Roman" w:eastAsia="Times New Roman" w:hAnsi="Times New Roman"/>
          <w:b/>
          <w:bCs/>
          <w:lang w:val="fr-FR"/>
        </w:rPr>
      </w:pPr>
      <w:r>
        <w:rPr>
          <w:rFonts w:ascii="Times New Roman" w:cs="Times New Roman" w:eastAsia="Times New Roman" w:hAnsi="Times New Roman"/>
          <w:b/>
          <w:bCs/>
          <w:lang w:val="fr-FR"/>
        </w:rPr>
        <w:t xml:space="preserve">2. </w:t>
      </w:r>
      <w:r>
        <w:rPr>
          <w:rFonts w:ascii="Times New Roman" w:cs="Times New Roman" w:eastAsia="Times New Roman" w:hAnsi="Times New Roman"/>
          <w:b/>
          <w:bCs/>
          <w:lang w:val="fr-FR"/>
        </w:rPr>
        <w:t>M</w:t>
      </w:r>
      <w:r>
        <w:rPr>
          <w:rFonts w:ascii="Times New Roman" w:cs="Times New Roman" w:eastAsia="Times New Roman" w:hAnsi="Times New Roman"/>
          <w:b/>
          <w:bCs/>
          <w:lang w:val="fr-FR"/>
        </w:rPr>
        <w:t>ETHODOLOGY</w:t>
      </w:r>
    </w:p>
    <w:p>
      <w:pPr>
        <w:pStyle w:val="style0"/>
        <w:spacing w:before="240" w:after="240"/>
        <w:jc w:val="both"/>
        <w:rPr>
          <w:rFonts w:ascii="Times New Roman" w:cs="Times New Roman" w:eastAsia="Times New Roman" w:hAnsi="Times New Roman"/>
          <w:b/>
          <w:bCs/>
          <w:sz w:val="20"/>
          <w:szCs w:val="20"/>
          <w:lang w:val="fr-FR"/>
        </w:rPr>
      </w:pPr>
      <w:r>
        <w:rPr>
          <w:rFonts w:ascii="Times New Roman" w:cs="Times New Roman" w:eastAsia="Times New Roman" w:hAnsi="Times New Roman"/>
          <w:b/>
          <w:bCs/>
          <w:sz w:val="20"/>
          <w:szCs w:val="20"/>
          <w:lang w:val="fr-FR"/>
        </w:rPr>
        <w:t xml:space="preserve">2.1 Research Questions and Hypotheses Development </w:t>
      </w:r>
    </w:p>
    <w:p>
      <w:pPr>
        <w:pStyle w:val="style0"/>
        <w:spacing w:before="240" w:after="240"/>
        <w:jc w:val="both"/>
        <w:rPr>
          <w:rFonts w:ascii="Times New Roman" w:cs="Times New Roman" w:eastAsia="Times New Roman" w:hAnsi="Times New Roman"/>
          <w:sz w:val="20"/>
          <w:szCs w:val="20"/>
          <w:lang w:val="fr-FR"/>
        </w:rPr>
      </w:pPr>
      <w:r>
        <w:rPr>
          <w:rFonts w:ascii="Times New Roman" w:cs="Times New Roman" w:eastAsia="Times New Roman" w:hAnsi="Times New Roman"/>
          <w:sz w:val="20"/>
          <w:szCs w:val="20"/>
          <w:lang w:val="fr-FR"/>
        </w:rPr>
        <w:t xml:space="preserve">This study intends to explore the perceived impact of Fintech greenwashing on customer trust and decision-making. The following research questions and hypotheses are formulated: </w:t>
      </w:r>
    </w:p>
    <w:p>
      <w:pPr>
        <w:pStyle w:val="style0"/>
        <w:spacing w:before="240" w:after="240"/>
        <w:jc w:val="both"/>
        <w:rPr>
          <w:rFonts w:ascii="Times New Roman" w:cs="Times New Roman" w:eastAsia="Times New Roman" w:hAnsi="Times New Roman"/>
          <w:b/>
          <w:bCs/>
          <w:sz w:val="20"/>
          <w:szCs w:val="20"/>
          <w:lang w:val="fr-FR"/>
        </w:rPr>
      </w:pPr>
      <w:r>
        <w:rPr>
          <w:rFonts w:ascii="Times New Roman" w:cs="Times New Roman" w:eastAsia="Times New Roman" w:hAnsi="Times New Roman"/>
          <w:b/>
          <w:bCs/>
          <w:sz w:val="20"/>
          <w:szCs w:val="20"/>
          <w:lang w:val="fr-FR"/>
        </w:rPr>
        <w:t xml:space="preserve">Research </w:t>
      </w:r>
      <w:r>
        <w:rPr>
          <w:rFonts w:ascii="Times New Roman" w:cs="Times New Roman" w:eastAsia="Times New Roman" w:hAnsi="Times New Roman"/>
          <w:b/>
          <w:bCs/>
          <w:sz w:val="20"/>
          <w:szCs w:val="20"/>
          <w:lang w:val="fr-FR"/>
        </w:rPr>
        <w:t>Questions :</w:t>
      </w:r>
    </w:p>
    <w:p>
      <w:pPr>
        <w:pStyle w:val="style179"/>
        <w:numPr>
          <w:ilvl w:val="0"/>
          <w:numId w:val="1"/>
        </w:numPr>
        <w:spacing w:before="240" w:after="24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Does the perception of greenwashing in </w:t>
      </w:r>
      <w:r>
        <w:rPr>
          <w:rFonts w:ascii="Times New Roman" w:cs="Times New Roman" w:eastAsia="Times New Roman" w:hAnsi="Times New Roman"/>
          <w:sz w:val="20"/>
          <w:szCs w:val="20"/>
        </w:rPr>
        <w:t>FinTech</w:t>
      </w:r>
      <w:r>
        <w:rPr>
          <w:rFonts w:ascii="Times New Roman" w:cs="Times New Roman" w:eastAsia="Times New Roman" w:hAnsi="Times New Roman"/>
          <w:sz w:val="20"/>
          <w:szCs w:val="20"/>
        </w:rPr>
        <w:t xml:space="preserve"> influence customer </w:t>
      </w:r>
      <w:r>
        <w:rPr>
          <w:rFonts w:ascii="Times New Roman" w:cs="Times New Roman" w:eastAsia="Times New Roman" w:hAnsi="Times New Roman"/>
          <w:sz w:val="20"/>
          <w:szCs w:val="20"/>
        </w:rPr>
        <w:t>trust?</w:t>
      </w:r>
    </w:p>
    <w:p>
      <w:pPr>
        <w:pStyle w:val="style179"/>
        <w:numPr>
          <w:ilvl w:val="0"/>
          <w:numId w:val="1"/>
        </w:numPr>
        <w:spacing w:before="240" w:after="24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Does the perception of greenwashing in </w:t>
      </w:r>
      <w:r>
        <w:rPr>
          <w:rFonts w:ascii="Times New Roman" w:cs="Times New Roman" w:eastAsia="Times New Roman" w:hAnsi="Times New Roman"/>
          <w:sz w:val="20"/>
          <w:szCs w:val="20"/>
        </w:rPr>
        <w:t>FinTech</w:t>
      </w:r>
      <w:r>
        <w:rPr>
          <w:rFonts w:ascii="Times New Roman" w:cs="Times New Roman" w:eastAsia="Times New Roman" w:hAnsi="Times New Roman"/>
          <w:sz w:val="20"/>
          <w:szCs w:val="20"/>
        </w:rPr>
        <w:t xml:space="preserve"> affect customer decision-making? </w:t>
      </w:r>
    </w:p>
    <w:p>
      <w:pPr>
        <w:pStyle w:val="style179"/>
        <w:spacing w:before="240" w:after="240"/>
        <w:jc w:val="both"/>
        <w:rPr>
          <w:rFonts w:ascii="Times New Roman" w:cs="Times New Roman" w:eastAsia="Times New Roman" w:hAnsi="Times New Roman"/>
          <w:sz w:val="20"/>
          <w:szCs w:val="20"/>
        </w:rPr>
      </w:pPr>
    </w:p>
    <w:p>
      <w:pPr>
        <w:pStyle w:val="style179"/>
        <w:spacing w:before="240" w:after="240"/>
        <w:jc w:val="both"/>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Hypothèses</w:t>
      </w:r>
      <w:r>
        <w:rPr>
          <w:rFonts w:ascii="Times New Roman" w:cs="Times New Roman" w:eastAsia="Times New Roman" w:hAnsi="Times New Roman"/>
          <w:b/>
          <w:bCs/>
          <w:sz w:val="20"/>
          <w:szCs w:val="20"/>
        </w:rPr>
        <w:t>:</w:t>
      </w:r>
    </w:p>
    <w:p>
      <w:pPr>
        <w:pStyle w:val="style0"/>
        <w:spacing w:before="240" w:after="240"/>
        <w:ind w:left="72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Customer Trust: </w:t>
      </w:r>
    </w:p>
    <w:p>
      <w:pPr>
        <w:pStyle w:val="style0"/>
        <w:spacing w:before="240" w:after="240"/>
        <w:ind w:left="72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Signaling Theory</w:t>
      </w:r>
      <w:r>
        <w:rPr>
          <w:rFonts w:ascii="Times New Roman" w:cs="Times New Roman" w:eastAsia="Times New Roman" w:hAnsi="Times New Roman"/>
          <w:sz w:val="20"/>
          <w:szCs w:val="20"/>
        </w:rPr>
        <w:t>:</w:t>
      </w:r>
      <w:r>
        <w:rPr>
          <w:rFonts w:ascii="Times New Roman" w:cs="Times New Roman" w:eastAsia="Times New Roman" w:hAnsi="Times New Roman"/>
          <w:sz w:val="20"/>
          <w:szCs w:val="20"/>
        </w:rPr>
        <w:t xml:space="preserve"> This theory suggests that firms disclose </w:t>
      </w:r>
      <w:r>
        <w:rPr>
          <w:rFonts w:ascii="Times New Roman" w:cs="Times New Roman" w:eastAsia="Times New Roman" w:hAnsi="Times New Roman"/>
          <w:sz w:val="20"/>
          <w:szCs w:val="20"/>
        </w:rPr>
        <w:t>their sustainability</w:t>
      </w:r>
      <w:r>
        <w:rPr>
          <w:rFonts w:ascii="Times New Roman" w:cs="Times New Roman" w:eastAsia="Times New Roman" w:hAnsi="Times New Roman"/>
          <w:sz w:val="20"/>
          <w:szCs w:val="20"/>
        </w:rPr>
        <w:t xml:space="preserve"> dedication through diverse signals. However, if these signals are perceived as misleading (greenwashing), customers may lose trust in </w:t>
      </w:r>
      <w:r>
        <w:rPr>
          <w:rFonts w:ascii="Times New Roman" w:cs="Times New Roman" w:eastAsia="Times New Roman" w:hAnsi="Times New Roman"/>
          <w:sz w:val="20"/>
          <w:szCs w:val="20"/>
        </w:rPr>
        <w:t>fintech</w:t>
      </w:r>
      <w:r>
        <w:rPr>
          <w:rFonts w:ascii="Times New Roman" w:cs="Times New Roman" w:eastAsia="Times New Roman" w:hAnsi="Times New Roman"/>
          <w:sz w:val="20"/>
          <w:szCs w:val="20"/>
        </w:rPr>
        <w:t xml:space="preserve"> firms. Based on this assumption, the following hypothesis are developed. </w:t>
      </w:r>
    </w:p>
    <w:p>
      <w:pPr>
        <w:pStyle w:val="style179"/>
        <w:numPr>
          <w:ilvl w:val="0"/>
          <w:numId w:val="2"/>
        </w:numPr>
        <w:spacing w:before="240" w:after="240"/>
        <w:jc w:val="both"/>
        <w:rPr>
          <w:rFonts w:ascii="Times New Roman" w:cs="Times New Roman" w:eastAsia="Times New Roman" w:hAnsi="Times New Roman"/>
        </w:rPr>
      </w:pPr>
      <w:r>
        <w:rPr>
          <w:rFonts w:ascii="Times New Roman" w:cs="Times New Roman" w:eastAsia="Times New Roman" w:hAnsi="Times New Roman"/>
          <w:sz w:val="20"/>
          <w:szCs w:val="20"/>
        </w:rPr>
        <w:t xml:space="preserve">Ho: Perception of greenwashing has no significant impact on customer trust in </w:t>
      </w:r>
      <w:r>
        <w:rPr>
          <w:rFonts w:ascii="Times New Roman" w:cs="Times New Roman" w:eastAsia="Times New Roman" w:hAnsi="Times New Roman"/>
          <w:sz w:val="20"/>
          <w:szCs w:val="20"/>
        </w:rPr>
        <w:t>fintech</w:t>
      </w:r>
      <w:r>
        <w:rPr>
          <w:rFonts w:ascii="Times New Roman" w:cs="Times New Roman" w:eastAsia="Times New Roman" w:hAnsi="Times New Roman"/>
          <w:sz w:val="20"/>
          <w:szCs w:val="20"/>
        </w:rPr>
        <w:t xml:space="preserve"> firms. </w:t>
      </w:r>
    </w:p>
    <w:p>
      <w:pPr>
        <w:pStyle w:val="style179"/>
        <w:numPr>
          <w:ilvl w:val="0"/>
          <w:numId w:val="2"/>
        </w:numPr>
        <w:spacing w:before="240" w:after="240"/>
        <w:jc w:val="both"/>
        <w:rPr>
          <w:rFonts w:ascii="Times New Roman" w:cs="Times New Roman" w:eastAsia="Times New Roman" w:hAnsi="Times New Roman"/>
        </w:rPr>
      </w:pPr>
      <w:r>
        <w:rPr>
          <w:rFonts w:ascii="Times New Roman" w:cs="Times New Roman" w:eastAsia="Times New Roman" w:hAnsi="Times New Roman"/>
          <w:sz w:val="20"/>
          <w:szCs w:val="20"/>
        </w:rPr>
        <w:t xml:space="preserve">H1: Perception of greenwashing has a significant impact on customer trust in </w:t>
      </w:r>
      <w:r>
        <w:rPr>
          <w:rFonts w:ascii="Times New Roman" w:cs="Times New Roman" w:eastAsia="Times New Roman" w:hAnsi="Times New Roman"/>
          <w:sz w:val="20"/>
          <w:szCs w:val="20"/>
        </w:rPr>
        <w:t>fintech</w:t>
      </w:r>
      <w:r>
        <w:rPr>
          <w:rFonts w:ascii="Times New Roman" w:cs="Times New Roman" w:eastAsia="Times New Roman" w:hAnsi="Times New Roman"/>
          <w:sz w:val="20"/>
          <w:szCs w:val="20"/>
        </w:rPr>
        <w:t xml:space="preserve"> firms.</w:t>
      </w:r>
    </w:p>
    <w:p>
      <w:pPr>
        <w:pStyle w:val="style179"/>
        <w:spacing w:before="240" w:after="240"/>
        <w:jc w:val="both"/>
        <w:rPr>
          <w:rFonts w:ascii="Times New Roman" w:cs="Times New Roman" w:eastAsia="Times New Roman" w:hAnsi="Times New Roman"/>
          <w:sz w:val="20"/>
          <w:szCs w:val="20"/>
          <w:lang w:val="fr-FR"/>
        </w:rPr>
      </w:pPr>
      <w:r>
        <w:rPr>
          <w:rFonts w:ascii="Times New Roman" w:cs="Times New Roman" w:eastAsia="Times New Roman" w:hAnsi="Times New Roman"/>
          <w:sz w:val="20"/>
          <w:szCs w:val="20"/>
          <w:lang w:val="fr-FR"/>
        </w:rPr>
        <w:t xml:space="preserve">Customer Decision-Making </w:t>
      </w:r>
    </w:p>
    <w:p>
      <w:pPr>
        <w:pStyle w:val="style179"/>
        <w:spacing w:before="240" w:after="240"/>
        <w:jc w:val="both"/>
        <w:rPr>
          <w:rFonts w:ascii="Times New Roman" w:cs="Times New Roman" w:eastAsia="Times New Roman" w:hAnsi="Times New Roman"/>
          <w:sz w:val="20"/>
          <w:szCs w:val="20"/>
        </w:rPr>
      </w:pPr>
    </w:p>
    <w:p>
      <w:pPr>
        <w:pStyle w:val="style179"/>
        <w:spacing w:before="240" w:after="24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Theory of Planned Behavior (TPB)</w:t>
      </w:r>
      <w:r>
        <w:rPr>
          <w:rFonts w:ascii="Times New Roman" w:cs="Times New Roman" w:eastAsia="Times New Roman" w:hAnsi="Times New Roman"/>
          <w:sz w:val="20"/>
          <w:szCs w:val="20"/>
        </w:rPr>
        <w:t>:</w:t>
      </w:r>
      <w:r>
        <w:rPr>
          <w:rFonts w:ascii="Times New Roman" w:cs="Times New Roman" w:eastAsia="Times New Roman" w:hAnsi="Times New Roman"/>
          <w:sz w:val="20"/>
          <w:szCs w:val="20"/>
        </w:rPr>
        <w:t xml:space="preserve"> This theory postulates that consumer decisions are influenced by their perceptions and attitudes. If greenwashing adversely affects perceptions, it may influence their decision to engage with </w:t>
      </w:r>
      <w:r>
        <w:rPr>
          <w:rFonts w:ascii="Times New Roman" w:cs="Times New Roman" w:eastAsia="Times New Roman" w:hAnsi="Times New Roman"/>
          <w:sz w:val="20"/>
          <w:szCs w:val="20"/>
        </w:rPr>
        <w:t>fintech</w:t>
      </w:r>
      <w:r>
        <w:rPr>
          <w:rFonts w:ascii="Times New Roman" w:cs="Times New Roman" w:eastAsia="Times New Roman" w:hAnsi="Times New Roman"/>
          <w:sz w:val="20"/>
          <w:szCs w:val="20"/>
        </w:rPr>
        <w:t xml:space="preserve"> services. Based on this theoretical assumption, the following hypothesis are developed. </w:t>
      </w:r>
    </w:p>
    <w:p>
      <w:pPr>
        <w:pStyle w:val="style179"/>
        <w:numPr>
          <w:ilvl w:val="0"/>
          <w:numId w:val="3"/>
        </w:numPr>
        <w:spacing w:before="240" w:after="24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Ho: Greenwashing perception has no significant impact on customer decision-making regarding </w:t>
      </w:r>
      <w:r>
        <w:rPr>
          <w:rFonts w:ascii="Times New Roman" w:cs="Times New Roman" w:eastAsia="Times New Roman" w:hAnsi="Times New Roman"/>
          <w:sz w:val="20"/>
          <w:szCs w:val="20"/>
        </w:rPr>
        <w:t>fintech</w:t>
      </w:r>
      <w:r>
        <w:rPr>
          <w:rFonts w:ascii="Times New Roman" w:cs="Times New Roman" w:eastAsia="Times New Roman" w:hAnsi="Times New Roman"/>
          <w:sz w:val="20"/>
          <w:szCs w:val="20"/>
        </w:rPr>
        <w:t xml:space="preserve"> services. </w:t>
      </w:r>
    </w:p>
    <w:p>
      <w:pPr>
        <w:pStyle w:val="style179"/>
        <w:spacing w:before="240" w:after="240"/>
        <w:jc w:val="both"/>
        <w:rPr>
          <w:rFonts w:ascii="Times New Roman" w:cs="Times New Roman" w:eastAsia="Times New Roman" w:hAnsi="Times New Roman"/>
          <w:sz w:val="20"/>
          <w:szCs w:val="20"/>
        </w:rPr>
      </w:pPr>
    </w:p>
    <w:p>
      <w:pPr>
        <w:pStyle w:val="style179"/>
        <w:numPr>
          <w:ilvl w:val="0"/>
          <w:numId w:val="3"/>
        </w:numPr>
        <w:spacing w:before="240" w:after="24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H1: Greenwashing perception has a significant impact on customer decision-making regarding </w:t>
      </w:r>
      <w:r>
        <w:rPr>
          <w:rFonts w:ascii="Times New Roman" w:cs="Times New Roman" w:eastAsia="Times New Roman" w:hAnsi="Times New Roman"/>
          <w:sz w:val="20"/>
          <w:szCs w:val="20"/>
        </w:rPr>
        <w:t>fintech</w:t>
      </w:r>
      <w:r>
        <w:rPr>
          <w:rFonts w:ascii="Times New Roman" w:cs="Times New Roman" w:eastAsia="Times New Roman" w:hAnsi="Times New Roman"/>
          <w:sz w:val="20"/>
          <w:szCs w:val="20"/>
        </w:rPr>
        <w:t xml:space="preserve"> services.</w:t>
      </w:r>
    </w:p>
    <w:p>
      <w:pPr>
        <w:pStyle w:val="style0"/>
        <w:spacing w:before="240" w:after="240"/>
        <w:jc w:val="both"/>
        <w:rPr>
          <w:rFonts w:ascii="Times New Roman" w:cs="Times New Roman" w:eastAsia="Times New Roman" w:hAnsi="Times New Roman"/>
          <w:b/>
          <w:bCs/>
          <w:sz w:val="20"/>
          <w:szCs w:val="20"/>
          <w:lang w:val="fr-FR"/>
        </w:rPr>
      </w:pPr>
      <w:r>
        <w:rPr>
          <w:rFonts w:ascii="Times New Roman" w:cs="Times New Roman" w:eastAsia="Times New Roman" w:hAnsi="Times New Roman"/>
          <w:b/>
          <w:bCs/>
          <w:sz w:val="20"/>
          <w:szCs w:val="20"/>
          <w:lang w:val="fr-FR"/>
        </w:rPr>
        <w:t xml:space="preserve">2.2 Research Design </w:t>
      </w:r>
    </w:p>
    <w:p>
      <w:pPr>
        <w:pStyle w:val="style0"/>
        <w:spacing w:before="240" w:after="24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The study adopts quantitative, cross-sectional, and correlational research design. Quantitative data was collected at once from the target population to determine the relationship between the perception of </w:t>
      </w:r>
      <w:r>
        <w:rPr>
          <w:rFonts w:ascii="Times New Roman" w:cs="Times New Roman" w:eastAsia="Times New Roman" w:hAnsi="Times New Roman"/>
          <w:sz w:val="20"/>
          <w:szCs w:val="20"/>
        </w:rPr>
        <w:t>fintech</w:t>
      </w:r>
      <w:r>
        <w:rPr>
          <w:rFonts w:ascii="Times New Roman" w:cs="Times New Roman" w:eastAsia="Times New Roman" w:hAnsi="Times New Roman"/>
          <w:sz w:val="20"/>
          <w:szCs w:val="20"/>
        </w:rPr>
        <w:t xml:space="preserve"> greenwashing and customer trust and decision-making. </w:t>
      </w:r>
    </w:p>
    <w:p>
      <w:pPr>
        <w:pStyle w:val="style0"/>
        <w:spacing w:before="240" w:after="240"/>
        <w:jc w:val="both"/>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 xml:space="preserve">2.3 Data Collection </w:t>
      </w:r>
    </w:p>
    <w:p>
      <w:pPr>
        <w:pStyle w:val="style0"/>
        <w:spacing w:before="240" w:after="24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Online Platform Survey was used to collect data from prospective customers of </w:t>
      </w:r>
      <w:r>
        <w:rPr>
          <w:rFonts w:ascii="Times New Roman" w:cs="Times New Roman" w:eastAsia="Times New Roman" w:hAnsi="Times New Roman"/>
          <w:sz w:val="20"/>
          <w:szCs w:val="20"/>
        </w:rPr>
        <w:t>fintech</w:t>
      </w:r>
      <w:r>
        <w:rPr>
          <w:rFonts w:ascii="Times New Roman" w:cs="Times New Roman" w:eastAsia="Times New Roman" w:hAnsi="Times New Roman"/>
          <w:sz w:val="20"/>
          <w:szCs w:val="20"/>
        </w:rPr>
        <w:t xml:space="preserve"> companies. A structured questionnaire was organized, comprising demographic information and a section for relevant data. A five-point Likert scale was adopted to rate the collected data.</w:t>
      </w:r>
    </w:p>
    <w:p>
      <w:pPr>
        <w:pStyle w:val="style0"/>
        <w:spacing w:before="240" w:after="240"/>
        <w:jc w:val="both"/>
        <w:rPr>
          <w:rFonts w:ascii="Times New Roman" w:cs="Times New Roman" w:eastAsia="Times New Roman" w:hAnsi="Times New Roman"/>
          <w:b/>
          <w:bCs/>
          <w:sz w:val="20"/>
          <w:szCs w:val="20"/>
        </w:rPr>
      </w:pPr>
      <w:r>
        <w:rPr>
          <w:rFonts w:ascii="Times New Roman" w:cs="Times New Roman" w:eastAsia="Times New Roman" w:hAnsi="Times New Roman"/>
          <w:sz w:val="20"/>
          <w:szCs w:val="20"/>
        </w:rPr>
        <w:t xml:space="preserve"> </w:t>
      </w:r>
      <w:r>
        <w:rPr>
          <w:rFonts w:ascii="Times New Roman" w:cs="Times New Roman" w:eastAsia="Times New Roman" w:hAnsi="Times New Roman"/>
          <w:b/>
          <w:bCs/>
          <w:sz w:val="20"/>
          <w:szCs w:val="20"/>
        </w:rPr>
        <w:t>2.4 Sampling Technique and Sample Size</w:t>
      </w:r>
    </w:p>
    <w:p>
      <w:pPr>
        <w:pStyle w:val="style0"/>
        <w:spacing w:before="240" w:after="24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The stratified sampling technique was utilized in selecting the sample based on demographic characteristics (age, gender, education, financial literacy, and frequency of </w:t>
      </w:r>
      <w:r>
        <w:rPr>
          <w:rFonts w:ascii="Times New Roman" w:cs="Times New Roman" w:eastAsia="Times New Roman" w:hAnsi="Times New Roman"/>
          <w:sz w:val="20"/>
          <w:szCs w:val="20"/>
        </w:rPr>
        <w:t>fintech</w:t>
      </w:r>
      <w:r>
        <w:rPr>
          <w:rFonts w:ascii="Times New Roman" w:cs="Times New Roman" w:eastAsia="Times New Roman" w:hAnsi="Times New Roman"/>
          <w:sz w:val="20"/>
          <w:szCs w:val="20"/>
        </w:rPr>
        <w:t xml:space="preserve"> use). The final sample comprised 302 respondents. </w:t>
      </w:r>
    </w:p>
    <w:p>
      <w:pPr>
        <w:pStyle w:val="style0"/>
        <w:spacing w:before="240" w:after="240"/>
        <w:jc w:val="both"/>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 xml:space="preserve">2.5 Variables and Measurement </w:t>
      </w:r>
    </w:p>
    <w:p>
      <w:pPr>
        <w:pStyle w:val="style0"/>
        <w:spacing w:before="240" w:after="24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Independent Variable: Greenwashing Perception (measured using validated survey items)</w:t>
      </w:r>
    </w:p>
    <w:p>
      <w:pPr>
        <w:pStyle w:val="style0"/>
        <w:spacing w:before="240" w:after="24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Dependent Variables: Customer Trust and Decision-making (measured using validated survey items) </w:t>
      </w:r>
    </w:p>
    <w:p>
      <w:pPr>
        <w:pStyle w:val="style0"/>
        <w:spacing w:before="240" w:after="24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Control Variables: Financial Literacy, frequency of </w:t>
      </w:r>
      <w:r>
        <w:rPr>
          <w:rFonts w:ascii="Times New Roman" w:cs="Times New Roman" w:eastAsia="Times New Roman" w:hAnsi="Times New Roman"/>
          <w:sz w:val="20"/>
          <w:szCs w:val="20"/>
        </w:rPr>
        <w:t>fintech</w:t>
      </w:r>
      <w:r>
        <w:rPr>
          <w:rFonts w:ascii="Times New Roman" w:cs="Times New Roman" w:eastAsia="Times New Roman" w:hAnsi="Times New Roman"/>
          <w:sz w:val="20"/>
          <w:szCs w:val="20"/>
        </w:rPr>
        <w:t xml:space="preserve"> use, education, and gender (measured using a Likert scale)</w:t>
      </w:r>
    </w:p>
    <w:p>
      <w:pPr>
        <w:pStyle w:val="style0"/>
        <w:spacing w:before="240" w:after="240"/>
        <w:jc w:val="both"/>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2.5.1 Variable Coding and Interpretation</w:t>
      </w:r>
    </w:p>
    <w:p>
      <w:pPr>
        <w:pStyle w:val="style0"/>
        <w:spacing w:before="240" w:after="24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The measurement items were rated on a 5 - point Likert scale, where higher scores on the Customer Trust and Customer Decision-making constructs indicate decreased trust and negative decision-making behaviors, respectively. This coding system allows for a direct interpretation of the regression coefficients without the need for reverse coding, and it consistent with methodologies adopted in previous studies such as, More (2019), where higher scores indicated negative consumer perceptions like reduced brand trust because of greenwashing.</w:t>
      </w:r>
    </w:p>
    <w:p>
      <w:pPr>
        <w:pStyle w:val="style0"/>
        <w:spacing w:before="240" w:after="240"/>
        <w:jc w:val="both"/>
        <w:rPr>
          <w:rFonts w:ascii="Times New Roman" w:cs="Times New Roman" w:eastAsia="Times New Roman" w:hAnsi="Times New Roman"/>
          <w:b/>
          <w:bCs/>
          <w:sz w:val="20"/>
          <w:szCs w:val="20"/>
        </w:rPr>
      </w:pPr>
      <w:r>
        <w:rPr>
          <w:rFonts w:ascii="Times New Roman" w:cs="Times New Roman" w:eastAsia="Times New Roman" w:hAnsi="Times New Roman"/>
          <w:sz w:val="20"/>
          <w:szCs w:val="20"/>
        </w:rPr>
        <w:t xml:space="preserve"> </w:t>
      </w:r>
      <w:r>
        <w:rPr>
          <w:rFonts w:ascii="Times New Roman" w:cs="Times New Roman" w:eastAsia="Times New Roman" w:hAnsi="Times New Roman"/>
          <w:b/>
          <w:bCs/>
          <w:sz w:val="20"/>
          <w:szCs w:val="20"/>
        </w:rPr>
        <w:t>2.6 Data Analysis</w:t>
      </w:r>
    </w:p>
    <w:p>
      <w:pPr>
        <w:pStyle w:val="style0"/>
        <w:spacing w:before="240" w:after="24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For analyzing the data, hierarchical regression approach was used to analyze the data using SPSS Version 29. The analysis consists of:</w:t>
      </w:r>
    </w:p>
    <w:p>
      <w:pPr>
        <w:pStyle w:val="style179"/>
        <w:numPr>
          <w:ilvl w:val="0"/>
          <w:numId w:val="4"/>
        </w:numPr>
        <w:spacing w:after="0"/>
        <w:jc w:val="both"/>
        <w:rPr>
          <w:rFonts w:ascii="Times New Roman" w:cs="Times New Roman" w:eastAsia="Times New Roman" w:hAnsi="Times New Roman"/>
          <w:sz w:val="20"/>
          <w:szCs w:val="20"/>
          <w:lang w:val="fr-FR"/>
        </w:rPr>
      </w:pPr>
      <w:r>
        <w:rPr>
          <w:rFonts w:ascii="Times New Roman" w:cs="Times New Roman" w:eastAsia="Times New Roman" w:hAnsi="Times New Roman"/>
          <w:sz w:val="20"/>
          <w:szCs w:val="20"/>
          <w:lang w:val="fr-FR"/>
        </w:rPr>
        <w:t>Reliability Test (Cronbach's alpha)</w:t>
      </w:r>
    </w:p>
    <w:p>
      <w:pPr>
        <w:pStyle w:val="style179"/>
        <w:numPr>
          <w:ilvl w:val="0"/>
          <w:numId w:val="4"/>
        </w:numPr>
        <w:spacing w:after="0"/>
        <w:jc w:val="both"/>
        <w:rPr>
          <w:rFonts w:ascii="Times New Roman" w:cs="Times New Roman" w:eastAsia="Times New Roman" w:hAnsi="Times New Roman"/>
          <w:sz w:val="20"/>
          <w:szCs w:val="20"/>
          <w:lang w:val="fr-FR"/>
        </w:rPr>
      </w:pPr>
      <w:r>
        <w:rPr>
          <w:rFonts w:ascii="Times New Roman" w:cs="Times New Roman" w:eastAsia="Times New Roman" w:hAnsi="Times New Roman"/>
          <w:sz w:val="20"/>
          <w:szCs w:val="20"/>
          <w:lang w:val="fr-FR"/>
        </w:rPr>
        <w:t xml:space="preserve">Descriptive Statistics (mean, standard </w:t>
      </w:r>
      <w:r>
        <w:rPr>
          <w:rFonts w:ascii="Times New Roman" w:cs="Times New Roman" w:eastAsia="Times New Roman" w:hAnsi="Times New Roman"/>
          <w:sz w:val="20"/>
          <w:szCs w:val="20"/>
          <w:lang w:val="fr-FR"/>
        </w:rPr>
        <w:t>déviation</w:t>
      </w:r>
      <w:r>
        <w:rPr>
          <w:rFonts w:ascii="Times New Roman" w:cs="Times New Roman" w:eastAsia="Times New Roman" w:hAnsi="Times New Roman"/>
          <w:sz w:val="20"/>
          <w:szCs w:val="20"/>
          <w:lang w:val="fr-FR"/>
        </w:rPr>
        <w:t>)</w:t>
      </w:r>
    </w:p>
    <w:p>
      <w:pPr>
        <w:pStyle w:val="style179"/>
        <w:numPr>
          <w:ilvl w:val="0"/>
          <w:numId w:val="4"/>
        </w:numPr>
        <w:spacing w:after="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Correlation</w:t>
      </w:r>
      <w:r>
        <w:rPr>
          <w:rFonts w:ascii="Times New Roman" w:cs="Times New Roman" w:eastAsia="Times New Roman" w:hAnsi="Times New Roman"/>
          <w:sz w:val="20"/>
          <w:szCs w:val="20"/>
        </w:rPr>
        <w:t xml:space="preserve"> analysis to determine the relationships between variables </w:t>
      </w:r>
    </w:p>
    <w:p>
      <w:pPr>
        <w:pStyle w:val="style179"/>
        <w:numPr>
          <w:ilvl w:val="0"/>
          <w:numId w:val="4"/>
        </w:numPr>
        <w:spacing w:after="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Multicollinearity</w:t>
      </w:r>
      <w:r>
        <w:rPr>
          <w:rFonts w:ascii="Times New Roman" w:cs="Times New Roman" w:eastAsia="Times New Roman" w:hAnsi="Times New Roman"/>
          <w:sz w:val="20"/>
          <w:szCs w:val="20"/>
        </w:rPr>
        <w:t xml:space="preserve"> Test to test </w:t>
      </w:r>
      <w:r>
        <w:rPr>
          <w:rFonts w:ascii="Times New Roman" w:cs="Times New Roman" w:eastAsia="Times New Roman" w:hAnsi="Times New Roman"/>
          <w:sz w:val="20"/>
          <w:szCs w:val="20"/>
        </w:rPr>
        <w:t>multicollinearity</w:t>
      </w:r>
      <w:r>
        <w:rPr>
          <w:rFonts w:ascii="Times New Roman" w:cs="Times New Roman" w:eastAsia="Times New Roman" w:hAnsi="Times New Roman"/>
          <w:sz w:val="20"/>
          <w:szCs w:val="20"/>
        </w:rPr>
        <w:t xml:space="preserve"> </w:t>
      </w:r>
      <w:r>
        <w:rPr>
          <w:rFonts w:ascii="Times New Roman" w:cs="Times New Roman" w:eastAsia="Times New Roman" w:hAnsi="Times New Roman"/>
          <w:sz w:val="20"/>
          <w:szCs w:val="20"/>
        </w:rPr>
        <w:t>tolerance</w:t>
      </w:r>
      <w:r>
        <w:rPr>
          <w:rFonts w:ascii="Times New Roman" w:cs="Times New Roman" w:eastAsia="Times New Roman" w:hAnsi="Times New Roman"/>
          <w:sz w:val="20"/>
          <w:szCs w:val="20"/>
        </w:rPr>
        <w:t xml:space="preserve"> among the variables </w:t>
      </w:r>
    </w:p>
    <w:p>
      <w:pPr>
        <w:pStyle w:val="style179"/>
        <w:numPr>
          <w:ilvl w:val="0"/>
          <w:numId w:val="4"/>
        </w:numPr>
        <w:spacing w:after="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Hierarchical </w:t>
      </w:r>
      <w:r>
        <w:rPr>
          <w:rFonts w:ascii="Times New Roman" w:cs="Times New Roman" w:eastAsia="Times New Roman" w:hAnsi="Times New Roman"/>
          <w:sz w:val="20"/>
          <w:szCs w:val="20"/>
        </w:rPr>
        <w:t>Regression</w:t>
      </w:r>
      <w:r>
        <w:rPr>
          <w:rFonts w:ascii="Times New Roman" w:cs="Times New Roman" w:eastAsia="Times New Roman" w:hAnsi="Times New Roman"/>
          <w:sz w:val="20"/>
          <w:szCs w:val="20"/>
        </w:rPr>
        <w:t xml:space="preserve"> analysis to test hypotheses</w:t>
      </w:r>
    </w:p>
    <w:p>
      <w:pPr>
        <w:pStyle w:val="style179"/>
        <w:spacing w:after="0"/>
        <w:jc w:val="both"/>
        <w:rPr>
          <w:rFonts w:ascii="Times New Roman" w:cs="Times New Roman" w:eastAsia="Times New Roman" w:hAnsi="Times New Roman"/>
          <w:sz w:val="20"/>
          <w:szCs w:val="20"/>
          <w:lang w:val="fr-FR"/>
        </w:rPr>
      </w:pPr>
    </w:p>
    <w:p>
      <w:pPr>
        <w:pStyle w:val="style0"/>
        <w:spacing w:after="0"/>
        <w:jc w:val="both"/>
        <w:rPr>
          <w:rFonts w:ascii="Times New Roman" w:cs="Times New Roman" w:eastAsia="Times New Roman" w:hAnsi="Times New Roman"/>
          <w:b/>
          <w:lang w:val="fr-FR"/>
        </w:rPr>
      </w:pPr>
    </w:p>
    <w:p>
      <w:pPr>
        <w:pStyle w:val="style0"/>
        <w:spacing w:after="0"/>
        <w:jc w:val="both"/>
        <w:rPr>
          <w:rFonts w:ascii="Times New Roman" w:cs="Times New Roman" w:eastAsia="Times New Roman" w:hAnsi="Times New Roman"/>
          <w:b/>
          <w:bCs/>
          <w:lang w:val="fr-FR"/>
        </w:rPr>
      </w:pPr>
    </w:p>
    <w:p>
      <w:pPr>
        <w:pStyle w:val="style0"/>
        <w:spacing w:after="0"/>
        <w:jc w:val="both"/>
        <w:rPr>
          <w:rFonts w:ascii="Times New Roman" w:cs="Times New Roman" w:eastAsia="Times New Roman" w:hAnsi="Times New Roman"/>
          <w:b/>
          <w:bCs/>
          <w:lang w:val="fr-FR"/>
        </w:rPr>
      </w:pPr>
    </w:p>
    <w:p>
      <w:pPr>
        <w:pStyle w:val="style0"/>
        <w:spacing w:after="0"/>
        <w:jc w:val="both"/>
        <w:rPr>
          <w:rFonts w:ascii="Times New Roman" w:cs="Times New Roman" w:eastAsia="Times New Roman" w:hAnsi="Times New Roman"/>
          <w:b/>
          <w:bCs/>
          <w:lang w:val="fr-FR"/>
        </w:rPr>
      </w:pPr>
    </w:p>
    <w:p>
      <w:pPr>
        <w:pStyle w:val="style0"/>
        <w:spacing w:after="0"/>
        <w:jc w:val="both"/>
        <w:rPr>
          <w:rFonts w:ascii="Times New Roman" w:cs="Times New Roman" w:eastAsia="Times New Roman" w:hAnsi="Times New Roman"/>
          <w:b/>
          <w:bCs/>
          <w:lang w:val="fr-FR"/>
        </w:rPr>
      </w:pPr>
    </w:p>
    <w:p>
      <w:pPr>
        <w:pStyle w:val="style0"/>
        <w:spacing w:after="0"/>
        <w:jc w:val="both"/>
        <w:rPr>
          <w:rFonts w:ascii="Times New Roman" w:cs="Times New Roman" w:eastAsia="Times New Roman" w:hAnsi="Times New Roman"/>
          <w:b/>
          <w:bCs/>
          <w:lang w:val="fr-FR"/>
        </w:rPr>
      </w:pPr>
    </w:p>
    <w:p>
      <w:pPr>
        <w:pStyle w:val="style0"/>
        <w:spacing w:after="0"/>
        <w:jc w:val="both"/>
        <w:rPr>
          <w:rFonts w:ascii="Times New Roman" w:cs="Times New Roman" w:eastAsia="Times New Roman" w:hAnsi="Times New Roman"/>
          <w:b/>
          <w:bCs/>
          <w:lang w:val="fr-FR"/>
        </w:rPr>
      </w:pPr>
    </w:p>
    <w:p>
      <w:pPr>
        <w:pStyle w:val="style0"/>
        <w:spacing w:after="0"/>
        <w:jc w:val="both"/>
        <w:rPr>
          <w:rFonts w:ascii="Times New Roman" w:cs="Times New Roman" w:eastAsia="Times New Roman" w:hAnsi="Times New Roman"/>
          <w:b/>
          <w:bCs/>
          <w:lang w:val="fr-FR"/>
        </w:rPr>
      </w:pPr>
      <w:r>
        <w:rPr>
          <w:rFonts w:ascii="Times New Roman" w:cs="Times New Roman" w:eastAsia="Times New Roman" w:hAnsi="Times New Roman"/>
          <w:b/>
          <w:bCs/>
          <w:lang w:val="fr-FR"/>
        </w:rPr>
        <w:t>3.</w:t>
      </w:r>
      <w:r>
        <w:rPr>
          <w:rFonts w:ascii="Times New Roman" w:cs="Times New Roman" w:eastAsia="Times New Roman" w:hAnsi="Times New Roman"/>
          <w:sz w:val="20"/>
          <w:szCs w:val="20"/>
          <w:lang w:val="fr-FR"/>
        </w:rPr>
        <w:t xml:space="preserve"> </w:t>
      </w:r>
      <w:r>
        <w:rPr>
          <w:rFonts w:ascii="Times New Roman" w:cs="Times New Roman" w:eastAsia="Times New Roman" w:hAnsi="Times New Roman"/>
          <w:b/>
          <w:bCs/>
          <w:lang w:val="fr-FR"/>
        </w:rPr>
        <w:t>MODELING AND ANALYSIS</w:t>
      </w:r>
    </w:p>
    <w:p>
      <w:pPr>
        <w:pStyle w:val="style0"/>
        <w:spacing w:before="240" w:after="240"/>
        <w:jc w:val="both"/>
        <w:rPr>
          <w:rFonts w:ascii="Times New Roman" w:cs="Times New Roman" w:eastAsia="Times New Roman" w:hAnsi="Times New Roman"/>
          <w:b/>
          <w:bCs/>
          <w:sz w:val="20"/>
          <w:szCs w:val="20"/>
          <w:lang w:val="fr-FR"/>
        </w:rPr>
      </w:pPr>
      <w:r>
        <w:rPr>
          <w:rFonts w:ascii="Times New Roman" w:cs="Times New Roman" w:eastAsia="Times New Roman" w:hAnsi="Times New Roman"/>
          <w:b/>
          <w:bCs/>
          <w:sz w:val="20"/>
          <w:szCs w:val="20"/>
          <w:lang w:val="fr-FR"/>
        </w:rPr>
        <w:t>3.1 Theoretical Framework</w:t>
      </w:r>
    </w:p>
    <w:p>
      <w:pPr>
        <w:pStyle w:val="style0"/>
        <w:spacing w:before="240" w:after="240"/>
        <w:jc w:val="both"/>
        <w:rPr/>
      </w:pPr>
      <w:r>
        <w:rPr>
          <w:rFonts w:ascii="Times New Roman" w:cs="Times New Roman" w:eastAsia="Times New Roman" w:hAnsi="Times New Roman"/>
          <w:sz w:val="20"/>
          <w:szCs w:val="20"/>
        </w:rPr>
        <w:t xml:space="preserve">This study adopts a hierarchical regression analysis approach to determine the perceived impact of </w:t>
      </w:r>
      <w:r>
        <w:rPr>
          <w:rFonts w:ascii="Times New Roman" w:cs="Times New Roman" w:eastAsia="Times New Roman" w:hAnsi="Times New Roman"/>
          <w:sz w:val="20"/>
          <w:szCs w:val="20"/>
        </w:rPr>
        <w:t>FinTech</w:t>
      </w:r>
      <w:r>
        <w:rPr>
          <w:rFonts w:ascii="Times New Roman" w:cs="Times New Roman" w:eastAsia="Times New Roman" w:hAnsi="Times New Roman"/>
          <w:sz w:val="20"/>
          <w:szCs w:val="20"/>
        </w:rPr>
        <w:t xml:space="preserve"> greenwashing on customer trust and decision-making. The hierarchical model allows for the initial inclusion of control variables, followed by the addition of the predictor variable (greenwashing perception) to determine its unique effect on the result variables. </w:t>
      </w:r>
    </w:p>
    <w:p>
      <w:pPr>
        <w:pStyle w:val="style0"/>
        <w:spacing w:before="240" w:after="240"/>
        <w:jc w:val="both"/>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3.2 Model Specification</w:t>
      </w:r>
    </w:p>
    <w:p>
      <w:pPr>
        <w:pStyle w:val="style0"/>
        <w:spacing w:before="240" w:after="240"/>
        <w:jc w:val="both"/>
        <w:rPr/>
      </w:pPr>
      <w:r>
        <w:rPr>
          <w:rFonts w:ascii="Times New Roman" w:cs="Times New Roman" w:eastAsia="Times New Roman" w:hAnsi="Times New Roman"/>
          <w:sz w:val="20"/>
          <w:szCs w:val="20"/>
        </w:rPr>
        <w:t xml:space="preserve"> Two regression models were developed for analysis: </w:t>
      </w:r>
    </w:p>
    <w:p>
      <w:pPr>
        <w:pStyle w:val="style0"/>
        <w:spacing w:before="240" w:after="240"/>
        <w:jc w:val="both"/>
        <w:rPr/>
      </w:pPr>
      <w:r>
        <w:rPr>
          <w:rFonts w:ascii="Times New Roman" w:cs="Times New Roman" w:eastAsia="Times New Roman" w:hAnsi="Times New Roman"/>
          <w:b/>
          <w:bCs/>
          <w:sz w:val="20"/>
          <w:szCs w:val="20"/>
        </w:rPr>
        <w:t>Model I</w:t>
      </w:r>
      <w:r>
        <w:rPr>
          <w:rFonts w:ascii="Times New Roman" w:cs="Times New Roman" w:eastAsia="Times New Roman" w:hAnsi="Times New Roman"/>
          <w:sz w:val="20"/>
          <w:szCs w:val="20"/>
        </w:rPr>
        <w:t xml:space="preserve"> (Customer trust as the dependent variable) </w:t>
      </w:r>
    </w:p>
    <w:p>
      <w:pPr>
        <w:pStyle w:val="style0"/>
        <w:spacing w:before="240" w:after="240"/>
        <w:jc w:val="both"/>
        <w:rPr/>
      </w:pPr>
      <w:r>
        <w:rPr>
          <w:rFonts w:ascii="Times New Roman" w:cs="Times New Roman" w:eastAsia="Times New Roman" w:hAnsi="Times New Roman"/>
          <w:sz w:val="20"/>
          <w:szCs w:val="20"/>
        </w:rPr>
        <w:t>Step 1: CT = β₀ + β₁FL + β₂FU + β₃Edu + β₄</w:t>
      </w:r>
      <w:r>
        <w:rPr>
          <w:rFonts w:ascii="Times New Roman" w:cs="Times New Roman" w:eastAsia="Times New Roman" w:hAnsi="Times New Roman"/>
          <w:sz w:val="20"/>
          <w:szCs w:val="20"/>
        </w:rPr>
        <w:t>Gend</w:t>
      </w:r>
      <w:r>
        <w:rPr>
          <w:rFonts w:ascii="Times New Roman" w:cs="Times New Roman" w:eastAsia="Times New Roman" w:hAnsi="Times New Roman"/>
          <w:sz w:val="20"/>
          <w:szCs w:val="20"/>
        </w:rPr>
        <w:t xml:space="preserve"> + ε </w:t>
      </w:r>
    </w:p>
    <w:p>
      <w:pPr>
        <w:pStyle w:val="style0"/>
        <w:spacing w:before="240" w:after="240"/>
        <w:jc w:val="both"/>
        <w:rPr/>
      </w:pPr>
      <w:r>
        <w:rPr>
          <w:rFonts w:ascii="Times New Roman" w:cs="Times New Roman" w:eastAsia="Times New Roman" w:hAnsi="Times New Roman"/>
          <w:sz w:val="20"/>
          <w:szCs w:val="20"/>
        </w:rPr>
        <w:t>Step 2: CT = β₀ + β₁FL + β₂FU + β₃Edu + β₄</w:t>
      </w:r>
      <w:r>
        <w:rPr>
          <w:rFonts w:ascii="Times New Roman" w:cs="Times New Roman" w:eastAsia="Times New Roman" w:hAnsi="Times New Roman"/>
          <w:sz w:val="20"/>
          <w:szCs w:val="20"/>
        </w:rPr>
        <w:t>Gend</w:t>
      </w:r>
      <w:r>
        <w:rPr>
          <w:rFonts w:ascii="Times New Roman" w:cs="Times New Roman" w:eastAsia="Times New Roman" w:hAnsi="Times New Roman"/>
          <w:sz w:val="20"/>
          <w:szCs w:val="20"/>
        </w:rPr>
        <w:t xml:space="preserve"> + β₅GWP + ε </w:t>
      </w:r>
    </w:p>
    <w:p>
      <w:pPr>
        <w:pStyle w:val="style0"/>
        <w:spacing w:before="240" w:after="240"/>
        <w:jc w:val="both"/>
        <w:rPr/>
      </w:pPr>
      <w:r>
        <w:rPr>
          <w:rFonts w:ascii="Times New Roman" w:cs="Times New Roman" w:eastAsia="Times New Roman" w:hAnsi="Times New Roman"/>
          <w:b/>
          <w:bCs/>
          <w:sz w:val="20"/>
          <w:szCs w:val="20"/>
        </w:rPr>
        <w:t xml:space="preserve">Model II </w:t>
      </w:r>
      <w:r>
        <w:rPr>
          <w:rFonts w:ascii="Times New Roman" w:cs="Times New Roman" w:eastAsia="Times New Roman" w:hAnsi="Times New Roman"/>
          <w:sz w:val="20"/>
          <w:szCs w:val="20"/>
        </w:rPr>
        <w:t xml:space="preserve">(Customer decision-making as the independent variable) </w:t>
      </w:r>
    </w:p>
    <w:p>
      <w:pPr>
        <w:pStyle w:val="style0"/>
        <w:spacing w:before="240" w:after="240"/>
        <w:jc w:val="both"/>
        <w:rPr/>
      </w:pPr>
      <w:r>
        <w:rPr>
          <w:rFonts w:ascii="Times New Roman" w:cs="Times New Roman" w:eastAsia="Times New Roman" w:hAnsi="Times New Roman"/>
          <w:sz w:val="20"/>
          <w:szCs w:val="20"/>
        </w:rPr>
        <w:t>Step 1: CDM = β₀ + β₁FL + β₂FU + β₃Edu + β₄</w:t>
      </w:r>
      <w:r>
        <w:rPr>
          <w:rFonts w:ascii="Times New Roman" w:cs="Times New Roman" w:eastAsia="Times New Roman" w:hAnsi="Times New Roman"/>
          <w:sz w:val="20"/>
          <w:szCs w:val="20"/>
        </w:rPr>
        <w:t>Gend</w:t>
      </w:r>
      <w:r>
        <w:rPr>
          <w:rFonts w:ascii="Times New Roman" w:cs="Times New Roman" w:eastAsia="Times New Roman" w:hAnsi="Times New Roman"/>
          <w:sz w:val="20"/>
          <w:szCs w:val="20"/>
        </w:rPr>
        <w:t xml:space="preserve"> + ε </w:t>
      </w:r>
    </w:p>
    <w:p>
      <w:pPr>
        <w:pStyle w:val="style0"/>
        <w:spacing w:before="240" w:after="240"/>
        <w:jc w:val="both"/>
        <w:rPr/>
      </w:pPr>
      <w:r>
        <w:rPr>
          <w:rFonts w:ascii="Times New Roman" w:cs="Times New Roman" w:eastAsia="Times New Roman" w:hAnsi="Times New Roman"/>
          <w:sz w:val="20"/>
          <w:szCs w:val="20"/>
        </w:rPr>
        <w:t>Step 2: CDM = β₀ + β₁FL + β₂FU + β₃Edu + β₄</w:t>
      </w:r>
      <w:r>
        <w:rPr>
          <w:rFonts w:ascii="Times New Roman" w:cs="Times New Roman" w:eastAsia="Times New Roman" w:hAnsi="Times New Roman"/>
          <w:sz w:val="20"/>
          <w:szCs w:val="20"/>
        </w:rPr>
        <w:t>Gend</w:t>
      </w:r>
      <w:r>
        <w:rPr>
          <w:rFonts w:ascii="Times New Roman" w:cs="Times New Roman" w:eastAsia="Times New Roman" w:hAnsi="Times New Roman"/>
          <w:sz w:val="20"/>
          <w:szCs w:val="20"/>
        </w:rPr>
        <w:t xml:space="preserve"> + β₅GWP + ε </w:t>
      </w:r>
    </w:p>
    <w:p>
      <w:pPr>
        <w:pStyle w:val="style0"/>
        <w:spacing w:before="240" w:after="240"/>
        <w:jc w:val="both"/>
        <w:rPr/>
      </w:pPr>
      <w:r>
        <w:rPr>
          <w:rFonts w:ascii="Times New Roman" w:cs="Times New Roman" w:eastAsia="Times New Roman" w:hAnsi="Times New Roman"/>
          <w:b/>
          <w:bCs/>
          <w:sz w:val="20"/>
          <w:szCs w:val="20"/>
        </w:rPr>
        <w:t xml:space="preserve">Where: </w:t>
      </w:r>
    </w:p>
    <w:p>
      <w:pPr>
        <w:pStyle w:val="style0"/>
        <w:spacing w:before="240" w:after="240"/>
        <w:jc w:val="both"/>
        <w:rPr/>
      </w:pPr>
      <w:r>
        <w:rPr>
          <w:rFonts w:ascii="Times New Roman" w:cs="Times New Roman" w:eastAsia="Times New Roman" w:hAnsi="Times New Roman"/>
          <w:sz w:val="20"/>
          <w:szCs w:val="20"/>
        </w:rPr>
        <w:t xml:space="preserve">CT = Customer Trust </w:t>
      </w:r>
    </w:p>
    <w:p>
      <w:pPr>
        <w:pStyle w:val="style0"/>
        <w:spacing w:before="240" w:after="240"/>
        <w:jc w:val="both"/>
        <w:rPr/>
      </w:pPr>
      <w:r>
        <w:rPr>
          <w:rFonts w:ascii="Times New Roman" w:cs="Times New Roman" w:eastAsia="Times New Roman" w:hAnsi="Times New Roman"/>
          <w:sz w:val="20"/>
          <w:szCs w:val="20"/>
        </w:rPr>
        <w:t xml:space="preserve">CDM = Customer Decision-Making </w:t>
      </w:r>
    </w:p>
    <w:p>
      <w:pPr>
        <w:pStyle w:val="style0"/>
        <w:spacing w:before="240" w:after="240"/>
        <w:jc w:val="both"/>
        <w:rPr/>
      </w:pPr>
      <w:r>
        <w:rPr>
          <w:rFonts w:ascii="Times New Roman" w:cs="Times New Roman" w:eastAsia="Times New Roman" w:hAnsi="Times New Roman"/>
          <w:sz w:val="20"/>
          <w:szCs w:val="20"/>
        </w:rPr>
        <w:t xml:space="preserve">GWP = Greenwashing Perception </w:t>
      </w:r>
    </w:p>
    <w:p>
      <w:pPr>
        <w:pStyle w:val="style0"/>
        <w:spacing w:before="240" w:after="240"/>
        <w:jc w:val="both"/>
        <w:rPr/>
      </w:pPr>
      <w:r>
        <w:rPr>
          <w:rFonts w:ascii="Times New Roman" w:cs="Times New Roman" w:eastAsia="Times New Roman" w:hAnsi="Times New Roman"/>
          <w:sz w:val="20"/>
          <w:szCs w:val="20"/>
        </w:rPr>
        <w:t xml:space="preserve">FL = Financial Literacy </w:t>
      </w:r>
    </w:p>
    <w:p>
      <w:pPr>
        <w:pStyle w:val="style0"/>
        <w:spacing w:before="240" w:after="240"/>
        <w:jc w:val="both"/>
        <w:rPr/>
      </w:pPr>
      <w:r>
        <w:rPr>
          <w:rFonts w:ascii="Times New Roman" w:cs="Times New Roman" w:eastAsia="Times New Roman" w:hAnsi="Times New Roman"/>
          <w:sz w:val="20"/>
          <w:szCs w:val="20"/>
        </w:rPr>
        <w:t xml:space="preserve">FU = Frequency of </w:t>
      </w:r>
      <w:r>
        <w:rPr>
          <w:rFonts w:ascii="Times New Roman" w:cs="Times New Roman" w:eastAsia="Times New Roman" w:hAnsi="Times New Roman"/>
          <w:sz w:val="20"/>
          <w:szCs w:val="20"/>
        </w:rPr>
        <w:t>FinTech</w:t>
      </w:r>
      <w:r>
        <w:rPr>
          <w:rFonts w:ascii="Times New Roman" w:cs="Times New Roman" w:eastAsia="Times New Roman" w:hAnsi="Times New Roman"/>
          <w:sz w:val="20"/>
          <w:szCs w:val="20"/>
        </w:rPr>
        <w:t xml:space="preserve"> Use </w:t>
      </w:r>
    </w:p>
    <w:p>
      <w:pPr>
        <w:pStyle w:val="style0"/>
        <w:spacing w:before="240" w:after="240"/>
        <w:jc w:val="both"/>
        <w:rPr/>
      </w:pPr>
      <w:r>
        <w:rPr>
          <w:rFonts w:ascii="Times New Roman" w:cs="Times New Roman" w:eastAsia="Times New Roman" w:hAnsi="Times New Roman"/>
          <w:sz w:val="20"/>
          <w:szCs w:val="20"/>
        </w:rPr>
        <w:t xml:space="preserve">Edu = Education </w:t>
      </w:r>
    </w:p>
    <w:p>
      <w:pPr>
        <w:pStyle w:val="style0"/>
        <w:spacing w:before="240" w:after="240"/>
        <w:jc w:val="both"/>
        <w:rPr/>
      </w:pPr>
      <w:r>
        <w:rPr>
          <w:rFonts w:ascii="Times New Roman" w:cs="Times New Roman" w:eastAsia="Times New Roman" w:hAnsi="Times New Roman"/>
          <w:sz w:val="20"/>
          <w:szCs w:val="20"/>
        </w:rPr>
        <w:t>Gend</w:t>
      </w:r>
      <w:r>
        <w:rPr>
          <w:rFonts w:ascii="Times New Roman" w:cs="Times New Roman" w:eastAsia="Times New Roman" w:hAnsi="Times New Roman"/>
          <w:sz w:val="20"/>
          <w:szCs w:val="20"/>
        </w:rPr>
        <w:t xml:space="preserve"> = Gender </w:t>
      </w:r>
    </w:p>
    <w:p>
      <w:pPr>
        <w:pStyle w:val="style0"/>
        <w:spacing w:before="240" w:after="240"/>
        <w:jc w:val="both"/>
        <w:rPr/>
      </w:pPr>
      <w:r>
        <w:rPr>
          <w:rFonts w:ascii="Times New Roman" w:cs="Times New Roman" w:eastAsia="Times New Roman" w:hAnsi="Times New Roman"/>
          <w:sz w:val="20"/>
          <w:szCs w:val="20"/>
        </w:rPr>
        <w:t xml:space="preserve">ε = Error term </w:t>
      </w:r>
    </w:p>
    <w:p>
      <w:pPr>
        <w:pStyle w:val="style0"/>
        <w:spacing w:before="240" w:after="240"/>
        <w:jc w:val="both"/>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 xml:space="preserve">3.3 Variable Definitions and Justification </w:t>
      </w:r>
    </w:p>
    <w:p>
      <w:pPr>
        <w:pStyle w:val="style179"/>
        <w:numPr>
          <w:ilvl w:val="0"/>
          <w:numId w:val="8"/>
        </w:numPr>
        <w:spacing w:after="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Greenwashing Perception (GWP</w:t>
      </w:r>
      <w:r>
        <w:rPr>
          <w:rFonts w:ascii="Times New Roman" w:cs="Times New Roman" w:eastAsia="Times New Roman" w:hAnsi="Times New Roman"/>
          <w:sz w:val="20"/>
          <w:szCs w:val="20"/>
        </w:rPr>
        <w:t>):</w:t>
      </w:r>
      <w:r>
        <w:rPr>
          <w:rFonts w:ascii="Times New Roman" w:cs="Times New Roman" w:eastAsia="Times New Roman" w:hAnsi="Times New Roman"/>
          <w:sz w:val="20"/>
          <w:szCs w:val="20"/>
        </w:rPr>
        <w:t xml:space="preserve"> Independent variable; measures the extent to which customers perceive </w:t>
      </w:r>
      <w:r>
        <w:rPr>
          <w:rFonts w:ascii="Times New Roman" w:cs="Times New Roman" w:eastAsia="Times New Roman" w:hAnsi="Times New Roman"/>
          <w:sz w:val="20"/>
          <w:szCs w:val="20"/>
        </w:rPr>
        <w:t>FinTech</w:t>
      </w:r>
      <w:r>
        <w:rPr>
          <w:rFonts w:ascii="Times New Roman" w:cs="Times New Roman" w:eastAsia="Times New Roman" w:hAnsi="Times New Roman"/>
          <w:sz w:val="20"/>
          <w:szCs w:val="20"/>
        </w:rPr>
        <w:t xml:space="preserve"> firms as misrepresenting their sustainability efforts.</w:t>
      </w:r>
    </w:p>
    <w:p>
      <w:pPr>
        <w:pStyle w:val="style179"/>
        <w:numPr>
          <w:ilvl w:val="0"/>
          <w:numId w:val="8"/>
        </w:numPr>
        <w:spacing w:after="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Customer Trust (CT</w:t>
      </w:r>
      <w:r>
        <w:rPr>
          <w:rFonts w:ascii="Times New Roman" w:cs="Times New Roman" w:eastAsia="Times New Roman" w:hAnsi="Times New Roman"/>
          <w:sz w:val="20"/>
          <w:szCs w:val="20"/>
        </w:rPr>
        <w:t>):</w:t>
      </w:r>
      <w:r>
        <w:rPr>
          <w:rFonts w:ascii="Times New Roman" w:cs="Times New Roman" w:eastAsia="Times New Roman" w:hAnsi="Times New Roman"/>
          <w:sz w:val="20"/>
          <w:szCs w:val="20"/>
        </w:rPr>
        <w:t xml:space="preserve"> Dependent variable; reflects users' belief in the reliability and integrity of </w:t>
      </w:r>
      <w:r>
        <w:rPr>
          <w:rFonts w:ascii="Times New Roman" w:cs="Times New Roman" w:eastAsia="Times New Roman" w:hAnsi="Times New Roman"/>
          <w:sz w:val="20"/>
          <w:szCs w:val="20"/>
        </w:rPr>
        <w:t>FinTech</w:t>
      </w:r>
      <w:r>
        <w:rPr>
          <w:rFonts w:ascii="Times New Roman" w:cs="Times New Roman" w:eastAsia="Times New Roman" w:hAnsi="Times New Roman"/>
          <w:sz w:val="20"/>
          <w:szCs w:val="20"/>
        </w:rPr>
        <w:t xml:space="preserve"> services.</w:t>
      </w:r>
    </w:p>
    <w:p>
      <w:pPr>
        <w:pStyle w:val="style179"/>
        <w:numPr>
          <w:ilvl w:val="0"/>
          <w:numId w:val="8"/>
        </w:numPr>
        <w:spacing w:after="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Customer Decision-Making (CDM</w:t>
      </w:r>
      <w:r>
        <w:rPr>
          <w:rFonts w:ascii="Times New Roman" w:cs="Times New Roman" w:eastAsia="Times New Roman" w:hAnsi="Times New Roman"/>
          <w:sz w:val="20"/>
          <w:szCs w:val="20"/>
        </w:rPr>
        <w:t>):</w:t>
      </w:r>
      <w:r>
        <w:rPr>
          <w:rFonts w:ascii="Times New Roman" w:cs="Times New Roman" w:eastAsia="Times New Roman" w:hAnsi="Times New Roman"/>
          <w:sz w:val="20"/>
          <w:szCs w:val="20"/>
        </w:rPr>
        <w:t xml:space="preserve"> Dependent variable; captures how greenwashing perception influences user choice of </w:t>
      </w:r>
      <w:r>
        <w:rPr>
          <w:rFonts w:ascii="Times New Roman" w:cs="Times New Roman" w:eastAsia="Times New Roman" w:hAnsi="Times New Roman"/>
          <w:sz w:val="20"/>
          <w:szCs w:val="20"/>
        </w:rPr>
        <w:t>FinTech</w:t>
      </w:r>
      <w:r>
        <w:rPr>
          <w:rFonts w:ascii="Times New Roman" w:cs="Times New Roman" w:eastAsia="Times New Roman" w:hAnsi="Times New Roman"/>
          <w:sz w:val="20"/>
          <w:szCs w:val="20"/>
        </w:rPr>
        <w:t xml:space="preserve"> services.</w:t>
      </w:r>
    </w:p>
    <w:p>
      <w:pPr>
        <w:pStyle w:val="style179"/>
        <w:numPr>
          <w:ilvl w:val="0"/>
          <w:numId w:val="8"/>
        </w:numPr>
        <w:spacing w:after="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Control Variables: </w:t>
      </w:r>
    </w:p>
    <w:p>
      <w:pPr>
        <w:pStyle w:val="style179"/>
        <w:numPr>
          <w:ilvl w:val="0"/>
          <w:numId w:val="7"/>
        </w:numPr>
        <w:spacing w:after="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Financial Literacy (FL): The ability of </w:t>
      </w:r>
      <w:r>
        <w:rPr>
          <w:rFonts w:ascii="Times New Roman" w:cs="Times New Roman" w:eastAsia="Times New Roman" w:hAnsi="Times New Roman"/>
          <w:sz w:val="20"/>
          <w:szCs w:val="20"/>
        </w:rPr>
        <w:t>FinTech</w:t>
      </w:r>
      <w:r>
        <w:rPr>
          <w:rFonts w:ascii="Times New Roman" w:cs="Times New Roman" w:eastAsia="Times New Roman" w:hAnsi="Times New Roman"/>
          <w:sz w:val="20"/>
          <w:szCs w:val="20"/>
        </w:rPr>
        <w:t xml:space="preserve"> users to understand and apply financial skills in using or choosing </w:t>
      </w:r>
      <w:r>
        <w:rPr>
          <w:rFonts w:ascii="Times New Roman" w:cs="Times New Roman" w:eastAsia="Times New Roman" w:hAnsi="Times New Roman"/>
          <w:sz w:val="20"/>
          <w:szCs w:val="20"/>
        </w:rPr>
        <w:t>FinTech</w:t>
      </w:r>
      <w:r>
        <w:rPr>
          <w:rFonts w:ascii="Times New Roman" w:cs="Times New Roman" w:eastAsia="Times New Roman" w:hAnsi="Times New Roman"/>
          <w:sz w:val="20"/>
          <w:szCs w:val="20"/>
        </w:rPr>
        <w:t xml:space="preserve"> services. </w:t>
      </w:r>
    </w:p>
    <w:p>
      <w:pPr>
        <w:pStyle w:val="style179"/>
        <w:numPr>
          <w:ilvl w:val="0"/>
          <w:numId w:val="7"/>
        </w:numPr>
        <w:spacing w:after="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Frequency of Use (FU): How often a customer interacts with </w:t>
      </w:r>
      <w:r>
        <w:rPr>
          <w:rFonts w:ascii="Times New Roman" w:cs="Times New Roman" w:eastAsia="Times New Roman" w:hAnsi="Times New Roman"/>
          <w:sz w:val="20"/>
          <w:szCs w:val="20"/>
        </w:rPr>
        <w:t>FinTech</w:t>
      </w:r>
      <w:r>
        <w:rPr>
          <w:rFonts w:ascii="Times New Roman" w:cs="Times New Roman" w:eastAsia="Times New Roman" w:hAnsi="Times New Roman"/>
          <w:sz w:val="20"/>
          <w:szCs w:val="20"/>
        </w:rPr>
        <w:t xml:space="preserve"> services. </w:t>
      </w:r>
    </w:p>
    <w:p>
      <w:pPr>
        <w:pStyle w:val="style179"/>
        <w:numPr>
          <w:ilvl w:val="0"/>
          <w:numId w:val="7"/>
        </w:numPr>
        <w:spacing w:after="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Education (End): The formal academic qualification of the </w:t>
      </w:r>
      <w:r>
        <w:rPr>
          <w:rFonts w:ascii="Times New Roman" w:cs="Times New Roman" w:eastAsia="Times New Roman" w:hAnsi="Times New Roman"/>
          <w:sz w:val="20"/>
          <w:szCs w:val="20"/>
        </w:rPr>
        <w:t>FinTech</w:t>
      </w:r>
      <w:r>
        <w:rPr>
          <w:rFonts w:ascii="Times New Roman" w:cs="Times New Roman" w:eastAsia="Times New Roman" w:hAnsi="Times New Roman"/>
          <w:sz w:val="20"/>
          <w:szCs w:val="20"/>
        </w:rPr>
        <w:t xml:space="preserve"> user.</w:t>
      </w:r>
    </w:p>
    <w:p>
      <w:pPr>
        <w:pStyle w:val="style179"/>
        <w:numPr>
          <w:ilvl w:val="0"/>
          <w:numId w:val="7"/>
        </w:numPr>
        <w:spacing w:after="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Gender (</w:t>
      </w:r>
      <w:r>
        <w:rPr>
          <w:rFonts w:ascii="Times New Roman" w:cs="Times New Roman" w:eastAsia="Times New Roman" w:hAnsi="Times New Roman"/>
          <w:sz w:val="20"/>
          <w:szCs w:val="20"/>
        </w:rPr>
        <w:t>Gend</w:t>
      </w:r>
      <w:r>
        <w:rPr>
          <w:rFonts w:ascii="Times New Roman" w:cs="Times New Roman" w:eastAsia="Times New Roman" w:hAnsi="Times New Roman"/>
          <w:sz w:val="20"/>
          <w:szCs w:val="20"/>
        </w:rPr>
        <w:t xml:space="preserve">): The biological gender of the </w:t>
      </w:r>
      <w:r>
        <w:rPr>
          <w:rFonts w:ascii="Times New Roman" w:cs="Times New Roman" w:eastAsia="Times New Roman" w:hAnsi="Times New Roman"/>
          <w:sz w:val="20"/>
          <w:szCs w:val="20"/>
        </w:rPr>
        <w:t>FinTech</w:t>
      </w:r>
      <w:r>
        <w:rPr>
          <w:rFonts w:ascii="Times New Roman" w:cs="Times New Roman" w:eastAsia="Times New Roman" w:hAnsi="Times New Roman"/>
          <w:sz w:val="20"/>
          <w:szCs w:val="20"/>
        </w:rPr>
        <w:t xml:space="preserve"> user.</w:t>
      </w:r>
    </w:p>
    <w:p>
      <w:pPr>
        <w:pStyle w:val="style179"/>
        <w:spacing w:after="0"/>
        <w:jc w:val="both"/>
        <w:rPr>
          <w:rFonts w:ascii="Times New Roman" w:cs="Times New Roman" w:eastAsia="Times New Roman" w:hAnsi="Times New Roman"/>
          <w:sz w:val="20"/>
          <w:szCs w:val="20"/>
        </w:rPr>
      </w:pPr>
    </w:p>
    <w:p>
      <w:pPr>
        <w:pStyle w:val="style179"/>
        <w:spacing w:after="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All variables were measured using a 5-point Likert scale, except for gender (coded dichotomously).</w:t>
      </w:r>
    </w:p>
    <w:p>
      <w:pPr>
        <w:pStyle w:val="style0"/>
        <w:spacing w:before="240" w:after="240"/>
        <w:jc w:val="both"/>
        <w:rPr>
          <w:rFonts w:ascii="Times New Roman" w:cs="Times New Roman" w:eastAsia="Times New Roman" w:hAnsi="Times New Roman"/>
          <w:b/>
          <w:bCs/>
          <w:sz w:val="20"/>
          <w:szCs w:val="20"/>
          <w:lang w:val="fr-FR"/>
        </w:rPr>
      </w:pPr>
      <w:r>
        <w:rPr>
          <w:rFonts w:ascii="Times New Roman" w:cs="Times New Roman" w:eastAsia="Times New Roman" w:hAnsi="Times New Roman"/>
          <w:b/>
          <w:bCs/>
          <w:sz w:val="20"/>
          <w:szCs w:val="20"/>
          <w:lang w:val="fr-FR"/>
        </w:rPr>
        <w:t xml:space="preserve">3.4 Estimation Technique </w:t>
      </w:r>
    </w:p>
    <w:p>
      <w:pPr>
        <w:pStyle w:val="style0"/>
        <w:spacing w:before="240" w:after="240"/>
        <w:jc w:val="both"/>
        <w:rPr/>
      </w:pPr>
      <w:r>
        <w:rPr>
          <w:rFonts w:ascii="Times New Roman" w:cs="Times New Roman" w:eastAsia="Times New Roman" w:hAnsi="Times New Roman"/>
          <w:sz w:val="20"/>
          <w:szCs w:val="20"/>
        </w:rPr>
        <w:t xml:space="preserve">The models were estimated using Ordinary Least Squares (OLS) under a hierarchical regression approach. This framework helps to assess the additional explanatory power of greenwashing perception after accounting for control variables. </w:t>
      </w:r>
    </w:p>
    <w:p>
      <w:pPr>
        <w:pStyle w:val="style0"/>
        <w:spacing w:before="240" w:after="240"/>
        <w:jc w:val="both"/>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 xml:space="preserve">3.5 Assumptions and Diagnostics </w:t>
      </w:r>
    </w:p>
    <w:p>
      <w:pPr>
        <w:pStyle w:val="style0"/>
        <w:spacing w:before="240" w:after="240"/>
        <w:jc w:val="both"/>
        <w:rPr/>
      </w:pPr>
      <w:r>
        <w:rPr>
          <w:rFonts w:ascii="Times New Roman" w:cs="Times New Roman" w:eastAsia="Times New Roman" w:hAnsi="Times New Roman"/>
          <w:sz w:val="20"/>
          <w:szCs w:val="20"/>
        </w:rPr>
        <w:t xml:space="preserve">A </w:t>
      </w:r>
      <w:r>
        <w:rPr>
          <w:rFonts w:ascii="Times New Roman" w:cs="Times New Roman" w:eastAsia="Times New Roman" w:hAnsi="Times New Roman"/>
          <w:sz w:val="20"/>
          <w:szCs w:val="20"/>
        </w:rPr>
        <w:t>multicollinearity</w:t>
      </w:r>
      <w:r>
        <w:rPr>
          <w:rFonts w:ascii="Times New Roman" w:cs="Times New Roman" w:eastAsia="Times New Roman" w:hAnsi="Times New Roman"/>
          <w:sz w:val="20"/>
          <w:szCs w:val="20"/>
        </w:rPr>
        <w:t xml:space="preserve"> test was conducted to examine the tolerance levels and variance inflation factors (VIF) among the variables, </w:t>
      </w:r>
      <w:r>
        <w:rPr>
          <w:rFonts w:ascii="Times New Roman" w:cs="Times New Roman" w:eastAsia="Times New Roman" w:hAnsi="Times New Roman"/>
          <w:sz w:val="20"/>
          <w:szCs w:val="20"/>
        </w:rPr>
        <w:t>ensuring</w:t>
      </w:r>
      <w:r>
        <w:rPr>
          <w:rFonts w:ascii="Times New Roman" w:cs="Times New Roman" w:eastAsia="Times New Roman" w:hAnsi="Times New Roman"/>
          <w:sz w:val="20"/>
          <w:szCs w:val="20"/>
        </w:rPr>
        <w:t xml:space="preserve"> the absence of </w:t>
      </w:r>
      <w:r>
        <w:rPr>
          <w:rFonts w:ascii="Times New Roman" w:cs="Times New Roman" w:eastAsia="Times New Roman" w:hAnsi="Times New Roman"/>
          <w:sz w:val="20"/>
          <w:szCs w:val="20"/>
        </w:rPr>
        <w:t>multicollinearity</w:t>
      </w:r>
      <w:r>
        <w:rPr>
          <w:rFonts w:ascii="Times New Roman" w:cs="Times New Roman" w:eastAsia="Times New Roman" w:hAnsi="Times New Roman"/>
          <w:sz w:val="20"/>
          <w:szCs w:val="20"/>
        </w:rPr>
        <w:t>. VIF values below 5 were considered acceptable.</w:t>
      </w:r>
    </w:p>
    <w:p>
      <w:pPr>
        <w:pStyle w:val="style0"/>
        <w:spacing w:before="240" w:after="240"/>
        <w:jc w:val="both"/>
        <w:rPr>
          <w:rFonts w:ascii="Times New Roman" w:cs="Times New Roman" w:eastAsia="Times New Roman" w:hAnsi="Times New Roman"/>
          <w:b/>
          <w:bCs/>
        </w:rPr>
      </w:pPr>
      <w:r>
        <w:rPr>
          <w:rFonts w:ascii="Times New Roman" w:cs="Times New Roman" w:eastAsia="Times New Roman" w:hAnsi="Times New Roman"/>
          <w:b/>
          <w:bCs/>
        </w:rPr>
        <w:t xml:space="preserve">4. </w:t>
      </w:r>
      <w:r>
        <w:rPr>
          <w:rFonts w:ascii="Times New Roman" w:cs="Times New Roman" w:eastAsia="Times New Roman" w:hAnsi="Times New Roman"/>
          <w:b/>
          <w:bCs/>
        </w:rPr>
        <w:t>R</w:t>
      </w:r>
      <w:r>
        <w:rPr>
          <w:rFonts w:ascii="Times New Roman" w:cs="Times New Roman" w:eastAsia="Times New Roman" w:hAnsi="Times New Roman"/>
          <w:b/>
          <w:bCs/>
        </w:rPr>
        <w:t>ESULTS</w:t>
      </w:r>
      <w:r>
        <w:rPr>
          <w:rFonts w:ascii="Times New Roman" w:cs="Times New Roman" w:eastAsia="Times New Roman" w:hAnsi="Times New Roman"/>
          <w:b/>
          <w:bCs/>
        </w:rPr>
        <w:t xml:space="preserve"> A</w:t>
      </w:r>
      <w:r>
        <w:rPr>
          <w:rFonts w:ascii="Times New Roman" w:cs="Times New Roman" w:eastAsia="Times New Roman" w:hAnsi="Times New Roman"/>
          <w:b/>
          <w:bCs/>
        </w:rPr>
        <w:t>ND</w:t>
      </w:r>
      <w:r>
        <w:rPr>
          <w:rFonts w:ascii="Times New Roman" w:cs="Times New Roman" w:eastAsia="Times New Roman" w:hAnsi="Times New Roman"/>
          <w:b/>
          <w:bCs/>
        </w:rPr>
        <w:t xml:space="preserve"> D</w:t>
      </w:r>
      <w:r>
        <w:rPr>
          <w:rFonts w:ascii="Times New Roman" w:cs="Times New Roman" w:eastAsia="Times New Roman" w:hAnsi="Times New Roman"/>
          <w:b/>
          <w:bCs/>
        </w:rPr>
        <w:t>ISCUSSIONS</w:t>
      </w:r>
    </w:p>
    <w:p>
      <w:pPr>
        <w:pStyle w:val="style0"/>
        <w:spacing w:before="240" w:after="24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This section contains the results of the data analysis and the implications of the results. The components of the analysis consist of the reliability test, descriptive statistics, correlation analysis, </w:t>
      </w:r>
      <w:r>
        <w:rPr>
          <w:rFonts w:ascii="Times New Roman" w:cs="Times New Roman" w:eastAsia="Times New Roman" w:hAnsi="Times New Roman"/>
          <w:sz w:val="20"/>
          <w:szCs w:val="20"/>
        </w:rPr>
        <w:t>multicollinearity</w:t>
      </w:r>
      <w:r>
        <w:rPr>
          <w:rFonts w:ascii="Times New Roman" w:cs="Times New Roman" w:eastAsia="Times New Roman" w:hAnsi="Times New Roman"/>
          <w:sz w:val="20"/>
          <w:szCs w:val="20"/>
        </w:rPr>
        <w:t xml:space="preserve"> test, and hierarchical regression analysis.</w:t>
      </w:r>
    </w:p>
    <w:p>
      <w:pPr>
        <w:pStyle w:val="style0"/>
        <w:spacing w:before="240" w:after="240"/>
        <w:jc w:val="both"/>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 xml:space="preserve">4.1 </w:t>
      </w:r>
      <w:r>
        <w:rPr>
          <w:rFonts w:ascii="Times New Roman" w:cs="Times New Roman" w:eastAsia="Times New Roman" w:hAnsi="Times New Roman"/>
          <w:b/>
          <w:bCs/>
          <w:sz w:val="20"/>
          <w:szCs w:val="20"/>
        </w:rPr>
        <w:t xml:space="preserve">Table 1: </w:t>
      </w:r>
      <w:r>
        <w:rPr>
          <w:rFonts w:ascii="Times New Roman" w:cs="Times New Roman" w:eastAsia="Times New Roman" w:hAnsi="Times New Roman"/>
          <w:b/>
          <w:bCs/>
          <w:sz w:val="20"/>
          <w:szCs w:val="20"/>
        </w:rPr>
        <w:t>Reliability Test</w:t>
      </w:r>
    </w:p>
    <w:tbl>
      <w:tblPr>
        <w:tblStyle w:val="style4110"/>
        <w:tblW w:w="0" w:type="auto"/>
        <w:tblLayout w:type="fixed"/>
        <w:tblLook w:val="06A0" w:firstRow="1" w:lastRow="0" w:firstColumn="1" w:lastColumn="0" w:noHBand="1" w:noVBand="1"/>
      </w:tblPr>
      <w:tblGrid>
        <w:gridCol w:w="2340"/>
        <w:gridCol w:w="2340"/>
        <w:gridCol w:w="2340"/>
        <w:gridCol w:w="2430"/>
      </w:tblGrid>
      <w:tr>
        <w:trPr>
          <w:trHeight w:val="300" w:hRule="atLeast"/>
        </w:trPr>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Construct</w:t>
            </w: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Items</w:t>
            </w: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Cronbach’s Alpha</w:t>
            </w:r>
          </w:p>
        </w:tc>
        <w:tc>
          <w:tcPr>
            <w:tcW w:w="243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Overall</w:t>
            </w:r>
            <w:r>
              <w:rPr>
                <w:rFonts w:ascii="Times New Roman" w:cs="Times New Roman" w:eastAsia="Times New Roman" w:hAnsi="Times New Roman"/>
                <w:sz w:val="20"/>
                <w:szCs w:val="20"/>
              </w:rPr>
              <w:t xml:space="preserve"> Cronbach’s Alpha</w:t>
            </w:r>
          </w:p>
        </w:tc>
      </w:tr>
      <w:tr>
        <w:tblPrEx/>
        <w:trPr>
          <w:trHeight w:val="300" w:hRule="atLeast"/>
        </w:trPr>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GWP</w:t>
            </w: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GWP1</w:t>
            </w: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.81</w:t>
            </w:r>
            <w:r>
              <w:rPr>
                <w:rFonts w:ascii="Times New Roman" w:cs="Times New Roman" w:eastAsia="Times New Roman" w:hAnsi="Times New Roman"/>
                <w:sz w:val="20"/>
                <w:szCs w:val="20"/>
              </w:rPr>
              <w:t>1</w:t>
            </w:r>
          </w:p>
        </w:tc>
        <w:tc>
          <w:tcPr>
            <w:tcW w:w="2430" w:type="dxa"/>
            <w:tcBorders/>
          </w:tcPr>
          <w:p>
            <w:pPr>
              <w:pStyle w:val="style0"/>
              <w:rPr>
                <w:rFonts w:ascii="Times New Roman" w:cs="Times New Roman" w:eastAsia="Times New Roman" w:hAnsi="Times New Roman"/>
                <w:sz w:val="20"/>
                <w:szCs w:val="20"/>
              </w:rPr>
            </w:pPr>
          </w:p>
        </w:tc>
      </w:tr>
      <w:tr>
        <w:tblPrEx/>
        <w:trPr>
          <w:trHeight w:val="300" w:hRule="atLeast"/>
        </w:trPr>
        <w:tc>
          <w:tcPr>
            <w:tcW w:w="2340" w:type="dxa"/>
            <w:tcBorders/>
          </w:tcPr>
          <w:p>
            <w:pPr>
              <w:pStyle w:val="style0"/>
              <w:rPr>
                <w:rFonts w:ascii="Times New Roman" w:cs="Times New Roman" w:eastAsia="Times New Roman" w:hAnsi="Times New Roman"/>
                <w:sz w:val="20"/>
                <w:szCs w:val="20"/>
              </w:rPr>
            </w:pP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GWP2</w:t>
            </w: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.80</w:t>
            </w:r>
            <w:r>
              <w:rPr>
                <w:rFonts w:ascii="Times New Roman" w:cs="Times New Roman" w:eastAsia="Times New Roman" w:hAnsi="Times New Roman"/>
                <w:sz w:val="20"/>
                <w:szCs w:val="20"/>
              </w:rPr>
              <w:t>3</w:t>
            </w:r>
          </w:p>
        </w:tc>
        <w:tc>
          <w:tcPr>
            <w:tcW w:w="2430" w:type="dxa"/>
            <w:tcBorders/>
          </w:tcPr>
          <w:p>
            <w:pPr>
              <w:pStyle w:val="style0"/>
              <w:rPr>
                <w:rFonts w:ascii="Times New Roman" w:cs="Times New Roman" w:eastAsia="Times New Roman" w:hAnsi="Times New Roman"/>
                <w:sz w:val="20"/>
                <w:szCs w:val="20"/>
              </w:rPr>
            </w:pPr>
          </w:p>
        </w:tc>
      </w:tr>
      <w:tr>
        <w:tblPrEx/>
        <w:trPr>
          <w:trHeight w:val="300" w:hRule="atLeast"/>
        </w:trPr>
        <w:tc>
          <w:tcPr>
            <w:tcW w:w="2340" w:type="dxa"/>
            <w:tcBorders/>
          </w:tcPr>
          <w:p>
            <w:pPr>
              <w:pStyle w:val="style0"/>
              <w:rPr>
                <w:rFonts w:ascii="Times New Roman" w:cs="Times New Roman" w:eastAsia="Times New Roman" w:hAnsi="Times New Roman"/>
                <w:sz w:val="20"/>
                <w:szCs w:val="20"/>
              </w:rPr>
            </w:pP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GWP3</w:t>
            </w: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.8</w:t>
            </w:r>
            <w:r>
              <w:rPr>
                <w:rFonts w:ascii="Times New Roman" w:cs="Times New Roman" w:eastAsia="Times New Roman" w:hAnsi="Times New Roman"/>
                <w:sz w:val="20"/>
                <w:szCs w:val="20"/>
              </w:rPr>
              <w:t>1</w:t>
            </w:r>
            <w:r>
              <w:rPr>
                <w:rFonts w:ascii="Times New Roman" w:cs="Times New Roman" w:eastAsia="Times New Roman" w:hAnsi="Times New Roman"/>
                <w:sz w:val="20"/>
                <w:szCs w:val="20"/>
              </w:rPr>
              <w:t>7</w:t>
            </w:r>
          </w:p>
        </w:tc>
        <w:tc>
          <w:tcPr>
            <w:tcW w:w="2430" w:type="dxa"/>
            <w:tcBorders/>
          </w:tcPr>
          <w:p>
            <w:pPr>
              <w:pStyle w:val="style0"/>
              <w:rPr>
                <w:rFonts w:ascii="Times New Roman" w:cs="Times New Roman" w:eastAsia="Times New Roman" w:hAnsi="Times New Roman"/>
                <w:sz w:val="20"/>
                <w:szCs w:val="20"/>
              </w:rPr>
            </w:pPr>
          </w:p>
        </w:tc>
      </w:tr>
      <w:tr>
        <w:tblPrEx/>
        <w:trPr>
          <w:trHeight w:val="300" w:hRule="atLeast"/>
        </w:trPr>
        <w:tc>
          <w:tcPr>
            <w:tcW w:w="2340" w:type="dxa"/>
            <w:tcBorders/>
          </w:tcPr>
          <w:p>
            <w:pPr>
              <w:pStyle w:val="style0"/>
              <w:rPr>
                <w:rFonts w:ascii="Times New Roman" w:cs="Times New Roman" w:eastAsia="Times New Roman" w:hAnsi="Times New Roman"/>
                <w:sz w:val="20"/>
                <w:szCs w:val="20"/>
              </w:rPr>
            </w:pP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GWP4</w:t>
            </w: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w:t>
            </w:r>
            <w:r>
              <w:rPr>
                <w:rFonts w:ascii="Times New Roman" w:cs="Times New Roman" w:eastAsia="Times New Roman" w:hAnsi="Times New Roman"/>
                <w:sz w:val="20"/>
                <w:szCs w:val="20"/>
              </w:rPr>
              <w:t>82</w:t>
            </w:r>
            <w:r>
              <w:rPr>
                <w:rFonts w:ascii="Times New Roman" w:cs="Times New Roman" w:eastAsia="Times New Roman" w:hAnsi="Times New Roman"/>
                <w:sz w:val="20"/>
                <w:szCs w:val="20"/>
              </w:rPr>
              <w:t>0</w:t>
            </w:r>
          </w:p>
        </w:tc>
        <w:tc>
          <w:tcPr>
            <w:tcW w:w="2430" w:type="dxa"/>
            <w:tcBorders/>
          </w:tcPr>
          <w:p>
            <w:pPr>
              <w:pStyle w:val="style0"/>
              <w:rPr>
                <w:rFonts w:ascii="Times New Roman" w:cs="Times New Roman" w:eastAsia="Times New Roman" w:hAnsi="Times New Roman"/>
                <w:sz w:val="20"/>
                <w:szCs w:val="20"/>
              </w:rPr>
            </w:pPr>
          </w:p>
        </w:tc>
      </w:tr>
      <w:tr>
        <w:tblPrEx/>
        <w:trPr>
          <w:trHeight w:val="300" w:hRule="atLeast"/>
        </w:trPr>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CT</w:t>
            </w: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CT1</w:t>
            </w: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.87</w:t>
            </w:r>
            <w:r>
              <w:rPr>
                <w:rFonts w:ascii="Times New Roman" w:cs="Times New Roman" w:eastAsia="Times New Roman" w:hAnsi="Times New Roman"/>
                <w:sz w:val="20"/>
                <w:szCs w:val="20"/>
              </w:rPr>
              <w:t>3</w:t>
            </w:r>
          </w:p>
        </w:tc>
        <w:tc>
          <w:tcPr>
            <w:tcW w:w="2430" w:type="dxa"/>
            <w:tcBorders/>
          </w:tcPr>
          <w:p>
            <w:pPr>
              <w:pStyle w:val="style0"/>
              <w:rPr>
                <w:rFonts w:ascii="Times New Roman" w:cs="Times New Roman" w:eastAsia="Times New Roman" w:hAnsi="Times New Roman"/>
                <w:sz w:val="20"/>
                <w:szCs w:val="20"/>
              </w:rPr>
            </w:pPr>
          </w:p>
        </w:tc>
      </w:tr>
      <w:tr>
        <w:tblPrEx/>
        <w:trPr>
          <w:trHeight w:val="300" w:hRule="atLeast"/>
        </w:trPr>
        <w:tc>
          <w:tcPr>
            <w:tcW w:w="2340" w:type="dxa"/>
            <w:tcBorders/>
          </w:tcPr>
          <w:p>
            <w:pPr>
              <w:pStyle w:val="style0"/>
              <w:rPr>
                <w:rFonts w:ascii="Times New Roman" w:cs="Times New Roman" w:eastAsia="Times New Roman" w:hAnsi="Times New Roman"/>
                <w:sz w:val="20"/>
                <w:szCs w:val="20"/>
              </w:rPr>
            </w:pP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CT2</w:t>
            </w: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.79</w:t>
            </w:r>
            <w:r>
              <w:rPr>
                <w:rFonts w:ascii="Times New Roman" w:cs="Times New Roman" w:eastAsia="Times New Roman" w:hAnsi="Times New Roman"/>
                <w:sz w:val="20"/>
                <w:szCs w:val="20"/>
              </w:rPr>
              <w:t>6</w:t>
            </w:r>
          </w:p>
        </w:tc>
        <w:tc>
          <w:tcPr>
            <w:tcW w:w="2430" w:type="dxa"/>
            <w:tcBorders/>
          </w:tcPr>
          <w:p>
            <w:pPr>
              <w:pStyle w:val="style0"/>
              <w:rPr>
                <w:rFonts w:ascii="Times New Roman" w:cs="Times New Roman" w:eastAsia="Times New Roman" w:hAnsi="Times New Roman"/>
                <w:sz w:val="20"/>
                <w:szCs w:val="20"/>
              </w:rPr>
            </w:pPr>
          </w:p>
        </w:tc>
      </w:tr>
      <w:tr>
        <w:tblPrEx/>
        <w:trPr>
          <w:trHeight w:val="300" w:hRule="atLeast"/>
        </w:trPr>
        <w:tc>
          <w:tcPr>
            <w:tcW w:w="2340" w:type="dxa"/>
            <w:tcBorders/>
          </w:tcPr>
          <w:p>
            <w:pPr>
              <w:pStyle w:val="style0"/>
              <w:rPr>
                <w:rFonts w:ascii="Times New Roman" w:cs="Times New Roman" w:eastAsia="Times New Roman" w:hAnsi="Times New Roman"/>
                <w:sz w:val="20"/>
                <w:szCs w:val="20"/>
              </w:rPr>
            </w:pP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CT3</w:t>
            </w: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.79</w:t>
            </w:r>
            <w:r>
              <w:rPr>
                <w:rFonts w:ascii="Times New Roman" w:cs="Times New Roman" w:eastAsia="Times New Roman" w:hAnsi="Times New Roman"/>
                <w:sz w:val="20"/>
                <w:szCs w:val="20"/>
              </w:rPr>
              <w:t>4</w:t>
            </w:r>
          </w:p>
        </w:tc>
        <w:tc>
          <w:tcPr>
            <w:tcW w:w="2430" w:type="dxa"/>
            <w:tcBorders/>
          </w:tcPr>
          <w:p>
            <w:pPr>
              <w:pStyle w:val="style0"/>
              <w:rPr>
                <w:rFonts w:ascii="Times New Roman" w:cs="Times New Roman" w:eastAsia="Times New Roman" w:hAnsi="Times New Roman"/>
                <w:sz w:val="20"/>
                <w:szCs w:val="20"/>
              </w:rPr>
            </w:pPr>
          </w:p>
        </w:tc>
      </w:tr>
      <w:tr>
        <w:tblPrEx/>
        <w:trPr>
          <w:trHeight w:val="300" w:hRule="atLeast"/>
        </w:trPr>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CDM</w:t>
            </w: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CDM1</w:t>
            </w: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.80</w:t>
            </w:r>
            <w:r>
              <w:rPr>
                <w:rFonts w:ascii="Times New Roman" w:cs="Times New Roman" w:eastAsia="Times New Roman" w:hAnsi="Times New Roman"/>
                <w:sz w:val="20"/>
                <w:szCs w:val="20"/>
              </w:rPr>
              <w:t>8</w:t>
            </w:r>
          </w:p>
        </w:tc>
        <w:tc>
          <w:tcPr>
            <w:tcW w:w="2430" w:type="dxa"/>
            <w:tcBorders/>
          </w:tcPr>
          <w:p>
            <w:pPr>
              <w:pStyle w:val="style0"/>
              <w:rPr>
                <w:rFonts w:ascii="Times New Roman" w:cs="Times New Roman" w:eastAsia="Times New Roman" w:hAnsi="Times New Roman"/>
                <w:sz w:val="20"/>
                <w:szCs w:val="20"/>
              </w:rPr>
            </w:pPr>
          </w:p>
        </w:tc>
      </w:tr>
      <w:tr>
        <w:tblPrEx/>
        <w:trPr>
          <w:trHeight w:val="300" w:hRule="atLeast"/>
        </w:trPr>
        <w:tc>
          <w:tcPr>
            <w:tcW w:w="2340" w:type="dxa"/>
            <w:tcBorders/>
          </w:tcPr>
          <w:p>
            <w:pPr>
              <w:pStyle w:val="style0"/>
              <w:rPr>
                <w:rFonts w:ascii="Times New Roman" w:cs="Times New Roman" w:eastAsia="Times New Roman" w:hAnsi="Times New Roman"/>
                <w:sz w:val="20"/>
                <w:szCs w:val="20"/>
              </w:rPr>
            </w:pP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CDM2</w:t>
            </w: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.80</w:t>
            </w:r>
            <w:r>
              <w:rPr>
                <w:rFonts w:ascii="Times New Roman" w:cs="Times New Roman" w:eastAsia="Times New Roman" w:hAnsi="Times New Roman"/>
                <w:sz w:val="20"/>
                <w:szCs w:val="20"/>
              </w:rPr>
              <w:t>2</w:t>
            </w:r>
          </w:p>
        </w:tc>
        <w:tc>
          <w:tcPr>
            <w:tcW w:w="2430" w:type="dxa"/>
            <w:tcBorders/>
          </w:tcPr>
          <w:p>
            <w:pPr>
              <w:pStyle w:val="style0"/>
              <w:rPr>
                <w:rFonts w:ascii="Times New Roman" w:cs="Times New Roman" w:eastAsia="Times New Roman" w:hAnsi="Times New Roman"/>
                <w:sz w:val="20"/>
                <w:szCs w:val="20"/>
              </w:rPr>
            </w:pPr>
          </w:p>
        </w:tc>
      </w:tr>
      <w:tr>
        <w:tblPrEx/>
        <w:trPr>
          <w:trHeight w:val="300" w:hRule="atLeast"/>
        </w:trPr>
        <w:tc>
          <w:tcPr>
            <w:tcW w:w="2340" w:type="dxa"/>
            <w:tcBorders/>
          </w:tcPr>
          <w:p>
            <w:pPr>
              <w:pStyle w:val="style0"/>
              <w:rPr>
                <w:rFonts w:ascii="Times New Roman" w:cs="Times New Roman" w:eastAsia="Times New Roman" w:hAnsi="Times New Roman"/>
                <w:sz w:val="20"/>
                <w:szCs w:val="20"/>
              </w:rPr>
            </w:pP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CDM3</w:t>
            </w: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.80</w:t>
            </w:r>
            <w:r>
              <w:rPr>
                <w:rFonts w:ascii="Times New Roman" w:cs="Times New Roman" w:eastAsia="Times New Roman" w:hAnsi="Times New Roman"/>
                <w:sz w:val="20"/>
                <w:szCs w:val="20"/>
              </w:rPr>
              <w:t>8</w:t>
            </w:r>
          </w:p>
        </w:tc>
        <w:tc>
          <w:tcPr>
            <w:tcW w:w="2430" w:type="dxa"/>
            <w:tcBorders/>
          </w:tcPr>
          <w:p>
            <w:pPr>
              <w:pStyle w:val="style0"/>
              <w:rPr>
                <w:rFonts w:ascii="Times New Roman" w:cs="Times New Roman" w:eastAsia="Times New Roman" w:hAnsi="Times New Roman"/>
                <w:sz w:val="20"/>
                <w:szCs w:val="20"/>
              </w:rPr>
            </w:pPr>
          </w:p>
        </w:tc>
      </w:tr>
      <w:tr>
        <w:tblPrEx/>
        <w:trPr>
          <w:trHeight w:val="300" w:hRule="atLeast"/>
        </w:trPr>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Overall CA</w:t>
            </w:r>
          </w:p>
        </w:tc>
        <w:tc>
          <w:tcPr>
            <w:tcW w:w="2340" w:type="dxa"/>
            <w:tcBorders/>
          </w:tcPr>
          <w:p>
            <w:pPr>
              <w:pStyle w:val="style0"/>
              <w:rPr>
                <w:rFonts w:ascii="Times New Roman" w:cs="Times New Roman" w:eastAsia="Times New Roman" w:hAnsi="Times New Roman"/>
                <w:sz w:val="20"/>
                <w:szCs w:val="20"/>
              </w:rPr>
            </w:pPr>
          </w:p>
        </w:tc>
        <w:tc>
          <w:tcPr>
            <w:tcW w:w="2340" w:type="dxa"/>
            <w:tcBorders/>
          </w:tcPr>
          <w:p>
            <w:pPr>
              <w:pStyle w:val="style0"/>
              <w:rPr>
                <w:rFonts w:ascii="Times New Roman" w:cs="Times New Roman" w:eastAsia="Times New Roman" w:hAnsi="Times New Roman"/>
                <w:sz w:val="20"/>
                <w:szCs w:val="20"/>
              </w:rPr>
            </w:pPr>
          </w:p>
        </w:tc>
        <w:tc>
          <w:tcPr>
            <w:tcW w:w="243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.83</w:t>
            </w:r>
            <w:r>
              <w:rPr>
                <w:rFonts w:ascii="Times New Roman" w:cs="Times New Roman" w:eastAsia="Times New Roman" w:hAnsi="Times New Roman"/>
                <w:sz w:val="20"/>
                <w:szCs w:val="20"/>
              </w:rPr>
              <w:t>1</w:t>
            </w:r>
          </w:p>
        </w:tc>
      </w:tr>
    </w:tbl>
    <w:p>
      <w:pPr>
        <w:pStyle w:val="style0"/>
        <w:jc w:val="both"/>
        <w:rPr>
          <w:rFonts w:ascii="Times New Roman" w:cs="Times New Roman" w:eastAsia="Times New Roman" w:hAnsi="Times New Roman"/>
          <w:sz w:val="20"/>
          <w:szCs w:val="20"/>
          <w:lang w:val="fr-FR"/>
        </w:rPr>
      </w:pPr>
      <w:r>
        <w:rPr>
          <w:rFonts w:ascii="Times New Roman" w:cs="Times New Roman" w:eastAsia="Times New Roman" w:hAnsi="Times New Roman"/>
          <w:sz w:val="20"/>
          <w:szCs w:val="20"/>
          <w:lang w:val="fr-FR"/>
        </w:rPr>
        <w:t>Source : SPSS Version 29</w:t>
      </w:r>
    </w:p>
    <w:p>
      <w:pPr>
        <w:pStyle w:val="style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The reliability analysis was conducted using Cronbach’s Alpha. All constructs showed values above the recommended </w:t>
      </w:r>
      <w:r>
        <w:rPr>
          <w:rFonts w:ascii="Times New Roman" w:cs="Times New Roman" w:eastAsia="Times New Roman" w:hAnsi="Times New Roman"/>
          <w:sz w:val="20"/>
          <w:szCs w:val="20"/>
        </w:rPr>
        <w:t>boundary</w:t>
      </w:r>
      <w:r>
        <w:rPr>
          <w:rFonts w:ascii="Times New Roman" w:cs="Times New Roman" w:eastAsia="Times New Roman" w:hAnsi="Times New Roman"/>
          <w:sz w:val="20"/>
          <w:szCs w:val="20"/>
        </w:rPr>
        <w:t xml:space="preserve"> of 0.70, indicating strong internal consistency. The overall reliability is 0.83, which is good and falls within the acceptable level of Cronbach's alpha. This indicates the internal consistency and credibility of the test items and collectively measuring the same construct.  </w:t>
      </w:r>
    </w:p>
    <w:p>
      <w:pPr>
        <w:pStyle w:val="style0"/>
        <w:jc w:val="both"/>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4.2 Table 2: Descriptive Statistics</w:t>
      </w:r>
    </w:p>
    <w:tbl>
      <w:tblPr>
        <w:tblStyle w:val="style4110"/>
        <w:tblW w:w="0" w:type="auto"/>
        <w:tblLayout w:type="fixed"/>
        <w:tblLook w:val="06A0" w:firstRow="1" w:lastRow="0" w:firstColumn="1" w:lastColumn="0" w:noHBand="1" w:noVBand="1"/>
      </w:tblPr>
      <w:tblGrid>
        <w:gridCol w:w="1560"/>
        <w:gridCol w:w="1560"/>
        <w:gridCol w:w="1560"/>
        <w:gridCol w:w="1560"/>
        <w:gridCol w:w="1560"/>
        <w:gridCol w:w="1665"/>
      </w:tblGrid>
      <w:tr>
        <w:trPr>
          <w:trHeight w:val="300" w:hRule="atLeast"/>
        </w:trPr>
        <w:tc>
          <w:tcPr>
            <w:tcW w:w="156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Construct</w:t>
            </w:r>
          </w:p>
        </w:tc>
        <w:tc>
          <w:tcPr>
            <w:tcW w:w="156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Items</w:t>
            </w:r>
          </w:p>
        </w:tc>
        <w:tc>
          <w:tcPr>
            <w:tcW w:w="156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Minimum</w:t>
            </w:r>
          </w:p>
        </w:tc>
        <w:tc>
          <w:tcPr>
            <w:tcW w:w="156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Maximum</w:t>
            </w:r>
          </w:p>
        </w:tc>
        <w:tc>
          <w:tcPr>
            <w:tcW w:w="156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Mean</w:t>
            </w:r>
          </w:p>
        </w:tc>
        <w:tc>
          <w:tcPr>
            <w:tcW w:w="1665"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Standard Deviation</w:t>
            </w:r>
          </w:p>
        </w:tc>
      </w:tr>
      <w:tr>
        <w:tblPrEx/>
        <w:trPr>
          <w:trHeight w:val="300" w:hRule="atLeast"/>
        </w:trPr>
        <w:tc>
          <w:tcPr>
            <w:tcW w:w="156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GWP</w:t>
            </w:r>
          </w:p>
        </w:tc>
        <w:tc>
          <w:tcPr>
            <w:tcW w:w="156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GWP1</w:t>
            </w:r>
          </w:p>
        </w:tc>
        <w:tc>
          <w:tcPr>
            <w:tcW w:w="156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1</w:t>
            </w:r>
          </w:p>
        </w:tc>
        <w:tc>
          <w:tcPr>
            <w:tcW w:w="156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5</w:t>
            </w:r>
          </w:p>
        </w:tc>
        <w:tc>
          <w:tcPr>
            <w:tcW w:w="156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3.43</w:t>
            </w:r>
          </w:p>
        </w:tc>
        <w:tc>
          <w:tcPr>
            <w:tcW w:w="1665"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1.012</w:t>
            </w:r>
          </w:p>
        </w:tc>
      </w:tr>
      <w:tr>
        <w:tblPrEx/>
        <w:trPr>
          <w:trHeight w:val="300" w:hRule="atLeast"/>
        </w:trPr>
        <w:tc>
          <w:tcPr>
            <w:tcW w:w="1560" w:type="dxa"/>
            <w:tcBorders/>
          </w:tcPr>
          <w:p>
            <w:pPr>
              <w:pStyle w:val="style0"/>
              <w:rPr>
                <w:rFonts w:ascii="Times New Roman" w:cs="Times New Roman" w:eastAsia="Times New Roman" w:hAnsi="Times New Roman"/>
                <w:sz w:val="20"/>
                <w:szCs w:val="20"/>
              </w:rPr>
            </w:pPr>
          </w:p>
        </w:tc>
        <w:tc>
          <w:tcPr>
            <w:tcW w:w="156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GWP2</w:t>
            </w:r>
          </w:p>
        </w:tc>
        <w:tc>
          <w:tcPr>
            <w:tcW w:w="156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1</w:t>
            </w:r>
          </w:p>
        </w:tc>
        <w:tc>
          <w:tcPr>
            <w:tcW w:w="156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5</w:t>
            </w:r>
          </w:p>
        </w:tc>
        <w:tc>
          <w:tcPr>
            <w:tcW w:w="156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3.59</w:t>
            </w:r>
          </w:p>
        </w:tc>
        <w:tc>
          <w:tcPr>
            <w:tcW w:w="1665"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.928</w:t>
            </w:r>
          </w:p>
        </w:tc>
      </w:tr>
      <w:tr>
        <w:tblPrEx/>
        <w:trPr>
          <w:trHeight w:val="300" w:hRule="atLeast"/>
        </w:trPr>
        <w:tc>
          <w:tcPr>
            <w:tcW w:w="1560" w:type="dxa"/>
            <w:tcBorders/>
          </w:tcPr>
          <w:p>
            <w:pPr>
              <w:pStyle w:val="style0"/>
              <w:rPr>
                <w:rFonts w:ascii="Times New Roman" w:cs="Times New Roman" w:eastAsia="Times New Roman" w:hAnsi="Times New Roman"/>
                <w:sz w:val="20"/>
                <w:szCs w:val="20"/>
              </w:rPr>
            </w:pPr>
          </w:p>
        </w:tc>
        <w:tc>
          <w:tcPr>
            <w:tcW w:w="156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GWP3</w:t>
            </w:r>
          </w:p>
        </w:tc>
        <w:tc>
          <w:tcPr>
            <w:tcW w:w="156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1</w:t>
            </w:r>
          </w:p>
        </w:tc>
        <w:tc>
          <w:tcPr>
            <w:tcW w:w="156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5</w:t>
            </w:r>
          </w:p>
        </w:tc>
        <w:tc>
          <w:tcPr>
            <w:tcW w:w="156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3.59</w:t>
            </w:r>
          </w:p>
        </w:tc>
        <w:tc>
          <w:tcPr>
            <w:tcW w:w="1665"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.913</w:t>
            </w:r>
          </w:p>
        </w:tc>
      </w:tr>
      <w:tr>
        <w:tblPrEx/>
        <w:trPr>
          <w:trHeight w:val="300" w:hRule="atLeast"/>
        </w:trPr>
        <w:tc>
          <w:tcPr>
            <w:tcW w:w="1560" w:type="dxa"/>
            <w:tcBorders/>
          </w:tcPr>
          <w:p>
            <w:pPr>
              <w:pStyle w:val="style0"/>
              <w:rPr>
                <w:rFonts w:ascii="Times New Roman" w:cs="Times New Roman" w:eastAsia="Times New Roman" w:hAnsi="Times New Roman"/>
                <w:sz w:val="20"/>
                <w:szCs w:val="20"/>
              </w:rPr>
            </w:pPr>
          </w:p>
        </w:tc>
        <w:tc>
          <w:tcPr>
            <w:tcW w:w="156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GWP4</w:t>
            </w:r>
          </w:p>
        </w:tc>
        <w:tc>
          <w:tcPr>
            <w:tcW w:w="156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1</w:t>
            </w:r>
          </w:p>
        </w:tc>
        <w:tc>
          <w:tcPr>
            <w:tcW w:w="156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5</w:t>
            </w:r>
          </w:p>
        </w:tc>
        <w:tc>
          <w:tcPr>
            <w:tcW w:w="156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3.36</w:t>
            </w:r>
          </w:p>
        </w:tc>
        <w:tc>
          <w:tcPr>
            <w:tcW w:w="1665"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.858</w:t>
            </w:r>
          </w:p>
        </w:tc>
      </w:tr>
      <w:tr>
        <w:tblPrEx/>
        <w:trPr>
          <w:trHeight w:val="300" w:hRule="atLeast"/>
        </w:trPr>
        <w:tc>
          <w:tcPr>
            <w:tcW w:w="156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CT</w:t>
            </w:r>
          </w:p>
        </w:tc>
        <w:tc>
          <w:tcPr>
            <w:tcW w:w="156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CT1</w:t>
            </w:r>
          </w:p>
        </w:tc>
        <w:tc>
          <w:tcPr>
            <w:tcW w:w="156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1</w:t>
            </w:r>
          </w:p>
        </w:tc>
        <w:tc>
          <w:tcPr>
            <w:tcW w:w="156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5</w:t>
            </w:r>
          </w:p>
        </w:tc>
        <w:tc>
          <w:tcPr>
            <w:tcW w:w="156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3.17</w:t>
            </w:r>
          </w:p>
        </w:tc>
        <w:tc>
          <w:tcPr>
            <w:tcW w:w="1665"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.950</w:t>
            </w:r>
          </w:p>
        </w:tc>
      </w:tr>
      <w:tr>
        <w:tblPrEx/>
        <w:trPr>
          <w:trHeight w:val="300" w:hRule="atLeast"/>
        </w:trPr>
        <w:tc>
          <w:tcPr>
            <w:tcW w:w="1560" w:type="dxa"/>
            <w:tcBorders/>
          </w:tcPr>
          <w:p>
            <w:pPr>
              <w:pStyle w:val="style0"/>
              <w:rPr>
                <w:rFonts w:ascii="Times New Roman" w:cs="Times New Roman" w:eastAsia="Times New Roman" w:hAnsi="Times New Roman"/>
                <w:sz w:val="20"/>
                <w:szCs w:val="20"/>
              </w:rPr>
            </w:pPr>
          </w:p>
        </w:tc>
        <w:tc>
          <w:tcPr>
            <w:tcW w:w="156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CT2</w:t>
            </w:r>
          </w:p>
        </w:tc>
        <w:tc>
          <w:tcPr>
            <w:tcW w:w="156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1</w:t>
            </w:r>
          </w:p>
        </w:tc>
        <w:tc>
          <w:tcPr>
            <w:tcW w:w="156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5</w:t>
            </w:r>
          </w:p>
        </w:tc>
        <w:tc>
          <w:tcPr>
            <w:tcW w:w="156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4.06</w:t>
            </w:r>
          </w:p>
        </w:tc>
        <w:tc>
          <w:tcPr>
            <w:tcW w:w="1665"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1.023</w:t>
            </w:r>
          </w:p>
        </w:tc>
      </w:tr>
      <w:tr>
        <w:tblPrEx/>
        <w:trPr>
          <w:trHeight w:val="300" w:hRule="atLeast"/>
        </w:trPr>
        <w:tc>
          <w:tcPr>
            <w:tcW w:w="1560" w:type="dxa"/>
            <w:tcBorders/>
          </w:tcPr>
          <w:p>
            <w:pPr>
              <w:pStyle w:val="style0"/>
              <w:rPr>
                <w:rFonts w:ascii="Times New Roman" w:cs="Times New Roman" w:eastAsia="Times New Roman" w:hAnsi="Times New Roman"/>
                <w:sz w:val="20"/>
                <w:szCs w:val="20"/>
              </w:rPr>
            </w:pPr>
          </w:p>
        </w:tc>
        <w:tc>
          <w:tcPr>
            <w:tcW w:w="156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CT3</w:t>
            </w:r>
          </w:p>
        </w:tc>
        <w:tc>
          <w:tcPr>
            <w:tcW w:w="156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1</w:t>
            </w:r>
          </w:p>
        </w:tc>
        <w:tc>
          <w:tcPr>
            <w:tcW w:w="156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5</w:t>
            </w:r>
          </w:p>
        </w:tc>
        <w:tc>
          <w:tcPr>
            <w:tcW w:w="156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3.95</w:t>
            </w:r>
          </w:p>
        </w:tc>
        <w:tc>
          <w:tcPr>
            <w:tcW w:w="1665"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1.108</w:t>
            </w:r>
          </w:p>
        </w:tc>
      </w:tr>
      <w:tr>
        <w:tblPrEx/>
        <w:trPr>
          <w:trHeight w:val="300" w:hRule="atLeast"/>
        </w:trPr>
        <w:tc>
          <w:tcPr>
            <w:tcW w:w="156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CDM</w:t>
            </w:r>
          </w:p>
        </w:tc>
        <w:tc>
          <w:tcPr>
            <w:tcW w:w="156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CDM1</w:t>
            </w:r>
          </w:p>
        </w:tc>
        <w:tc>
          <w:tcPr>
            <w:tcW w:w="156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1</w:t>
            </w:r>
          </w:p>
        </w:tc>
        <w:tc>
          <w:tcPr>
            <w:tcW w:w="156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5</w:t>
            </w:r>
          </w:p>
        </w:tc>
        <w:tc>
          <w:tcPr>
            <w:tcW w:w="156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4.09</w:t>
            </w:r>
          </w:p>
        </w:tc>
        <w:tc>
          <w:tcPr>
            <w:tcW w:w="1665"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.930</w:t>
            </w:r>
          </w:p>
        </w:tc>
      </w:tr>
      <w:tr>
        <w:tblPrEx/>
        <w:trPr>
          <w:trHeight w:val="300" w:hRule="atLeast"/>
        </w:trPr>
        <w:tc>
          <w:tcPr>
            <w:tcW w:w="1560" w:type="dxa"/>
            <w:tcBorders/>
          </w:tcPr>
          <w:p>
            <w:pPr>
              <w:pStyle w:val="style0"/>
              <w:rPr>
                <w:rFonts w:ascii="Times New Roman" w:cs="Times New Roman" w:eastAsia="Times New Roman" w:hAnsi="Times New Roman"/>
                <w:sz w:val="20"/>
                <w:szCs w:val="20"/>
              </w:rPr>
            </w:pPr>
          </w:p>
        </w:tc>
        <w:tc>
          <w:tcPr>
            <w:tcW w:w="156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CDM2</w:t>
            </w:r>
          </w:p>
        </w:tc>
        <w:tc>
          <w:tcPr>
            <w:tcW w:w="156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1</w:t>
            </w:r>
          </w:p>
        </w:tc>
        <w:tc>
          <w:tcPr>
            <w:tcW w:w="156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5</w:t>
            </w:r>
          </w:p>
        </w:tc>
        <w:tc>
          <w:tcPr>
            <w:tcW w:w="156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3.96</w:t>
            </w:r>
          </w:p>
        </w:tc>
        <w:tc>
          <w:tcPr>
            <w:tcW w:w="1665"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1.105</w:t>
            </w:r>
          </w:p>
        </w:tc>
      </w:tr>
      <w:tr>
        <w:tblPrEx/>
        <w:trPr>
          <w:trHeight w:val="300" w:hRule="atLeast"/>
        </w:trPr>
        <w:tc>
          <w:tcPr>
            <w:tcW w:w="1560" w:type="dxa"/>
            <w:tcBorders/>
          </w:tcPr>
          <w:p>
            <w:pPr>
              <w:pStyle w:val="style0"/>
              <w:rPr>
                <w:rFonts w:ascii="Times New Roman" w:cs="Times New Roman" w:eastAsia="Times New Roman" w:hAnsi="Times New Roman"/>
                <w:sz w:val="20"/>
                <w:szCs w:val="20"/>
              </w:rPr>
            </w:pPr>
          </w:p>
        </w:tc>
        <w:tc>
          <w:tcPr>
            <w:tcW w:w="156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CDM3</w:t>
            </w:r>
          </w:p>
        </w:tc>
        <w:tc>
          <w:tcPr>
            <w:tcW w:w="156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1</w:t>
            </w:r>
          </w:p>
        </w:tc>
        <w:tc>
          <w:tcPr>
            <w:tcW w:w="156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5</w:t>
            </w:r>
          </w:p>
        </w:tc>
        <w:tc>
          <w:tcPr>
            <w:tcW w:w="156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3.96</w:t>
            </w:r>
          </w:p>
        </w:tc>
        <w:tc>
          <w:tcPr>
            <w:tcW w:w="1665"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.943</w:t>
            </w:r>
          </w:p>
        </w:tc>
      </w:tr>
      <w:tr>
        <w:tblPrEx/>
        <w:trPr>
          <w:trHeight w:val="300" w:hRule="atLeast"/>
        </w:trPr>
        <w:tc>
          <w:tcPr>
            <w:tcW w:w="156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DMGV</w:t>
            </w:r>
          </w:p>
        </w:tc>
        <w:tc>
          <w:tcPr>
            <w:tcW w:w="156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Age</w:t>
            </w:r>
          </w:p>
        </w:tc>
        <w:tc>
          <w:tcPr>
            <w:tcW w:w="156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1</w:t>
            </w:r>
          </w:p>
        </w:tc>
        <w:tc>
          <w:tcPr>
            <w:tcW w:w="156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5</w:t>
            </w:r>
          </w:p>
        </w:tc>
        <w:tc>
          <w:tcPr>
            <w:tcW w:w="156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2.46</w:t>
            </w:r>
          </w:p>
        </w:tc>
        <w:tc>
          <w:tcPr>
            <w:tcW w:w="1665"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.699</w:t>
            </w:r>
          </w:p>
        </w:tc>
      </w:tr>
      <w:tr>
        <w:tblPrEx/>
        <w:trPr>
          <w:trHeight w:val="300" w:hRule="atLeast"/>
        </w:trPr>
        <w:tc>
          <w:tcPr>
            <w:tcW w:w="1560" w:type="dxa"/>
            <w:tcBorders/>
          </w:tcPr>
          <w:p>
            <w:pPr>
              <w:pStyle w:val="style0"/>
              <w:rPr>
                <w:rFonts w:ascii="Times New Roman" w:cs="Times New Roman" w:eastAsia="Times New Roman" w:hAnsi="Times New Roman"/>
                <w:sz w:val="20"/>
                <w:szCs w:val="20"/>
              </w:rPr>
            </w:pPr>
          </w:p>
        </w:tc>
        <w:tc>
          <w:tcPr>
            <w:tcW w:w="156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w:t>
            </w:r>
            <w:r>
              <w:rPr>
                <w:rFonts w:ascii="Times New Roman" w:cs="Times New Roman" w:eastAsia="Times New Roman" w:hAnsi="Times New Roman"/>
                <w:sz w:val="20"/>
                <w:szCs w:val="20"/>
              </w:rPr>
              <w:t>Gend</w:t>
            </w:r>
          </w:p>
        </w:tc>
        <w:tc>
          <w:tcPr>
            <w:tcW w:w="156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1</w:t>
            </w:r>
          </w:p>
        </w:tc>
        <w:tc>
          <w:tcPr>
            <w:tcW w:w="156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5</w:t>
            </w:r>
          </w:p>
        </w:tc>
        <w:tc>
          <w:tcPr>
            <w:tcW w:w="156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3.87</w:t>
            </w:r>
          </w:p>
        </w:tc>
        <w:tc>
          <w:tcPr>
            <w:tcW w:w="1665"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.336</w:t>
            </w:r>
          </w:p>
        </w:tc>
      </w:tr>
      <w:tr>
        <w:tblPrEx/>
        <w:trPr>
          <w:trHeight w:val="300" w:hRule="atLeast"/>
        </w:trPr>
        <w:tc>
          <w:tcPr>
            <w:tcW w:w="1560" w:type="dxa"/>
            <w:tcBorders/>
          </w:tcPr>
          <w:p>
            <w:pPr>
              <w:pStyle w:val="style0"/>
              <w:rPr>
                <w:rFonts w:ascii="Times New Roman" w:cs="Times New Roman" w:eastAsia="Times New Roman" w:hAnsi="Times New Roman"/>
                <w:sz w:val="20"/>
                <w:szCs w:val="20"/>
              </w:rPr>
            </w:pPr>
          </w:p>
        </w:tc>
        <w:tc>
          <w:tcPr>
            <w:tcW w:w="156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Edu</w:t>
            </w:r>
          </w:p>
        </w:tc>
        <w:tc>
          <w:tcPr>
            <w:tcW w:w="156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1</w:t>
            </w:r>
          </w:p>
        </w:tc>
        <w:tc>
          <w:tcPr>
            <w:tcW w:w="156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5</w:t>
            </w:r>
          </w:p>
        </w:tc>
        <w:tc>
          <w:tcPr>
            <w:tcW w:w="156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3.15</w:t>
            </w:r>
          </w:p>
        </w:tc>
        <w:tc>
          <w:tcPr>
            <w:tcW w:w="1665"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.772</w:t>
            </w:r>
          </w:p>
        </w:tc>
      </w:tr>
      <w:tr>
        <w:tblPrEx/>
        <w:trPr>
          <w:trHeight w:val="300" w:hRule="atLeast"/>
        </w:trPr>
        <w:tc>
          <w:tcPr>
            <w:tcW w:w="1560" w:type="dxa"/>
            <w:tcBorders/>
          </w:tcPr>
          <w:p>
            <w:pPr>
              <w:pStyle w:val="style0"/>
              <w:rPr>
                <w:rFonts w:ascii="Times New Roman" w:cs="Times New Roman" w:eastAsia="Times New Roman" w:hAnsi="Times New Roman"/>
                <w:sz w:val="20"/>
                <w:szCs w:val="20"/>
              </w:rPr>
            </w:pPr>
          </w:p>
        </w:tc>
        <w:tc>
          <w:tcPr>
            <w:tcW w:w="156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FU</w:t>
            </w:r>
          </w:p>
        </w:tc>
        <w:tc>
          <w:tcPr>
            <w:tcW w:w="156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1</w:t>
            </w:r>
          </w:p>
        </w:tc>
        <w:tc>
          <w:tcPr>
            <w:tcW w:w="156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5</w:t>
            </w:r>
          </w:p>
        </w:tc>
        <w:tc>
          <w:tcPr>
            <w:tcW w:w="156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w:t>
            </w:r>
            <w:r>
              <w:rPr>
                <w:rFonts w:ascii="Times New Roman" w:cs="Times New Roman" w:eastAsia="Times New Roman" w:hAnsi="Times New Roman"/>
                <w:sz w:val="20"/>
                <w:szCs w:val="20"/>
              </w:rPr>
              <w:t>3.84</w:t>
            </w:r>
          </w:p>
        </w:tc>
        <w:tc>
          <w:tcPr>
            <w:tcW w:w="1665"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w:t>
            </w:r>
            <w:r>
              <w:rPr>
                <w:rFonts w:ascii="Times New Roman" w:cs="Times New Roman" w:eastAsia="Times New Roman" w:hAnsi="Times New Roman"/>
                <w:sz w:val="20"/>
                <w:szCs w:val="20"/>
              </w:rPr>
              <w:t>1.319</w:t>
            </w:r>
          </w:p>
        </w:tc>
      </w:tr>
      <w:tr>
        <w:tblPrEx/>
        <w:trPr>
          <w:trHeight w:val="300" w:hRule="atLeast"/>
        </w:trPr>
        <w:tc>
          <w:tcPr>
            <w:tcW w:w="1560" w:type="dxa"/>
            <w:tcBorders/>
          </w:tcPr>
          <w:p>
            <w:pPr>
              <w:pStyle w:val="style0"/>
              <w:rPr>
                <w:rFonts w:ascii="Times New Roman" w:cs="Times New Roman" w:eastAsia="Times New Roman" w:hAnsi="Times New Roman"/>
                <w:sz w:val="20"/>
                <w:szCs w:val="20"/>
              </w:rPr>
            </w:pPr>
          </w:p>
        </w:tc>
        <w:tc>
          <w:tcPr>
            <w:tcW w:w="156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FNL</w:t>
            </w:r>
          </w:p>
        </w:tc>
        <w:tc>
          <w:tcPr>
            <w:tcW w:w="156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1</w:t>
            </w:r>
          </w:p>
        </w:tc>
        <w:tc>
          <w:tcPr>
            <w:tcW w:w="156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5</w:t>
            </w:r>
          </w:p>
        </w:tc>
        <w:tc>
          <w:tcPr>
            <w:tcW w:w="156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3.46</w:t>
            </w:r>
          </w:p>
        </w:tc>
        <w:tc>
          <w:tcPr>
            <w:tcW w:w="1665"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w:t>
            </w:r>
            <w:r>
              <w:rPr>
                <w:rFonts w:ascii="Times New Roman" w:cs="Times New Roman" w:eastAsia="Times New Roman" w:hAnsi="Times New Roman"/>
                <w:sz w:val="20"/>
                <w:szCs w:val="20"/>
              </w:rPr>
              <w:t xml:space="preserve">     .817</w:t>
            </w:r>
          </w:p>
        </w:tc>
      </w:tr>
    </w:tbl>
    <w:p>
      <w:pPr>
        <w:pStyle w:val="style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Source: SPSS Version 29</w:t>
      </w:r>
    </w:p>
    <w:p>
      <w:pPr>
        <w:pStyle w:val="style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The table above contained the minimum, maximum, mean, and standard deviation of the respondents' responses to the questions. All the mean items are within the limit of agreement degree, meaning the responders expressed a high perception of the questions asked. The minimum and maximum of 1 and 5 indicate that responses covered the full range of opinions from strongly disagree to strongly agree.</w:t>
      </w:r>
    </w:p>
    <w:p>
      <w:pPr>
        <w:pStyle w:val="style0"/>
        <w:jc w:val="both"/>
        <w:rPr>
          <w:rFonts w:ascii="Times New Roman" w:cs="Times New Roman" w:eastAsia="Times New Roman" w:hAnsi="Times New Roman"/>
          <w:sz w:val="20"/>
          <w:szCs w:val="20"/>
        </w:rPr>
      </w:pPr>
    </w:p>
    <w:p>
      <w:pPr>
        <w:pStyle w:val="style0"/>
        <w:jc w:val="both"/>
        <w:rPr>
          <w:rFonts w:ascii="Times New Roman" w:cs="Times New Roman" w:eastAsia="Times New Roman" w:hAnsi="Times New Roman"/>
          <w:sz w:val="20"/>
          <w:szCs w:val="20"/>
        </w:rPr>
      </w:pPr>
    </w:p>
    <w:p>
      <w:pPr>
        <w:pStyle w:val="style0"/>
        <w:jc w:val="both"/>
        <w:rPr>
          <w:rFonts w:ascii="Times New Roman" w:cs="Times New Roman" w:eastAsia="Times New Roman" w:hAnsi="Times New Roman"/>
          <w:sz w:val="20"/>
          <w:szCs w:val="20"/>
        </w:rPr>
      </w:pPr>
    </w:p>
    <w:p>
      <w:pPr>
        <w:pStyle w:val="style0"/>
        <w:jc w:val="both"/>
        <w:rPr>
          <w:rFonts w:ascii="Times New Roman" w:cs="Times New Roman" w:eastAsia="Times New Roman" w:hAnsi="Times New Roman"/>
          <w:sz w:val="20"/>
          <w:szCs w:val="20"/>
        </w:rPr>
      </w:pPr>
    </w:p>
    <w:p>
      <w:pPr>
        <w:pStyle w:val="style0"/>
        <w:jc w:val="both"/>
        <w:rPr>
          <w:rFonts w:ascii="Times New Roman" w:cs="Times New Roman" w:eastAsia="Times New Roman" w:hAnsi="Times New Roman"/>
          <w:sz w:val="20"/>
          <w:szCs w:val="20"/>
        </w:rPr>
      </w:pPr>
    </w:p>
    <w:p>
      <w:pPr>
        <w:pStyle w:val="style0"/>
        <w:jc w:val="both"/>
        <w:rPr>
          <w:rFonts w:ascii="Times New Roman" w:cs="Times New Roman" w:eastAsia="Times New Roman" w:hAnsi="Times New Roman"/>
          <w:sz w:val="20"/>
          <w:szCs w:val="20"/>
        </w:rPr>
      </w:pPr>
    </w:p>
    <w:p>
      <w:pPr>
        <w:pStyle w:val="style0"/>
        <w:jc w:val="both"/>
        <w:rPr>
          <w:rFonts w:ascii="Times New Roman" w:cs="Times New Roman" w:eastAsia="Times New Roman" w:hAnsi="Times New Roman"/>
          <w:sz w:val="20"/>
          <w:szCs w:val="20"/>
        </w:rPr>
      </w:pPr>
    </w:p>
    <w:p>
      <w:pPr>
        <w:pStyle w:val="style0"/>
        <w:jc w:val="both"/>
        <w:rPr>
          <w:rFonts w:ascii="Times New Roman" w:cs="Times New Roman" w:eastAsia="Times New Roman" w:hAnsi="Times New Roman"/>
          <w:sz w:val="20"/>
          <w:szCs w:val="20"/>
        </w:rPr>
      </w:pPr>
    </w:p>
    <w:p>
      <w:pPr>
        <w:pStyle w:val="style0"/>
        <w:jc w:val="both"/>
        <w:rPr>
          <w:rFonts w:ascii="Times New Roman" w:cs="Times New Roman" w:eastAsia="Times New Roman" w:hAnsi="Times New Roman"/>
          <w:sz w:val="20"/>
          <w:szCs w:val="20"/>
        </w:rPr>
      </w:pPr>
    </w:p>
    <w:p>
      <w:pPr>
        <w:pStyle w:val="style0"/>
        <w:jc w:val="both"/>
        <w:rPr>
          <w:rFonts w:ascii="Times New Roman" w:cs="Times New Roman" w:eastAsia="Times New Roman" w:hAnsi="Times New Roman"/>
          <w:sz w:val="20"/>
          <w:szCs w:val="20"/>
        </w:rPr>
      </w:pPr>
    </w:p>
    <w:p>
      <w:pPr>
        <w:pStyle w:val="style0"/>
        <w:jc w:val="both"/>
        <w:rPr>
          <w:rFonts w:ascii="Times New Roman" w:cs="Times New Roman" w:eastAsia="Times New Roman" w:hAnsi="Times New Roman"/>
          <w:sz w:val="20"/>
          <w:szCs w:val="20"/>
        </w:rPr>
      </w:pPr>
    </w:p>
    <w:p>
      <w:pPr>
        <w:pStyle w:val="style0"/>
        <w:jc w:val="both"/>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4.3 Table 3: Correlation Analysis</w:t>
      </w:r>
    </w:p>
    <w:tbl>
      <w:tblPr>
        <w:tblStyle w:val="style4110"/>
        <w:tblW w:w="0" w:type="auto"/>
        <w:tblLayout w:type="fixed"/>
        <w:tblLook w:val="06A0" w:firstRow="1" w:lastRow="0" w:firstColumn="1" w:lastColumn="0" w:noHBand="1" w:noVBand="1"/>
      </w:tblPr>
      <w:tblGrid>
        <w:gridCol w:w="1170"/>
        <w:gridCol w:w="1170"/>
        <w:gridCol w:w="1170"/>
        <w:gridCol w:w="1170"/>
        <w:gridCol w:w="1170"/>
        <w:gridCol w:w="1170"/>
        <w:gridCol w:w="1170"/>
        <w:gridCol w:w="1170"/>
      </w:tblGrid>
      <w:tr>
        <w:trPr>
          <w:trHeight w:val="300" w:hRule="atLeast"/>
        </w:trPr>
        <w:tc>
          <w:tcPr>
            <w:tcW w:w="117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Construct</w:t>
            </w:r>
          </w:p>
        </w:tc>
        <w:tc>
          <w:tcPr>
            <w:tcW w:w="117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Gend</w:t>
            </w:r>
          </w:p>
        </w:tc>
        <w:tc>
          <w:tcPr>
            <w:tcW w:w="117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Edu</w:t>
            </w:r>
          </w:p>
        </w:tc>
        <w:tc>
          <w:tcPr>
            <w:tcW w:w="117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FU</w:t>
            </w:r>
          </w:p>
        </w:tc>
        <w:tc>
          <w:tcPr>
            <w:tcW w:w="117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FNL</w:t>
            </w:r>
          </w:p>
        </w:tc>
        <w:tc>
          <w:tcPr>
            <w:tcW w:w="117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CDM</w:t>
            </w:r>
          </w:p>
        </w:tc>
        <w:tc>
          <w:tcPr>
            <w:tcW w:w="117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CT</w:t>
            </w:r>
          </w:p>
        </w:tc>
        <w:tc>
          <w:tcPr>
            <w:tcW w:w="117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GWP</w:t>
            </w:r>
          </w:p>
        </w:tc>
      </w:tr>
      <w:tr>
        <w:tblPrEx/>
        <w:trPr>
          <w:trHeight w:val="300" w:hRule="atLeast"/>
        </w:trPr>
        <w:tc>
          <w:tcPr>
            <w:tcW w:w="117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Gend</w:t>
            </w:r>
          </w:p>
        </w:tc>
        <w:tc>
          <w:tcPr>
            <w:tcW w:w="117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1</w:t>
            </w:r>
          </w:p>
        </w:tc>
        <w:tc>
          <w:tcPr>
            <w:tcW w:w="117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.155</w:t>
            </w:r>
          </w:p>
        </w:tc>
        <w:tc>
          <w:tcPr>
            <w:tcW w:w="117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.190</w:t>
            </w:r>
          </w:p>
        </w:tc>
        <w:tc>
          <w:tcPr>
            <w:tcW w:w="117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.084</w:t>
            </w:r>
          </w:p>
        </w:tc>
        <w:tc>
          <w:tcPr>
            <w:tcW w:w="117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.089</w:t>
            </w:r>
          </w:p>
        </w:tc>
        <w:tc>
          <w:tcPr>
            <w:tcW w:w="117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.013</w:t>
            </w:r>
          </w:p>
        </w:tc>
        <w:tc>
          <w:tcPr>
            <w:tcW w:w="117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.070</w:t>
            </w:r>
          </w:p>
        </w:tc>
      </w:tr>
      <w:tr>
        <w:tblPrEx/>
        <w:trPr>
          <w:trHeight w:val="300" w:hRule="atLeast"/>
        </w:trPr>
        <w:tc>
          <w:tcPr>
            <w:tcW w:w="117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Edu</w:t>
            </w:r>
          </w:p>
        </w:tc>
        <w:tc>
          <w:tcPr>
            <w:tcW w:w="117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.155</w:t>
            </w:r>
          </w:p>
        </w:tc>
        <w:tc>
          <w:tcPr>
            <w:tcW w:w="117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1</w:t>
            </w:r>
          </w:p>
        </w:tc>
        <w:tc>
          <w:tcPr>
            <w:tcW w:w="117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.140</w:t>
            </w:r>
          </w:p>
        </w:tc>
        <w:tc>
          <w:tcPr>
            <w:tcW w:w="117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.334</w:t>
            </w:r>
          </w:p>
        </w:tc>
        <w:tc>
          <w:tcPr>
            <w:tcW w:w="117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.192</w:t>
            </w:r>
          </w:p>
        </w:tc>
        <w:tc>
          <w:tcPr>
            <w:tcW w:w="117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.148</w:t>
            </w:r>
          </w:p>
        </w:tc>
        <w:tc>
          <w:tcPr>
            <w:tcW w:w="117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.070</w:t>
            </w:r>
          </w:p>
        </w:tc>
      </w:tr>
      <w:tr>
        <w:tblPrEx/>
        <w:trPr>
          <w:trHeight w:val="300" w:hRule="atLeast"/>
        </w:trPr>
        <w:tc>
          <w:tcPr>
            <w:tcW w:w="117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FU</w:t>
            </w:r>
          </w:p>
        </w:tc>
        <w:tc>
          <w:tcPr>
            <w:tcW w:w="117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.190</w:t>
            </w:r>
          </w:p>
        </w:tc>
        <w:tc>
          <w:tcPr>
            <w:tcW w:w="117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.140</w:t>
            </w:r>
          </w:p>
        </w:tc>
        <w:tc>
          <w:tcPr>
            <w:tcW w:w="117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1</w:t>
            </w:r>
          </w:p>
        </w:tc>
        <w:tc>
          <w:tcPr>
            <w:tcW w:w="117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.250</w:t>
            </w:r>
          </w:p>
        </w:tc>
        <w:tc>
          <w:tcPr>
            <w:tcW w:w="117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.203</w:t>
            </w:r>
          </w:p>
        </w:tc>
        <w:tc>
          <w:tcPr>
            <w:tcW w:w="117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.195</w:t>
            </w:r>
          </w:p>
        </w:tc>
        <w:tc>
          <w:tcPr>
            <w:tcW w:w="117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.107</w:t>
            </w:r>
          </w:p>
        </w:tc>
      </w:tr>
      <w:tr>
        <w:tblPrEx/>
        <w:trPr>
          <w:trHeight w:val="300" w:hRule="atLeast"/>
        </w:trPr>
        <w:tc>
          <w:tcPr>
            <w:tcW w:w="117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FNL</w:t>
            </w:r>
          </w:p>
        </w:tc>
        <w:tc>
          <w:tcPr>
            <w:tcW w:w="117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.084</w:t>
            </w:r>
          </w:p>
        </w:tc>
        <w:tc>
          <w:tcPr>
            <w:tcW w:w="117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,334</w:t>
            </w:r>
          </w:p>
        </w:tc>
        <w:tc>
          <w:tcPr>
            <w:tcW w:w="117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.250</w:t>
            </w:r>
          </w:p>
        </w:tc>
        <w:tc>
          <w:tcPr>
            <w:tcW w:w="117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1</w:t>
            </w:r>
          </w:p>
        </w:tc>
        <w:tc>
          <w:tcPr>
            <w:tcW w:w="117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.385</w:t>
            </w:r>
          </w:p>
        </w:tc>
        <w:tc>
          <w:tcPr>
            <w:tcW w:w="117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.317</w:t>
            </w:r>
          </w:p>
        </w:tc>
        <w:tc>
          <w:tcPr>
            <w:tcW w:w="117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.288</w:t>
            </w:r>
          </w:p>
        </w:tc>
      </w:tr>
      <w:tr>
        <w:tblPrEx/>
        <w:trPr>
          <w:trHeight w:val="300" w:hRule="atLeast"/>
        </w:trPr>
        <w:tc>
          <w:tcPr>
            <w:tcW w:w="117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CDM</w:t>
            </w:r>
          </w:p>
        </w:tc>
        <w:tc>
          <w:tcPr>
            <w:tcW w:w="117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.089</w:t>
            </w:r>
          </w:p>
        </w:tc>
        <w:tc>
          <w:tcPr>
            <w:tcW w:w="117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.192</w:t>
            </w:r>
          </w:p>
        </w:tc>
        <w:tc>
          <w:tcPr>
            <w:tcW w:w="117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.203</w:t>
            </w:r>
          </w:p>
        </w:tc>
        <w:tc>
          <w:tcPr>
            <w:tcW w:w="117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.385</w:t>
            </w:r>
          </w:p>
        </w:tc>
        <w:tc>
          <w:tcPr>
            <w:tcW w:w="117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1</w:t>
            </w:r>
          </w:p>
        </w:tc>
        <w:tc>
          <w:tcPr>
            <w:tcW w:w="117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.656</w:t>
            </w:r>
          </w:p>
        </w:tc>
        <w:tc>
          <w:tcPr>
            <w:tcW w:w="117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.557</w:t>
            </w:r>
          </w:p>
        </w:tc>
      </w:tr>
      <w:tr>
        <w:tblPrEx/>
        <w:trPr>
          <w:trHeight w:val="300" w:hRule="atLeast"/>
        </w:trPr>
        <w:tc>
          <w:tcPr>
            <w:tcW w:w="117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CT</w:t>
            </w:r>
          </w:p>
        </w:tc>
        <w:tc>
          <w:tcPr>
            <w:tcW w:w="117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,013</w:t>
            </w:r>
          </w:p>
        </w:tc>
        <w:tc>
          <w:tcPr>
            <w:tcW w:w="117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.148</w:t>
            </w:r>
          </w:p>
        </w:tc>
        <w:tc>
          <w:tcPr>
            <w:tcW w:w="117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.195</w:t>
            </w:r>
          </w:p>
        </w:tc>
        <w:tc>
          <w:tcPr>
            <w:tcW w:w="117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.317</w:t>
            </w:r>
          </w:p>
        </w:tc>
        <w:tc>
          <w:tcPr>
            <w:tcW w:w="117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.656</w:t>
            </w:r>
          </w:p>
        </w:tc>
        <w:tc>
          <w:tcPr>
            <w:tcW w:w="117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1</w:t>
            </w:r>
          </w:p>
        </w:tc>
        <w:tc>
          <w:tcPr>
            <w:tcW w:w="117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.440</w:t>
            </w:r>
          </w:p>
        </w:tc>
      </w:tr>
      <w:tr>
        <w:tblPrEx/>
        <w:trPr>
          <w:trHeight w:val="300" w:hRule="atLeast"/>
        </w:trPr>
        <w:tc>
          <w:tcPr>
            <w:tcW w:w="117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GWP</w:t>
            </w:r>
          </w:p>
        </w:tc>
        <w:tc>
          <w:tcPr>
            <w:tcW w:w="117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.070</w:t>
            </w:r>
          </w:p>
        </w:tc>
        <w:tc>
          <w:tcPr>
            <w:tcW w:w="117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,070</w:t>
            </w:r>
          </w:p>
        </w:tc>
        <w:tc>
          <w:tcPr>
            <w:tcW w:w="117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1.07</w:t>
            </w:r>
          </w:p>
        </w:tc>
        <w:tc>
          <w:tcPr>
            <w:tcW w:w="117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.288</w:t>
            </w:r>
          </w:p>
        </w:tc>
        <w:tc>
          <w:tcPr>
            <w:tcW w:w="117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.557</w:t>
            </w:r>
          </w:p>
        </w:tc>
        <w:tc>
          <w:tcPr>
            <w:tcW w:w="117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.440</w:t>
            </w:r>
          </w:p>
        </w:tc>
        <w:tc>
          <w:tcPr>
            <w:tcW w:w="117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1</w:t>
            </w:r>
          </w:p>
        </w:tc>
      </w:tr>
    </w:tbl>
    <w:p>
      <w:pPr>
        <w:pStyle w:val="style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Source: SPSS Version 29</w:t>
      </w:r>
    </w:p>
    <w:p>
      <w:pPr>
        <w:pStyle w:val="style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The above correlation table described the relationship between the independent variable (Greenwashing Perception), dependent variables (Customer Trust and Decision-making), and control variables (Gender, Education, Financial Literacy, and Frequency of Fintech Use). It indicates that Decisions and Trusts have a correlation of (r = 0.65), which indicates a moderate positive relationship between the two variables. There is also a correlation between Decision and Greenwashing Perception of (r = 0.55), showing a moderate positive relationship between the variables. The correlation between Trust and Greenwashing Perception is (r = 0.44), showing a moderate positive correlation between the variables. All the correlations have statistical significance of (p &lt; 0.01).</w:t>
      </w:r>
    </w:p>
    <w:p>
      <w:pPr>
        <w:pStyle w:val="style0"/>
        <w:jc w:val="both"/>
        <w:rPr/>
      </w:pPr>
      <w:r>
        <w:rPr>
          <w:rFonts w:ascii="Times New Roman" w:cs="Times New Roman" w:eastAsia="Times New Roman" w:hAnsi="Times New Roman"/>
          <w:sz w:val="20"/>
          <w:szCs w:val="20"/>
        </w:rPr>
        <w:t xml:space="preserve">However, gender indicated a strong positive correlation with Decision (r = 0.89), a weak positive correlation with Customer Trust (r = 0.13), as well as a strong positive correlation with Greenwashing Perception. Education also shows weak positive correlation with Decision and Trust (r = 0.19 and r = 0.13, respectively), as well as a strong positive correlation with Customer Decision-making (r = 0.7). Frequency use also indicated weak positive correlation with Decision, Trust, and Greenwashing Perception (r = 0.2, r = 0.19, and r = 0.10, respectively). Finally, Financial Literacy indicated weak positive correlation with Decision, Trust, and Greenwashing Perception (r = 0.38, r = 0.31, and r </w:t>
      </w:r>
      <w:r>
        <w:rPr>
          <w:rFonts w:ascii="Times New Roman" w:cs="Times New Roman" w:eastAsia="Times New Roman" w:hAnsi="Times New Roman"/>
          <w:sz w:val="20"/>
          <w:szCs w:val="20"/>
        </w:rPr>
        <w:t>= 0.28, respectively).</w:t>
      </w:r>
    </w:p>
    <w:p>
      <w:pPr>
        <w:pStyle w:val="style0"/>
        <w:jc w:val="both"/>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 xml:space="preserve">4.4 </w:t>
      </w:r>
      <w:r>
        <w:rPr>
          <w:rFonts w:ascii="Times New Roman" w:cs="Times New Roman" w:eastAsia="Times New Roman" w:hAnsi="Times New Roman"/>
          <w:b/>
          <w:bCs/>
          <w:sz w:val="20"/>
          <w:szCs w:val="20"/>
        </w:rPr>
        <w:t xml:space="preserve">Table 4: </w:t>
      </w:r>
      <w:r>
        <w:rPr>
          <w:rFonts w:ascii="Times New Roman" w:cs="Times New Roman" w:eastAsia="Times New Roman" w:hAnsi="Times New Roman"/>
          <w:b/>
          <w:bCs/>
          <w:sz w:val="20"/>
          <w:szCs w:val="20"/>
        </w:rPr>
        <w:t>Multicolliarity</w:t>
      </w:r>
      <w:r>
        <w:rPr>
          <w:rFonts w:ascii="Times New Roman" w:cs="Times New Roman" w:eastAsia="Times New Roman" w:hAnsi="Times New Roman"/>
          <w:b/>
          <w:bCs/>
          <w:sz w:val="20"/>
          <w:szCs w:val="20"/>
        </w:rPr>
        <w:t xml:space="preserve"> Test</w:t>
      </w:r>
    </w:p>
    <w:tbl>
      <w:tblPr>
        <w:tblStyle w:val="style4111"/>
        <w:tblW w:w="0" w:type="auto"/>
        <w:tblLayout w:type="fixed"/>
        <w:tblLook w:val="06A0" w:firstRow="1" w:lastRow="0" w:firstColumn="1" w:lastColumn="0" w:noHBand="1" w:noVBand="1"/>
      </w:tblPr>
      <w:tblGrid>
        <w:gridCol w:w="3120"/>
        <w:gridCol w:w="3120"/>
        <w:gridCol w:w="3120"/>
      </w:tblGrid>
      <w:tr>
        <w:trPr>
          <w:trHeight w:val="300" w:hRule="atLeast"/>
        </w:trPr>
        <w:tc>
          <w:tcPr>
            <w:tcW w:w="3120" w:type="dxa"/>
            <w:tcBorders/>
          </w:tcPr>
          <w:p>
            <w:pPr>
              <w:pStyle w:val="style0"/>
              <w:rPr>
                <w:rFonts w:ascii="Times New Roman" w:cs="Times New Roman" w:eastAsia="Times New Roman" w:hAnsi="Times New Roman"/>
                <w:b w:val="false"/>
                <w:bCs w:val="false"/>
                <w:sz w:val="20"/>
                <w:szCs w:val="20"/>
              </w:rPr>
            </w:pPr>
            <w:r>
              <w:rPr>
                <w:rFonts w:ascii="Times New Roman" w:cs="Times New Roman" w:eastAsia="Times New Roman" w:hAnsi="Times New Roman"/>
                <w:b w:val="false"/>
                <w:bCs w:val="false"/>
                <w:sz w:val="20"/>
                <w:szCs w:val="20"/>
              </w:rPr>
              <w:t xml:space="preserve"> Construct</w:t>
            </w:r>
          </w:p>
        </w:tc>
        <w:tc>
          <w:tcPr>
            <w:tcW w:w="312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b w:val="false"/>
                <w:bCs w:val="false"/>
                <w:sz w:val="20"/>
                <w:szCs w:val="20"/>
              </w:rPr>
              <w:t>Statistical Tolerance</w:t>
            </w:r>
          </w:p>
        </w:tc>
        <w:tc>
          <w:tcPr>
            <w:tcW w:w="312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b w:val="false"/>
                <w:bCs w:val="false"/>
                <w:sz w:val="20"/>
                <w:szCs w:val="20"/>
              </w:rPr>
              <w:t>Variance Inflation Factor (VIF)</w:t>
            </w:r>
          </w:p>
        </w:tc>
      </w:tr>
      <w:tr>
        <w:tblPrEx/>
        <w:trPr>
          <w:trHeight w:val="300" w:hRule="atLeast"/>
        </w:trPr>
        <w:tc>
          <w:tcPr>
            <w:tcW w:w="3120" w:type="dxa"/>
            <w:tcBorders/>
          </w:tcPr>
          <w:p>
            <w:pPr>
              <w:pStyle w:val="style0"/>
              <w:rPr>
                <w:rFonts w:ascii="Times New Roman" w:cs="Times New Roman" w:eastAsia="Times New Roman" w:hAnsi="Times New Roman"/>
                <w:b w:val="false"/>
                <w:bCs w:val="false"/>
              </w:rPr>
            </w:pPr>
            <w:r>
              <w:rPr>
                <w:rFonts w:ascii="Times New Roman" w:cs="Times New Roman" w:eastAsia="Times New Roman" w:hAnsi="Times New Roman"/>
                <w:b w:val="false"/>
                <w:bCs w:val="false"/>
                <w:sz w:val="20"/>
                <w:szCs w:val="20"/>
              </w:rPr>
              <w:t xml:space="preserve">1. </w:t>
            </w:r>
            <w:r>
              <w:rPr>
                <w:rFonts w:ascii="Times New Roman" w:cs="Times New Roman" w:eastAsia="Times New Roman" w:hAnsi="Times New Roman"/>
                <w:b w:val="false"/>
                <w:bCs w:val="false"/>
                <w:sz w:val="20"/>
                <w:szCs w:val="20"/>
              </w:rPr>
              <w:t>(Constant)</w:t>
            </w:r>
          </w:p>
        </w:tc>
        <w:tc>
          <w:tcPr>
            <w:tcW w:w="3120" w:type="dxa"/>
            <w:tcBorders/>
          </w:tcPr>
          <w:p>
            <w:pPr>
              <w:pStyle w:val="style0"/>
              <w:rPr>
                <w:rFonts w:ascii="Times New Roman" w:cs="Times New Roman" w:eastAsia="Times New Roman" w:hAnsi="Times New Roman"/>
                <w:sz w:val="20"/>
                <w:szCs w:val="20"/>
              </w:rPr>
            </w:pPr>
          </w:p>
        </w:tc>
        <w:tc>
          <w:tcPr>
            <w:tcW w:w="3120" w:type="dxa"/>
            <w:tcBorders/>
          </w:tcPr>
          <w:p>
            <w:pPr>
              <w:pStyle w:val="style0"/>
              <w:rPr>
                <w:rFonts w:ascii="Times New Roman" w:cs="Times New Roman" w:eastAsia="Times New Roman" w:hAnsi="Times New Roman"/>
                <w:sz w:val="20"/>
                <w:szCs w:val="20"/>
              </w:rPr>
            </w:pPr>
          </w:p>
        </w:tc>
      </w:tr>
      <w:tr>
        <w:tblPrEx/>
        <w:trPr>
          <w:trHeight w:val="300" w:hRule="atLeast"/>
        </w:trPr>
        <w:tc>
          <w:tcPr>
            <w:tcW w:w="3120" w:type="dxa"/>
            <w:tcBorders/>
          </w:tcPr>
          <w:p>
            <w:pPr>
              <w:pStyle w:val="style0"/>
              <w:rPr>
                <w:rFonts w:ascii="Times New Roman" w:cs="Times New Roman" w:eastAsia="Times New Roman" w:hAnsi="Times New Roman"/>
                <w:b w:val="false"/>
                <w:bCs w:val="false"/>
              </w:rPr>
            </w:pPr>
            <w:r>
              <w:rPr>
                <w:rFonts w:ascii="Times New Roman" w:cs="Times New Roman" w:eastAsia="Times New Roman" w:hAnsi="Times New Roman"/>
                <w:b w:val="false"/>
                <w:bCs w:val="false"/>
                <w:sz w:val="20"/>
                <w:szCs w:val="20"/>
              </w:rPr>
              <w:t xml:space="preserve">2. </w:t>
            </w:r>
            <w:r>
              <w:rPr>
                <w:rFonts w:ascii="Times New Roman" w:cs="Times New Roman" w:eastAsia="Times New Roman" w:hAnsi="Times New Roman"/>
                <w:b w:val="false"/>
                <w:bCs w:val="false"/>
                <w:sz w:val="20"/>
                <w:szCs w:val="20"/>
              </w:rPr>
              <w:t>(Constant)</w:t>
            </w:r>
          </w:p>
        </w:tc>
        <w:tc>
          <w:tcPr>
            <w:tcW w:w="3120" w:type="dxa"/>
            <w:tcBorders/>
          </w:tcPr>
          <w:p>
            <w:pPr>
              <w:pStyle w:val="style0"/>
              <w:rPr>
                <w:rFonts w:ascii="Times New Roman" w:cs="Times New Roman" w:eastAsia="Times New Roman" w:hAnsi="Times New Roman"/>
                <w:sz w:val="20"/>
                <w:szCs w:val="20"/>
              </w:rPr>
            </w:pPr>
          </w:p>
        </w:tc>
        <w:tc>
          <w:tcPr>
            <w:tcW w:w="3120" w:type="dxa"/>
            <w:tcBorders/>
          </w:tcPr>
          <w:p>
            <w:pPr>
              <w:pStyle w:val="style0"/>
              <w:rPr>
                <w:rFonts w:ascii="Times New Roman" w:cs="Times New Roman" w:eastAsia="Times New Roman" w:hAnsi="Times New Roman"/>
                <w:sz w:val="20"/>
                <w:szCs w:val="20"/>
              </w:rPr>
            </w:pPr>
          </w:p>
        </w:tc>
      </w:tr>
      <w:tr>
        <w:tblPrEx/>
        <w:trPr>
          <w:trHeight w:val="300" w:hRule="atLeast"/>
        </w:trPr>
        <w:tc>
          <w:tcPr>
            <w:tcW w:w="3120" w:type="dxa"/>
            <w:tcBorders/>
          </w:tcPr>
          <w:p>
            <w:pPr>
              <w:pStyle w:val="style0"/>
              <w:rPr>
                <w:rFonts w:ascii="Times New Roman" w:cs="Times New Roman" w:eastAsia="Times New Roman" w:hAnsi="Times New Roman"/>
                <w:b w:val="false"/>
                <w:bCs w:val="false"/>
                <w:sz w:val="20"/>
                <w:szCs w:val="20"/>
              </w:rPr>
            </w:pPr>
            <w:r>
              <w:rPr>
                <w:rFonts w:ascii="Times New Roman" w:cs="Times New Roman" w:eastAsia="Times New Roman" w:hAnsi="Times New Roman"/>
                <w:b w:val="false"/>
                <w:bCs w:val="false"/>
                <w:sz w:val="20"/>
                <w:szCs w:val="20"/>
              </w:rPr>
              <w:t xml:space="preserve">    </w:t>
            </w:r>
            <w:r>
              <w:rPr>
                <w:rFonts w:ascii="Times New Roman" w:cs="Times New Roman" w:eastAsia="Times New Roman" w:hAnsi="Times New Roman"/>
                <w:b w:val="false"/>
                <w:bCs w:val="false"/>
                <w:sz w:val="20"/>
                <w:szCs w:val="20"/>
              </w:rPr>
              <w:t>Gend</w:t>
            </w:r>
          </w:p>
        </w:tc>
        <w:tc>
          <w:tcPr>
            <w:tcW w:w="312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.951</w:t>
            </w:r>
          </w:p>
        </w:tc>
        <w:tc>
          <w:tcPr>
            <w:tcW w:w="312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1.051</w:t>
            </w:r>
          </w:p>
        </w:tc>
      </w:tr>
      <w:tr>
        <w:tblPrEx/>
        <w:trPr>
          <w:trHeight w:val="300" w:hRule="atLeast"/>
        </w:trPr>
        <w:tc>
          <w:tcPr>
            <w:tcW w:w="3120" w:type="dxa"/>
            <w:tcBorders/>
          </w:tcPr>
          <w:p>
            <w:pPr>
              <w:pStyle w:val="style0"/>
              <w:rPr>
                <w:rFonts w:ascii="Times New Roman" w:cs="Times New Roman" w:eastAsia="Times New Roman" w:hAnsi="Times New Roman"/>
                <w:b w:val="false"/>
                <w:bCs w:val="false"/>
                <w:sz w:val="20"/>
                <w:szCs w:val="20"/>
              </w:rPr>
            </w:pPr>
            <w:r>
              <w:rPr>
                <w:rFonts w:ascii="Times New Roman" w:cs="Times New Roman" w:eastAsia="Times New Roman" w:hAnsi="Times New Roman"/>
                <w:b w:val="false"/>
                <w:bCs w:val="false"/>
                <w:sz w:val="20"/>
                <w:szCs w:val="20"/>
              </w:rPr>
              <w:t xml:space="preserve">    Edu</w:t>
            </w:r>
          </w:p>
        </w:tc>
        <w:tc>
          <w:tcPr>
            <w:tcW w:w="312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.866</w:t>
            </w:r>
          </w:p>
        </w:tc>
        <w:tc>
          <w:tcPr>
            <w:tcW w:w="312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1.155</w:t>
            </w:r>
          </w:p>
        </w:tc>
      </w:tr>
      <w:tr>
        <w:tblPrEx/>
        <w:trPr>
          <w:trHeight w:val="300" w:hRule="atLeast"/>
        </w:trPr>
        <w:tc>
          <w:tcPr>
            <w:tcW w:w="3120" w:type="dxa"/>
            <w:tcBorders/>
          </w:tcPr>
          <w:p>
            <w:pPr>
              <w:pStyle w:val="style0"/>
              <w:rPr>
                <w:rFonts w:ascii="Times New Roman" w:cs="Times New Roman" w:eastAsia="Times New Roman" w:hAnsi="Times New Roman"/>
                <w:b w:val="false"/>
                <w:bCs w:val="false"/>
                <w:sz w:val="20"/>
                <w:szCs w:val="20"/>
              </w:rPr>
            </w:pPr>
            <w:r>
              <w:rPr>
                <w:rFonts w:ascii="Times New Roman" w:cs="Times New Roman" w:eastAsia="Times New Roman" w:hAnsi="Times New Roman"/>
                <w:b w:val="false"/>
                <w:bCs w:val="false"/>
                <w:sz w:val="20"/>
                <w:szCs w:val="20"/>
              </w:rPr>
              <w:t xml:space="preserve">    FU</w:t>
            </w:r>
          </w:p>
        </w:tc>
        <w:tc>
          <w:tcPr>
            <w:tcW w:w="312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.909</w:t>
            </w:r>
          </w:p>
        </w:tc>
        <w:tc>
          <w:tcPr>
            <w:tcW w:w="312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1.100</w:t>
            </w:r>
          </w:p>
        </w:tc>
      </w:tr>
      <w:tr>
        <w:tblPrEx/>
        <w:trPr>
          <w:trHeight w:val="300" w:hRule="atLeast"/>
        </w:trPr>
        <w:tc>
          <w:tcPr>
            <w:tcW w:w="3120" w:type="dxa"/>
            <w:tcBorders/>
          </w:tcPr>
          <w:p>
            <w:pPr>
              <w:pStyle w:val="style0"/>
              <w:rPr>
                <w:rFonts w:ascii="Times New Roman" w:cs="Times New Roman" w:eastAsia="Times New Roman" w:hAnsi="Times New Roman"/>
                <w:b w:val="false"/>
                <w:bCs w:val="false"/>
                <w:sz w:val="20"/>
                <w:szCs w:val="20"/>
              </w:rPr>
            </w:pPr>
            <w:r>
              <w:rPr>
                <w:rFonts w:ascii="Times New Roman" w:cs="Times New Roman" w:eastAsia="Times New Roman" w:hAnsi="Times New Roman"/>
                <w:b w:val="false"/>
                <w:bCs w:val="false"/>
                <w:sz w:val="20"/>
                <w:szCs w:val="20"/>
              </w:rPr>
              <w:t xml:space="preserve">    FNL</w:t>
            </w:r>
          </w:p>
        </w:tc>
        <w:tc>
          <w:tcPr>
            <w:tcW w:w="312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.787</w:t>
            </w:r>
          </w:p>
        </w:tc>
        <w:tc>
          <w:tcPr>
            <w:tcW w:w="312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1.270</w:t>
            </w:r>
          </w:p>
        </w:tc>
      </w:tr>
      <w:tr>
        <w:tblPrEx/>
        <w:trPr>
          <w:trHeight w:val="300" w:hRule="atLeast"/>
        </w:trPr>
        <w:tc>
          <w:tcPr>
            <w:tcW w:w="3120" w:type="dxa"/>
            <w:tcBorders/>
          </w:tcPr>
          <w:p>
            <w:pPr>
              <w:pStyle w:val="style0"/>
              <w:rPr>
                <w:rFonts w:ascii="Times New Roman" w:cs="Times New Roman" w:eastAsia="Times New Roman" w:hAnsi="Times New Roman"/>
                <w:b w:val="false"/>
                <w:bCs w:val="false"/>
                <w:sz w:val="20"/>
                <w:szCs w:val="20"/>
              </w:rPr>
            </w:pPr>
            <w:r>
              <w:rPr>
                <w:rFonts w:ascii="Times New Roman" w:cs="Times New Roman" w:eastAsia="Times New Roman" w:hAnsi="Times New Roman"/>
                <w:b w:val="false"/>
                <w:bCs w:val="false"/>
                <w:sz w:val="20"/>
                <w:szCs w:val="20"/>
              </w:rPr>
              <w:t xml:space="preserve">   GWP</w:t>
            </w:r>
          </w:p>
        </w:tc>
        <w:tc>
          <w:tcPr>
            <w:tcW w:w="312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.919</w:t>
            </w:r>
          </w:p>
        </w:tc>
        <w:tc>
          <w:tcPr>
            <w:tcW w:w="312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1.089</w:t>
            </w:r>
          </w:p>
        </w:tc>
      </w:tr>
    </w:tbl>
    <w:p>
      <w:pPr>
        <w:pStyle w:val="style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Source: SPSS Version 29</w:t>
      </w:r>
    </w:p>
    <w:p>
      <w:pPr>
        <w:pStyle w:val="style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The above </w:t>
      </w:r>
      <w:r>
        <w:rPr>
          <w:rFonts w:ascii="Times New Roman" w:cs="Times New Roman" w:eastAsia="Times New Roman" w:hAnsi="Times New Roman"/>
          <w:sz w:val="20"/>
          <w:szCs w:val="20"/>
        </w:rPr>
        <w:t>multicollinearity</w:t>
      </w:r>
      <w:r>
        <w:rPr>
          <w:rFonts w:ascii="Times New Roman" w:cs="Times New Roman" w:eastAsia="Times New Roman" w:hAnsi="Times New Roman"/>
          <w:sz w:val="20"/>
          <w:szCs w:val="20"/>
        </w:rPr>
        <w:t xml:space="preserve"> table describes the tolerance of </w:t>
      </w:r>
      <w:r>
        <w:rPr>
          <w:rFonts w:ascii="Times New Roman" w:cs="Times New Roman" w:eastAsia="Times New Roman" w:hAnsi="Times New Roman"/>
          <w:sz w:val="20"/>
          <w:szCs w:val="20"/>
        </w:rPr>
        <w:t>multicollinearity</w:t>
      </w:r>
      <w:r>
        <w:rPr>
          <w:rFonts w:ascii="Times New Roman" w:cs="Times New Roman" w:eastAsia="Times New Roman" w:hAnsi="Times New Roman"/>
          <w:sz w:val="20"/>
          <w:szCs w:val="20"/>
        </w:rPr>
        <w:t xml:space="preserve"> between the dependent variables, independent variable, and control variables. It indicates that each variable has a Variance Inflation Factor (VIF) of less than 5. This signifies that all the variables have a very low </w:t>
      </w:r>
      <w:r>
        <w:rPr>
          <w:rFonts w:ascii="Times New Roman" w:cs="Times New Roman" w:eastAsia="Times New Roman" w:hAnsi="Times New Roman"/>
          <w:sz w:val="20"/>
          <w:szCs w:val="20"/>
        </w:rPr>
        <w:t>multicollinearity</w:t>
      </w:r>
      <w:r>
        <w:rPr>
          <w:rFonts w:ascii="Times New Roman" w:cs="Times New Roman" w:eastAsia="Times New Roman" w:hAnsi="Times New Roman"/>
          <w:sz w:val="20"/>
          <w:szCs w:val="20"/>
        </w:rPr>
        <w:t xml:space="preserve"> relationship.</w:t>
      </w:r>
    </w:p>
    <w:p>
      <w:pPr>
        <w:pStyle w:val="style0"/>
        <w:jc w:val="both"/>
        <w:rPr>
          <w:rFonts w:ascii="Times New Roman" w:cs="Times New Roman" w:eastAsia="Times New Roman" w:hAnsi="Times New Roman"/>
          <w:sz w:val="20"/>
          <w:szCs w:val="20"/>
        </w:rPr>
      </w:pPr>
    </w:p>
    <w:p>
      <w:pPr>
        <w:pStyle w:val="style0"/>
        <w:jc w:val="both"/>
        <w:rPr>
          <w:rFonts w:ascii="Times New Roman" w:cs="Times New Roman" w:eastAsia="Times New Roman" w:hAnsi="Times New Roman"/>
          <w:sz w:val="20"/>
          <w:szCs w:val="20"/>
        </w:rPr>
      </w:pPr>
    </w:p>
    <w:p>
      <w:pPr>
        <w:pStyle w:val="style0"/>
        <w:jc w:val="both"/>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 xml:space="preserve">4.5 </w:t>
      </w:r>
      <w:r>
        <w:rPr>
          <w:rFonts w:ascii="Times New Roman" w:cs="Times New Roman" w:eastAsia="Times New Roman" w:hAnsi="Times New Roman"/>
          <w:b/>
          <w:bCs/>
          <w:sz w:val="20"/>
          <w:szCs w:val="20"/>
        </w:rPr>
        <w:t>Hierarchical Regression Analysis</w:t>
      </w:r>
    </w:p>
    <w:p>
      <w:pPr>
        <w:pStyle w:val="style0"/>
        <w:jc w:val="both"/>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 xml:space="preserve">4.5.1 Table 5: </w:t>
      </w:r>
      <w:r>
        <w:rPr>
          <w:rFonts w:ascii="Times New Roman" w:cs="Times New Roman" w:eastAsia="Times New Roman" w:hAnsi="Times New Roman"/>
          <w:b/>
          <w:bCs/>
          <w:sz w:val="20"/>
          <w:szCs w:val="20"/>
        </w:rPr>
        <w:t xml:space="preserve">Model 1: Customer Trust as Dependent </w:t>
      </w:r>
      <w:r>
        <w:rPr>
          <w:rFonts w:ascii="Times New Roman" w:cs="Times New Roman" w:eastAsia="Times New Roman" w:hAnsi="Times New Roman"/>
          <w:b/>
          <w:bCs/>
          <w:sz w:val="20"/>
          <w:szCs w:val="20"/>
        </w:rPr>
        <w:t>Variable</w:t>
      </w:r>
    </w:p>
    <w:tbl>
      <w:tblPr>
        <w:tblStyle w:val="style4111"/>
        <w:tblW w:w="0" w:type="auto"/>
        <w:tblLayout w:type="fixed"/>
        <w:tblLook w:val="06A0" w:firstRow="1" w:lastRow="0" w:firstColumn="1" w:lastColumn="0" w:noHBand="1" w:noVBand="1"/>
      </w:tblPr>
      <w:tblGrid>
        <w:gridCol w:w="2340"/>
        <w:gridCol w:w="2340"/>
        <w:gridCol w:w="2340"/>
        <w:gridCol w:w="2340"/>
      </w:tblGrid>
      <w:tr>
        <w:trPr>
          <w:trHeight w:val="300" w:hRule="atLeast"/>
        </w:trPr>
        <w:tc>
          <w:tcPr>
            <w:tcW w:w="2340" w:type="dxa"/>
            <w:tcBorders/>
          </w:tcPr>
          <w:p>
            <w:pPr>
              <w:pStyle w:val="style0"/>
              <w:rPr>
                <w:rFonts w:ascii="Times New Roman" w:cs="Times New Roman" w:eastAsia="Times New Roman" w:hAnsi="Times New Roman"/>
                <w:b w:val="false"/>
                <w:bCs w:val="false"/>
                <w:sz w:val="20"/>
                <w:szCs w:val="20"/>
              </w:rPr>
            </w:pPr>
            <w:r>
              <w:rPr>
                <w:rFonts w:ascii="Times New Roman" w:cs="Times New Roman" w:eastAsia="Times New Roman" w:hAnsi="Times New Roman"/>
                <w:b w:val="false"/>
                <w:bCs w:val="false"/>
                <w:sz w:val="20"/>
                <w:szCs w:val="20"/>
              </w:rPr>
              <w:t xml:space="preserve">  Step</w:t>
            </w: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b w:val="false"/>
                <w:bCs w:val="false"/>
                <w:sz w:val="20"/>
                <w:szCs w:val="20"/>
              </w:rPr>
              <w:t xml:space="preserve"> Construct</w:t>
            </w: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b w:val="false"/>
                <w:bCs w:val="false"/>
                <w:sz w:val="20"/>
                <w:szCs w:val="20"/>
              </w:rPr>
              <w:t xml:space="preserve">  Beta Coefficient</w:t>
            </w: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b w:val="false"/>
                <w:bCs w:val="false"/>
                <w:sz w:val="20"/>
                <w:szCs w:val="20"/>
              </w:rPr>
              <w:t xml:space="preserve">  P-value</w:t>
            </w:r>
          </w:p>
        </w:tc>
      </w:tr>
      <w:tr>
        <w:tblPrEx/>
        <w:trPr>
          <w:trHeight w:val="300" w:hRule="atLeast"/>
        </w:trPr>
        <w:tc>
          <w:tcPr>
            <w:tcW w:w="2340" w:type="dxa"/>
            <w:tcBorders/>
          </w:tcPr>
          <w:p>
            <w:pPr>
              <w:pStyle w:val="style0"/>
              <w:rPr>
                <w:rFonts w:ascii="Times New Roman" w:cs="Times New Roman" w:eastAsia="Times New Roman" w:hAnsi="Times New Roman"/>
                <w:b w:val="false"/>
                <w:bCs w:val="false"/>
                <w:sz w:val="20"/>
                <w:szCs w:val="20"/>
              </w:rPr>
            </w:pPr>
            <w:r>
              <w:rPr>
                <w:rFonts w:ascii="Times New Roman" w:cs="Times New Roman" w:eastAsia="Times New Roman" w:hAnsi="Times New Roman"/>
                <w:b w:val="false"/>
                <w:bCs w:val="false"/>
                <w:sz w:val="20"/>
                <w:szCs w:val="20"/>
              </w:rPr>
              <w:t xml:space="preserve">     1.</w:t>
            </w: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(Constant)</w:t>
            </w: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2.892</w:t>
            </w: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&lt; .001</w:t>
            </w:r>
          </w:p>
        </w:tc>
      </w:tr>
      <w:tr>
        <w:tblPrEx/>
        <w:trPr>
          <w:trHeight w:val="300" w:hRule="atLeast"/>
        </w:trPr>
        <w:tc>
          <w:tcPr>
            <w:tcW w:w="2340" w:type="dxa"/>
            <w:tcBorders/>
          </w:tcPr>
          <w:p>
            <w:pPr>
              <w:pStyle w:val="style0"/>
              <w:rPr>
                <w:rFonts w:ascii="Times New Roman" w:cs="Times New Roman" w:eastAsia="Times New Roman" w:hAnsi="Times New Roman"/>
                <w:b w:val="false"/>
                <w:bCs w:val="false"/>
                <w:sz w:val="20"/>
                <w:szCs w:val="20"/>
              </w:rPr>
            </w:pP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w:t>
            </w:r>
            <w:r>
              <w:rPr>
                <w:rFonts w:ascii="Times New Roman" w:cs="Times New Roman" w:eastAsia="Times New Roman" w:hAnsi="Times New Roman"/>
                <w:sz w:val="20"/>
                <w:szCs w:val="20"/>
              </w:rPr>
              <w:t>Gend</w:t>
            </w: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-.080</w:t>
            </w: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.490</w:t>
            </w:r>
          </w:p>
        </w:tc>
      </w:tr>
      <w:tr>
        <w:tblPrEx/>
        <w:trPr>
          <w:trHeight w:val="300" w:hRule="atLeast"/>
        </w:trPr>
        <w:tc>
          <w:tcPr>
            <w:tcW w:w="2340" w:type="dxa"/>
            <w:tcBorders/>
          </w:tcPr>
          <w:p>
            <w:pPr>
              <w:pStyle w:val="style0"/>
              <w:rPr>
                <w:rFonts w:ascii="Times New Roman" w:cs="Times New Roman" w:eastAsia="Times New Roman" w:hAnsi="Times New Roman"/>
                <w:b w:val="false"/>
                <w:bCs w:val="false"/>
                <w:sz w:val="20"/>
                <w:szCs w:val="20"/>
              </w:rPr>
            </w:pP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Edu</w:t>
            </w: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.054</w:t>
            </w: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.308</w:t>
            </w:r>
          </w:p>
        </w:tc>
      </w:tr>
      <w:tr>
        <w:tblPrEx/>
        <w:trPr>
          <w:trHeight w:val="300" w:hRule="atLeast"/>
        </w:trPr>
        <w:tc>
          <w:tcPr>
            <w:tcW w:w="2340" w:type="dxa"/>
            <w:tcBorders/>
          </w:tcPr>
          <w:p>
            <w:pPr>
              <w:pStyle w:val="style0"/>
              <w:rPr>
                <w:rFonts w:ascii="Times New Roman" w:cs="Times New Roman" w:eastAsia="Times New Roman" w:hAnsi="Times New Roman"/>
                <w:b w:val="false"/>
                <w:bCs w:val="false"/>
                <w:sz w:val="20"/>
                <w:szCs w:val="20"/>
              </w:rPr>
            </w:pP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FU</w:t>
            </w: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.076</w:t>
            </w: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.012</w:t>
            </w:r>
          </w:p>
        </w:tc>
      </w:tr>
      <w:tr>
        <w:tblPrEx/>
        <w:trPr>
          <w:trHeight w:val="300" w:hRule="atLeast"/>
        </w:trPr>
        <w:tc>
          <w:tcPr>
            <w:tcW w:w="2340" w:type="dxa"/>
            <w:tcBorders/>
          </w:tcPr>
          <w:p>
            <w:pPr>
              <w:pStyle w:val="style0"/>
              <w:rPr>
                <w:rFonts w:ascii="Times New Roman" w:cs="Times New Roman" w:eastAsia="Times New Roman" w:hAnsi="Times New Roman"/>
                <w:b w:val="false"/>
                <w:bCs w:val="false"/>
                <w:sz w:val="20"/>
                <w:szCs w:val="20"/>
              </w:rPr>
            </w:pP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FNL</w:t>
            </w: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.197</w:t>
            </w: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&lt; .001</w:t>
            </w:r>
          </w:p>
        </w:tc>
      </w:tr>
      <w:tr>
        <w:tblPrEx/>
        <w:trPr>
          <w:trHeight w:val="300" w:hRule="atLeast"/>
        </w:trPr>
        <w:tc>
          <w:tcPr>
            <w:tcW w:w="2340" w:type="dxa"/>
            <w:tcBorders/>
          </w:tcPr>
          <w:p>
            <w:pPr>
              <w:pStyle w:val="style0"/>
              <w:rPr>
                <w:rFonts w:ascii="Times New Roman" w:cs="Times New Roman" w:eastAsia="Times New Roman" w:hAnsi="Times New Roman"/>
                <w:b w:val="false"/>
                <w:bCs w:val="false"/>
                <w:sz w:val="20"/>
                <w:szCs w:val="20"/>
              </w:rPr>
            </w:pPr>
            <w:r>
              <w:rPr>
                <w:rFonts w:ascii="Times New Roman" w:cs="Times New Roman" w:eastAsia="Times New Roman" w:hAnsi="Times New Roman"/>
                <w:b w:val="false"/>
                <w:bCs w:val="false"/>
                <w:sz w:val="20"/>
                <w:szCs w:val="20"/>
              </w:rPr>
              <w:t xml:space="preserve">    2.</w:t>
            </w: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(Constant)</w:t>
            </w: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2.000</w:t>
            </w: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&lt; .001</w:t>
            </w:r>
          </w:p>
        </w:tc>
      </w:tr>
      <w:tr>
        <w:tblPrEx/>
        <w:trPr>
          <w:trHeight w:val="300" w:hRule="atLeast"/>
        </w:trPr>
        <w:tc>
          <w:tcPr>
            <w:tcW w:w="2340" w:type="dxa"/>
            <w:tcBorders/>
          </w:tcPr>
          <w:p>
            <w:pPr>
              <w:pStyle w:val="style0"/>
              <w:rPr>
                <w:rFonts w:ascii="Times New Roman" w:cs="Times New Roman" w:eastAsia="Times New Roman" w:hAnsi="Times New Roman"/>
                <w:b w:val="false"/>
                <w:bCs w:val="false"/>
                <w:sz w:val="20"/>
                <w:szCs w:val="20"/>
              </w:rPr>
            </w:pP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w:t>
            </w:r>
            <w:r>
              <w:rPr>
                <w:rFonts w:ascii="Times New Roman" w:cs="Times New Roman" w:eastAsia="Times New Roman" w:hAnsi="Times New Roman"/>
                <w:sz w:val="20"/>
                <w:szCs w:val="20"/>
              </w:rPr>
              <w:t>Gend</w:t>
            </w: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-.113</w:t>
            </w: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w:t>
            </w:r>
            <w:r>
              <w:rPr>
                <w:rFonts w:ascii="Times New Roman" w:cs="Times New Roman" w:eastAsia="Times New Roman" w:hAnsi="Times New Roman"/>
                <w:sz w:val="20"/>
                <w:szCs w:val="20"/>
              </w:rPr>
              <w:t>286</w:t>
            </w:r>
          </w:p>
        </w:tc>
      </w:tr>
      <w:tr>
        <w:tblPrEx/>
        <w:trPr>
          <w:trHeight w:val="300" w:hRule="atLeast"/>
        </w:trPr>
        <w:tc>
          <w:tcPr>
            <w:tcW w:w="2340" w:type="dxa"/>
            <w:tcBorders/>
          </w:tcPr>
          <w:p>
            <w:pPr>
              <w:pStyle w:val="style0"/>
              <w:rPr>
                <w:rFonts w:ascii="Times New Roman" w:cs="Times New Roman" w:eastAsia="Times New Roman" w:hAnsi="Times New Roman"/>
                <w:b w:val="false"/>
                <w:bCs w:val="false"/>
                <w:sz w:val="20"/>
                <w:szCs w:val="20"/>
              </w:rPr>
            </w:pP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Edu</w:t>
            </w: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.066</w:t>
            </w: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w:t>
            </w:r>
            <w:r>
              <w:rPr>
                <w:rFonts w:ascii="Times New Roman" w:cs="Times New Roman" w:eastAsia="Times New Roman" w:hAnsi="Times New Roman"/>
                <w:sz w:val="20"/>
                <w:szCs w:val="20"/>
              </w:rPr>
              <w:t>174</w:t>
            </w:r>
          </w:p>
        </w:tc>
      </w:tr>
      <w:tr>
        <w:tblPrEx/>
        <w:trPr>
          <w:trHeight w:val="300" w:hRule="atLeast"/>
        </w:trPr>
        <w:tc>
          <w:tcPr>
            <w:tcW w:w="2340" w:type="dxa"/>
            <w:tcBorders/>
          </w:tcPr>
          <w:p>
            <w:pPr>
              <w:pStyle w:val="style0"/>
              <w:rPr>
                <w:rFonts w:ascii="Times New Roman" w:cs="Times New Roman" w:eastAsia="Times New Roman" w:hAnsi="Times New Roman"/>
                <w:b w:val="false"/>
                <w:bCs w:val="false"/>
                <w:sz w:val="20"/>
                <w:szCs w:val="20"/>
              </w:rPr>
            </w:pP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FU</w:t>
            </w: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.060</w:t>
            </w: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w:t>
            </w:r>
            <w:r>
              <w:rPr>
                <w:rFonts w:ascii="Times New Roman" w:cs="Times New Roman" w:eastAsia="Times New Roman" w:hAnsi="Times New Roman"/>
                <w:sz w:val="20"/>
                <w:szCs w:val="20"/>
              </w:rPr>
              <w:t>030</w:t>
            </w:r>
          </w:p>
        </w:tc>
      </w:tr>
      <w:tr>
        <w:tblPrEx/>
        <w:trPr>
          <w:trHeight w:val="300" w:hRule="atLeast"/>
        </w:trPr>
        <w:tc>
          <w:tcPr>
            <w:tcW w:w="2340" w:type="dxa"/>
            <w:tcBorders/>
          </w:tcPr>
          <w:p>
            <w:pPr>
              <w:pStyle w:val="style0"/>
              <w:rPr>
                <w:rFonts w:ascii="Times New Roman" w:cs="Times New Roman" w:eastAsia="Times New Roman" w:hAnsi="Times New Roman"/>
                <w:b w:val="false"/>
                <w:bCs w:val="false"/>
                <w:sz w:val="20"/>
                <w:szCs w:val="20"/>
              </w:rPr>
            </w:pP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FNL</w:t>
            </w: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.107</w:t>
            </w: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.026</w:t>
            </w:r>
          </w:p>
        </w:tc>
      </w:tr>
      <w:tr>
        <w:tblPrEx/>
        <w:trPr>
          <w:trHeight w:val="300" w:hRule="atLeast"/>
        </w:trPr>
        <w:tc>
          <w:tcPr>
            <w:tcW w:w="2340" w:type="dxa"/>
            <w:tcBorders/>
          </w:tcPr>
          <w:p>
            <w:pPr>
              <w:pStyle w:val="style0"/>
              <w:rPr>
                <w:rFonts w:ascii="Times New Roman" w:cs="Times New Roman" w:eastAsia="Times New Roman" w:hAnsi="Times New Roman"/>
                <w:b w:val="false"/>
                <w:bCs w:val="false"/>
                <w:sz w:val="20"/>
                <w:szCs w:val="20"/>
              </w:rPr>
            </w:pP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GWP</w:t>
            </w: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.388</w:t>
            </w: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&lt; .001</w:t>
            </w:r>
          </w:p>
        </w:tc>
      </w:tr>
    </w:tbl>
    <w:p>
      <w:pPr>
        <w:pStyle w:val="style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Source: SPSS Version 29</w:t>
      </w:r>
    </w:p>
    <w:p>
      <w:pPr>
        <w:pStyle w:val="style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The above coefficient table indicates the direction and level of significant impact of control variables (Gender, education, financial literacy, and </w:t>
      </w:r>
      <w:r>
        <w:rPr>
          <w:rFonts w:ascii="Times New Roman" w:cs="Times New Roman" w:eastAsia="Times New Roman" w:hAnsi="Times New Roman"/>
          <w:sz w:val="20"/>
          <w:szCs w:val="20"/>
        </w:rPr>
        <w:t>fintech</w:t>
      </w:r>
      <w:r>
        <w:rPr>
          <w:rFonts w:ascii="Times New Roman" w:cs="Times New Roman" w:eastAsia="Times New Roman" w:hAnsi="Times New Roman"/>
          <w:sz w:val="20"/>
          <w:szCs w:val="20"/>
        </w:rPr>
        <w:t xml:space="preserve"> frequency use), and independent variable (Greenwashing Perception) on the dependent variable (Customer trust). The hierarchical regression results indicated that in </w:t>
      </w:r>
      <w:r>
        <w:rPr>
          <w:rFonts w:ascii="Times New Roman" w:cs="Times New Roman" w:eastAsia="Times New Roman" w:hAnsi="Times New Roman"/>
          <w:sz w:val="20"/>
          <w:szCs w:val="20"/>
        </w:rPr>
        <w:t>stepl</w:t>
      </w:r>
      <w:r>
        <w:rPr>
          <w:rFonts w:ascii="Times New Roman" w:cs="Times New Roman" w:eastAsia="Times New Roman" w:hAnsi="Times New Roman"/>
          <w:sz w:val="20"/>
          <w:szCs w:val="20"/>
        </w:rPr>
        <w:t xml:space="preserve"> one of th</w:t>
      </w:r>
      <w:r>
        <w:rPr>
          <w:rFonts w:ascii="Times New Roman" w:cs="Times New Roman" w:eastAsia="Times New Roman" w:hAnsi="Times New Roman"/>
          <w:sz w:val="20"/>
          <w:szCs w:val="20"/>
        </w:rPr>
        <w:t>is</w:t>
      </w:r>
      <w:r>
        <w:rPr>
          <w:rFonts w:ascii="Times New Roman" w:cs="Times New Roman" w:eastAsia="Times New Roman" w:hAnsi="Times New Roman"/>
          <w:sz w:val="20"/>
          <w:szCs w:val="20"/>
        </w:rPr>
        <w:t xml:space="preserve"> model, only Fintech frequency use and Financial Literacy are significant at p-values 0.012 and &lt;0.001, with positive coefficients of 0.076 and 0.197 respectively. However, after adding the independent variable (Greenwashing Perception) in step two, the greenwashing perception is significant, with a p-value &lt;0.001, less than the 0.05 significance level, and a positive coefficient of 0.388. This shows that greenwashing perception is statistically significant. Additionally, the control variables (Frequency Use and Financial Literacy) are significant at p-values of 0.03 and 0.026, with a positive coefficient of 0.028 and 0.048, respectively, in step two. This suggests that independent variable (Greenwashing perception) and control variables (Financial literacy and </w:t>
      </w:r>
      <w:r>
        <w:rPr>
          <w:rFonts w:ascii="Times New Roman" w:cs="Times New Roman" w:eastAsia="Times New Roman" w:hAnsi="Times New Roman"/>
          <w:sz w:val="20"/>
          <w:szCs w:val="20"/>
        </w:rPr>
        <w:t>fintech</w:t>
      </w:r>
      <w:r>
        <w:rPr>
          <w:rFonts w:ascii="Times New Roman" w:cs="Times New Roman" w:eastAsia="Times New Roman" w:hAnsi="Times New Roman"/>
          <w:sz w:val="20"/>
          <w:szCs w:val="20"/>
        </w:rPr>
        <w:t xml:space="preserve"> frequency use) have positive significant impact on the dependent variable (customer trust).</w:t>
      </w:r>
    </w:p>
    <w:p>
      <w:pPr>
        <w:pStyle w:val="style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We can deduce that this regression result supports the stated hypotheses</w:t>
      </w:r>
      <w:r>
        <w:rPr>
          <w:rFonts w:ascii="Times New Roman" w:cs="Times New Roman" w:eastAsia="Times New Roman" w:hAnsi="Times New Roman"/>
          <w:sz w:val="20"/>
          <w:szCs w:val="20"/>
        </w:rPr>
        <w:t>: the</w:t>
      </w:r>
      <w:r>
        <w:rPr>
          <w:rFonts w:ascii="Times New Roman" w:cs="Times New Roman" w:eastAsia="Times New Roman" w:hAnsi="Times New Roman"/>
          <w:sz w:val="20"/>
          <w:szCs w:val="20"/>
        </w:rPr>
        <w:t xml:space="preserve"> perception of green washing has a significant impact on customer trust in Fintech firms. Although the regression analysis shows a positive and significant coefficient for perception </w:t>
      </w:r>
      <w:r>
        <w:rPr>
          <w:rFonts w:ascii="Times New Roman" w:cs="Times New Roman" w:eastAsia="Times New Roman" w:hAnsi="Times New Roman"/>
          <w:sz w:val="20"/>
          <w:szCs w:val="20"/>
        </w:rPr>
        <w:t xml:space="preserve">of greenwashing </w:t>
      </w:r>
      <w:r>
        <w:rPr>
          <w:rFonts w:ascii="Times New Roman" w:cs="Times New Roman" w:eastAsia="Times New Roman" w:hAnsi="Times New Roman"/>
          <w:sz w:val="20"/>
          <w:szCs w:val="20"/>
        </w:rPr>
        <w:t xml:space="preserve">on </w:t>
      </w:r>
      <w:r>
        <w:rPr>
          <w:rFonts w:ascii="Times New Roman" w:cs="Times New Roman" w:eastAsia="Times New Roman" w:hAnsi="Times New Roman"/>
          <w:sz w:val="20"/>
          <w:szCs w:val="20"/>
        </w:rPr>
        <w:t>c</w:t>
      </w:r>
      <w:r>
        <w:rPr>
          <w:rFonts w:ascii="Times New Roman" w:cs="Times New Roman" w:eastAsia="Times New Roman" w:hAnsi="Times New Roman"/>
          <w:sz w:val="20"/>
          <w:szCs w:val="20"/>
        </w:rPr>
        <w:t>ustomer trust</w:t>
      </w:r>
      <w:r>
        <w:rPr>
          <w:rFonts w:ascii="Times New Roman" w:cs="Times New Roman" w:eastAsia="Times New Roman" w:hAnsi="Times New Roman"/>
          <w:sz w:val="20"/>
          <w:szCs w:val="20"/>
        </w:rPr>
        <w:t xml:space="preserve"> (CT),</w:t>
      </w:r>
      <w:r>
        <w:rPr>
          <w:rFonts w:ascii="Times New Roman" w:cs="Times New Roman" w:eastAsia="Times New Roman" w:hAnsi="Times New Roman"/>
          <w:sz w:val="20"/>
          <w:szCs w:val="20"/>
        </w:rPr>
        <w:t xml:space="preserve"> this indicates a negative </w:t>
      </w:r>
      <w:r>
        <w:rPr>
          <w:rFonts w:ascii="Times New Roman" w:cs="Times New Roman" w:eastAsia="Times New Roman" w:hAnsi="Times New Roman"/>
          <w:sz w:val="20"/>
          <w:szCs w:val="20"/>
        </w:rPr>
        <w:t xml:space="preserve">impact </w:t>
      </w:r>
      <w:r>
        <w:rPr>
          <w:rFonts w:ascii="Times New Roman" w:cs="Times New Roman" w:eastAsia="Times New Roman" w:hAnsi="Times New Roman"/>
          <w:sz w:val="20"/>
          <w:szCs w:val="20"/>
        </w:rPr>
        <w:t xml:space="preserve">on this construct because of the direction of scoring, as explained in the methodology. The positive significant impact of greenwashing on customer trust implies that a higher perception of greenwashing is consistent with a significant change in customer trust. There is likely a loss of trust </w:t>
      </w:r>
      <w:r>
        <w:rPr>
          <w:rFonts w:ascii="Times New Roman" w:cs="Times New Roman" w:eastAsia="Times New Roman" w:hAnsi="Times New Roman"/>
          <w:sz w:val="20"/>
          <w:szCs w:val="20"/>
        </w:rPr>
        <w:t>among customers</w:t>
      </w:r>
      <w:r>
        <w:rPr>
          <w:rFonts w:ascii="Times New Roman" w:cs="Times New Roman" w:eastAsia="Times New Roman" w:hAnsi="Times New Roman"/>
          <w:sz w:val="20"/>
          <w:szCs w:val="20"/>
        </w:rPr>
        <w:t xml:space="preserve"> who perceived misleading practices </w:t>
      </w:r>
      <w:r>
        <w:rPr>
          <w:rFonts w:ascii="Times New Roman" w:cs="Times New Roman" w:eastAsia="Times New Roman" w:hAnsi="Times New Roman"/>
          <w:sz w:val="20"/>
          <w:szCs w:val="20"/>
        </w:rPr>
        <w:t xml:space="preserve">in </w:t>
      </w:r>
      <w:r>
        <w:rPr>
          <w:rFonts w:ascii="Times New Roman" w:cs="Times New Roman" w:eastAsia="Times New Roman" w:hAnsi="Times New Roman"/>
          <w:sz w:val="20"/>
          <w:szCs w:val="20"/>
        </w:rPr>
        <w:t>fintech</w:t>
      </w:r>
      <w:r>
        <w:rPr>
          <w:rFonts w:ascii="Times New Roman" w:cs="Times New Roman" w:eastAsia="Times New Roman" w:hAnsi="Times New Roman"/>
          <w:sz w:val="20"/>
          <w:szCs w:val="20"/>
        </w:rPr>
        <w:t xml:space="preserve"> companies. This finding aligns with the study of Vergara &amp; </w:t>
      </w:r>
      <w:r>
        <w:rPr>
          <w:rFonts w:ascii="Times New Roman" w:cs="Times New Roman" w:eastAsia="Times New Roman" w:hAnsi="Times New Roman"/>
          <w:sz w:val="20"/>
          <w:szCs w:val="20"/>
        </w:rPr>
        <w:t>Agudo</w:t>
      </w:r>
      <w:r>
        <w:rPr>
          <w:rFonts w:ascii="Times New Roman" w:cs="Times New Roman" w:eastAsia="Times New Roman" w:hAnsi="Times New Roman"/>
          <w:sz w:val="20"/>
          <w:szCs w:val="20"/>
        </w:rPr>
        <w:t xml:space="preserve"> (2021)</w:t>
      </w:r>
      <w:r>
        <w:rPr>
          <w:rFonts w:ascii="Times New Roman" w:cs="Times New Roman" w:eastAsia="Times New Roman" w:hAnsi="Times New Roman"/>
          <w:sz w:val="20"/>
          <w:szCs w:val="20"/>
        </w:rPr>
        <w:t>, which states</w:t>
      </w:r>
      <w:r>
        <w:rPr>
          <w:rFonts w:ascii="Times New Roman" w:cs="Times New Roman" w:eastAsia="Times New Roman" w:hAnsi="Times New Roman"/>
          <w:sz w:val="20"/>
          <w:szCs w:val="20"/>
        </w:rPr>
        <w:t xml:space="preserve"> </w:t>
      </w:r>
      <w:r>
        <w:rPr>
          <w:rFonts w:ascii="Times New Roman" w:cs="Times New Roman" w:eastAsia="Times New Roman" w:hAnsi="Times New Roman"/>
          <w:sz w:val="20"/>
          <w:szCs w:val="20"/>
        </w:rPr>
        <w:t>that greenwashing</w:t>
      </w:r>
      <w:r>
        <w:rPr>
          <w:rFonts w:ascii="Times New Roman" w:cs="Times New Roman" w:eastAsia="Times New Roman" w:hAnsi="Times New Roman"/>
          <w:sz w:val="20"/>
          <w:szCs w:val="20"/>
        </w:rPr>
        <w:t xml:space="preserve"> is done by using vague language and images to describe the environmental aspects of a product while omitting crucial details or presenting data in a misleading manner. Ultimately, greenwashing practices </w:t>
      </w:r>
      <w:r>
        <w:rPr>
          <w:rFonts w:ascii="Times New Roman" w:cs="Times New Roman" w:eastAsia="Times New Roman" w:hAnsi="Times New Roman"/>
          <w:sz w:val="20"/>
          <w:szCs w:val="20"/>
        </w:rPr>
        <w:t>d</w:t>
      </w:r>
      <w:r>
        <w:rPr>
          <w:rFonts w:ascii="Times New Roman" w:cs="Times New Roman" w:eastAsia="Times New Roman" w:hAnsi="Times New Roman"/>
          <w:sz w:val="20"/>
          <w:szCs w:val="20"/>
        </w:rPr>
        <w:t>iminish</w:t>
      </w:r>
      <w:r>
        <w:rPr>
          <w:rFonts w:ascii="Times New Roman" w:cs="Times New Roman" w:eastAsia="Times New Roman" w:hAnsi="Times New Roman"/>
          <w:sz w:val="20"/>
          <w:szCs w:val="20"/>
        </w:rPr>
        <w:t xml:space="preserve"> customer trust</w:t>
      </w:r>
      <w:r>
        <w:rPr>
          <w:rFonts w:ascii="Times New Roman" w:cs="Times New Roman" w:eastAsia="Times New Roman" w:hAnsi="Times New Roman"/>
          <w:sz w:val="20"/>
          <w:szCs w:val="20"/>
        </w:rPr>
        <w:t>.</w:t>
      </w:r>
      <w:r>
        <w:rPr>
          <w:rFonts w:ascii="Times New Roman" w:cs="Times New Roman" w:eastAsia="Times New Roman" w:hAnsi="Times New Roman"/>
          <w:sz w:val="20"/>
          <w:szCs w:val="20"/>
        </w:rPr>
        <w:t xml:space="preserve"> It is also co</w:t>
      </w:r>
      <w:r>
        <w:rPr>
          <w:rFonts w:ascii="Times New Roman" w:cs="Times New Roman" w:eastAsia="Times New Roman" w:hAnsi="Times New Roman"/>
          <w:sz w:val="20"/>
          <w:szCs w:val="20"/>
        </w:rPr>
        <w:t>nfirmed the</w:t>
      </w:r>
      <w:r>
        <w:rPr>
          <w:rFonts w:ascii="Times New Roman" w:cs="Times New Roman" w:eastAsia="Times New Roman" w:hAnsi="Times New Roman"/>
          <w:sz w:val="20"/>
          <w:szCs w:val="20"/>
        </w:rPr>
        <w:t xml:space="preserve"> signaling theory</w:t>
      </w:r>
      <w:r>
        <w:rPr>
          <w:rFonts w:ascii="Times New Roman" w:cs="Times New Roman" w:eastAsia="Times New Roman" w:hAnsi="Times New Roman"/>
          <w:sz w:val="20"/>
          <w:szCs w:val="20"/>
        </w:rPr>
        <w:t xml:space="preserve"> which</w:t>
      </w:r>
      <w:r>
        <w:rPr>
          <w:rFonts w:ascii="Times New Roman" w:cs="Times New Roman" w:eastAsia="Times New Roman" w:hAnsi="Times New Roman"/>
          <w:sz w:val="20"/>
          <w:szCs w:val="20"/>
        </w:rPr>
        <w:t xml:space="preserve"> suggests that firms disclose their sustainability dedication through diverse signals. However, if these signals are perceived as misleading (greenwashing), customers may lose trust in</w:t>
      </w:r>
      <w:r>
        <w:rPr>
          <w:rFonts w:ascii="Times New Roman" w:cs="Times New Roman" w:eastAsia="Times New Roman" w:hAnsi="Times New Roman"/>
          <w:sz w:val="20"/>
          <w:szCs w:val="20"/>
          <w:lang w:val="en-US"/>
        </w:rPr>
        <w:t xml:space="preserve"> fintech firms.</w:t>
      </w:r>
    </w:p>
    <w:p>
      <w:pPr>
        <w:pStyle w:val="style0"/>
        <w:jc w:val="both"/>
        <w:rPr>
          <w:rFonts w:ascii="Times New Roman" w:cs="Times New Roman" w:eastAsia="Times New Roman" w:hAnsi="Times New Roman"/>
          <w:b/>
          <w:bCs/>
          <w:sz w:val="20"/>
          <w:szCs w:val="20"/>
        </w:rPr>
      </w:pPr>
    </w:p>
    <w:p>
      <w:pPr>
        <w:pStyle w:val="style0"/>
        <w:jc w:val="both"/>
        <w:rPr>
          <w:rFonts w:ascii="Times New Roman" w:cs="Times New Roman" w:eastAsia="Times New Roman" w:hAnsi="Times New Roman"/>
          <w:b/>
          <w:bCs/>
          <w:sz w:val="20"/>
          <w:szCs w:val="20"/>
        </w:rPr>
      </w:pPr>
    </w:p>
    <w:p>
      <w:pPr>
        <w:pStyle w:val="style0"/>
        <w:jc w:val="both"/>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4.5.2 Table 6</w:t>
      </w:r>
      <w:r>
        <w:rPr>
          <w:rFonts w:ascii="Times New Roman" w:cs="Times New Roman" w:eastAsia="Times New Roman" w:hAnsi="Times New Roman"/>
          <w:b/>
          <w:bCs/>
          <w:sz w:val="20"/>
          <w:szCs w:val="20"/>
        </w:rPr>
        <w:t>: Model 1</w:t>
      </w:r>
      <w:r>
        <w:rPr>
          <w:rFonts w:ascii="Times New Roman" w:cs="Times New Roman" w:eastAsia="Times New Roman" w:hAnsi="Times New Roman"/>
          <w:b/>
          <w:bCs/>
          <w:sz w:val="20"/>
          <w:szCs w:val="20"/>
        </w:rPr>
        <w:t>:</w:t>
      </w:r>
      <w:r>
        <w:rPr>
          <w:rFonts w:ascii="Times New Roman" w:cs="Times New Roman" w:eastAsia="Times New Roman" w:hAnsi="Times New Roman"/>
          <w:b/>
          <w:bCs/>
          <w:sz w:val="20"/>
          <w:szCs w:val="20"/>
        </w:rPr>
        <w:t xml:space="preserve"> Summary</w:t>
      </w:r>
      <w:r>
        <w:rPr>
          <w:rFonts w:ascii="Times New Roman" w:cs="Times New Roman" w:eastAsia="Times New Roman" w:hAnsi="Times New Roman"/>
          <w:b/>
          <w:bCs/>
          <w:sz w:val="20"/>
          <w:szCs w:val="20"/>
        </w:rPr>
        <w:t xml:space="preserve"> Customer </w:t>
      </w:r>
      <w:r>
        <w:rPr>
          <w:rFonts w:ascii="Times New Roman" w:cs="Times New Roman" w:eastAsia="Times New Roman" w:hAnsi="Times New Roman"/>
          <w:b/>
          <w:bCs/>
          <w:sz w:val="20"/>
          <w:szCs w:val="20"/>
        </w:rPr>
        <w:t>T</w:t>
      </w:r>
      <w:r>
        <w:rPr>
          <w:rFonts w:ascii="Times New Roman" w:cs="Times New Roman" w:eastAsia="Times New Roman" w:hAnsi="Times New Roman"/>
          <w:b/>
          <w:bCs/>
          <w:sz w:val="20"/>
          <w:szCs w:val="20"/>
        </w:rPr>
        <w:t xml:space="preserve">rust </w:t>
      </w:r>
      <w:r>
        <w:rPr>
          <w:rFonts w:ascii="Times New Roman" w:cs="Times New Roman" w:eastAsia="Times New Roman" w:hAnsi="Times New Roman"/>
          <w:b/>
          <w:bCs/>
          <w:sz w:val="20"/>
          <w:szCs w:val="20"/>
        </w:rPr>
        <w:t>as Dependent</w:t>
      </w:r>
      <w:r>
        <w:rPr>
          <w:rFonts w:ascii="Times New Roman" w:cs="Times New Roman" w:eastAsia="Times New Roman" w:hAnsi="Times New Roman"/>
          <w:b/>
          <w:bCs/>
          <w:sz w:val="20"/>
          <w:szCs w:val="20"/>
        </w:rPr>
        <w:t xml:space="preserve"> </w:t>
      </w:r>
      <w:r>
        <w:rPr>
          <w:rFonts w:ascii="Times New Roman" w:cs="Times New Roman" w:eastAsia="Times New Roman" w:hAnsi="Times New Roman"/>
          <w:b/>
          <w:bCs/>
          <w:sz w:val="20"/>
          <w:szCs w:val="20"/>
        </w:rPr>
        <w:t>V</w:t>
      </w:r>
      <w:r>
        <w:rPr>
          <w:rFonts w:ascii="Times New Roman" w:cs="Times New Roman" w:eastAsia="Times New Roman" w:hAnsi="Times New Roman"/>
          <w:b/>
          <w:bCs/>
          <w:sz w:val="20"/>
          <w:szCs w:val="20"/>
        </w:rPr>
        <w:t>ariable</w:t>
      </w:r>
    </w:p>
    <w:tbl>
      <w:tblPr>
        <w:tblStyle w:val="style4111"/>
        <w:tblW w:w="0" w:type="auto"/>
        <w:tblLayout w:type="fixed"/>
        <w:tblLook w:val="06A0" w:firstRow="1" w:lastRow="0" w:firstColumn="1" w:lastColumn="0" w:noHBand="1" w:noVBand="1"/>
      </w:tblPr>
      <w:tblGrid>
        <w:gridCol w:w="3120"/>
        <w:gridCol w:w="3120"/>
        <w:gridCol w:w="3120"/>
      </w:tblGrid>
      <w:tr>
        <w:trPr>
          <w:trHeight w:val="300" w:hRule="atLeast"/>
        </w:trPr>
        <w:tc>
          <w:tcPr>
            <w:tcW w:w="3120" w:type="dxa"/>
            <w:tcBorders/>
          </w:tcPr>
          <w:p>
            <w:pPr>
              <w:pStyle w:val="style0"/>
              <w:rPr>
                <w:rFonts w:ascii="Times New Roman" w:cs="Times New Roman" w:eastAsia="Times New Roman" w:hAnsi="Times New Roman"/>
                <w:b w:val="false"/>
                <w:bCs w:val="false"/>
                <w:sz w:val="20"/>
                <w:szCs w:val="20"/>
              </w:rPr>
            </w:pPr>
            <w:r>
              <w:rPr>
                <w:rFonts w:ascii="Times New Roman" w:cs="Times New Roman" w:eastAsia="Times New Roman" w:hAnsi="Times New Roman"/>
                <w:b w:val="false"/>
                <w:bCs w:val="false"/>
                <w:sz w:val="20"/>
                <w:szCs w:val="20"/>
              </w:rPr>
              <w:t xml:space="preserve">  Step</w:t>
            </w:r>
          </w:p>
        </w:tc>
        <w:tc>
          <w:tcPr>
            <w:tcW w:w="312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b w:val="false"/>
                <w:bCs w:val="false"/>
                <w:sz w:val="20"/>
                <w:szCs w:val="20"/>
              </w:rPr>
              <w:t xml:space="preserve">  R-Square</w:t>
            </w:r>
          </w:p>
        </w:tc>
        <w:tc>
          <w:tcPr>
            <w:tcW w:w="312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b w:val="false"/>
                <w:bCs w:val="false"/>
                <w:sz w:val="20"/>
                <w:szCs w:val="20"/>
              </w:rPr>
              <w:t xml:space="preserve"> Adjusted R-Square</w:t>
            </w:r>
          </w:p>
        </w:tc>
      </w:tr>
      <w:tr>
        <w:tblPrEx/>
        <w:trPr>
          <w:trHeight w:val="300" w:hRule="atLeast"/>
        </w:trPr>
        <w:tc>
          <w:tcPr>
            <w:tcW w:w="3120" w:type="dxa"/>
            <w:tcBorders/>
          </w:tcPr>
          <w:p>
            <w:pPr>
              <w:pStyle w:val="style0"/>
              <w:rPr>
                <w:rFonts w:ascii="Times New Roman" w:cs="Times New Roman" w:eastAsia="Times New Roman" w:hAnsi="Times New Roman"/>
                <w:b w:val="false"/>
                <w:bCs w:val="false"/>
                <w:sz w:val="20"/>
                <w:szCs w:val="20"/>
              </w:rPr>
            </w:pPr>
            <w:r>
              <w:rPr>
                <w:rFonts w:ascii="Times New Roman" w:cs="Times New Roman" w:eastAsia="Times New Roman" w:hAnsi="Times New Roman"/>
                <w:b w:val="false"/>
                <w:bCs w:val="false"/>
                <w:sz w:val="20"/>
                <w:szCs w:val="20"/>
              </w:rPr>
              <w:t xml:space="preserve">   1.</w:t>
            </w:r>
          </w:p>
        </w:tc>
        <w:tc>
          <w:tcPr>
            <w:tcW w:w="312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.104</w:t>
            </w:r>
          </w:p>
        </w:tc>
        <w:tc>
          <w:tcPr>
            <w:tcW w:w="312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.092</w:t>
            </w:r>
          </w:p>
        </w:tc>
      </w:tr>
      <w:tr>
        <w:tblPrEx/>
        <w:trPr>
          <w:trHeight w:val="300" w:hRule="atLeast"/>
        </w:trPr>
        <w:tc>
          <w:tcPr>
            <w:tcW w:w="3120" w:type="dxa"/>
            <w:tcBorders/>
          </w:tcPr>
          <w:p>
            <w:pPr>
              <w:pStyle w:val="style0"/>
              <w:rPr>
                <w:rFonts w:ascii="Times New Roman" w:cs="Times New Roman" w:eastAsia="Times New Roman" w:hAnsi="Times New Roman"/>
                <w:b w:val="false"/>
                <w:bCs w:val="false"/>
                <w:sz w:val="20"/>
                <w:szCs w:val="20"/>
              </w:rPr>
            </w:pPr>
            <w:r>
              <w:rPr>
                <w:rFonts w:ascii="Times New Roman" w:cs="Times New Roman" w:eastAsia="Times New Roman" w:hAnsi="Times New Roman"/>
                <w:b w:val="false"/>
                <w:bCs w:val="false"/>
                <w:sz w:val="20"/>
                <w:szCs w:val="20"/>
              </w:rPr>
              <w:t xml:space="preserve">   2.</w:t>
            </w:r>
          </w:p>
        </w:tc>
        <w:tc>
          <w:tcPr>
            <w:tcW w:w="312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,255</w:t>
            </w:r>
          </w:p>
        </w:tc>
        <w:tc>
          <w:tcPr>
            <w:tcW w:w="312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.243</w:t>
            </w:r>
          </w:p>
        </w:tc>
      </w:tr>
    </w:tbl>
    <w:p>
      <w:pPr>
        <w:pStyle w:val="style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Source: SPSS Version 29</w:t>
      </w:r>
    </w:p>
    <w:p>
      <w:pPr>
        <w:pStyle w:val="style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The above model summary shows the variance or changes in customer trust due to the impact of control variables (Gender, education, financial literacy, and </w:t>
      </w:r>
      <w:r>
        <w:rPr>
          <w:rFonts w:ascii="Times New Roman" w:cs="Times New Roman" w:eastAsia="Times New Roman" w:hAnsi="Times New Roman"/>
          <w:sz w:val="20"/>
          <w:szCs w:val="20"/>
        </w:rPr>
        <w:t>fintech</w:t>
      </w:r>
      <w:r>
        <w:rPr>
          <w:rFonts w:ascii="Times New Roman" w:cs="Times New Roman" w:eastAsia="Times New Roman" w:hAnsi="Times New Roman"/>
          <w:sz w:val="20"/>
          <w:szCs w:val="20"/>
        </w:rPr>
        <w:t xml:space="preserve"> frequency use) and the increase in trust changes as a result of the additional impact of greenwashing perception. The hierarchical regression was run using the control variables and dependent variable Customer Trust. The R square is 0.104 in step one. The independent variable Greenwashing Perception was added in the second step, and the R square increased to 0.225. This indicates that the control variables (Financial literacy, </w:t>
      </w:r>
      <w:r>
        <w:rPr>
          <w:rFonts w:ascii="Times New Roman" w:cs="Times New Roman" w:eastAsia="Times New Roman" w:hAnsi="Times New Roman"/>
          <w:sz w:val="20"/>
          <w:szCs w:val="20"/>
        </w:rPr>
        <w:t>fintech</w:t>
      </w:r>
      <w:r>
        <w:rPr>
          <w:rFonts w:ascii="Times New Roman" w:cs="Times New Roman" w:eastAsia="Times New Roman" w:hAnsi="Times New Roman"/>
          <w:sz w:val="20"/>
          <w:szCs w:val="20"/>
        </w:rPr>
        <w:t xml:space="preserve"> frequency use, gender, and education) explain 10.4% of the trust changes. However, after including the independent variable (Greenwashing Perception), the model explains the change in trust of about 25.5%. This shows that Greenwashing Perception increased the explanatory strength of the model, increasing the R square by 15.1%</w:t>
      </w:r>
    </w:p>
    <w:p>
      <w:pPr>
        <w:pStyle w:val="style0"/>
        <w:jc w:val="both"/>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 xml:space="preserve">4.5.3 Table 7: </w:t>
      </w:r>
      <w:r>
        <w:rPr>
          <w:rFonts w:ascii="Times New Roman" w:cs="Times New Roman" w:eastAsia="Times New Roman" w:hAnsi="Times New Roman"/>
          <w:b/>
          <w:bCs/>
          <w:sz w:val="20"/>
          <w:szCs w:val="20"/>
        </w:rPr>
        <w:t xml:space="preserve">Model 2 Customer Decision-making as </w:t>
      </w:r>
      <w:r>
        <w:rPr>
          <w:rFonts w:ascii="Times New Roman" w:cs="Times New Roman" w:eastAsia="Times New Roman" w:hAnsi="Times New Roman"/>
          <w:b/>
          <w:bCs/>
          <w:sz w:val="20"/>
          <w:szCs w:val="20"/>
        </w:rPr>
        <w:t>D</w:t>
      </w:r>
      <w:r>
        <w:rPr>
          <w:rFonts w:ascii="Times New Roman" w:cs="Times New Roman" w:eastAsia="Times New Roman" w:hAnsi="Times New Roman"/>
          <w:b/>
          <w:bCs/>
          <w:sz w:val="20"/>
          <w:szCs w:val="20"/>
        </w:rPr>
        <w:t xml:space="preserve">ependent </w:t>
      </w:r>
      <w:r>
        <w:rPr>
          <w:rFonts w:ascii="Times New Roman" w:cs="Times New Roman" w:eastAsia="Times New Roman" w:hAnsi="Times New Roman"/>
          <w:b/>
          <w:bCs/>
          <w:sz w:val="20"/>
          <w:szCs w:val="20"/>
        </w:rPr>
        <w:t>V</w:t>
      </w:r>
      <w:r>
        <w:rPr>
          <w:rFonts w:ascii="Times New Roman" w:cs="Times New Roman" w:eastAsia="Times New Roman" w:hAnsi="Times New Roman"/>
          <w:b/>
          <w:bCs/>
          <w:sz w:val="20"/>
          <w:szCs w:val="20"/>
        </w:rPr>
        <w:t>ariable</w:t>
      </w:r>
    </w:p>
    <w:tbl>
      <w:tblPr>
        <w:tblStyle w:val="style4111"/>
        <w:tblW w:w="0" w:type="auto"/>
        <w:tblLayout w:type="fixed"/>
        <w:tblLook w:val="06A0" w:firstRow="1" w:lastRow="0" w:firstColumn="1" w:lastColumn="0" w:noHBand="1" w:noVBand="1"/>
      </w:tblPr>
      <w:tblGrid>
        <w:gridCol w:w="2340"/>
        <w:gridCol w:w="2340"/>
        <w:gridCol w:w="2340"/>
        <w:gridCol w:w="2340"/>
      </w:tblGrid>
      <w:tr>
        <w:trPr>
          <w:trHeight w:val="300" w:hRule="atLeast"/>
        </w:trPr>
        <w:tc>
          <w:tcPr>
            <w:tcW w:w="2340" w:type="dxa"/>
            <w:tcBorders/>
          </w:tcPr>
          <w:p>
            <w:pPr>
              <w:pStyle w:val="style0"/>
              <w:rPr>
                <w:rFonts w:ascii="Times New Roman" w:cs="Times New Roman" w:eastAsia="Times New Roman" w:hAnsi="Times New Roman"/>
                <w:b w:val="false"/>
                <w:bCs w:val="false"/>
                <w:sz w:val="20"/>
                <w:szCs w:val="20"/>
              </w:rPr>
            </w:pPr>
            <w:r>
              <w:rPr>
                <w:rFonts w:ascii="Times New Roman" w:cs="Times New Roman" w:eastAsia="Times New Roman" w:hAnsi="Times New Roman"/>
                <w:b w:val="false"/>
                <w:bCs w:val="false"/>
                <w:sz w:val="20"/>
                <w:szCs w:val="20"/>
              </w:rPr>
              <w:t xml:space="preserve">  Step</w:t>
            </w: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b w:val="false"/>
                <w:bCs w:val="false"/>
                <w:sz w:val="20"/>
                <w:szCs w:val="20"/>
              </w:rPr>
              <w:t xml:space="preserve"> Construct</w:t>
            </w: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b w:val="false"/>
                <w:bCs w:val="false"/>
                <w:sz w:val="20"/>
                <w:szCs w:val="20"/>
              </w:rPr>
              <w:t xml:space="preserve"> Beta Coefficient</w:t>
            </w: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b w:val="false"/>
                <w:bCs w:val="false"/>
                <w:sz w:val="20"/>
                <w:szCs w:val="20"/>
              </w:rPr>
              <w:t xml:space="preserve"> P-value</w:t>
            </w:r>
          </w:p>
        </w:tc>
      </w:tr>
      <w:tr>
        <w:tblPrEx/>
        <w:trPr>
          <w:trHeight w:val="300" w:hRule="atLeast"/>
        </w:trPr>
        <w:tc>
          <w:tcPr>
            <w:tcW w:w="2340" w:type="dxa"/>
            <w:tcBorders/>
          </w:tcPr>
          <w:p>
            <w:pPr>
              <w:pStyle w:val="style0"/>
              <w:rPr>
                <w:rFonts w:ascii="Times New Roman" w:cs="Times New Roman" w:eastAsia="Times New Roman" w:hAnsi="Times New Roman"/>
                <w:b w:val="false"/>
                <w:bCs w:val="false"/>
                <w:sz w:val="20"/>
                <w:szCs w:val="20"/>
              </w:rPr>
            </w:pPr>
            <w:r>
              <w:rPr>
                <w:rFonts w:ascii="Times New Roman" w:cs="Times New Roman" w:eastAsia="Times New Roman" w:hAnsi="Times New Roman"/>
                <w:b w:val="false"/>
                <w:bCs w:val="false"/>
                <w:sz w:val="20"/>
                <w:szCs w:val="20"/>
              </w:rPr>
              <w:t xml:space="preserve">    1.</w:t>
            </w: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(Constant)</w:t>
            </w: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2.142</w:t>
            </w: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&lt; .001</w:t>
            </w:r>
          </w:p>
        </w:tc>
      </w:tr>
      <w:tr>
        <w:tblPrEx/>
        <w:trPr>
          <w:trHeight w:val="300" w:hRule="atLeast"/>
        </w:trPr>
        <w:tc>
          <w:tcPr>
            <w:tcW w:w="2340" w:type="dxa"/>
            <w:tcBorders/>
          </w:tcPr>
          <w:p>
            <w:pPr>
              <w:pStyle w:val="style0"/>
              <w:rPr>
                <w:rFonts w:ascii="Times New Roman" w:cs="Times New Roman" w:eastAsia="Times New Roman" w:hAnsi="Times New Roman"/>
                <w:b w:val="false"/>
                <w:bCs w:val="false"/>
                <w:sz w:val="20"/>
                <w:szCs w:val="20"/>
              </w:rPr>
            </w:pP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w:t>
            </w:r>
            <w:r>
              <w:rPr>
                <w:rFonts w:ascii="Times New Roman" w:cs="Times New Roman" w:eastAsia="Times New Roman" w:hAnsi="Times New Roman"/>
                <w:sz w:val="20"/>
                <w:szCs w:val="20"/>
              </w:rPr>
              <w:t>Gend</w:t>
            </w: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.074</w:t>
            </w: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.579</w:t>
            </w:r>
          </w:p>
        </w:tc>
      </w:tr>
      <w:tr>
        <w:tblPrEx/>
        <w:trPr>
          <w:trHeight w:val="300" w:hRule="atLeast"/>
        </w:trPr>
        <w:tc>
          <w:tcPr>
            <w:tcW w:w="2340" w:type="dxa"/>
            <w:tcBorders/>
          </w:tcPr>
          <w:p>
            <w:pPr>
              <w:pStyle w:val="style0"/>
              <w:rPr>
                <w:rFonts w:ascii="Times New Roman" w:cs="Times New Roman" w:eastAsia="Times New Roman" w:hAnsi="Times New Roman"/>
                <w:b w:val="false"/>
                <w:bCs w:val="false"/>
                <w:sz w:val="20"/>
                <w:szCs w:val="20"/>
              </w:rPr>
            </w:pP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Edu</w:t>
            </w: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.070</w:t>
            </w: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.253</w:t>
            </w:r>
          </w:p>
        </w:tc>
      </w:tr>
      <w:tr>
        <w:tblPrEx/>
        <w:trPr>
          <w:trHeight w:val="300" w:hRule="atLeast"/>
        </w:trPr>
        <w:tc>
          <w:tcPr>
            <w:tcW w:w="2340" w:type="dxa"/>
            <w:tcBorders/>
          </w:tcPr>
          <w:p>
            <w:pPr>
              <w:pStyle w:val="style0"/>
              <w:rPr>
                <w:rFonts w:ascii="Times New Roman" w:cs="Times New Roman" w:eastAsia="Times New Roman" w:hAnsi="Times New Roman"/>
                <w:b w:val="false"/>
                <w:bCs w:val="false"/>
                <w:sz w:val="20"/>
                <w:szCs w:val="20"/>
              </w:rPr>
            </w:pP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FU</w:t>
            </w: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.105</w:t>
            </w: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.003</w:t>
            </w:r>
          </w:p>
        </w:tc>
      </w:tr>
      <w:tr>
        <w:tblPrEx/>
        <w:trPr>
          <w:trHeight w:val="300" w:hRule="atLeast"/>
        </w:trPr>
        <w:tc>
          <w:tcPr>
            <w:tcW w:w="2340" w:type="dxa"/>
            <w:tcBorders/>
          </w:tcPr>
          <w:p>
            <w:pPr>
              <w:pStyle w:val="style0"/>
              <w:rPr>
                <w:rFonts w:ascii="Times New Roman" w:cs="Times New Roman" w:eastAsia="Times New Roman" w:hAnsi="Times New Roman"/>
                <w:b w:val="false"/>
                <w:bCs w:val="false"/>
                <w:sz w:val="20"/>
                <w:szCs w:val="20"/>
              </w:rPr>
            </w:pP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FNL</w:t>
            </w: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.275</w:t>
            </w: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&lt; .001</w:t>
            </w:r>
          </w:p>
        </w:tc>
      </w:tr>
      <w:tr>
        <w:tblPrEx/>
        <w:trPr>
          <w:trHeight w:val="300" w:hRule="atLeast"/>
        </w:trPr>
        <w:tc>
          <w:tcPr>
            <w:tcW w:w="2340" w:type="dxa"/>
            <w:tcBorders/>
          </w:tcPr>
          <w:p>
            <w:pPr>
              <w:pStyle w:val="style0"/>
              <w:rPr>
                <w:rFonts w:ascii="Times New Roman" w:cs="Times New Roman" w:eastAsia="Times New Roman" w:hAnsi="Times New Roman"/>
                <w:b w:val="false"/>
                <w:bCs w:val="false"/>
                <w:sz w:val="20"/>
                <w:szCs w:val="20"/>
              </w:rPr>
            </w:pPr>
            <w:r>
              <w:rPr>
                <w:rFonts w:ascii="Times New Roman" w:cs="Times New Roman" w:eastAsia="Times New Roman" w:hAnsi="Times New Roman"/>
                <w:b w:val="false"/>
                <w:bCs w:val="false"/>
                <w:sz w:val="20"/>
                <w:szCs w:val="20"/>
              </w:rPr>
              <w:t xml:space="preserve">    2.</w:t>
            </w: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(Constant)</w:t>
            </w: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.985</w:t>
            </w: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.045</w:t>
            </w:r>
          </w:p>
        </w:tc>
      </w:tr>
      <w:tr>
        <w:tblPrEx/>
        <w:trPr>
          <w:trHeight w:val="300" w:hRule="atLeast"/>
        </w:trPr>
        <w:tc>
          <w:tcPr>
            <w:tcW w:w="2340" w:type="dxa"/>
            <w:tcBorders/>
          </w:tcPr>
          <w:p>
            <w:pPr>
              <w:pStyle w:val="style0"/>
              <w:rPr>
                <w:rFonts w:ascii="Times New Roman" w:cs="Times New Roman" w:eastAsia="Times New Roman" w:hAnsi="Times New Roman"/>
                <w:b w:val="false"/>
                <w:bCs w:val="false"/>
                <w:sz w:val="20"/>
                <w:szCs w:val="20"/>
              </w:rPr>
            </w:pP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w:t>
            </w:r>
            <w:r>
              <w:rPr>
                <w:rFonts w:ascii="Times New Roman" w:cs="Times New Roman" w:eastAsia="Times New Roman" w:hAnsi="Times New Roman"/>
                <w:sz w:val="20"/>
                <w:szCs w:val="20"/>
              </w:rPr>
              <w:t>Gend</w:t>
            </w: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.031</w:t>
            </w: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.794</w:t>
            </w:r>
          </w:p>
        </w:tc>
      </w:tr>
      <w:tr>
        <w:tblPrEx/>
        <w:trPr>
          <w:trHeight w:val="300" w:hRule="atLeast"/>
        </w:trPr>
        <w:tc>
          <w:tcPr>
            <w:tcW w:w="2340" w:type="dxa"/>
            <w:tcBorders/>
          </w:tcPr>
          <w:p>
            <w:pPr>
              <w:pStyle w:val="style0"/>
              <w:rPr>
                <w:rFonts w:ascii="Times New Roman" w:cs="Times New Roman" w:eastAsia="Times New Roman" w:hAnsi="Times New Roman"/>
                <w:b w:val="false"/>
                <w:bCs w:val="false"/>
                <w:sz w:val="20"/>
                <w:szCs w:val="20"/>
              </w:rPr>
            </w:pP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Edu</w:t>
            </w: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.085</w:t>
            </w: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.116</w:t>
            </w:r>
          </w:p>
        </w:tc>
      </w:tr>
      <w:tr>
        <w:tblPrEx/>
        <w:trPr>
          <w:trHeight w:val="300" w:hRule="atLeast"/>
        </w:trPr>
        <w:tc>
          <w:tcPr>
            <w:tcW w:w="2340" w:type="dxa"/>
            <w:tcBorders/>
          </w:tcPr>
          <w:p>
            <w:pPr>
              <w:pStyle w:val="style0"/>
              <w:rPr>
                <w:rFonts w:ascii="Times New Roman" w:cs="Times New Roman" w:eastAsia="Times New Roman" w:hAnsi="Times New Roman"/>
                <w:b w:val="false"/>
                <w:bCs w:val="false"/>
                <w:sz w:val="20"/>
                <w:szCs w:val="20"/>
              </w:rPr>
            </w:pP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FU</w:t>
            </w: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.084</w:t>
            </w: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.007</w:t>
            </w:r>
          </w:p>
        </w:tc>
      </w:tr>
      <w:tr>
        <w:tblPrEx/>
        <w:trPr>
          <w:trHeight w:val="300" w:hRule="atLeast"/>
        </w:trPr>
        <w:tc>
          <w:tcPr>
            <w:tcW w:w="2340" w:type="dxa"/>
            <w:tcBorders/>
          </w:tcPr>
          <w:p>
            <w:pPr>
              <w:pStyle w:val="style0"/>
              <w:rPr>
                <w:rFonts w:ascii="Times New Roman" w:cs="Times New Roman" w:eastAsia="Times New Roman" w:hAnsi="Times New Roman"/>
                <w:b w:val="false"/>
                <w:bCs w:val="false"/>
                <w:sz w:val="20"/>
                <w:szCs w:val="20"/>
              </w:rPr>
            </w:pP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FNL</w:t>
            </w: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.159</w:t>
            </w: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.003</w:t>
            </w:r>
          </w:p>
        </w:tc>
      </w:tr>
      <w:tr>
        <w:tblPrEx/>
        <w:trPr>
          <w:trHeight w:val="300" w:hRule="atLeast"/>
        </w:trPr>
        <w:tc>
          <w:tcPr>
            <w:tcW w:w="2340" w:type="dxa"/>
            <w:tcBorders/>
          </w:tcPr>
          <w:p>
            <w:pPr>
              <w:pStyle w:val="style0"/>
              <w:rPr>
                <w:rFonts w:ascii="Times New Roman" w:cs="Times New Roman" w:eastAsia="Times New Roman" w:hAnsi="Times New Roman"/>
                <w:b w:val="false"/>
                <w:bCs w:val="false"/>
                <w:sz w:val="20"/>
                <w:szCs w:val="20"/>
              </w:rPr>
            </w:pP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GWP</w:t>
            </w: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.503</w:t>
            </w:r>
          </w:p>
        </w:tc>
        <w:tc>
          <w:tcPr>
            <w:tcW w:w="234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&lt; .001</w:t>
            </w:r>
          </w:p>
        </w:tc>
      </w:tr>
    </w:tbl>
    <w:p>
      <w:pPr>
        <w:pStyle w:val="style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Source: SPSS Version 29</w:t>
      </w:r>
    </w:p>
    <w:p>
      <w:pPr>
        <w:pStyle w:val="style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The above coefficient table indicates the direction and level of significant impact of control variables (Gender, education, financial literacy, and </w:t>
      </w:r>
      <w:r>
        <w:rPr>
          <w:rFonts w:ascii="Times New Roman" w:cs="Times New Roman" w:eastAsia="Times New Roman" w:hAnsi="Times New Roman"/>
          <w:sz w:val="20"/>
          <w:szCs w:val="20"/>
        </w:rPr>
        <w:t>fintech</w:t>
      </w:r>
      <w:r>
        <w:rPr>
          <w:rFonts w:ascii="Times New Roman" w:cs="Times New Roman" w:eastAsia="Times New Roman" w:hAnsi="Times New Roman"/>
          <w:sz w:val="20"/>
          <w:szCs w:val="20"/>
        </w:rPr>
        <w:t xml:space="preserve"> frequency use), and independent variable (Greenwashing Perception) on the dependent variable (Customer Decision-making). The hierarchical regression results indicate that in step one of th</w:t>
      </w:r>
      <w:r>
        <w:rPr>
          <w:rFonts w:ascii="Times New Roman" w:cs="Times New Roman" w:eastAsia="Times New Roman" w:hAnsi="Times New Roman"/>
          <w:sz w:val="20"/>
          <w:szCs w:val="20"/>
        </w:rPr>
        <w:t>is</w:t>
      </w:r>
      <w:r>
        <w:rPr>
          <w:rFonts w:ascii="Times New Roman" w:cs="Times New Roman" w:eastAsia="Times New Roman" w:hAnsi="Times New Roman"/>
          <w:sz w:val="20"/>
          <w:szCs w:val="20"/>
        </w:rPr>
        <w:t xml:space="preserve"> model, only Fintech frequency use and Financial Literacy are significant at p-values of 0.03 and &lt;0.001, with positive coefficients of 0.105 and 0.275, respectively. However, after adding the independent variable (Greenwashing Perception) in model two, greenwashing perception is significant with a p-value of &lt;0.001, which is below 0.05 significance level, with a positive coefficient of 0.503. This shows that greenwashing perception has statistically significant positivity. Additionally, the control variables (Frequency Use and Financial Literacy) are significant at p-values 0.007 and 0.003, with positive coefficients of 0.084 and 0.159, respectively, in step two. This suggests that independent variable (Greenwashing perception) and control variables (Financial literacy and </w:t>
      </w:r>
      <w:r>
        <w:rPr>
          <w:rFonts w:ascii="Times New Roman" w:cs="Times New Roman" w:eastAsia="Times New Roman" w:hAnsi="Times New Roman"/>
          <w:sz w:val="20"/>
          <w:szCs w:val="20"/>
        </w:rPr>
        <w:t>fintech</w:t>
      </w:r>
      <w:r>
        <w:rPr>
          <w:rFonts w:ascii="Times New Roman" w:cs="Times New Roman" w:eastAsia="Times New Roman" w:hAnsi="Times New Roman"/>
          <w:sz w:val="20"/>
          <w:szCs w:val="20"/>
        </w:rPr>
        <w:t xml:space="preserve"> frequency use) have positive significant impact on the dependent variable (customer trust).</w:t>
      </w:r>
    </w:p>
    <w:p>
      <w:pPr>
        <w:pStyle w:val="style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We can deduce that this regression result supports the stated hypotheses</w:t>
      </w:r>
      <w:r>
        <w:rPr>
          <w:rFonts w:ascii="Times New Roman" w:cs="Times New Roman" w:eastAsia="Times New Roman" w:hAnsi="Times New Roman"/>
          <w:sz w:val="20"/>
          <w:szCs w:val="20"/>
        </w:rPr>
        <w:t>: the</w:t>
      </w:r>
      <w:r>
        <w:rPr>
          <w:rFonts w:ascii="Times New Roman" w:cs="Times New Roman" w:eastAsia="Times New Roman" w:hAnsi="Times New Roman"/>
          <w:sz w:val="20"/>
          <w:szCs w:val="20"/>
        </w:rPr>
        <w:t xml:space="preserve"> perception of green washing has a significant impact on customer decision-making </w:t>
      </w:r>
      <w:r>
        <w:rPr>
          <w:rFonts w:ascii="Times New Roman" w:cs="Times New Roman" w:eastAsia="Times New Roman" w:hAnsi="Times New Roman"/>
          <w:sz w:val="20"/>
          <w:szCs w:val="20"/>
        </w:rPr>
        <w:t>regarding</w:t>
      </w:r>
      <w:r>
        <w:rPr>
          <w:rFonts w:ascii="Times New Roman" w:cs="Times New Roman" w:eastAsia="Times New Roman" w:hAnsi="Times New Roman"/>
          <w:sz w:val="20"/>
          <w:szCs w:val="20"/>
        </w:rPr>
        <w:t xml:space="preserve"> Fintech</w:t>
      </w:r>
      <w:r>
        <w:rPr>
          <w:rFonts w:ascii="Times New Roman" w:cs="Times New Roman" w:eastAsia="Times New Roman" w:hAnsi="Times New Roman"/>
          <w:sz w:val="20"/>
          <w:szCs w:val="20"/>
        </w:rPr>
        <w:t xml:space="preserve"> services</w:t>
      </w:r>
      <w:r>
        <w:rPr>
          <w:rFonts w:ascii="Times New Roman" w:cs="Times New Roman" w:eastAsia="Times New Roman" w:hAnsi="Times New Roman"/>
          <w:sz w:val="20"/>
          <w:szCs w:val="20"/>
        </w:rPr>
        <w:t xml:space="preserve">. Although the regression analysis shows a positive and significant coefficient for Greenwashing perception on Customer </w:t>
      </w:r>
      <w:r>
        <w:rPr>
          <w:rFonts w:ascii="Times New Roman" w:cs="Times New Roman" w:eastAsia="Times New Roman" w:hAnsi="Times New Roman"/>
          <w:sz w:val="20"/>
          <w:szCs w:val="20"/>
        </w:rPr>
        <w:t>decision-making (CDM)</w:t>
      </w:r>
      <w:r>
        <w:rPr>
          <w:rFonts w:ascii="Times New Roman" w:cs="Times New Roman" w:eastAsia="Times New Roman" w:hAnsi="Times New Roman"/>
          <w:sz w:val="20"/>
          <w:szCs w:val="20"/>
        </w:rPr>
        <w:t>,</w:t>
      </w:r>
      <w:r>
        <w:rPr>
          <w:rFonts w:ascii="Times New Roman" w:cs="Times New Roman" w:eastAsia="Times New Roman" w:hAnsi="Times New Roman"/>
          <w:sz w:val="20"/>
          <w:szCs w:val="20"/>
        </w:rPr>
        <w:t xml:space="preserve"> </w:t>
      </w:r>
      <w:r>
        <w:rPr>
          <w:rFonts w:ascii="Times New Roman" w:cs="Times New Roman" w:eastAsia="Times New Roman" w:hAnsi="Times New Roman"/>
          <w:sz w:val="20"/>
          <w:szCs w:val="20"/>
        </w:rPr>
        <w:t>this indicates a negative</w:t>
      </w:r>
      <w:r>
        <w:rPr>
          <w:rFonts w:ascii="Times New Roman" w:cs="Times New Roman" w:eastAsia="Times New Roman" w:hAnsi="Times New Roman"/>
          <w:sz w:val="20"/>
          <w:szCs w:val="20"/>
        </w:rPr>
        <w:t xml:space="preserve"> impact</w:t>
      </w:r>
      <w:r>
        <w:rPr>
          <w:rFonts w:ascii="Times New Roman" w:cs="Times New Roman" w:eastAsia="Times New Roman" w:hAnsi="Times New Roman"/>
          <w:sz w:val="20"/>
          <w:szCs w:val="20"/>
        </w:rPr>
        <w:t xml:space="preserve"> on this construct, </w:t>
      </w:r>
      <w:r>
        <w:rPr>
          <w:rFonts w:ascii="Times New Roman" w:cs="Times New Roman" w:eastAsia="Times New Roman" w:hAnsi="Times New Roman"/>
          <w:sz w:val="20"/>
          <w:szCs w:val="20"/>
        </w:rPr>
        <w:t>due to</w:t>
      </w:r>
      <w:r>
        <w:rPr>
          <w:rFonts w:ascii="Times New Roman" w:cs="Times New Roman" w:eastAsia="Times New Roman" w:hAnsi="Times New Roman"/>
          <w:sz w:val="20"/>
          <w:szCs w:val="20"/>
        </w:rPr>
        <w:t xml:space="preserve"> the direction of scoring, as explained in the methodology. The positive</w:t>
      </w:r>
      <w:r>
        <w:rPr>
          <w:rFonts w:ascii="Times New Roman" w:cs="Times New Roman" w:eastAsia="Times New Roman" w:hAnsi="Times New Roman"/>
          <w:sz w:val="20"/>
          <w:szCs w:val="20"/>
        </w:rPr>
        <w:t>ly</w:t>
      </w:r>
      <w:r>
        <w:rPr>
          <w:rFonts w:ascii="Times New Roman" w:cs="Times New Roman" w:eastAsia="Times New Roman" w:hAnsi="Times New Roman"/>
          <w:sz w:val="20"/>
          <w:szCs w:val="20"/>
        </w:rPr>
        <w:t xml:space="preserve"> significant impact of greenwashing on customer </w:t>
      </w:r>
      <w:r>
        <w:rPr>
          <w:rFonts w:ascii="Times New Roman" w:cs="Times New Roman" w:eastAsia="Times New Roman" w:hAnsi="Times New Roman"/>
          <w:sz w:val="20"/>
          <w:szCs w:val="20"/>
        </w:rPr>
        <w:t>decision-making</w:t>
      </w:r>
      <w:r>
        <w:rPr>
          <w:rFonts w:ascii="Times New Roman" w:cs="Times New Roman" w:eastAsia="Times New Roman" w:hAnsi="Times New Roman"/>
          <w:sz w:val="20"/>
          <w:szCs w:val="20"/>
        </w:rPr>
        <w:t xml:space="preserve"> implies that a higher perception of greenwashing is consistent with </w:t>
      </w:r>
      <w:r>
        <w:rPr>
          <w:rFonts w:ascii="Times New Roman" w:cs="Times New Roman" w:eastAsia="Times New Roman" w:hAnsi="Times New Roman"/>
          <w:sz w:val="20"/>
          <w:szCs w:val="20"/>
        </w:rPr>
        <w:t>a negative customer decision-making behavior</w:t>
      </w:r>
      <w:r>
        <w:rPr>
          <w:rFonts w:ascii="Times New Roman" w:cs="Times New Roman" w:eastAsia="Times New Roman" w:hAnsi="Times New Roman"/>
          <w:sz w:val="20"/>
          <w:szCs w:val="20"/>
        </w:rPr>
        <w:t>.</w:t>
      </w:r>
      <w:r>
        <w:rPr>
          <w:rFonts w:ascii="Times New Roman" w:cs="Times New Roman" w:eastAsia="Times New Roman" w:hAnsi="Times New Roman"/>
          <w:sz w:val="20"/>
          <w:szCs w:val="20"/>
        </w:rPr>
        <w:t xml:space="preserve"> </w:t>
      </w:r>
      <w:r>
        <w:rPr>
          <w:rFonts w:ascii="Times New Roman" w:cs="Times New Roman" w:eastAsia="Times New Roman" w:hAnsi="Times New Roman"/>
          <w:sz w:val="20"/>
          <w:szCs w:val="20"/>
        </w:rPr>
        <w:t>The customers are likely to stop or shift to</w:t>
      </w:r>
      <w:r>
        <w:rPr>
          <w:rFonts w:ascii="Times New Roman" w:cs="Times New Roman" w:eastAsia="Times New Roman" w:hAnsi="Times New Roman"/>
          <w:sz w:val="20"/>
          <w:szCs w:val="20"/>
        </w:rPr>
        <w:t xml:space="preserve"> other </w:t>
      </w:r>
      <w:r>
        <w:rPr>
          <w:rFonts w:ascii="Times New Roman" w:cs="Times New Roman" w:eastAsia="Times New Roman" w:hAnsi="Times New Roman"/>
          <w:sz w:val="20"/>
          <w:szCs w:val="20"/>
        </w:rPr>
        <w:t>fintech</w:t>
      </w:r>
      <w:r>
        <w:rPr>
          <w:rFonts w:ascii="Times New Roman" w:cs="Times New Roman" w:eastAsia="Times New Roman" w:hAnsi="Times New Roman"/>
          <w:sz w:val="20"/>
          <w:szCs w:val="20"/>
        </w:rPr>
        <w:t xml:space="preserve"> services </w:t>
      </w:r>
      <w:r>
        <w:rPr>
          <w:rFonts w:ascii="Times New Roman" w:cs="Times New Roman" w:eastAsia="Times New Roman" w:hAnsi="Times New Roman"/>
          <w:sz w:val="20"/>
          <w:szCs w:val="20"/>
        </w:rPr>
        <w:t>that perceived to have not engage in greenwashing practices.</w:t>
      </w:r>
      <w:r>
        <w:rPr>
          <w:rFonts w:ascii="Times New Roman" w:cs="Times New Roman" w:eastAsia="Times New Roman" w:hAnsi="Times New Roman"/>
          <w:sz w:val="20"/>
          <w:szCs w:val="20"/>
        </w:rPr>
        <w:t xml:space="preserve"> </w:t>
      </w:r>
      <w:r>
        <w:rPr>
          <w:rFonts w:ascii="Times New Roman" w:cs="Times New Roman" w:eastAsia="Times New Roman" w:hAnsi="Times New Roman"/>
          <w:sz w:val="20"/>
          <w:szCs w:val="20"/>
        </w:rPr>
        <w:t xml:space="preserve">This finding </w:t>
      </w:r>
      <w:r>
        <w:rPr>
          <w:rFonts w:ascii="Times New Roman" w:cs="Times New Roman" w:eastAsia="Times New Roman" w:hAnsi="Times New Roman"/>
          <w:sz w:val="20"/>
          <w:szCs w:val="20"/>
        </w:rPr>
        <w:t>aligns</w:t>
      </w:r>
      <w:r>
        <w:rPr>
          <w:rFonts w:ascii="Times New Roman" w:cs="Times New Roman" w:eastAsia="Times New Roman" w:hAnsi="Times New Roman"/>
          <w:sz w:val="20"/>
          <w:szCs w:val="20"/>
        </w:rPr>
        <w:t xml:space="preserve"> with the study of </w:t>
      </w:r>
      <w:r>
        <w:rPr>
          <w:rFonts w:ascii="Times New Roman" w:cs="Times New Roman" w:eastAsia="Times New Roman" w:hAnsi="Times New Roman"/>
          <w:sz w:val="20"/>
          <w:szCs w:val="20"/>
        </w:rPr>
        <w:t>Savitha</w:t>
      </w:r>
      <w:r>
        <w:rPr>
          <w:rFonts w:ascii="Times New Roman" w:cs="Times New Roman" w:eastAsia="Times New Roman" w:hAnsi="Times New Roman"/>
          <w:sz w:val="20"/>
          <w:szCs w:val="20"/>
        </w:rPr>
        <w:t xml:space="preserve"> et al.</w:t>
      </w:r>
      <w:r>
        <w:rPr>
          <w:rFonts w:ascii="Times New Roman" w:cs="Times New Roman" w:eastAsia="Times New Roman" w:hAnsi="Times New Roman"/>
          <w:sz w:val="20"/>
          <w:szCs w:val="20"/>
        </w:rPr>
        <w:t xml:space="preserve"> (202</w:t>
      </w:r>
      <w:r>
        <w:rPr>
          <w:rFonts w:ascii="Times New Roman" w:cs="Times New Roman" w:eastAsia="Times New Roman" w:hAnsi="Times New Roman"/>
          <w:sz w:val="20"/>
          <w:szCs w:val="20"/>
        </w:rPr>
        <w:t>2</w:t>
      </w:r>
      <w:r>
        <w:rPr>
          <w:rFonts w:ascii="Times New Roman" w:cs="Times New Roman" w:eastAsia="Times New Roman" w:hAnsi="Times New Roman"/>
          <w:sz w:val="20"/>
          <w:szCs w:val="20"/>
        </w:rPr>
        <w:t xml:space="preserve">) </w:t>
      </w:r>
      <w:r>
        <w:rPr>
          <w:rFonts w:ascii="Times New Roman" w:cs="Times New Roman" w:eastAsia="Times New Roman" w:hAnsi="Times New Roman"/>
          <w:sz w:val="20"/>
          <w:szCs w:val="20"/>
        </w:rPr>
        <w:t xml:space="preserve">which confirmed </w:t>
      </w:r>
      <w:r>
        <w:rPr>
          <w:rFonts w:ascii="Times New Roman" w:cs="Times New Roman" w:eastAsia="Times New Roman" w:hAnsi="Times New Roman"/>
          <w:sz w:val="20"/>
          <w:szCs w:val="20"/>
        </w:rPr>
        <w:t>that the</w:t>
      </w:r>
      <w:r>
        <w:rPr>
          <w:rFonts w:ascii="Times New Roman" w:cs="Times New Roman" w:eastAsia="Times New Roman" w:hAnsi="Times New Roman"/>
          <w:sz w:val="20"/>
          <w:szCs w:val="20"/>
        </w:rPr>
        <w:t xml:space="preserve"> </w:t>
      </w:r>
      <w:r>
        <w:rPr>
          <w:rFonts w:ascii="Times New Roman" w:cs="Times New Roman" w:eastAsia="Times New Roman" w:hAnsi="Times New Roman"/>
          <w:sz w:val="20"/>
          <w:szCs w:val="20"/>
        </w:rPr>
        <w:t xml:space="preserve">recognition of </w:t>
      </w:r>
      <w:r>
        <w:rPr>
          <w:rFonts w:ascii="Times New Roman" w:cs="Times New Roman" w:eastAsia="Times New Roman" w:hAnsi="Times New Roman"/>
          <w:sz w:val="20"/>
          <w:szCs w:val="20"/>
        </w:rPr>
        <w:t xml:space="preserve">previous expectations and perception of usefulness after adoption </w:t>
      </w:r>
      <w:r>
        <w:rPr>
          <w:rFonts w:ascii="Times New Roman" w:cs="Times New Roman" w:eastAsia="Times New Roman" w:hAnsi="Times New Roman"/>
          <w:sz w:val="20"/>
          <w:szCs w:val="20"/>
        </w:rPr>
        <w:t>are key factors in driving the willingness to continue using Fin Tech paym</w:t>
      </w:r>
      <w:r>
        <w:rPr>
          <w:rFonts w:ascii="Times New Roman" w:cs="Times New Roman" w:eastAsia="Times New Roman" w:hAnsi="Times New Roman"/>
          <w:sz w:val="20"/>
          <w:szCs w:val="20"/>
        </w:rPr>
        <w:t>ent services.</w:t>
      </w:r>
      <w:r>
        <w:rPr>
          <w:rFonts w:ascii="Times New Roman" w:cs="Times New Roman" w:eastAsia="Times New Roman" w:hAnsi="Times New Roman"/>
          <w:sz w:val="20"/>
          <w:szCs w:val="20"/>
        </w:rPr>
        <w:t xml:space="preserve"> It also confirmed the Theory of Planned Behavior (TPB) wh</w:t>
      </w:r>
      <w:r>
        <w:rPr>
          <w:rFonts w:ascii="Times New Roman" w:cs="Times New Roman" w:eastAsia="Times New Roman" w:hAnsi="Times New Roman"/>
          <w:sz w:val="20"/>
          <w:szCs w:val="20"/>
        </w:rPr>
        <w:t>ich</w:t>
      </w:r>
      <w:r>
        <w:rPr>
          <w:rFonts w:ascii="Times New Roman" w:cs="Times New Roman" w:eastAsia="Times New Roman" w:hAnsi="Times New Roman"/>
          <w:sz w:val="20"/>
          <w:szCs w:val="20"/>
        </w:rPr>
        <w:t xml:space="preserve"> </w:t>
      </w:r>
      <w:r>
        <w:rPr>
          <w:rFonts w:ascii="Times New Roman" w:cs="Times New Roman" w:eastAsia="Times New Roman" w:hAnsi="Times New Roman"/>
          <w:sz w:val="20"/>
          <w:szCs w:val="20"/>
        </w:rPr>
        <w:t>pos</w:t>
      </w:r>
      <w:r>
        <w:rPr>
          <w:rFonts w:ascii="Times New Roman" w:cs="Times New Roman" w:eastAsia="Times New Roman" w:hAnsi="Times New Roman"/>
          <w:sz w:val="20"/>
          <w:szCs w:val="20"/>
        </w:rPr>
        <w:t>ists</w:t>
      </w:r>
      <w:r>
        <w:rPr>
          <w:rFonts w:ascii="Times New Roman" w:cs="Times New Roman" w:eastAsia="Times New Roman" w:hAnsi="Times New Roman"/>
          <w:sz w:val="20"/>
          <w:szCs w:val="20"/>
        </w:rPr>
        <w:t xml:space="preserve"> that consumer decisions are influenced by their perceptions and attitudes. If greenwashing adversely affects perceptions, it may influence their decision to engage with </w:t>
      </w:r>
      <w:r>
        <w:rPr>
          <w:rFonts w:ascii="Times New Roman" w:cs="Times New Roman" w:eastAsia="Times New Roman" w:hAnsi="Times New Roman"/>
          <w:sz w:val="20"/>
          <w:szCs w:val="20"/>
        </w:rPr>
        <w:t>fintech</w:t>
      </w:r>
      <w:r>
        <w:rPr>
          <w:rFonts w:ascii="Times New Roman" w:cs="Times New Roman" w:eastAsia="Times New Roman" w:hAnsi="Times New Roman"/>
          <w:sz w:val="20"/>
          <w:szCs w:val="20"/>
        </w:rPr>
        <w:t xml:space="preserve"> services.</w:t>
      </w:r>
    </w:p>
    <w:p>
      <w:pPr>
        <w:pStyle w:val="style0"/>
        <w:jc w:val="both"/>
        <w:rPr>
          <w:rFonts w:ascii="Times New Roman" w:cs="Times New Roman" w:eastAsia="Times New Roman" w:hAnsi="Times New Roman"/>
          <w:b/>
          <w:bCs/>
          <w:sz w:val="20"/>
          <w:szCs w:val="20"/>
        </w:rPr>
      </w:pPr>
      <w:r>
        <w:rPr>
          <w:rFonts w:ascii="Times New Roman" w:cs="Times New Roman" w:eastAsia="Times New Roman" w:hAnsi="Times New Roman"/>
          <w:b/>
          <w:bCs/>
          <w:sz w:val="20"/>
          <w:szCs w:val="20"/>
        </w:rPr>
        <w:t>4</w:t>
      </w:r>
      <w:r>
        <w:rPr>
          <w:rFonts w:ascii="Times New Roman" w:cs="Times New Roman" w:eastAsia="Times New Roman" w:hAnsi="Times New Roman"/>
          <w:b/>
          <w:bCs/>
          <w:sz w:val="20"/>
          <w:szCs w:val="20"/>
        </w:rPr>
        <w:t>.</w:t>
      </w:r>
      <w:r>
        <w:rPr>
          <w:rFonts w:ascii="Times New Roman" w:cs="Times New Roman" w:eastAsia="Times New Roman" w:hAnsi="Times New Roman"/>
          <w:b/>
          <w:bCs/>
          <w:sz w:val="20"/>
          <w:szCs w:val="20"/>
        </w:rPr>
        <w:t>5.</w:t>
      </w:r>
      <w:r>
        <w:rPr>
          <w:rFonts w:ascii="Times New Roman" w:cs="Times New Roman" w:eastAsia="Times New Roman" w:hAnsi="Times New Roman"/>
          <w:b/>
          <w:bCs/>
          <w:sz w:val="20"/>
          <w:szCs w:val="20"/>
        </w:rPr>
        <w:t>4 Table 8: Model 2 Summary</w:t>
      </w:r>
      <w:r>
        <w:rPr>
          <w:rFonts w:ascii="Times New Roman" w:cs="Times New Roman" w:eastAsia="Times New Roman" w:hAnsi="Times New Roman"/>
          <w:b/>
          <w:bCs/>
          <w:sz w:val="20"/>
          <w:szCs w:val="20"/>
        </w:rPr>
        <w:t xml:space="preserve"> Customer decision-making as the in</w:t>
      </w:r>
      <w:r>
        <w:rPr>
          <w:rFonts w:ascii="Times New Roman" w:cs="Times New Roman" w:eastAsia="Times New Roman" w:hAnsi="Times New Roman"/>
          <w:b/>
          <w:bCs/>
          <w:sz w:val="20"/>
          <w:szCs w:val="20"/>
        </w:rPr>
        <w:t>dependent variable</w:t>
      </w:r>
    </w:p>
    <w:tbl>
      <w:tblPr>
        <w:tblStyle w:val="style4111"/>
        <w:tblW w:w="0" w:type="auto"/>
        <w:tblLayout w:type="fixed"/>
        <w:tblLook w:val="06A0" w:firstRow="1" w:lastRow="0" w:firstColumn="1" w:lastColumn="0" w:noHBand="1" w:noVBand="1"/>
      </w:tblPr>
      <w:tblGrid>
        <w:gridCol w:w="3120"/>
        <w:gridCol w:w="3120"/>
        <w:gridCol w:w="3120"/>
      </w:tblGrid>
      <w:tr>
        <w:trPr>
          <w:trHeight w:val="300" w:hRule="atLeast"/>
        </w:trPr>
        <w:tc>
          <w:tcPr>
            <w:tcW w:w="3120" w:type="dxa"/>
            <w:tcBorders/>
          </w:tcPr>
          <w:p>
            <w:pPr>
              <w:pStyle w:val="style0"/>
              <w:rPr>
                <w:rFonts w:ascii="Times New Roman" w:cs="Times New Roman" w:eastAsia="Times New Roman" w:hAnsi="Times New Roman"/>
                <w:b w:val="false"/>
                <w:bCs w:val="false"/>
                <w:sz w:val="20"/>
                <w:szCs w:val="20"/>
              </w:rPr>
            </w:pPr>
            <w:r>
              <w:rPr>
                <w:rFonts w:ascii="Times New Roman" w:cs="Times New Roman" w:eastAsia="Times New Roman" w:hAnsi="Times New Roman"/>
                <w:b w:val="false"/>
                <w:bCs w:val="false"/>
                <w:sz w:val="20"/>
                <w:szCs w:val="20"/>
              </w:rPr>
              <w:t xml:space="preserve">  Step</w:t>
            </w:r>
          </w:p>
        </w:tc>
        <w:tc>
          <w:tcPr>
            <w:tcW w:w="312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b w:val="false"/>
                <w:bCs w:val="false"/>
                <w:sz w:val="20"/>
                <w:szCs w:val="20"/>
              </w:rPr>
              <w:t xml:space="preserve"> R-Square</w:t>
            </w:r>
          </w:p>
        </w:tc>
        <w:tc>
          <w:tcPr>
            <w:tcW w:w="312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b w:val="false"/>
                <w:bCs w:val="false"/>
                <w:sz w:val="20"/>
                <w:szCs w:val="20"/>
              </w:rPr>
              <w:t xml:space="preserve"> Adjusted R-Square</w:t>
            </w:r>
          </w:p>
        </w:tc>
      </w:tr>
      <w:tr>
        <w:tblPrEx/>
        <w:trPr>
          <w:trHeight w:val="300" w:hRule="atLeast"/>
        </w:trPr>
        <w:tc>
          <w:tcPr>
            <w:tcW w:w="3120" w:type="dxa"/>
            <w:tcBorders/>
          </w:tcPr>
          <w:p>
            <w:pPr>
              <w:pStyle w:val="style0"/>
              <w:rPr>
                <w:rFonts w:ascii="Times New Roman" w:cs="Times New Roman" w:eastAsia="Times New Roman" w:hAnsi="Times New Roman"/>
                <w:b w:val="false"/>
                <w:bCs w:val="false"/>
                <w:sz w:val="20"/>
                <w:szCs w:val="20"/>
              </w:rPr>
            </w:pPr>
            <w:r>
              <w:rPr>
                <w:rFonts w:ascii="Times New Roman" w:cs="Times New Roman" w:eastAsia="Times New Roman" w:hAnsi="Times New Roman"/>
                <w:b w:val="false"/>
                <w:bCs w:val="false"/>
                <w:sz w:val="20"/>
                <w:szCs w:val="20"/>
              </w:rPr>
              <w:t xml:space="preserve">   1.</w:t>
            </w:r>
          </w:p>
        </w:tc>
        <w:tc>
          <w:tcPr>
            <w:tcW w:w="312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.388</w:t>
            </w:r>
          </w:p>
        </w:tc>
        <w:tc>
          <w:tcPr>
            <w:tcW w:w="312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.139</w:t>
            </w:r>
          </w:p>
        </w:tc>
      </w:tr>
      <w:tr>
        <w:tblPrEx/>
        <w:trPr>
          <w:trHeight w:val="300" w:hRule="atLeast"/>
        </w:trPr>
        <w:tc>
          <w:tcPr>
            <w:tcW w:w="3120" w:type="dxa"/>
            <w:tcBorders/>
          </w:tcPr>
          <w:p>
            <w:pPr>
              <w:pStyle w:val="style0"/>
              <w:rPr>
                <w:rFonts w:ascii="Times New Roman" w:cs="Times New Roman" w:eastAsia="Times New Roman" w:hAnsi="Times New Roman"/>
                <w:b w:val="false"/>
                <w:bCs w:val="false"/>
                <w:sz w:val="20"/>
                <w:szCs w:val="20"/>
              </w:rPr>
            </w:pPr>
            <w:r>
              <w:rPr>
                <w:rFonts w:ascii="Times New Roman" w:cs="Times New Roman" w:eastAsia="Times New Roman" w:hAnsi="Times New Roman"/>
                <w:b w:val="false"/>
                <w:bCs w:val="false"/>
                <w:sz w:val="20"/>
                <w:szCs w:val="20"/>
              </w:rPr>
              <w:t xml:space="preserve">   2.</w:t>
            </w:r>
          </w:p>
        </w:tc>
        <w:tc>
          <w:tcPr>
            <w:tcW w:w="312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.577</w:t>
            </w:r>
          </w:p>
        </w:tc>
        <w:tc>
          <w:tcPr>
            <w:tcW w:w="3120" w:type="dxa"/>
            <w:tcBorders/>
          </w:tcPr>
          <w:p>
            <w:pPr>
              <w:pStyle w:val="style0"/>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     .322</w:t>
            </w:r>
          </w:p>
        </w:tc>
      </w:tr>
    </w:tbl>
    <w:p>
      <w:pPr>
        <w:pStyle w:val="style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Source: SPSS Version 29</w:t>
      </w:r>
    </w:p>
    <w:p>
      <w:pPr>
        <w:pStyle w:val="style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The above model summary shows the variance or changes in customer decision-making due to the impact of control variables (Gender, education, financial literacy, and </w:t>
      </w:r>
      <w:r>
        <w:rPr>
          <w:rFonts w:ascii="Times New Roman" w:cs="Times New Roman" w:eastAsia="Times New Roman" w:hAnsi="Times New Roman"/>
          <w:sz w:val="20"/>
          <w:szCs w:val="20"/>
        </w:rPr>
        <w:t>fintech</w:t>
      </w:r>
      <w:r>
        <w:rPr>
          <w:rFonts w:ascii="Times New Roman" w:cs="Times New Roman" w:eastAsia="Times New Roman" w:hAnsi="Times New Roman"/>
          <w:sz w:val="20"/>
          <w:szCs w:val="20"/>
        </w:rPr>
        <w:t xml:space="preserve"> frequency use) and the increase in decision-making changes </w:t>
      </w:r>
      <w:r>
        <w:rPr>
          <w:rFonts w:ascii="Times New Roman" w:cs="Times New Roman" w:eastAsia="Times New Roman" w:hAnsi="Times New Roman"/>
          <w:sz w:val="20"/>
          <w:szCs w:val="20"/>
        </w:rPr>
        <w:t>because of</w:t>
      </w:r>
      <w:r>
        <w:rPr>
          <w:rFonts w:ascii="Times New Roman" w:cs="Times New Roman" w:eastAsia="Times New Roman" w:hAnsi="Times New Roman"/>
          <w:sz w:val="20"/>
          <w:szCs w:val="20"/>
        </w:rPr>
        <w:t xml:space="preserve"> the additional impact of greenwashing perception. After running the hierarchical regression using the control variables and the dependent variable (Customer Decision), the R square is 0.151 in the first step. The independent variable Greenwashing Perception was added in the second step, and the R square increased to 0.333. This indicates that the control variables explain variance in decision-making by about 15.5%. However, after including the independent variable (Greenwashing Perception), the model explains variance in decision-making by about 33.3%. This shows that Greenwashing Perception increases the additional explanatory strength of the model, increasing the R square by 17.8%</w:t>
      </w:r>
      <w:r>
        <w:rPr>
          <w:rFonts w:ascii="Times New Roman" w:cs="Times New Roman" w:eastAsia="Times New Roman" w:hAnsi="Times New Roman"/>
          <w:sz w:val="20"/>
          <w:szCs w:val="20"/>
        </w:rPr>
        <w:t xml:space="preserve">, and it has more impact on customer decision-making regarding </w:t>
      </w:r>
      <w:r>
        <w:rPr>
          <w:rFonts w:ascii="Times New Roman" w:cs="Times New Roman" w:eastAsia="Times New Roman" w:hAnsi="Times New Roman"/>
          <w:sz w:val="20"/>
          <w:szCs w:val="20"/>
        </w:rPr>
        <w:t>fintech</w:t>
      </w:r>
      <w:r>
        <w:rPr>
          <w:rFonts w:ascii="Times New Roman" w:cs="Times New Roman" w:eastAsia="Times New Roman" w:hAnsi="Times New Roman"/>
          <w:sz w:val="20"/>
          <w:szCs w:val="20"/>
        </w:rPr>
        <w:t xml:space="preserve"> services.</w:t>
      </w:r>
    </w:p>
    <w:p>
      <w:pPr>
        <w:pStyle w:val="style0"/>
        <w:jc w:val="both"/>
        <w:rPr>
          <w:rFonts w:ascii="Times New Roman" w:cs="Times New Roman" w:eastAsia="Times New Roman" w:hAnsi="Times New Roman"/>
          <w:b/>
          <w:bCs/>
        </w:rPr>
      </w:pPr>
      <w:r>
        <w:rPr>
          <w:rFonts w:ascii="Times New Roman" w:cs="Times New Roman" w:eastAsia="Times New Roman" w:hAnsi="Times New Roman"/>
          <w:b/>
          <w:bCs/>
        </w:rPr>
        <w:t xml:space="preserve">5. </w:t>
      </w:r>
      <w:r>
        <w:rPr>
          <w:rFonts w:ascii="Times New Roman" w:cs="Times New Roman" w:eastAsia="Times New Roman" w:hAnsi="Times New Roman"/>
          <w:b/>
          <w:bCs/>
        </w:rPr>
        <w:t>CONCLUSION AND FUTURE RESEARCH CONSIDERATIONS</w:t>
      </w:r>
    </w:p>
    <w:p>
      <w:pPr>
        <w:pStyle w:val="style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 xml:space="preserve">The research explored the perceived influence of </w:t>
      </w:r>
      <w:r>
        <w:rPr>
          <w:rFonts w:ascii="Times New Roman" w:cs="Times New Roman" w:eastAsia="Times New Roman" w:hAnsi="Times New Roman"/>
          <w:sz w:val="20"/>
          <w:szCs w:val="20"/>
        </w:rPr>
        <w:t>fintech</w:t>
      </w:r>
      <w:r>
        <w:rPr>
          <w:rFonts w:ascii="Times New Roman" w:cs="Times New Roman" w:eastAsia="Times New Roman" w:hAnsi="Times New Roman"/>
          <w:sz w:val="20"/>
          <w:szCs w:val="20"/>
        </w:rPr>
        <w:t xml:space="preserve"> greenwashing on customer trust and decision-making. It provides valuable insights into how perception of greenwashing affects customer trust and decision-making in </w:t>
      </w:r>
      <w:r>
        <w:rPr>
          <w:rFonts w:ascii="Times New Roman" w:cs="Times New Roman" w:eastAsia="Times New Roman" w:hAnsi="Times New Roman"/>
          <w:sz w:val="20"/>
          <w:szCs w:val="20"/>
        </w:rPr>
        <w:t>fintech</w:t>
      </w:r>
      <w:r>
        <w:rPr>
          <w:rFonts w:ascii="Times New Roman" w:cs="Times New Roman" w:eastAsia="Times New Roman" w:hAnsi="Times New Roman"/>
          <w:sz w:val="20"/>
          <w:szCs w:val="20"/>
        </w:rPr>
        <w:t xml:space="preserve"> companies. By perceiving these impacts, policymakers, </w:t>
      </w:r>
      <w:r>
        <w:rPr>
          <w:rFonts w:ascii="Times New Roman" w:cs="Times New Roman" w:eastAsia="Times New Roman" w:hAnsi="Times New Roman"/>
          <w:sz w:val="20"/>
          <w:szCs w:val="20"/>
        </w:rPr>
        <w:t>fintech</w:t>
      </w:r>
      <w:r>
        <w:rPr>
          <w:rFonts w:ascii="Times New Roman" w:cs="Times New Roman" w:eastAsia="Times New Roman" w:hAnsi="Times New Roman"/>
          <w:sz w:val="20"/>
          <w:szCs w:val="20"/>
        </w:rPr>
        <w:t xml:space="preserve"> companies, and marketers could ensure and maintain ethical practices, genuine environmental claims, avoid greenwashing practices, and enhance customer relationships by providing green financial products and services. Furthermore, the study underscores the perception of </w:t>
      </w:r>
      <w:r>
        <w:rPr>
          <w:rFonts w:ascii="Times New Roman" w:cs="Times New Roman" w:eastAsia="Times New Roman" w:hAnsi="Times New Roman"/>
          <w:sz w:val="20"/>
          <w:szCs w:val="20"/>
        </w:rPr>
        <w:t>fintech</w:t>
      </w:r>
      <w:r>
        <w:rPr>
          <w:rFonts w:ascii="Times New Roman" w:cs="Times New Roman" w:eastAsia="Times New Roman" w:hAnsi="Times New Roman"/>
          <w:sz w:val="20"/>
          <w:szCs w:val="20"/>
        </w:rPr>
        <w:t xml:space="preserve"> customers on </w:t>
      </w:r>
      <w:r>
        <w:rPr>
          <w:rFonts w:ascii="Times New Roman" w:cs="Times New Roman" w:eastAsia="Times New Roman" w:hAnsi="Times New Roman"/>
          <w:sz w:val="20"/>
          <w:szCs w:val="20"/>
        </w:rPr>
        <w:t>fintech</w:t>
      </w:r>
      <w:r>
        <w:rPr>
          <w:rFonts w:ascii="Times New Roman" w:cs="Times New Roman" w:eastAsia="Times New Roman" w:hAnsi="Times New Roman"/>
          <w:sz w:val="20"/>
          <w:szCs w:val="20"/>
        </w:rPr>
        <w:t xml:space="preserve"> greenwashing towards their attitudes for trust and decision-making regarding the </w:t>
      </w:r>
      <w:r>
        <w:rPr>
          <w:rFonts w:ascii="Times New Roman" w:cs="Times New Roman" w:eastAsia="Times New Roman" w:hAnsi="Times New Roman"/>
          <w:sz w:val="20"/>
          <w:szCs w:val="20"/>
        </w:rPr>
        <w:t>fintech</w:t>
      </w:r>
      <w:r>
        <w:rPr>
          <w:rFonts w:ascii="Times New Roman" w:cs="Times New Roman" w:eastAsia="Times New Roman" w:hAnsi="Times New Roman"/>
          <w:sz w:val="20"/>
          <w:szCs w:val="20"/>
        </w:rPr>
        <w:t xml:space="preserve"> products and services. This would enhance </w:t>
      </w:r>
      <w:r>
        <w:rPr>
          <w:rFonts w:ascii="Times New Roman" w:cs="Times New Roman" w:eastAsia="Times New Roman" w:hAnsi="Times New Roman"/>
          <w:sz w:val="20"/>
          <w:szCs w:val="20"/>
        </w:rPr>
        <w:t>fintech</w:t>
      </w:r>
      <w:r>
        <w:rPr>
          <w:rFonts w:ascii="Times New Roman" w:cs="Times New Roman" w:eastAsia="Times New Roman" w:hAnsi="Times New Roman"/>
          <w:sz w:val="20"/>
          <w:szCs w:val="20"/>
        </w:rPr>
        <w:t xml:space="preserve"> companies to focus on green financial products and promote ecofriendly services without elements of misleading practices. Engaging in such misleading practices will affect their long-term potentiality and brand reputation. Thus, it is imperative to study the long-term impact of </w:t>
      </w:r>
      <w:r>
        <w:rPr>
          <w:rFonts w:ascii="Times New Roman" w:cs="Times New Roman" w:eastAsia="Times New Roman" w:hAnsi="Times New Roman"/>
          <w:sz w:val="20"/>
          <w:szCs w:val="20"/>
        </w:rPr>
        <w:t>fintech</w:t>
      </w:r>
      <w:r>
        <w:rPr>
          <w:rFonts w:ascii="Times New Roman" w:cs="Times New Roman" w:eastAsia="Times New Roman" w:hAnsi="Times New Roman"/>
          <w:sz w:val="20"/>
          <w:szCs w:val="20"/>
        </w:rPr>
        <w:t xml:space="preserve"> greenwashing on brand reputation and customer loyalty in the subsequent research.</w:t>
      </w:r>
      <w:r>
        <w:rPr>
          <w:rFonts w:ascii="Times New Roman" w:cs="Times New Roman" w:eastAsia="Times New Roman" w:hAnsi="Times New Roman"/>
          <w:sz w:val="20"/>
          <w:szCs w:val="20"/>
        </w:rPr>
        <w:t xml:space="preserve"> However, future resear</w:t>
      </w:r>
      <w:r>
        <w:rPr>
          <w:rFonts w:ascii="Times New Roman" w:cs="Times New Roman" w:eastAsia="Times New Roman" w:hAnsi="Times New Roman"/>
          <w:sz w:val="20"/>
          <w:szCs w:val="20"/>
        </w:rPr>
        <w:t xml:space="preserve">chers should investigate the </w:t>
      </w:r>
      <w:r>
        <w:rPr>
          <w:rFonts w:ascii="Times New Roman" w:cs="Times New Roman" w:eastAsia="Times New Roman" w:hAnsi="Times New Roman"/>
          <w:sz w:val="20"/>
          <w:szCs w:val="20"/>
        </w:rPr>
        <w:t>the</w:t>
      </w:r>
      <w:r>
        <w:rPr>
          <w:rFonts w:ascii="Times New Roman" w:cs="Times New Roman" w:eastAsia="Times New Roman" w:hAnsi="Times New Roman"/>
          <w:sz w:val="20"/>
          <w:szCs w:val="20"/>
        </w:rPr>
        <w:t xml:space="preserve"> moderating effec</w:t>
      </w:r>
      <w:r>
        <w:rPr>
          <w:rFonts w:ascii="Times New Roman" w:cs="Times New Roman" w:eastAsia="Times New Roman" w:hAnsi="Times New Roman"/>
          <w:sz w:val="20"/>
          <w:szCs w:val="20"/>
        </w:rPr>
        <w:t xml:space="preserve">ts of financial literacy on greenwashing perception in relation </w:t>
      </w:r>
      <w:r>
        <w:rPr>
          <w:rFonts w:ascii="Times New Roman" w:cs="Times New Roman" w:eastAsia="Times New Roman" w:hAnsi="Times New Roman"/>
          <w:sz w:val="20"/>
          <w:szCs w:val="20"/>
        </w:rPr>
        <w:t>to customer trust and decision-making.</w:t>
      </w:r>
    </w:p>
    <w:p>
      <w:pPr>
        <w:pStyle w:val="style0"/>
        <w:jc w:val="both"/>
        <w:rPr>
          <w:rFonts w:ascii="Times New Roman" w:cs="Times New Roman" w:eastAsia="Times New Roman" w:hAnsi="Times New Roman"/>
          <w:b/>
          <w:bCs/>
        </w:rPr>
      </w:pPr>
      <w:r>
        <w:rPr>
          <w:rFonts w:ascii="Times New Roman" w:cs="Times New Roman" w:eastAsia="Times New Roman" w:hAnsi="Times New Roman"/>
          <w:b/>
          <w:bCs/>
        </w:rPr>
        <w:t>REFERENCES</w:t>
      </w:r>
    </w:p>
    <w:p>
      <w:pPr>
        <w:pStyle w:val="style0"/>
        <w:ind w:left="720" w:hanging="720"/>
        <w:jc w:val="both"/>
        <w:rPr>
          <w:rFonts w:ascii="Times New Roman" w:cs="Times New Roman" w:eastAsia="Times New Roman" w:hAnsi="Times New Roman"/>
          <w:sz w:val="20"/>
          <w:szCs w:val="20"/>
        </w:rPr>
      </w:pPr>
      <w:r>
        <w:rPr>
          <w:rFonts w:ascii="Times New Roman" w:cs="Times New Roman" w:eastAsia="Times New Roman" w:hAnsi="Times New Roman"/>
          <w:sz w:val="20"/>
          <w:szCs w:val="20"/>
        </w:rPr>
        <w:t>Al-</w:t>
      </w:r>
      <w:r>
        <w:rPr>
          <w:rFonts w:ascii="Times New Roman" w:cs="Times New Roman" w:eastAsia="Times New Roman" w:hAnsi="Times New Roman"/>
          <w:sz w:val="20"/>
          <w:szCs w:val="20"/>
        </w:rPr>
        <w:t>Okaily</w:t>
      </w:r>
      <w:r>
        <w:rPr>
          <w:rFonts w:ascii="Times New Roman" w:cs="Times New Roman" w:eastAsia="Times New Roman" w:hAnsi="Times New Roman"/>
          <w:sz w:val="20"/>
          <w:szCs w:val="20"/>
        </w:rPr>
        <w:t xml:space="preserve">, M., Al </w:t>
      </w:r>
      <w:r>
        <w:rPr>
          <w:rFonts w:ascii="Times New Roman" w:cs="Times New Roman" w:eastAsia="Times New Roman" w:hAnsi="Times New Roman"/>
          <w:sz w:val="20"/>
          <w:szCs w:val="20"/>
        </w:rPr>
        <w:t>Natour</w:t>
      </w:r>
      <w:r>
        <w:rPr>
          <w:rFonts w:ascii="Times New Roman" w:cs="Times New Roman" w:eastAsia="Times New Roman" w:hAnsi="Times New Roman"/>
          <w:sz w:val="20"/>
          <w:szCs w:val="20"/>
        </w:rPr>
        <w:t xml:space="preserve">, A.R, </w:t>
      </w:r>
      <w:r>
        <w:rPr>
          <w:rFonts w:ascii="Times New Roman" w:cs="Times New Roman" w:eastAsia="Times New Roman" w:hAnsi="Times New Roman"/>
          <w:sz w:val="20"/>
          <w:szCs w:val="20"/>
        </w:rPr>
        <w:t>Shishan</w:t>
      </w:r>
      <w:r>
        <w:rPr>
          <w:rFonts w:ascii="Times New Roman" w:cs="Times New Roman" w:eastAsia="Times New Roman" w:hAnsi="Times New Roman"/>
          <w:sz w:val="20"/>
          <w:szCs w:val="20"/>
        </w:rPr>
        <w:t>, F., Al-</w:t>
      </w:r>
      <w:r>
        <w:rPr>
          <w:rFonts w:ascii="Times New Roman" w:cs="Times New Roman" w:eastAsia="Times New Roman" w:hAnsi="Times New Roman"/>
          <w:sz w:val="20"/>
          <w:szCs w:val="20"/>
        </w:rPr>
        <w:t>Dmour</w:t>
      </w:r>
      <w:r>
        <w:rPr>
          <w:rFonts w:ascii="Times New Roman" w:cs="Times New Roman" w:eastAsia="Times New Roman" w:hAnsi="Times New Roman"/>
          <w:sz w:val="20"/>
          <w:szCs w:val="20"/>
        </w:rPr>
        <w:t xml:space="preserve">, A.,  </w:t>
      </w:r>
      <w:r>
        <w:rPr>
          <w:rFonts w:ascii="Times New Roman" w:cs="Times New Roman" w:eastAsia="Times New Roman" w:hAnsi="Times New Roman"/>
          <w:sz w:val="20"/>
          <w:szCs w:val="20"/>
        </w:rPr>
        <w:t>Alghazzawi</w:t>
      </w:r>
      <w:r>
        <w:rPr>
          <w:rFonts w:ascii="Times New Roman" w:cs="Times New Roman" w:eastAsia="Times New Roman" w:hAnsi="Times New Roman"/>
          <w:sz w:val="20"/>
          <w:szCs w:val="20"/>
        </w:rPr>
        <w:t xml:space="preserve">, R., &amp; </w:t>
      </w:r>
      <w:r>
        <w:rPr>
          <w:rFonts w:ascii="Times New Roman" w:cs="Times New Roman" w:eastAsia="Times New Roman" w:hAnsi="Times New Roman"/>
          <w:sz w:val="20"/>
          <w:szCs w:val="20"/>
        </w:rPr>
        <w:t>Alsharairi</w:t>
      </w:r>
      <w:r>
        <w:rPr>
          <w:rFonts w:ascii="Times New Roman" w:cs="Times New Roman" w:eastAsia="Times New Roman" w:hAnsi="Times New Roman"/>
          <w:sz w:val="20"/>
          <w:szCs w:val="20"/>
        </w:rPr>
        <w:t xml:space="preserve">, M. (2021). Sustainable Fin Tech Innovation Orientation: A Moderated Model. </w:t>
      </w:r>
      <w:r>
        <w:rPr>
          <w:rFonts w:ascii="Times New Roman" w:cs="Times New Roman" w:eastAsia="Times New Roman" w:hAnsi="Times New Roman"/>
          <w:i/>
          <w:iCs/>
          <w:sz w:val="20"/>
          <w:szCs w:val="20"/>
        </w:rPr>
        <w:t>Sustainability</w:t>
      </w:r>
      <w:r>
        <w:rPr>
          <w:rFonts w:ascii="Times New Roman" w:cs="Times New Roman" w:eastAsia="Times New Roman" w:hAnsi="Times New Roman"/>
          <w:i/>
          <w:iCs/>
          <w:sz w:val="20"/>
          <w:szCs w:val="20"/>
        </w:rPr>
        <w:t xml:space="preserve">, </w:t>
      </w:r>
      <w:r>
        <w:rPr>
          <w:rFonts w:ascii="Times New Roman" w:cs="Times New Roman" w:eastAsia="Times New Roman" w:hAnsi="Times New Roman"/>
          <w:sz w:val="20"/>
          <w:szCs w:val="20"/>
        </w:rPr>
        <w:t>13:13591. https://doi.org/10.3390/su132413591</w:t>
      </w:r>
    </w:p>
    <w:p>
      <w:pPr>
        <w:pStyle w:val="style0"/>
        <w:ind w:left="720" w:hanging="720"/>
        <w:jc w:val="both"/>
        <w:rPr/>
      </w:pPr>
      <w:r>
        <w:rPr>
          <w:rFonts w:ascii="Times New Roman" w:cs="Times New Roman" w:eastAsia="Times New Roman" w:hAnsi="Times New Roman"/>
          <w:sz w:val="20"/>
          <w:szCs w:val="20"/>
        </w:rPr>
        <w:t xml:space="preserve"> </w:t>
      </w:r>
      <w:r>
        <w:rPr>
          <w:rFonts w:ascii="Times New Roman" w:cs="Times New Roman" w:eastAsia="Times New Roman" w:hAnsi="Times New Roman"/>
          <w:sz w:val="20"/>
          <w:szCs w:val="20"/>
        </w:rPr>
        <w:t>Cevik</w:t>
      </w:r>
      <w:r>
        <w:rPr>
          <w:rFonts w:ascii="Times New Roman" w:cs="Times New Roman" w:eastAsia="Times New Roman" w:hAnsi="Times New Roman"/>
          <w:sz w:val="20"/>
          <w:szCs w:val="20"/>
        </w:rPr>
        <w:t xml:space="preserve">, S (2024). The dark side of the moon? Fintech and Financial stability. </w:t>
      </w:r>
      <w:r>
        <w:rPr>
          <w:rFonts w:ascii="Times New Roman" w:cs="Times New Roman" w:eastAsia="Times New Roman" w:hAnsi="Times New Roman"/>
          <w:i/>
          <w:iCs/>
          <w:sz w:val="20"/>
          <w:szCs w:val="20"/>
        </w:rPr>
        <w:t>International Review of Economics,</w:t>
      </w:r>
      <w:r>
        <w:rPr>
          <w:rFonts w:ascii="Times New Roman" w:cs="Times New Roman" w:eastAsia="Times New Roman" w:hAnsi="Times New Roman"/>
          <w:sz w:val="20"/>
          <w:szCs w:val="20"/>
        </w:rPr>
        <w:t xml:space="preserve"> 71(2):421-433. https://doi.org/10.1007/s12232-024-00449-8</w:t>
      </w:r>
    </w:p>
    <w:p>
      <w:pPr>
        <w:pStyle w:val="style0"/>
        <w:ind w:left="720" w:hanging="720"/>
        <w:jc w:val="both"/>
        <w:rPr/>
      </w:pPr>
      <w:r>
        <w:rPr>
          <w:rFonts w:ascii="Times New Roman" w:cs="Times New Roman" w:eastAsia="Times New Roman" w:hAnsi="Times New Roman"/>
          <w:sz w:val="20"/>
          <w:szCs w:val="20"/>
        </w:rPr>
        <w:t>Elsaman</w:t>
      </w:r>
      <w:r>
        <w:rPr>
          <w:rFonts w:ascii="Times New Roman" w:cs="Times New Roman" w:eastAsia="Times New Roman" w:hAnsi="Times New Roman"/>
          <w:sz w:val="20"/>
          <w:szCs w:val="20"/>
        </w:rPr>
        <w:t xml:space="preserve">, H., </w:t>
      </w:r>
      <w:r>
        <w:rPr>
          <w:rFonts w:ascii="Times New Roman" w:cs="Times New Roman" w:eastAsia="Times New Roman" w:hAnsi="Times New Roman"/>
          <w:sz w:val="20"/>
          <w:szCs w:val="20"/>
        </w:rPr>
        <w:t>Dayanandan</w:t>
      </w:r>
      <w:r>
        <w:rPr>
          <w:rFonts w:ascii="Times New Roman" w:cs="Times New Roman" w:eastAsia="Times New Roman" w:hAnsi="Times New Roman"/>
          <w:sz w:val="20"/>
          <w:szCs w:val="20"/>
        </w:rPr>
        <w:t xml:space="preserve">, R., </w:t>
      </w:r>
      <w:r>
        <w:rPr>
          <w:rFonts w:ascii="Times New Roman" w:cs="Times New Roman" w:eastAsia="Times New Roman" w:hAnsi="Times New Roman"/>
          <w:sz w:val="20"/>
          <w:szCs w:val="20"/>
        </w:rPr>
        <w:t>Dawood</w:t>
      </w:r>
      <w:r>
        <w:rPr>
          <w:rFonts w:ascii="Times New Roman" w:cs="Times New Roman" w:eastAsia="Times New Roman" w:hAnsi="Times New Roman"/>
          <w:sz w:val="20"/>
          <w:szCs w:val="20"/>
        </w:rPr>
        <w:t xml:space="preserve">, Z., &amp; </w:t>
      </w:r>
      <w:r>
        <w:rPr>
          <w:rFonts w:ascii="Times New Roman" w:cs="Times New Roman" w:eastAsia="Times New Roman" w:hAnsi="Times New Roman"/>
          <w:sz w:val="20"/>
          <w:szCs w:val="20"/>
        </w:rPr>
        <w:t>Akrabi</w:t>
      </w:r>
      <w:r>
        <w:rPr>
          <w:rFonts w:ascii="Times New Roman" w:cs="Times New Roman" w:eastAsia="Times New Roman" w:hAnsi="Times New Roman"/>
          <w:sz w:val="20"/>
          <w:szCs w:val="20"/>
        </w:rPr>
        <w:t xml:space="preserve">, S.A (2024). Navigating Fintech Innovation: Performance, Trust, and Risk Factors in UAE's Banking Sector. </w:t>
      </w:r>
      <w:r>
        <w:rPr>
          <w:rFonts w:ascii="Times New Roman" w:cs="Times New Roman" w:eastAsia="Times New Roman" w:hAnsi="Times New Roman"/>
          <w:i/>
          <w:iCs/>
          <w:sz w:val="20"/>
          <w:szCs w:val="20"/>
        </w:rPr>
        <w:t>Eastern European &amp; Central Asian Research Journal,</w:t>
      </w:r>
      <w:r>
        <w:rPr>
          <w:rFonts w:ascii="Times New Roman" w:cs="Times New Roman" w:eastAsia="Times New Roman" w:hAnsi="Times New Roman"/>
          <w:sz w:val="20"/>
          <w:szCs w:val="20"/>
        </w:rPr>
        <w:t xml:space="preserve"> 11(2). DOI: https://doi.org/10.15549/jee car. v11i2.1569</w:t>
      </w:r>
    </w:p>
    <w:p>
      <w:pPr>
        <w:pStyle w:val="style0"/>
        <w:ind w:left="720" w:hanging="720"/>
        <w:jc w:val="both"/>
        <w:rPr/>
      </w:pPr>
      <w:r>
        <w:rPr>
          <w:rFonts w:ascii="Times New Roman" w:cs="Times New Roman" w:eastAsia="Times New Roman" w:hAnsi="Times New Roman"/>
          <w:sz w:val="20"/>
          <w:szCs w:val="20"/>
        </w:rPr>
        <w:t xml:space="preserve">Hassan, M.S, Islam, M.A, Abdullah, A.B.M, &amp; Nasir, H (2024). End-user perspective on </w:t>
      </w:r>
      <w:r>
        <w:rPr>
          <w:rFonts w:ascii="Times New Roman" w:cs="Times New Roman" w:eastAsia="Times New Roman" w:hAnsi="Times New Roman"/>
          <w:sz w:val="20"/>
          <w:szCs w:val="20"/>
        </w:rPr>
        <w:t>fintech</w:t>
      </w:r>
      <w:r>
        <w:rPr>
          <w:rFonts w:ascii="Times New Roman" w:cs="Times New Roman" w:eastAsia="Times New Roman" w:hAnsi="Times New Roman"/>
          <w:sz w:val="20"/>
          <w:szCs w:val="20"/>
        </w:rPr>
        <w:t xml:space="preserve"> services adoption in the Bangladesh insurance industry: the moderating role of trust. </w:t>
      </w:r>
      <w:r>
        <w:rPr>
          <w:rFonts w:ascii="Times New Roman" w:cs="Times New Roman" w:eastAsia="Times New Roman" w:hAnsi="Times New Roman"/>
          <w:i/>
          <w:iCs/>
          <w:sz w:val="20"/>
          <w:szCs w:val="20"/>
        </w:rPr>
        <w:t>Financial Services Marketing Journal,</w:t>
      </w:r>
      <w:r>
        <w:rPr>
          <w:rFonts w:ascii="Times New Roman" w:cs="Times New Roman" w:eastAsia="Times New Roman" w:hAnsi="Times New Roman"/>
          <w:sz w:val="20"/>
          <w:szCs w:val="20"/>
        </w:rPr>
        <w:t xml:space="preserve"> https://doi.org/10.1057/s41264-024-00268-6</w:t>
      </w:r>
    </w:p>
    <w:p>
      <w:pPr>
        <w:pStyle w:val="style0"/>
        <w:ind w:left="720" w:hanging="720"/>
        <w:jc w:val="both"/>
        <w:rPr/>
      </w:pPr>
      <w:r>
        <w:rPr>
          <w:rFonts w:ascii="Times New Roman" w:cs="Times New Roman" w:eastAsia="Times New Roman" w:hAnsi="Times New Roman"/>
          <w:sz w:val="20"/>
          <w:szCs w:val="20"/>
        </w:rPr>
        <w:t xml:space="preserve">Liu, Z., &amp; Li, X (2024). The Impact of Bank Fintech on ESG Greenwashing. </w:t>
      </w:r>
      <w:r>
        <w:rPr>
          <w:rFonts w:ascii="Times New Roman" w:cs="Times New Roman" w:eastAsia="Times New Roman" w:hAnsi="Times New Roman"/>
          <w:i/>
          <w:iCs/>
          <w:sz w:val="20"/>
          <w:szCs w:val="20"/>
        </w:rPr>
        <w:t>Finance Research Letters,</w:t>
      </w:r>
      <w:r>
        <w:rPr>
          <w:rFonts w:ascii="Times New Roman" w:cs="Times New Roman" w:eastAsia="Times New Roman" w:hAnsi="Times New Roman"/>
          <w:sz w:val="20"/>
          <w:szCs w:val="20"/>
        </w:rPr>
        <w:t xml:space="preserve"> 62: 105199. https://doi.org/10.1016/j.frl.2024.105199</w:t>
      </w:r>
    </w:p>
    <w:p>
      <w:pPr>
        <w:pStyle w:val="style0"/>
        <w:ind w:left="720" w:hanging="720"/>
        <w:jc w:val="both"/>
        <w:rPr/>
      </w:pPr>
      <w:r>
        <w:rPr>
          <w:rFonts w:ascii="Times New Roman" w:cs="Times New Roman" w:eastAsia="Times New Roman" w:hAnsi="Times New Roman"/>
          <w:sz w:val="20"/>
          <w:szCs w:val="20"/>
        </w:rPr>
        <w:t>Mulyono</w:t>
      </w:r>
      <w:r>
        <w:rPr>
          <w:rFonts w:ascii="Times New Roman" w:cs="Times New Roman" w:eastAsia="Times New Roman" w:hAnsi="Times New Roman"/>
          <w:sz w:val="20"/>
          <w:szCs w:val="20"/>
        </w:rPr>
        <w:t xml:space="preserve">, A.E (2022). The Effect of Financial Literacy &amp; Fintech Knowledge in Fintech Services Usage. In Proceedings of 2022 International Conference on Information Management and Technology. (pp. 420-424). Institute of Electrical and Electronics Engineering (IEEE). DOI: </w:t>
      </w:r>
      <w:r>
        <w:rPr/>
        <w:fldChar w:fldCharType="begin"/>
      </w:r>
      <w:r>
        <w:instrText xml:space="preserve"> HYPERLINK "https://10.1109/ICIMTech55957.2022.9915049" </w:instrText>
      </w:r>
      <w:r>
        <w:rPr/>
        <w:fldChar w:fldCharType="separate"/>
      </w:r>
      <w:r>
        <w:rPr>
          <w:rStyle w:val="style85"/>
          <w:rFonts w:ascii="Times New Roman" w:cs="Times New Roman" w:eastAsia="Times New Roman" w:hAnsi="Times New Roman"/>
          <w:sz w:val="20"/>
          <w:szCs w:val="20"/>
        </w:rPr>
        <w:t>10.1109/ICIMTech55957.2022.9915049</w:t>
      </w:r>
      <w:r>
        <w:rPr/>
        <w:fldChar w:fldCharType="end"/>
      </w:r>
    </w:p>
    <w:p>
      <w:pPr>
        <w:pStyle w:val="style0"/>
        <w:ind w:left="720" w:hanging="720"/>
        <w:jc w:val="both"/>
        <w:rPr/>
      </w:pPr>
      <w:r>
        <w:rPr>
          <w:rFonts w:ascii="Times New Roman" w:cs="Times New Roman" w:eastAsia="Times New Roman" w:hAnsi="Times New Roman"/>
          <w:sz w:val="20"/>
          <w:szCs w:val="20"/>
        </w:rPr>
        <w:t xml:space="preserve"> More, P. V. (2019). The impact of greenwashing on green brand trust from an Indian perspective. </w:t>
      </w:r>
      <w:r>
        <w:rPr>
          <w:rFonts w:ascii="Times New Roman" w:cs="Times New Roman" w:eastAsia="Times New Roman" w:hAnsi="Times New Roman"/>
          <w:i/>
          <w:iCs/>
          <w:sz w:val="20"/>
          <w:szCs w:val="20"/>
        </w:rPr>
        <w:t>Asian Journal of</w:t>
      </w:r>
      <w:r>
        <w:rPr>
          <w:rFonts w:ascii="Times New Roman" w:cs="Times New Roman" w:eastAsia="Times New Roman" w:hAnsi="Times New Roman"/>
          <w:sz w:val="20"/>
          <w:szCs w:val="20"/>
        </w:rPr>
        <w:t xml:space="preserve"> </w:t>
      </w:r>
      <w:r>
        <w:rPr>
          <w:rFonts w:ascii="Times New Roman" w:cs="Times New Roman" w:eastAsia="Times New Roman" w:hAnsi="Times New Roman"/>
          <w:i/>
          <w:iCs/>
          <w:sz w:val="20"/>
          <w:szCs w:val="20"/>
        </w:rPr>
        <w:t>Innovation and Policy,</w:t>
      </w:r>
      <w:r>
        <w:rPr>
          <w:rFonts w:ascii="Times New Roman" w:cs="Times New Roman" w:eastAsia="Times New Roman" w:hAnsi="Times New Roman"/>
          <w:sz w:val="20"/>
          <w:szCs w:val="20"/>
        </w:rPr>
        <w:t xml:space="preserve"> 8(1), 162–179. https://doi.org/10.7545/ajip.2019.8.1.162</w:t>
      </w:r>
    </w:p>
    <w:p>
      <w:pPr>
        <w:pStyle w:val="style0"/>
        <w:ind w:left="720" w:hanging="720"/>
        <w:jc w:val="both"/>
        <w:rPr/>
      </w:pPr>
      <w:r>
        <w:rPr>
          <w:rFonts w:ascii="Times New Roman" w:cs="Times New Roman" w:eastAsia="Times New Roman" w:hAnsi="Times New Roman"/>
          <w:sz w:val="20"/>
          <w:szCs w:val="20"/>
        </w:rPr>
        <w:t>Pundarika</w:t>
      </w:r>
      <w:r>
        <w:rPr>
          <w:rFonts w:ascii="Times New Roman" w:cs="Times New Roman" w:eastAsia="Times New Roman" w:hAnsi="Times New Roman"/>
          <w:sz w:val="20"/>
          <w:szCs w:val="20"/>
        </w:rPr>
        <w:t xml:space="preserve">, W.P, </w:t>
      </w:r>
      <w:r>
        <w:rPr>
          <w:rFonts w:ascii="Times New Roman" w:cs="Times New Roman" w:eastAsia="Times New Roman" w:hAnsi="Times New Roman"/>
          <w:sz w:val="20"/>
          <w:szCs w:val="20"/>
        </w:rPr>
        <w:t>Ferdy</w:t>
      </w:r>
      <w:r>
        <w:rPr>
          <w:rFonts w:ascii="Times New Roman" w:cs="Times New Roman" w:eastAsia="Times New Roman" w:hAnsi="Times New Roman"/>
          <w:sz w:val="20"/>
          <w:szCs w:val="20"/>
        </w:rPr>
        <w:t xml:space="preserve">, G.A, </w:t>
      </w:r>
      <w:r>
        <w:rPr>
          <w:rFonts w:ascii="Times New Roman" w:cs="Times New Roman" w:eastAsia="Times New Roman" w:hAnsi="Times New Roman"/>
          <w:sz w:val="20"/>
          <w:szCs w:val="20"/>
        </w:rPr>
        <w:t>Setiawan</w:t>
      </w:r>
      <w:r>
        <w:rPr>
          <w:rFonts w:ascii="Times New Roman" w:cs="Times New Roman" w:eastAsia="Times New Roman" w:hAnsi="Times New Roman"/>
          <w:sz w:val="20"/>
          <w:szCs w:val="20"/>
        </w:rPr>
        <w:t xml:space="preserve">, N.A, </w:t>
      </w:r>
      <w:r>
        <w:rPr>
          <w:rFonts w:ascii="Times New Roman" w:cs="Times New Roman" w:eastAsia="Times New Roman" w:hAnsi="Times New Roman"/>
          <w:sz w:val="20"/>
          <w:szCs w:val="20"/>
        </w:rPr>
        <w:t>Gu</w:t>
      </w:r>
      <w:r>
        <w:rPr>
          <w:rFonts w:ascii="Times New Roman" w:cs="Times New Roman" w:eastAsia="Times New Roman" w:hAnsi="Times New Roman"/>
          <w:sz w:val="20"/>
          <w:szCs w:val="20"/>
        </w:rPr>
        <w:t xml:space="preserve">, I.A., &amp; </w:t>
      </w:r>
      <w:r>
        <w:rPr>
          <w:rFonts w:ascii="Times New Roman" w:cs="Times New Roman" w:eastAsia="Times New Roman" w:hAnsi="Times New Roman"/>
          <w:sz w:val="20"/>
          <w:szCs w:val="20"/>
        </w:rPr>
        <w:t>Shaharudin</w:t>
      </w:r>
      <w:r>
        <w:rPr>
          <w:rFonts w:ascii="Times New Roman" w:cs="Times New Roman" w:eastAsia="Times New Roman" w:hAnsi="Times New Roman"/>
          <w:sz w:val="20"/>
          <w:szCs w:val="20"/>
        </w:rPr>
        <w:t>, M.S "Examining the Factors Influencing Customers Continuance Adoption of Fintech in Greater Jakarta", in proceedings of the 2024 Second International Conference on Emerging Trends in Information Technology and Engineering (</w:t>
      </w:r>
      <w:r>
        <w:rPr>
          <w:rFonts w:ascii="Times New Roman" w:cs="Times New Roman" w:eastAsia="Times New Roman" w:hAnsi="Times New Roman"/>
          <w:sz w:val="20"/>
          <w:szCs w:val="20"/>
        </w:rPr>
        <w:t>ic</w:t>
      </w:r>
      <w:r>
        <w:rPr>
          <w:rFonts w:ascii="Times New Roman" w:cs="Times New Roman" w:eastAsia="Times New Roman" w:hAnsi="Times New Roman"/>
          <w:sz w:val="20"/>
          <w:szCs w:val="20"/>
        </w:rPr>
        <w:t xml:space="preserve">-ETITE), IEEE, 2024, </w:t>
      </w:r>
      <w:r>
        <w:rPr/>
        <w:fldChar w:fldCharType="begin"/>
      </w:r>
      <w:r>
        <w:instrText xml:space="preserve"> HYPERLINK </w:instrText>
      </w:r>
      <w:r>
        <w:rPr/>
        <w:fldChar w:fldCharType="separate"/>
      </w:r>
      <w:r>
        <w:rPr>
          <w:rStyle w:val="style85"/>
          <w:rFonts w:ascii="Times New Roman" w:cs="Times New Roman" w:eastAsia="Times New Roman" w:hAnsi="Times New Roman"/>
          <w:sz w:val="20"/>
          <w:szCs w:val="20"/>
        </w:rPr>
        <w:t>DOI: 10.1109/ic-ETITE58242.2024.1049371</w:t>
      </w:r>
      <w:r>
        <w:rPr/>
        <w:fldChar w:fldCharType="end"/>
      </w:r>
    </w:p>
    <w:p>
      <w:pPr>
        <w:pStyle w:val="style0"/>
        <w:ind w:left="720" w:hanging="720"/>
        <w:jc w:val="both"/>
        <w:rPr/>
      </w:pPr>
      <w:r>
        <w:rPr>
          <w:rFonts w:ascii="Times New Roman" w:cs="Times New Roman" w:eastAsia="Times New Roman" w:hAnsi="Times New Roman"/>
          <w:sz w:val="20"/>
          <w:szCs w:val="20"/>
        </w:rPr>
        <w:t>Savitha</w:t>
      </w:r>
      <w:r>
        <w:rPr>
          <w:rFonts w:ascii="Times New Roman" w:cs="Times New Roman" w:eastAsia="Times New Roman" w:hAnsi="Times New Roman"/>
          <w:sz w:val="20"/>
          <w:szCs w:val="20"/>
        </w:rPr>
        <w:t xml:space="preserve">, B., </w:t>
      </w:r>
      <w:r>
        <w:rPr>
          <w:rFonts w:ascii="Times New Roman" w:cs="Times New Roman" w:eastAsia="Times New Roman" w:hAnsi="Times New Roman"/>
          <w:sz w:val="20"/>
          <w:szCs w:val="20"/>
        </w:rPr>
        <w:t>Hawaldar</w:t>
      </w:r>
      <w:r>
        <w:rPr>
          <w:rFonts w:ascii="Times New Roman" w:cs="Times New Roman" w:eastAsia="Times New Roman" w:hAnsi="Times New Roman"/>
          <w:sz w:val="20"/>
          <w:szCs w:val="20"/>
        </w:rPr>
        <w:t xml:space="preserve">, I.T., Kumar K, N (2022). Continuance Intention to Use Fintech Peer-to peer payments Apps in India. </w:t>
      </w:r>
      <w:r>
        <w:rPr>
          <w:rFonts w:ascii="Times New Roman" w:cs="Times New Roman" w:eastAsia="Times New Roman" w:hAnsi="Times New Roman"/>
          <w:i/>
          <w:iCs/>
          <w:sz w:val="20"/>
          <w:szCs w:val="20"/>
        </w:rPr>
        <w:t>Heliyon</w:t>
      </w:r>
      <w:r>
        <w:rPr>
          <w:rFonts w:ascii="Times New Roman" w:cs="Times New Roman" w:eastAsia="Times New Roman" w:hAnsi="Times New Roman"/>
          <w:i/>
          <w:iCs/>
          <w:sz w:val="20"/>
          <w:szCs w:val="20"/>
        </w:rPr>
        <w:t>,</w:t>
      </w:r>
      <w:r>
        <w:rPr>
          <w:rFonts w:ascii="Times New Roman" w:cs="Times New Roman" w:eastAsia="Times New Roman" w:hAnsi="Times New Roman"/>
          <w:sz w:val="20"/>
          <w:szCs w:val="20"/>
        </w:rPr>
        <w:t xml:space="preserve"> 8(11): e11654. </w:t>
      </w:r>
      <w:r>
        <w:rPr/>
        <w:fldChar w:fldCharType="begin"/>
      </w:r>
      <w:r>
        <w:instrText xml:space="preserve"> HYPERLINK "https://doi.org/10.1016/j.heliyon.2022e11654" </w:instrText>
      </w:r>
      <w:r>
        <w:rPr/>
        <w:fldChar w:fldCharType="separate"/>
      </w:r>
      <w:r>
        <w:rPr>
          <w:rStyle w:val="style85"/>
          <w:rFonts w:ascii="Times New Roman" w:cs="Times New Roman" w:eastAsia="Times New Roman" w:hAnsi="Times New Roman"/>
          <w:sz w:val="20"/>
          <w:szCs w:val="20"/>
        </w:rPr>
        <w:t>https://doi.org/10.1016/j.heliyon.2022e11654</w:t>
      </w:r>
      <w:r>
        <w:rPr/>
        <w:fldChar w:fldCharType="end"/>
      </w:r>
    </w:p>
    <w:p>
      <w:pPr>
        <w:pStyle w:val="style0"/>
        <w:ind w:left="720" w:hanging="720"/>
        <w:jc w:val="both"/>
        <w:rPr/>
      </w:pPr>
      <w:r>
        <w:rPr>
          <w:rFonts w:ascii="Times New Roman" w:cs="Times New Roman" w:eastAsia="Times New Roman" w:hAnsi="Times New Roman"/>
          <w:sz w:val="20"/>
          <w:szCs w:val="20"/>
        </w:rPr>
        <w:t>Rakovic</w:t>
      </w:r>
      <w:r>
        <w:rPr>
          <w:rFonts w:ascii="Times New Roman" w:cs="Times New Roman" w:eastAsia="Times New Roman" w:hAnsi="Times New Roman"/>
          <w:sz w:val="20"/>
          <w:szCs w:val="20"/>
        </w:rPr>
        <w:t xml:space="preserve">, I., &amp; </w:t>
      </w:r>
      <w:r>
        <w:rPr>
          <w:rFonts w:ascii="Times New Roman" w:cs="Times New Roman" w:eastAsia="Times New Roman" w:hAnsi="Times New Roman"/>
          <w:sz w:val="20"/>
          <w:szCs w:val="20"/>
        </w:rPr>
        <w:t>Inal</w:t>
      </w:r>
      <w:r>
        <w:rPr>
          <w:rFonts w:ascii="Times New Roman" w:cs="Times New Roman" w:eastAsia="Times New Roman" w:hAnsi="Times New Roman"/>
          <w:sz w:val="20"/>
          <w:szCs w:val="20"/>
        </w:rPr>
        <w:t>, Y (2023) Dark Finance: Exploring Deceptive Design in Investment Apps. In Human Computer Interaction - 2023: Proceedings of the IFIP Conference on Human - Computer Interaction. (Lecture Notes in Computer Science, Vol. 14142, pp. 339-348). Springer. https://links.springer.com/chapter/10.1007/978-3-031-42280-5_20</w:t>
      </w:r>
    </w:p>
    <w:p>
      <w:pPr>
        <w:pStyle w:val="style0"/>
        <w:ind w:left="720" w:hanging="720"/>
        <w:jc w:val="both"/>
        <w:rPr/>
      </w:pPr>
      <w:r>
        <w:rPr>
          <w:rFonts w:ascii="Times New Roman" w:cs="Times New Roman" w:eastAsia="Times New Roman" w:hAnsi="Times New Roman"/>
          <w:sz w:val="20"/>
          <w:szCs w:val="20"/>
        </w:rPr>
        <w:t xml:space="preserve"> Sun, Y., Benz, A., &amp; Mathis, F (2024) Gaze into Fintech: Assessing the Influence of Financial Literacy on Interaction Behavior Using </w:t>
      </w:r>
      <w:r>
        <w:rPr>
          <w:rFonts w:ascii="Times New Roman" w:cs="Times New Roman" w:eastAsia="Times New Roman" w:hAnsi="Times New Roman"/>
          <w:sz w:val="20"/>
          <w:szCs w:val="20"/>
        </w:rPr>
        <w:t>Eyetracking</w:t>
      </w:r>
      <w:r>
        <w:rPr>
          <w:rFonts w:ascii="Times New Roman" w:cs="Times New Roman" w:eastAsia="Times New Roman" w:hAnsi="Times New Roman"/>
          <w:sz w:val="20"/>
          <w:szCs w:val="20"/>
        </w:rPr>
        <w:t>. In AVI '24: Proceedings of the 2024 International Conference on Advanced Visual Interfaces (Article no. 97, pp. 1-3). ACM Digital Library. https://doi.org/10.1145/3656650.3656755</w:t>
      </w:r>
    </w:p>
    <w:p>
      <w:pPr>
        <w:pStyle w:val="style0"/>
        <w:ind w:left="720" w:hanging="720"/>
        <w:jc w:val="both"/>
        <w:rPr/>
      </w:pPr>
      <w:r>
        <w:rPr>
          <w:rFonts w:ascii="Times New Roman" w:cs="Times New Roman" w:eastAsia="Times New Roman" w:hAnsi="Times New Roman"/>
          <w:sz w:val="20"/>
          <w:szCs w:val="20"/>
        </w:rPr>
        <w:t xml:space="preserve">Si Mohammed, K., </w:t>
      </w:r>
      <w:r>
        <w:rPr>
          <w:rFonts w:ascii="Times New Roman" w:cs="Times New Roman" w:eastAsia="Times New Roman" w:hAnsi="Times New Roman"/>
          <w:sz w:val="20"/>
          <w:szCs w:val="20"/>
        </w:rPr>
        <w:t>Serret</w:t>
      </w:r>
      <w:r>
        <w:rPr>
          <w:rFonts w:ascii="Times New Roman" w:cs="Times New Roman" w:eastAsia="Times New Roman" w:hAnsi="Times New Roman"/>
          <w:sz w:val="20"/>
          <w:szCs w:val="20"/>
        </w:rPr>
        <w:t xml:space="preserve">, V., Ben </w:t>
      </w:r>
      <w:r>
        <w:rPr>
          <w:rFonts w:ascii="Times New Roman" w:cs="Times New Roman" w:eastAsia="Times New Roman" w:hAnsi="Times New Roman"/>
          <w:sz w:val="20"/>
          <w:szCs w:val="20"/>
        </w:rPr>
        <w:t>Jabeur</w:t>
      </w:r>
      <w:r>
        <w:rPr>
          <w:rFonts w:ascii="Times New Roman" w:cs="Times New Roman" w:eastAsia="Times New Roman" w:hAnsi="Times New Roman"/>
          <w:sz w:val="20"/>
          <w:szCs w:val="20"/>
        </w:rPr>
        <w:t xml:space="preserve">, S., &amp; </w:t>
      </w:r>
      <w:r>
        <w:rPr>
          <w:rFonts w:ascii="Times New Roman" w:cs="Times New Roman" w:eastAsia="Times New Roman" w:hAnsi="Times New Roman"/>
          <w:sz w:val="20"/>
          <w:szCs w:val="20"/>
        </w:rPr>
        <w:t>Nobanee</w:t>
      </w:r>
      <w:r>
        <w:rPr>
          <w:rFonts w:ascii="Times New Roman" w:cs="Times New Roman" w:eastAsia="Times New Roman" w:hAnsi="Times New Roman"/>
          <w:sz w:val="20"/>
          <w:szCs w:val="20"/>
        </w:rPr>
        <w:t>, H (2024). The role of AI &amp; Fintech in promoting eco-friendly investments &amp; non-greenwashing practices in the Us Market. Environmental</w:t>
      </w:r>
      <w:r>
        <w:tab/>
      </w:r>
      <w:r>
        <w:rPr>
          <w:rFonts w:ascii="Times New Roman" w:cs="Times New Roman" w:eastAsia="Times New Roman" w:hAnsi="Times New Roman"/>
          <w:sz w:val="20"/>
          <w:szCs w:val="20"/>
        </w:rPr>
        <w:t xml:space="preserve"> </w:t>
      </w:r>
      <w:r>
        <w:tab/>
      </w:r>
      <w:r>
        <w:rPr>
          <w:rFonts w:ascii="Times New Roman" w:cs="Times New Roman" w:eastAsia="Times New Roman" w:hAnsi="Times New Roman"/>
          <w:i/>
          <w:iCs/>
          <w:sz w:val="20"/>
          <w:szCs w:val="20"/>
        </w:rPr>
        <w:t>Managemen</w:t>
      </w:r>
      <w:r>
        <w:rPr>
          <w:rFonts w:ascii="Times New Roman" w:cs="Times New Roman" w:eastAsia="Times New Roman" w:hAnsi="Times New Roman"/>
          <w:i/>
          <w:iCs/>
          <w:sz w:val="20"/>
          <w:szCs w:val="20"/>
        </w:rPr>
        <w:t>t,</w:t>
      </w:r>
      <w:r>
        <w:rPr>
          <w:rFonts w:ascii="Times New Roman" w:cs="Times New Roman" w:eastAsia="Times New Roman" w:hAnsi="Times New Roman"/>
          <w:i/>
          <w:iCs/>
          <w:sz w:val="20"/>
          <w:szCs w:val="20"/>
        </w:rPr>
        <w:t xml:space="preserve"> </w:t>
      </w:r>
      <w:r>
        <w:rPr>
          <w:rFonts w:ascii="Times New Roman" w:cs="Times New Roman" w:eastAsia="Times New Roman" w:hAnsi="Times New Roman"/>
          <w:sz w:val="20"/>
          <w:szCs w:val="20"/>
        </w:rPr>
        <w:t>359:120977. https://doi.org/10.1016/j.jenvman.2024.120977</w:t>
      </w:r>
    </w:p>
    <w:p>
      <w:pPr>
        <w:pStyle w:val="style0"/>
        <w:ind w:left="720" w:hanging="720"/>
        <w:jc w:val="both"/>
        <w:rPr/>
      </w:pPr>
      <w:r>
        <w:rPr>
          <w:rFonts w:ascii="Times New Roman" w:cs="Times New Roman" w:eastAsia="Times New Roman" w:hAnsi="Times New Roman"/>
          <w:sz w:val="20"/>
          <w:szCs w:val="20"/>
        </w:rPr>
        <w:t xml:space="preserve"> Vergara, C.C, &amp; </w:t>
      </w:r>
      <w:r>
        <w:rPr>
          <w:rFonts w:ascii="Times New Roman" w:cs="Times New Roman" w:eastAsia="Times New Roman" w:hAnsi="Times New Roman"/>
          <w:sz w:val="20"/>
          <w:szCs w:val="20"/>
        </w:rPr>
        <w:t>Agudo</w:t>
      </w:r>
      <w:r>
        <w:rPr>
          <w:rFonts w:ascii="Times New Roman" w:cs="Times New Roman" w:eastAsia="Times New Roman" w:hAnsi="Times New Roman"/>
          <w:sz w:val="20"/>
          <w:szCs w:val="20"/>
        </w:rPr>
        <w:t xml:space="preserve">, L.F (2021). Fintech and Sustainability: Do They Affect Each Other? </w:t>
      </w:r>
      <w:r>
        <w:rPr>
          <w:rFonts w:ascii="Times New Roman" w:cs="Times New Roman" w:eastAsia="Times New Roman" w:hAnsi="Times New Roman"/>
          <w:i/>
          <w:iCs/>
          <w:sz w:val="20"/>
          <w:szCs w:val="20"/>
        </w:rPr>
        <w:t>Sustainability</w:t>
      </w:r>
      <w:r>
        <w:rPr>
          <w:rFonts w:ascii="Times New Roman" w:cs="Times New Roman" w:eastAsia="Times New Roman" w:hAnsi="Times New Roman"/>
          <w:sz w:val="20"/>
          <w:szCs w:val="20"/>
        </w:rPr>
        <w:t xml:space="preserve"> </w:t>
      </w:r>
      <w:r>
        <w:rPr>
          <w:rFonts w:ascii="Times New Roman" w:cs="Times New Roman" w:eastAsia="Times New Roman" w:hAnsi="Times New Roman"/>
          <w:i/>
          <w:iCs/>
          <w:sz w:val="20"/>
          <w:szCs w:val="20"/>
        </w:rPr>
        <w:t xml:space="preserve">Journal, </w:t>
      </w:r>
      <w:r>
        <w:rPr>
          <w:rFonts w:ascii="Times New Roman" w:cs="Times New Roman" w:eastAsia="Times New Roman" w:hAnsi="Times New Roman"/>
          <w:sz w:val="20"/>
          <w:szCs w:val="20"/>
        </w:rPr>
        <w:t>13: 7012. https://doi.org/10.3390/su13137012</w:t>
      </w:r>
    </w:p>
    <w:p>
      <w:pPr>
        <w:pStyle w:val="style0"/>
        <w:ind w:left="720" w:hanging="720"/>
        <w:jc w:val="both"/>
        <w:rPr/>
      </w:pPr>
      <w:r>
        <w:rPr>
          <w:rFonts w:ascii="Times New Roman" w:cs="Times New Roman" w:eastAsia="Times New Roman" w:hAnsi="Times New Roman"/>
          <w:sz w:val="20"/>
          <w:szCs w:val="20"/>
        </w:rPr>
        <w:t xml:space="preserve">Wang, C.N, </w:t>
      </w:r>
      <w:r>
        <w:rPr>
          <w:rFonts w:ascii="Times New Roman" w:cs="Times New Roman" w:eastAsia="Times New Roman" w:hAnsi="Times New Roman"/>
          <w:sz w:val="20"/>
          <w:szCs w:val="20"/>
        </w:rPr>
        <w:t>Nhieu</w:t>
      </w:r>
      <w:r>
        <w:rPr>
          <w:rFonts w:ascii="Times New Roman" w:cs="Times New Roman" w:eastAsia="Times New Roman" w:hAnsi="Times New Roman"/>
          <w:sz w:val="20"/>
          <w:szCs w:val="20"/>
        </w:rPr>
        <w:t xml:space="preserve">, N.L, &amp; Liu, W.L (2023). Unveiling the landscape of Fintech in ASEAN: assessing development, regulations, and economic implications by decision - making </w:t>
      </w:r>
      <w:r>
        <w:rPr>
          <w:rFonts w:ascii="Times New Roman" w:cs="Times New Roman" w:eastAsia="Times New Roman" w:hAnsi="Times New Roman"/>
          <w:sz w:val="20"/>
          <w:szCs w:val="20"/>
        </w:rPr>
        <w:t xml:space="preserve">approach. </w:t>
      </w:r>
      <w:r>
        <w:rPr>
          <w:rFonts w:ascii="Times New Roman" w:cs="Times New Roman" w:eastAsia="Times New Roman" w:hAnsi="Times New Roman"/>
          <w:i/>
          <w:iCs/>
          <w:sz w:val="20"/>
          <w:szCs w:val="20"/>
        </w:rPr>
        <w:t>Humanities</w:t>
      </w:r>
      <w:r>
        <w:rPr>
          <w:rFonts w:ascii="Times New Roman" w:cs="Times New Roman" w:eastAsia="Times New Roman" w:hAnsi="Times New Roman"/>
          <w:i/>
          <w:iCs/>
          <w:sz w:val="20"/>
          <w:szCs w:val="20"/>
        </w:rPr>
        <w:t xml:space="preserve"> and Social Sciences</w:t>
      </w:r>
      <w:r>
        <w:rPr>
          <w:rFonts w:ascii="Times New Roman" w:cs="Times New Roman" w:eastAsia="Times New Roman" w:hAnsi="Times New Roman"/>
          <w:sz w:val="20"/>
          <w:szCs w:val="20"/>
        </w:rPr>
        <w:t xml:space="preserve"> </w:t>
      </w:r>
      <w:r>
        <w:rPr>
          <w:rFonts w:ascii="Times New Roman" w:cs="Times New Roman" w:eastAsia="Times New Roman" w:hAnsi="Times New Roman"/>
          <w:i/>
          <w:iCs/>
          <w:sz w:val="20"/>
          <w:szCs w:val="20"/>
        </w:rPr>
        <w:t>Communications Journal,</w:t>
      </w:r>
      <w:r>
        <w:rPr>
          <w:rFonts w:ascii="Times New Roman" w:cs="Times New Roman" w:eastAsia="Times New Roman" w:hAnsi="Times New Roman"/>
          <w:sz w:val="20"/>
          <w:szCs w:val="20"/>
        </w:rPr>
        <w:t xml:space="preserve"> https://doi.org/10.1057/s41599-02302581-2</w:t>
      </w:r>
    </w:p>
    <w:p>
      <w:pPr>
        <w:pStyle w:val="style0"/>
        <w:ind w:left="720" w:hanging="720"/>
        <w:jc w:val="both"/>
        <w:rPr/>
      </w:pPr>
      <w:r>
        <w:rPr>
          <w:rFonts w:ascii="Times New Roman" w:cs="Times New Roman" w:eastAsia="Times New Roman" w:hAnsi="Times New Roman"/>
          <w:sz w:val="20"/>
          <w:szCs w:val="20"/>
        </w:rPr>
        <w:t>Xie</w:t>
      </w:r>
      <w:r>
        <w:rPr>
          <w:rFonts w:ascii="Times New Roman" w:cs="Times New Roman" w:eastAsia="Times New Roman" w:hAnsi="Times New Roman"/>
          <w:sz w:val="20"/>
          <w:szCs w:val="20"/>
        </w:rPr>
        <w:t>, J., Chen, L., Liu, Y., Wang, S (2023). Does Fintech Inhibit Corporate Greenwashing Behavior? Evidence from China.</w:t>
      </w:r>
      <w:r>
        <w:rPr>
          <w:rFonts w:ascii="Times New Roman" w:cs="Times New Roman" w:eastAsia="Times New Roman" w:hAnsi="Times New Roman"/>
          <w:i/>
          <w:iCs/>
          <w:sz w:val="20"/>
          <w:szCs w:val="20"/>
        </w:rPr>
        <w:t xml:space="preserve"> Finance Research Letters,</w:t>
      </w:r>
      <w:r>
        <w:rPr>
          <w:rFonts w:ascii="Times New Roman" w:cs="Times New Roman" w:eastAsia="Times New Roman" w:hAnsi="Times New Roman"/>
          <w:sz w:val="20"/>
          <w:szCs w:val="20"/>
        </w:rPr>
        <w:t xml:space="preserve"> 55:104002. https://doi.org/10.16/j.frl.2023.104002</w:t>
      </w:r>
    </w:p>
    <w:p>
      <w:pPr>
        <w:pStyle w:val="style0"/>
        <w:ind w:left="720" w:hanging="720"/>
        <w:jc w:val="both"/>
        <w:rPr/>
      </w:pPr>
      <w:r>
        <w:rPr>
          <w:rFonts w:ascii="Times New Roman" w:cs="Times New Roman" w:eastAsia="Times New Roman" w:hAnsi="Times New Roman"/>
          <w:sz w:val="20"/>
          <w:szCs w:val="20"/>
        </w:rPr>
        <w:t xml:space="preserve">Zhao, H., </w:t>
      </w:r>
      <w:r>
        <w:rPr>
          <w:rFonts w:ascii="Times New Roman" w:cs="Times New Roman" w:eastAsia="Times New Roman" w:hAnsi="Times New Roman"/>
          <w:sz w:val="20"/>
          <w:szCs w:val="20"/>
        </w:rPr>
        <w:t>Khaliq</w:t>
      </w:r>
      <w:r>
        <w:rPr>
          <w:rFonts w:ascii="Times New Roman" w:cs="Times New Roman" w:eastAsia="Times New Roman" w:hAnsi="Times New Roman"/>
          <w:sz w:val="20"/>
          <w:szCs w:val="20"/>
        </w:rPr>
        <w:t xml:space="preserve">, N., Li, C., </w:t>
      </w:r>
      <w:r>
        <w:rPr>
          <w:rFonts w:ascii="Times New Roman" w:cs="Times New Roman" w:eastAsia="Times New Roman" w:hAnsi="Times New Roman"/>
          <w:sz w:val="20"/>
          <w:szCs w:val="20"/>
        </w:rPr>
        <w:t>Rehman</w:t>
      </w:r>
      <w:r>
        <w:rPr>
          <w:rFonts w:ascii="Times New Roman" w:cs="Times New Roman" w:eastAsia="Times New Roman" w:hAnsi="Times New Roman"/>
          <w:sz w:val="20"/>
          <w:szCs w:val="20"/>
        </w:rPr>
        <w:t xml:space="preserve">, F.U, &amp; Popp, J (2024). Exploring Trust Determinants </w:t>
      </w:r>
    </w:p>
    <w:p>
      <w:pPr>
        <w:pStyle w:val="style0"/>
        <w:ind w:left="720" w:hanging="720"/>
        <w:jc w:val="both"/>
        <w:rPr/>
      </w:pPr>
      <w:r>
        <w:rPr>
          <w:rFonts w:ascii="Times New Roman" w:cs="Times New Roman" w:eastAsia="Times New Roman" w:hAnsi="Times New Roman"/>
          <w:sz w:val="20"/>
          <w:szCs w:val="20"/>
        </w:rPr>
        <w:t xml:space="preserve">Influencing the Intention to Use Fintech Via SEM Approach: Evidence from Pakistan. </w:t>
      </w:r>
      <w:r>
        <w:rPr>
          <w:rFonts w:ascii="Times New Roman" w:cs="Times New Roman" w:eastAsia="Times New Roman" w:hAnsi="Times New Roman"/>
          <w:i/>
          <w:iCs/>
          <w:sz w:val="20"/>
          <w:szCs w:val="20"/>
        </w:rPr>
        <w:t>Heliyon</w:t>
      </w:r>
      <w:r>
        <w:rPr>
          <w:rFonts w:ascii="Times New Roman" w:cs="Times New Roman" w:eastAsia="Times New Roman" w:hAnsi="Times New Roman"/>
          <w:i/>
          <w:iCs/>
          <w:sz w:val="20"/>
          <w:szCs w:val="20"/>
        </w:rPr>
        <w:t xml:space="preserve"> Journal,</w:t>
      </w:r>
      <w:r>
        <w:rPr>
          <w:rFonts w:ascii="Times New Roman" w:cs="Times New Roman" w:eastAsia="Times New Roman" w:hAnsi="Times New Roman"/>
          <w:sz w:val="20"/>
          <w:szCs w:val="20"/>
        </w:rPr>
        <w:t xml:space="preserve"> 10(8): e29716. </w:t>
      </w:r>
      <w:r>
        <w:rPr>
          <w:rFonts w:ascii="Times New Roman" w:cs="Times New Roman" w:eastAsia="Times New Roman" w:hAnsi="Times New Roman"/>
          <w:sz w:val="20"/>
          <w:szCs w:val="20"/>
        </w:rPr>
        <w:t>Doi</w:t>
      </w:r>
      <w:r>
        <w:rPr>
          <w:rFonts w:ascii="Times New Roman" w:cs="Times New Roman" w:eastAsia="Times New Roman" w:hAnsi="Times New Roman"/>
          <w:sz w:val="20"/>
          <w:szCs w:val="20"/>
        </w:rPr>
        <w:t>: https://doi.org/10.1016/j.heliyon.2024.e29716</w:t>
      </w:r>
    </w:p>
    <w:p>
      <w:pPr>
        <w:pStyle w:val="style0"/>
        <w:jc w:val="both"/>
        <w:rPr>
          <w:rFonts w:ascii="Times New Roman" w:cs="Times New Roman" w:eastAsia="Times New Roman" w:hAnsi="Times New Roman"/>
          <w:sz w:val="20"/>
          <w:szCs w:val="20"/>
        </w:rPr>
      </w:pPr>
    </w:p>
    <w:p>
      <w:pPr>
        <w:pStyle w:val="style0"/>
        <w:jc w:val="both"/>
        <w:rPr>
          <w:rFonts w:ascii="Times New Roman" w:cs="Times New Roman" w:eastAsia="Times New Roman" w:hAnsi="Times New Roman"/>
          <w:sz w:val="20"/>
          <w:szCs w:val="20"/>
        </w:rPr>
      </w:pPr>
    </w:p>
    <w:p>
      <w:pPr>
        <w:pStyle w:val="style0"/>
        <w:jc w:val="both"/>
        <w:rPr>
          <w:rFonts w:ascii="Times New Roman" w:cs="Times New Roman" w:eastAsia="Times New Roman" w:hAnsi="Times New Roman"/>
          <w:sz w:val="20"/>
          <w:szCs w:val="20"/>
        </w:rPr>
      </w:pPr>
    </w:p>
    <w:p>
      <w:pPr>
        <w:pStyle w:val="style0"/>
        <w:jc w:val="both"/>
        <w:rPr>
          <w:rFonts w:ascii="Times New Roman" w:cs="Times New Roman" w:eastAsia="Times New Roman" w:hAnsi="Times New Roman"/>
          <w:sz w:val="20"/>
          <w:szCs w:val="20"/>
        </w:rPr>
      </w:pPr>
    </w:p>
    <w:p>
      <w:pPr>
        <w:pStyle w:val="style0"/>
        <w:jc w:val="both"/>
        <w:rPr>
          <w:rFonts w:ascii="Times New Roman" w:cs="Times New Roman" w:eastAsia="Times New Roman" w:hAnsi="Times New Roman"/>
          <w:sz w:val="20"/>
          <w:szCs w:val="20"/>
        </w:rPr>
      </w:pPr>
    </w:p>
    <w:p>
      <w:pPr>
        <w:pStyle w:val="style0"/>
        <w:jc w:val="both"/>
        <w:rPr>
          <w:rFonts w:ascii="Times New Roman" w:cs="Times New Roman" w:eastAsia="Times New Roman" w:hAnsi="Times New Roman"/>
          <w:sz w:val="20"/>
          <w:szCs w:val="20"/>
        </w:rPr>
      </w:pPr>
    </w:p>
    <w:p>
      <w:pPr>
        <w:pStyle w:val="style0"/>
        <w:jc w:val="both"/>
        <w:rPr>
          <w:rFonts w:ascii="Times New Roman" w:cs="Times New Roman" w:eastAsia="Times New Roman" w:hAnsi="Times New Roman"/>
          <w:sz w:val="20"/>
          <w:szCs w:val="20"/>
        </w:rPr>
      </w:pPr>
    </w:p>
    <w:sectPr>
      <w:headerReference w:type="default" r:id="rId2"/>
      <w:footerReference w:type="default" r:id="rId3"/>
      <w:pgSz w:w="12240" w:h="15840" w:orient="portrait"/>
      <w:pgMar w:top="1440" w:right="1440" w:bottom="1440" w:left="1440" w:header="720" w:footer="720" w:gutter="0"/>
      <w:pgNumType w:fmt="decimal"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decorative"/>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ptos">
    <w:altName w:val="Aptos"/>
    <w:panose1 w:val="020b0004020000020204"/>
    <w:charset w:val="00"/>
    <w:family w:val="swiss"/>
    <w:pitch w:val="variable"/>
    <w:sig w:usb0="20000287" w:usb1="00000003" w:usb2="00000000" w:usb3="00000000" w:csb0="0000019F" w:csb1="00000000"/>
  </w:font>
  <w:font w:name="Aptos Display">
    <w:altName w:val="Aptos Display"/>
    <w:panose1 w:val="020b0004020000020204"/>
    <w:charset w:val="00"/>
    <w:family w:val="swiss"/>
    <w:pitch w:val="variable"/>
    <w:sig w:usb0="20000287" w:usb1="00000003" w:usb2="00000000" w:usb3="00000000" w:csb0="0000019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jc w:val="center"/>
      <w:rPr/>
    </w:pPr>
    <w:r>
      <w:rPr/>
      <w:fldChar w:fldCharType="begin"/>
    </w:r>
    <w:r>
      <w:instrText>PAGE</w:instrText>
    </w:r>
    <w:r>
      <w:rPr/>
      <w:fldChar w:fldCharType="separate"/>
    </w:r>
    <w:r>
      <w:t>1</w:t>
    </w:r>
    <w:r>
      <w:rPr/>
      <w:fldChar w:fldCharType="end"/>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FFFFFFF"/>
    <w:lvl w:ilvl="0" w:tplc="99804AA4">
      <w:start w:val="1"/>
      <w:numFmt w:val="decimal"/>
      <w:lvlText w:val="%1."/>
      <w:lvlJc w:val="left"/>
      <w:pPr>
        <w:ind w:left="720" w:hanging="360"/>
      </w:pPr>
    </w:lvl>
    <w:lvl w:ilvl="1" w:tplc="F9164D2C">
      <w:start w:val="1"/>
      <w:numFmt w:val="lowerLetter"/>
      <w:lvlText w:val="%2."/>
      <w:lvlJc w:val="left"/>
      <w:pPr>
        <w:ind w:left="1440" w:hanging="360"/>
      </w:pPr>
    </w:lvl>
    <w:lvl w:ilvl="2" w:tplc="1E889AA0">
      <w:start w:val="1"/>
      <w:numFmt w:val="lowerRoman"/>
      <w:lvlText w:val="%3."/>
      <w:lvlJc w:val="right"/>
      <w:pPr>
        <w:ind w:left="2160" w:hanging="180"/>
      </w:pPr>
    </w:lvl>
    <w:lvl w:ilvl="3" w:tplc="79DA0E76">
      <w:start w:val="1"/>
      <w:numFmt w:val="decimal"/>
      <w:lvlText w:val="%4."/>
      <w:lvlJc w:val="left"/>
      <w:pPr>
        <w:ind w:left="2880" w:hanging="360"/>
      </w:pPr>
    </w:lvl>
    <w:lvl w:ilvl="4" w:tplc="27EAC262">
      <w:start w:val="1"/>
      <w:numFmt w:val="lowerLetter"/>
      <w:lvlText w:val="%5."/>
      <w:lvlJc w:val="left"/>
      <w:pPr>
        <w:ind w:left="3600" w:hanging="360"/>
      </w:pPr>
    </w:lvl>
    <w:lvl w:ilvl="5" w:tplc="A5343118">
      <w:start w:val="1"/>
      <w:numFmt w:val="lowerRoman"/>
      <w:lvlText w:val="%6."/>
      <w:lvlJc w:val="right"/>
      <w:pPr>
        <w:ind w:left="4320" w:hanging="180"/>
      </w:pPr>
    </w:lvl>
    <w:lvl w:ilvl="6" w:tplc="AE268E02">
      <w:start w:val="1"/>
      <w:numFmt w:val="decimal"/>
      <w:lvlText w:val="%7."/>
      <w:lvlJc w:val="left"/>
      <w:pPr>
        <w:ind w:left="5040" w:hanging="360"/>
      </w:pPr>
    </w:lvl>
    <w:lvl w:ilvl="7" w:tplc="71821952">
      <w:start w:val="1"/>
      <w:numFmt w:val="lowerLetter"/>
      <w:lvlText w:val="%8."/>
      <w:lvlJc w:val="left"/>
      <w:pPr>
        <w:ind w:left="5760" w:hanging="360"/>
      </w:pPr>
    </w:lvl>
    <w:lvl w:ilvl="8" w:tplc="D1BA5EDE">
      <w:start w:val="1"/>
      <w:numFmt w:val="lowerRoman"/>
      <w:lvlText w:val="%9."/>
      <w:lvlJc w:val="right"/>
      <w:pPr>
        <w:ind w:left="6480" w:hanging="180"/>
      </w:pPr>
    </w:lvl>
  </w:abstractNum>
  <w:abstractNum w:abstractNumId="1">
    <w:nsid w:val="00000001"/>
    <w:multiLevelType w:val="hybridMultilevel"/>
    <w:tmpl w:val="FFFFFFFF"/>
    <w:lvl w:ilvl="0" w:tplc="2CAACF90">
      <w:start w:val="1"/>
      <w:numFmt w:val="decimal"/>
      <w:lvlText w:val="%1."/>
      <w:lvlJc w:val="left"/>
      <w:pPr>
        <w:ind w:left="720" w:hanging="360"/>
      </w:pPr>
    </w:lvl>
    <w:lvl w:ilvl="1" w:tplc="87CAC5E0">
      <w:start w:val="1"/>
      <w:numFmt w:val="lowerLetter"/>
      <w:lvlText w:val="%2."/>
      <w:lvlJc w:val="left"/>
      <w:pPr>
        <w:ind w:left="1440" w:hanging="360"/>
      </w:pPr>
    </w:lvl>
    <w:lvl w:ilvl="2" w:tplc="D3D05468">
      <w:start w:val="1"/>
      <w:numFmt w:val="lowerRoman"/>
      <w:lvlText w:val="%3."/>
      <w:lvlJc w:val="right"/>
      <w:pPr>
        <w:ind w:left="2160" w:hanging="180"/>
      </w:pPr>
    </w:lvl>
    <w:lvl w:ilvl="3" w:tplc="7F845248">
      <w:start w:val="1"/>
      <w:numFmt w:val="decimal"/>
      <w:lvlText w:val="%4."/>
      <w:lvlJc w:val="left"/>
      <w:pPr>
        <w:ind w:left="2880" w:hanging="360"/>
      </w:pPr>
    </w:lvl>
    <w:lvl w:ilvl="4" w:tplc="0C628EB4">
      <w:start w:val="1"/>
      <w:numFmt w:val="lowerLetter"/>
      <w:lvlText w:val="%5."/>
      <w:lvlJc w:val="left"/>
      <w:pPr>
        <w:ind w:left="3600" w:hanging="360"/>
      </w:pPr>
    </w:lvl>
    <w:lvl w:ilvl="5" w:tplc="3CE2117A">
      <w:start w:val="1"/>
      <w:numFmt w:val="lowerRoman"/>
      <w:lvlText w:val="%6."/>
      <w:lvlJc w:val="right"/>
      <w:pPr>
        <w:ind w:left="4320" w:hanging="180"/>
      </w:pPr>
    </w:lvl>
    <w:lvl w:ilvl="6" w:tplc="B2A04B40">
      <w:start w:val="1"/>
      <w:numFmt w:val="decimal"/>
      <w:lvlText w:val="%7."/>
      <w:lvlJc w:val="left"/>
      <w:pPr>
        <w:ind w:left="5040" w:hanging="360"/>
      </w:pPr>
    </w:lvl>
    <w:lvl w:ilvl="7" w:tplc="424017FC">
      <w:start w:val="1"/>
      <w:numFmt w:val="lowerLetter"/>
      <w:lvlText w:val="%8."/>
      <w:lvlJc w:val="left"/>
      <w:pPr>
        <w:ind w:left="5760" w:hanging="360"/>
      </w:pPr>
    </w:lvl>
    <w:lvl w:ilvl="8" w:tplc="9A3EDFE8">
      <w:start w:val="1"/>
      <w:numFmt w:val="lowerRoman"/>
      <w:lvlText w:val="%9."/>
      <w:lvlJc w:val="right"/>
      <w:pPr>
        <w:ind w:left="6480" w:hanging="180"/>
      </w:pPr>
    </w:lvl>
  </w:abstractNum>
  <w:abstractNum w:abstractNumId="2">
    <w:nsid w:val="00000002"/>
    <w:multiLevelType w:val="hybridMultilevel"/>
    <w:tmpl w:val="FFFFFFFF"/>
    <w:lvl w:ilvl="0" w:tplc="31BC5AA4">
      <w:start w:val="1"/>
      <w:numFmt w:val="bullet"/>
      <w:lvlText w:val=""/>
      <w:lvlJc w:val="left"/>
      <w:pPr>
        <w:ind w:left="1080" w:hanging="360"/>
      </w:pPr>
      <w:rPr>
        <w:rFonts w:ascii="Symbol" w:hAnsi="Symbol" w:hint="default"/>
      </w:rPr>
    </w:lvl>
    <w:lvl w:ilvl="1" w:tplc="E308554A">
      <w:start w:val="1"/>
      <w:numFmt w:val="bullet"/>
      <w:lvlText w:val="o"/>
      <w:lvlJc w:val="left"/>
      <w:pPr>
        <w:ind w:left="1800" w:hanging="360"/>
      </w:pPr>
      <w:rPr>
        <w:rFonts w:ascii="Courier New" w:hAnsi="Courier New" w:hint="default"/>
      </w:rPr>
    </w:lvl>
    <w:lvl w:ilvl="2" w:tplc="56D6A69C">
      <w:start w:val="1"/>
      <w:numFmt w:val="bullet"/>
      <w:lvlText w:val=""/>
      <w:lvlJc w:val="left"/>
      <w:pPr>
        <w:ind w:left="2520" w:hanging="360"/>
      </w:pPr>
      <w:rPr>
        <w:rFonts w:ascii="Wingdings" w:hAnsi="Wingdings" w:hint="default"/>
      </w:rPr>
    </w:lvl>
    <w:lvl w:ilvl="3" w:tplc="3CB44340">
      <w:start w:val="1"/>
      <w:numFmt w:val="bullet"/>
      <w:lvlText w:val=""/>
      <w:lvlJc w:val="left"/>
      <w:pPr>
        <w:ind w:left="3240" w:hanging="360"/>
      </w:pPr>
      <w:rPr>
        <w:rFonts w:ascii="Symbol" w:hAnsi="Symbol" w:hint="default"/>
      </w:rPr>
    </w:lvl>
    <w:lvl w:ilvl="4" w:tplc="7E342304">
      <w:start w:val="1"/>
      <w:numFmt w:val="bullet"/>
      <w:lvlText w:val="o"/>
      <w:lvlJc w:val="left"/>
      <w:pPr>
        <w:ind w:left="3960" w:hanging="360"/>
      </w:pPr>
      <w:rPr>
        <w:rFonts w:ascii="Courier New" w:hAnsi="Courier New" w:hint="default"/>
      </w:rPr>
    </w:lvl>
    <w:lvl w:ilvl="5" w:tplc="C9567D36">
      <w:start w:val="1"/>
      <w:numFmt w:val="bullet"/>
      <w:lvlText w:val=""/>
      <w:lvlJc w:val="left"/>
      <w:pPr>
        <w:ind w:left="4680" w:hanging="360"/>
      </w:pPr>
      <w:rPr>
        <w:rFonts w:ascii="Wingdings" w:hAnsi="Wingdings" w:hint="default"/>
      </w:rPr>
    </w:lvl>
    <w:lvl w:ilvl="6" w:tplc="23B66EA8">
      <w:start w:val="1"/>
      <w:numFmt w:val="bullet"/>
      <w:lvlText w:val=""/>
      <w:lvlJc w:val="left"/>
      <w:pPr>
        <w:ind w:left="5400" w:hanging="360"/>
      </w:pPr>
      <w:rPr>
        <w:rFonts w:ascii="Symbol" w:hAnsi="Symbol" w:hint="default"/>
      </w:rPr>
    </w:lvl>
    <w:lvl w:ilvl="7" w:tplc="C5B06DE2">
      <w:start w:val="1"/>
      <w:numFmt w:val="bullet"/>
      <w:lvlText w:val="o"/>
      <w:lvlJc w:val="left"/>
      <w:pPr>
        <w:ind w:left="6120" w:hanging="360"/>
      </w:pPr>
      <w:rPr>
        <w:rFonts w:ascii="Courier New" w:hAnsi="Courier New" w:hint="default"/>
      </w:rPr>
    </w:lvl>
    <w:lvl w:ilvl="8" w:tplc="D87C9E54">
      <w:start w:val="1"/>
      <w:numFmt w:val="bullet"/>
      <w:lvlText w:val=""/>
      <w:lvlJc w:val="left"/>
      <w:pPr>
        <w:ind w:left="6840" w:hanging="360"/>
      </w:pPr>
      <w:rPr>
        <w:rFonts w:ascii="Wingdings" w:hAnsi="Wingdings" w:hint="default"/>
      </w:rPr>
    </w:lvl>
  </w:abstractNum>
  <w:abstractNum w:abstractNumId="3">
    <w:nsid w:val="00000003"/>
    <w:multiLevelType w:val="hybridMultilevel"/>
    <w:tmpl w:val="FFFFFFFF"/>
    <w:lvl w:ilvl="0" w:tplc="6EE4967E">
      <w:start w:val="1"/>
      <w:numFmt w:val="bullet"/>
      <w:lvlText w:val=""/>
      <w:lvlJc w:val="left"/>
      <w:pPr>
        <w:ind w:left="1080" w:hanging="360"/>
      </w:pPr>
      <w:rPr>
        <w:rFonts w:ascii="Symbol" w:hAnsi="Symbol" w:hint="default"/>
      </w:rPr>
    </w:lvl>
    <w:lvl w:ilvl="1" w:tplc="F8BA890E">
      <w:start w:val="1"/>
      <w:numFmt w:val="bullet"/>
      <w:lvlText w:val="o"/>
      <w:lvlJc w:val="left"/>
      <w:pPr>
        <w:ind w:left="1800" w:hanging="360"/>
      </w:pPr>
      <w:rPr>
        <w:rFonts w:ascii="Courier New" w:hAnsi="Courier New" w:hint="default"/>
      </w:rPr>
    </w:lvl>
    <w:lvl w:ilvl="2" w:tplc="471439FC">
      <w:start w:val="1"/>
      <w:numFmt w:val="bullet"/>
      <w:lvlText w:val=""/>
      <w:lvlJc w:val="left"/>
      <w:pPr>
        <w:ind w:left="2520" w:hanging="360"/>
      </w:pPr>
      <w:rPr>
        <w:rFonts w:ascii="Wingdings" w:hAnsi="Wingdings" w:hint="default"/>
      </w:rPr>
    </w:lvl>
    <w:lvl w:ilvl="3" w:tplc="F63CEB08">
      <w:start w:val="1"/>
      <w:numFmt w:val="bullet"/>
      <w:lvlText w:val=""/>
      <w:lvlJc w:val="left"/>
      <w:pPr>
        <w:ind w:left="3240" w:hanging="360"/>
      </w:pPr>
      <w:rPr>
        <w:rFonts w:ascii="Symbol" w:hAnsi="Symbol" w:hint="default"/>
      </w:rPr>
    </w:lvl>
    <w:lvl w:ilvl="4" w:tplc="5310FAE4">
      <w:start w:val="1"/>
      <w:numFmt w:val="bullet"/>
      <w:lvlText w:val="o"/>
      <w:lvlJc w:val="left"/>
      <w:pPr>
        <w:ind w:left="3960" w:hanging="360"/>
      </w:pPr>
      <w:rPr>
        <w:rFonts w:ascii="Courier New" w:hAnsi="Courier New" w:hint="default"/>
      </w:rPr>
    </w:lvl>
    <w:lvl w:ilvl="5" w:tplc="9B824D56">
      <w:start w:val="1"/>
      <w:numFmt w:val="bullet"/>
      <w:lvlText w:val=""/>
      <w:lvlJc w:val="left"/>
      <w:pPr>
        <w:ind w:left="4680" w:hanging="360"/>
      </w:pPr>
      <w:rPr>
        <w:rFonts w:ascii="Wingdings" w:hAnsi="Wingdings" w:hint="default"/>
      </w:rPr>
    </w:lvl>
    <w:lvl w:ilvl="6" w:tplc="523A00F2">
      <w:start w:val="1"/>
      <w:numFmt w:val="bullet"/>
      <w:lvlText w:val=""/>
      <w:lvlJc w:val="left"/>
      <w:pPr>
        <w:ind w:left="5400" w:hanging="360"/>
      </w:pPr>
      <w:rPr>
        <w:rFonts w:ascii="Symbol" w:hAnsi="Symbol" w:hint="default"/>
      </w:rPr>
    </w:lvl>
    <w:lvl w:ilvl="7" w:tplc="C5283B56">
      <w:start w:val="1"/>
      <w:numFmt w:val="bullet"/>
      <w:lvlText w:val="o"/>
      <w:lvlJc w:val="left"/>
      <w:pPr>
        <w:ind w:left="6120" w:hanging="360"/>
      </w:pPr>
      <w:rPr>
        <w:rFonts w:ascii="Courier New" w:hAnsi="Courier New" w:hint="default"/>
      </w:rPr>
    </w:lvl>
    <w:lvl w:ilvl="8" w:tplc="BF5A683E">
      <w:start w:val="1"/>
      <w:numFmt w:val="bullet"/>
      <w:lvlText w:val=""/>
      <w:lvlJc w:val="left"/>
      <w:pPr>
        <w:ind w:left="6840" w:hanging="360"/>
      </w:pPr>
      <w:rPr>
        <w:rFonts w:ascii="Wingdings" w:hAnsi="Wingdings" w:hint="default"/>
      </w:rPr>
    </w:lvl>
  </w:abstractNum>
  <w:abstractNum w:abstractNumId="4">
    <w:nsid w:val="00000004"/>
    <w:multiLevelType w:val="hybridMultilevel"/>
    <w:tmpl w:val="FFFFFFFF"/>
    <w:lvl w:ilvl="0" w:tplc="83DCF87C">
      <w:start w:val="1"/>
      <w:numFmt w:val="bullet"/>
      <w:lvlText w:val=""/>
      <w:lvlJc w:val="left"/>
      <w:pPr>
        <w:ind w:left="1080" w:hanging="360"/>
      </w:pPr>
      <w:rPr>
        <w:rFonts w:ascii="Symbol" w:hAnsi="Symbol" w:hint="default"/>
      </w:rPr>
    </w:lvl>
    <w:lvl w:ilvl="1" w:tplc="5E7047F0">
      <w:start w:val="1"/>
      <w:numFmt w:val="bullet"/>
      <w:lvlText w:val="o"/>
      <w:lvlJc w:val="left"/>
      <w:pPr>
        <w:ind w:left="1800" w:hanging="360"/>
      </w:pPr>
      <w:rPr>
        <w:rFonts w:ascii="Courier New" w:hAnsi="Courier New" w:hint="default"/>
      </w:rPr>
    </w:lvl>
    <w:lvl w:ilvl="2" w:tplc="5956A242">
      <w:start w:val="1"/>
      <w:numFmt w:val="bullet"/>
      <w:lvlText w:val=""/>
      <w:lvlJc w:val="left"/>
      <w:pPr>
        <w:ind w:left="2520" w:hanging="360"/>
      </w:pPr>
      <w:rPr>
        <w:rFonts w:ascii="Wingdings" w:hAnsi="Wingdings" w:hint="default"/>
      </w:rPr>
    </w:lvl>
    <w:lvl w:ilvl="3" w:tplc="5472F280">
      <w:start w:val="1"/>
      <w:numFmt w:val="bullet"/>
      <w:lvlText w:val=""/>
      <w:lvlJc w:val="left"/>
      <w:pPr>
        <w:ind w:left="3240" w:hanging="360"/>
      </w:pPr>
      <w:rPr>
        <w:rFonts w:ascii="Symbol" w:hAnsi="Symbol" w:hint="default"/>
      </w:rPr>
    </w:lvl>
    <w:lvl w:ilvl="4" w:tplc="C56657C2">
      <w:start w:val="1"/>
      <w:numFmt w:val="bullet"/>
      <w:lvlText w:val="o"/>
      <w:lvlJc w:val="left"/>
      <w:pPr>
        <w:ind w:left="3960" w:hanging="360"/>
      </w:pPr>
      <w:rPr>
        <w:rFonts w:ascii="Courier New" w:hAnsi="Courier New" w:hint="default"/>
      </w:rPr>
    </w:lvl>
    <w:lvl w:ilvl="5" w:tplc="3B42A740">
      <w:start w:val="1"/>
      <w:numFmt w:val="bullet"/>
      <w:lvlText w:val=""/>
      <w:lvlJc w:val="left"/>
      <w:pPr>
        <w:ind w:left="4680" w:hanging="360"/>
      </w:pPr>
      <w:rPr>
        <w:rFonts w:ascii="Wingdings" w:hAnsi="Wingdings" w:hint="default"/>
      </w:rPr>
    </w:lvl>
    <w:lvl w:ilvl="6" w:tplc="D5744400">
      <w:start w:val="1"/>
      <w:numFmt w:val="bullet"/>
      <w:lvlText w:val=""/>
      <w:lvlJc w:val="left"/>
      <w:pPr>
        <w:ind w:left="5400" w:hanging="360"/>
      </w:pPr>
      <w:rPr>
        <w:rFonts w:ascii="Symbol" w:hAnsi="Symbol" w:hint="default"/>
      </w:rPr>
    </w:lvl>
    <w:lvl w:ilvl="7" w:tplc="40043FF6">
      <w:start w:val="1"/>
      <w:numFmt w:val="bullet"/>
      <w:lvlText w:val="o"/>
      <w:lvlJc w:val="left"/>
      <w:pPr>
        <w:ind w:left="6120" w:hanging="360"/>
      </w:pPr>
      <w:rPr>
        <w:rFonts w:ascii="Courier New" w:hAnsi="Courier New" w:hint="default"/>
      </w:rPr>
    </w:lvl>
    <w:lvl w:ilvl="8" w:tplc="13806D90">
      <w:start w:val="1"/>
      <w:numFmt w:val="bullet"/>
      <w:lvlText w:val=""/>
      <w:lvlJc w:val="left"/>
      <w:pPr>
        <w:ind w:left="6840" w:hanging="360"/>
      </w:pPr>
      <w:rPr>
        <w:rFonts w:ascii="Wingdings" w:hAnsi="Wingdings" w:hint="default"/>
      </w:rPr>
    </w:lvl>
  </w:abstractNum>
  <w:abstractNum w:abstractNumId="5">
    <w:nsid w:val="00000005"/>
    <w:multiLevelType w:val="hybridMultilevel"/>
    <w:tmpl w:val="FFFFFFFF"/>
    <w:lvl w:ilvl="0" w:tplc="20443186">
      <w:start w:val="1"/>
      <w:numFmt w:val="decimal"/>
      <w:lvlText w:val="%1."/>
      <w:lvlJc w:val="left"/>
      <w:pPr>
        <w:ind w:left="720" w:hanging="360"/>
      </w:pPr>
    </w:lvl>
    <w:lvl w:ilvl="1" w:tplc="42D8E6EA">
      <w:start w:val="1"/>
      <w:numFmt w:val="lowerLetter"/>
      <w:lvlText w:val="%2."/>
      <w:lvlJc w:val="left"/>
      <w:pPr>
        <w:ind w:left="1440" w:hanging="360"/>
      </w:pPr>
    </w:lvl>
    <w:lvl w:ilvl="2" w:tplc="604A7416">
      <w:start w:val="1"/>
      <w:numFmt w:val="lowerRoman"/>
      <w:lvlText w:val="%3."/>
      <w:lvlJc w:val="right"/>
      <w:pPr>
        <w:ind w:left="2160" w:hanging="180"/>
      </w:pPr>
    </w:lvl>
    <w:lvl w:ilvl="3" w:tplc="F54A9E5E">
      <w:start w:val="1"/>
      <w:numFmt w:val="decimal"/>
      <w:lvlText w:val="%4."/>
      <w:lvlJc w:val="left"/>
      <w:pPr>
        <w:ind w:left="2880" w:hanging="360"/>
      </w:pPr>
    </w:lvl>
    <w:lvl w:ilvl="4" w:tplc="267A7174">
      <w:start w:val="1"/>
      <w:numFmt w:val="lowerLetter"/>
      <w:lvlText w:val="%5."/>
      <w:lvlJc w:val="left"/>
      <w:pPr>
        <w:ind w:left="3600" w:hanging="360"/>
      </w:pPr>
    </w:lvl>
    <w:lvl w:ilvl="5" w:tplc="EA16E1C8">
      <w:start w:val="1"/>
      <w:numFmt w:val="lowerRoman"/>
      <w:lvlText w:val="%6."/>
      <w:lvlJc w:val="right"/>
      <w:pPr>
        <w:ind w:left="4320" w:hanging="180"/>
      </w:pPr>
    </w:lvl>
    <w:lvl w:ilvl="6" w:tplc="617A04A4">
      <w:start w:val="1"/>
      <w:numFmt w:val="decimal"/>
      <w:lvlText w:val="%7."/>
      <w:lvlJc w:val="left"/>
      <w:pPr>
        <w:ind w:left="5040" w:hanging="360"/>
      </w:pPr>
    </w:lvl>
    <w:lvl w:ilvl="7" w:tplc="70F8579C">
      <w:start w:val="1"/>
      <w:numFmt w:val="lowerLetter"/>
      <w:lvlText w:val="%8."/>
      <w:lvlJc w:val="left"/>
      <w:pPr>
        <w:ind w:left="5760" w:hanging="360"/>
      </w:pPr>
    </w:lvl>
    <w:lvl w:ilvl="8" w:tplc="7C58BB1A">
      <w:start w:val="1"/>
      <w:numFmt w:val="lowerRoman"/>
      <w:lvlText w:val="%9."/>
      <w:lvlJc w:val="right"/>
      <w:pPr>
        <w:ind w:left="6480" w:hanging="180"/>
      </w:pPr>
    </w:lvl>
  </w:abstractNum>
  <w:abstractNum w:abstractNumId="6">
    <w:nsid w:val="00000006"/>
    <w:multiLevelType w:val="hybridMultilevel"/>
    <w:tmpl w:val="FFFFFFFF"/>
    <w:lvl w:ilvl="0" w:tplc="A490AD6A">
      <w:start w:val="2"/>
      <w:numFmt w:val="decimal"/>
      <w:lvlText w:val="%1."/>
      <w:lvlJc w:val="left"/>
      <w:pPr>
        <w:ind w:left="720" w:hanging="360"/>
      </w:pPr>
    </w:lvl>
    <w:lvl w:ilvl="1" w:tplc="49CA4C66">
      <w:start w:val="1"/>
      <w:numFmt w:val="lowerLetter"/>
      <w:lvlText w:val="%2."/>
      <w:lvlJc w:val="left"/>
      <w:pPr>
        <w:ind w:left="1440" w:hanging="360"/>
      </w:pPr>
    </w:lvl>
    <w:lvl w:ilvl="2" w:tplc="35B2685E">
      <w:start w:val="1"/>
      <w:numFmt w:val="lowerRoman"/>
      <w:lvlText w:val="%3."/>
      <w:lvlJc w:val="right"/>
      <w:pPr>
        <w:ind w:left="2160" w:hanging="180"/>
      </w:pPr>
    </w:lvl>
    <w:lvl w:ilvl="3" w:tplc="7CD80D82">
      <w:start w:val="1"/>
      <w:numFmt w:val="decimal"/>
      <w:lvlText w:val="%4."/>
      <w:lvlJc w:val="left"/>
      <w:pPr>
        <w:ind w:left="2880" w:hanging="360"/>
      </w:pPr>
    </w:lvl>
    <w:lvl w:ilvl="4" w:tplc="A6B2720E">
      <w:start w:val="1"/>
      <w:numFmt w:val="lowerLetter"/>
      <w:lvlText w:val="%5."/>
      <w:lvlJc w:val="left"/>
      <w:pPr>
        <w:ind w:left="3600" w:hanging="360"/>
      </w:pPr>
    </w:lvl>
    <w:lvl w:ilvl="5" w:tplc="22EC24CC">
      <w:start w:val="1"/>
      <w:numFmt w:val="lowerRoman"/>
      <w:lvlText w:val="%6."/>
      <w:lvlJc w:val="right"/>
      <w:pPr>
        <w:ind w:left="4320" w:hanging="180"/>
      </w:pPr>
    </w:lvl>
    <w:lvl w:ilvl="6" w:tplc="03041F28">
      <w:start w:val="1"/>
      <w:numFmt w:val="decimal"/>
      <w:lvlText w:val="%7."/>
      <w:lvlJc w:val="left"/>
      <w:pPr>
        <w:ind w:left="5040" w:hanging="360"/>
      </w:pPr>
    </w:lvl>
    <w:lvl w:ilvl="7" w:tplc="B6988D44">
      <w:start w:val="1"/>
      <w:numFmt w:val="lowerLetter"/>
      <w:lvlText w:val="%8."/>
      <w:lvlJc w:val="left"/>
      <w:pPr>
        <w:ind w:left="5760" w:hanging="360"/>
      </w:pPr>
    </w:lvl>
    <w:lvl w:ilvl="8" w:tplc="16948732">
      <w:start w:val="1"/>
      <w:numFmt w:val="lowerRoman"/>
      <w:lvlText w:val="%9."/>
      <w:lvlJc w:val="right"/>
      <w:pPr>
        <w:ind w:left="6480" w:hanging="180"/>
      </w:pPr>
    </w:lvl>
  </w:abstractNum>
  <w:abstractNum w:abstractNumId="7">
    <w:nsid w:val="00000007"/>
    <w:multiLevelType w:val="hybridMultilevel"/>
    <w:tmpl w:val="FFFFFFFF"/>
    <w:lvl w:ilvl="0" w:tplc="244CE25E">
      <w:start w:val="1"/>
      <w:numFmt w:val="decimal"/>
      <w:lvlText w:val="%1."/>
      <w:lvlJc w:val="left"/>
      <w:pPr>
        <w:ind w:left="720" w:hanging="360"/>
      </w:pPr>
    </w:lvl>
    <w:lvl w:ilvl="1" w:tplc="B6B6F7C2">
      <w:start w:val="1"/>
      <w:numFmt w:val="lowerLetter"/>
      <w:lvlText w:val="%2."/>
      <w:lvlJc w:val="left"/>
      <w:pPr>
        <w:ind w:left="1440" w:hanging="360"/>
      </w:pPr>
    </w:lvl>
    <w:lvl w:ilvl="2" w:tplc="622ED2F0">
      <w:start w:val="1"/>
      <w:numFmt w:val="lowerRoman"/>
      <w:lvlText w:val="%3."/>
      <w:lvlJc w:val="right"/>
      <w:pPr>
        <w:ind w:left="2160" w:hanging="180"/>
      </w:pPr>
    </w:lvl>
    <w:lvl w:ilvl="3" w:tplc="FC388150">
      <w:start w:val="1"/>
      <w:numFmt w:val="decimal"/>
      <w:lvlText w:val="%4."/>
      <w:lvlJc w:val="left"/>
      <w:pPr>
        <w:ind w:left="2880" w:hanging="360"/>
      </w:pPr>
    </w:lvl>
    <w:lvl w:ilvl="4" w:tplc="7A4AE5E2">
      <w:start w:val="1"/>
      <w:numFmt w:val="lowerLetter"/>
      <w:lvlText w:val="%5."/>
      <w:lvlJc w:val="left"/>
      <w:pPr>
        <w:ind w:left="3600" w:hanging="360"/>
      </w:pPr>
    </w:lvl>
    <w:lvl w:ilvl="5" w:tplc="AC9419C6">
      <w:start w:val="1"/>
      <w:numFmt w:val="lowerRoman"/>
      <w:lvlText w:val="%6."/>
      <w:lvlJc w:val="right"/>
      <w:pPr>
        <w:ind w:left="4320" w:hanging="180"/>
      </w:pPr>
    </w:lvl>
    <w:lvl w:ilvl="6" w:tplc="3F2E1D76">
      <w:start w:val="1"/>
      <w:numFmt w:val="decimal"/>
      <w:lvlText w:val="%7."/>
      <w:lvlJc w:val="left"/>
      <w:pPr>
        <w:ind w:left="5040" w:hanging="360"/>
      </w:pPr>
    </w:lvl>
    <w:lvl w:ilvl="7" w:tplc="91306620">
      <w:start w:val="1"/>
      <w:numFmt w:val="lowerLetter"/>
      <w:lvlText w:val="%8."/>
      <w:lvlJc w:val="left"/>
      <w:pPr>
        <w:ind w:left="5760" w:hanging="360"/>
      </w:pPr>
    </w:lvl>
    <w:lvl w:ilvl="8" w:tplc="522242A4">
      <w:start w:val="1"/>
      <w:numFmt w:val="lowerRoman"/>
      <w:lvlText w:val="%9."/>
      <w:lvlJc w:val="right"/>
      <w:pPr>
        <w:ind w:left="6480" w:hanging="180"/>
      </w:pPr>
    </w:lvl>
  </w:abstractNum>
  <w:num w:numId="1">
    <w:abstractNumId w:val="7"/>
  </w:num>
  <w:num w:numId="2">
    <w:abstractNumId w:val="2"/>
  </w:num>
  <w:num w:numId="3">
    <w:abstractNumId w:val="4"/>
  </w:num>
  <w:num w:numId="4">
    <w:abstractNumId w:val="0"/>
  </w:num>
  <w:num w:numId="5">
    <w:abstractNumId w:val="6"/>
  </w:num>
  <w:num w:numId="6">
    <w:abstractNumId w:val="5"/>
  </w:num>
  <w:num w:numId="7">
    <w:abstractNumId w:val="3"/>
  </w:num>
  <w:num w:numId="8">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view w:val="web"/>
  <w:zoom w:percent="70"/>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revisionView w:inkAnnotations="f"/>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Aptos" w:cs="宋体" w:eastAsia="宋体" w:hAnsi="Aptos"/>
        <w:sz w:val="24"/>
        <w:szCs w:val="24"/>
        <w:lang w:val="en-US" w:bidi="ar-SA" w:eastAsia="ja-JP"/>
      </w:rPr>
    </w:rPrDefault>
    <w:pPrDefault>
      <w:pPr>
        <w:spacing w:after="160" w:lineRule="auto" w:line="279"/>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360" w:after="80"/>
      <w:outlineLvl w:val="0"/>
    </w:pPr>
    <w:rPr>
      <w:rFonts w:ascii="Aptos Display" w:cs="宋体" w:eastAsia="宋体" w:hAnsi="Aptos Display"/>
      <w:color w:val="0f4761"/>
      <w:sz w:val="40"/>
      <w:szCs w:val="40"/>
    </w:rPr>
  </w:style>
  <w:style w:type="paragraph" w:styleId="style2">
    <w:name w:val="heading 2"/>
    <w:basedOn w:val="style0"/>
    <w:next w:val="style0"/>
    <w:link w:val="style4098"/>
    <w:qFormat/>
    <w:uiPriority w:val="9"/>
    <w:pPr>
      <w:keepNext/>
      <w:keepLines/>
      <w:spacing w:before="160" w:after="80"/>
      <w:outlineLvl w:val="1"/>
    </w:pPr>
    <w:rPr>
      <w:rFonts w:ascii="Aptos Display" w:cs="宋体" w:eastAsia="宋体" w:hAnsi="Aptos Display"/>
      <w:color w:val="0f4761"/>
      <w:sz w:val="32"/>
      <w:szCs w:val="32"/>
    </w:rPr>
  </w:style>
  <w:style w:type="paragraph" w:styleId="style3">
    <w:name w:val="heading 3"/>
    <w:basedOn w:val="style0"/>
    <w:next w:val="style0"/>
    <w:link w:val="style4099"/>
    <w:qFormat/>
    <w:uiPriority w:val="9"/>
    <w:pPr>
      <w:keepNext/>
      <w:keepLines/>
      <w:spacing w:before="160" w:after="80"/>
      <w:outlineLvl w:val="2"/>
    </w:pPr>
    <w:rPr>
      <w:rFonts w:cs="宋体" w:eastAsia="宋体"/>
      <w:color w:val="0f4761"/>
      <w:sz w:val="28"/>
      <w:szCs w:val="28"/>
    </w:rPr>
  </w:style>
  <w:style w:type="paragraph" w:styleId="style4">
    <w:name w:val="heading 4"/>
    <w:basedOn w:val="style0"/>
    <w:next w:val="style0"/>
    <w:link w:val="style4100"/>
    <w:qFormat/>
    <w:uiPriority w:val="9"/>
    <w:pPr>
      <w:keepNext/>
      <w:keepLines/>
      <w:spacing w:before="80" w:after="40"/>
      <w:outlineLvl w:val="3"/>
    </w:pPr>
    <w:rPr>
      <w:rFonts w:cs="宋体" w:eastAsia="宋体"/>
      <w:i/>
      <w:iCs/>
      <w:color w:val="0f4761"/>
    </w:rPr>
  </w:style>
  <w:style w:type="paragraph" w:styleId="style5">
    <w:name w:val="heading 5"/>
    <w:basedOn w:val="style0"/>
    <w:next w:val="style0"/>
    <w:link w:val="style4101"/>
    <w:qFormat/>
    <w:uiPriority w:val="9"/>
    <w:pPr>
      <w:keepNext/>
      <w:keepLines/>
      <w:spacing w:before="80" w:after="40"/>
      <w:outlineLvl w:val="4"/>
    </w:pPr>
    <w:rPr>
      <w:rFonts w:cs="宋体" w:eastAsia="宋体"/>
      <w:color w:val="0f4761"/>
    </w:rPr>
  </w:style>
  <w:style w:type="paragraph" w:styleId="style6">
    <w:name w:val="heading 6"/>
    <w:basedOn w:val="style0"/>
    <w:next w:val="style0"/>
    <w:link w:val="style4102"/>
    <w:qFormat/>
    <w:uiPriority w:val="9"/>
    <w:pPr>
      <w:keepNext/>
      <w:keepLines/>
      <w:spacing w:before="40" w:after="0"/>
      <w:outlineLvl w:val="5"/>
    </w:pPr>
    <w:rPr>
      <w:rFonts w:cs="宋体" w:eastAsia="宋体"/>
      <w:i/>
      <w:iCs/>
      <w:color w:val="595959"/>
    </w:rPr>
  </w:style>
  <w:style w:type="paragraph" w:styleId="style7">
    <w:name w:val="heading 7"/>
    <w:basedOn w:val="style0"/>
    <w:next w:val="style0"/>
    <w:link w:val="style4103"/>
    <w:qFormat/>
    <w:uiPriority w:val="9"/>
    <w:pPr>
      <w:keepNext/>
      <w:keepLines/>
      <w:spacing w:before="40" w:after="0"/>
      <w:outlineLvl w:val="6"/>
    </w:pPr>
    <w:rPr>
      <w:rFonts w:cs="宋体" w:eastAsia="宋体"/>
      <w:color w:val="595959"/>
    </w:rPr>
  </w:style>
  <w:style w:type="paragraph" w:styleId="style8">
    <w:name w:val="heading 8"/>
    <w:basedOn w:val="style0"/>
    <w:next w:val="style0"/>
    <w:link w:val="style4104"/>
    <w:qFormat/>
    <w:uiPriority w:val="9"/>
    <w:pPr>
      <w:keepNext/>
      <w:keepLines/>
      <w:spacing w:after="0"/>
      <w:outlineLvl w:val="7"/>
    </w:pPr>
    <w:rPr>
      <w:rFonts w:cs="宋体" w:eastAsia="宋体"/>
      <w:i/>
      <w:iCs/>
      <w:color w:val="272727"/>
    </w:rPr>
  </w:style>
  <w:style w:type="paragraph" w:styleId="style9">
    <w:name w:val="heading 9"/>
    <w:basedOn w:val="style0"/>
    <w:next w:val="style0"/>
    <w:link w:val="style4105"/>
    <w:qFormat/>
    <w:uiPriority w:val="9"/>
    <w:pPr>
      <w:keepNext/>
      <w:keepLines/>
      <w:spacing w:after="0"/>
      <w:outlineLvl w:val="8"/>
    </w:pPr>
    <w:rPr>
      <w:rFonts w:cs="宋体" w:eastAsia="宋体"/>
      <w:color w:val="272727"/>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ce09f16c-3126-49a1-bba0-ce7892ec8e47"/>
    <w:basedOn w:val="style65"/>
    <w:next w:val="style4097"/>
    <w:link w:val="style1"/>
    <w:uiPriority w:val="9"/>
    <w:rPr>
      <w:rFonts w:ascii="Aptos Display" w:cs="宋体" w:eastAsia="宋体" w:hAnsi="Aptos Display"/>
      <w:color w:val="0f4761"/>
      <w:sz w:val="40"/>
      <w:szCs w:val="40"/>
    </w:rPr>
  </w:style>
  <w:style w:type="character" w:customStyle="1" w:styleId="style4098">
    <w:name w:val="Heading 2 Char_28d9247e-b932-4e20-9bfa-127e27488f89"/>
    <w:basedOn w:val="style65"/>
    <w:next w:val="style4098"/>
    <w:link w:val="style2"/>
    <w:uiPriority w:val="9"/>
    <w:rPr>
      <w:rFonts w:ascii="Aptos Display" w:cs="宋体" w:eastAsia="宋体" w:hAnsi="Aptos Display"/>
      <w:color w:val="0f4761"/>
      <w:sz w:val="32"/>
      <w:szCs w:val="32"/>
    </w:rPr>
  </w:style>
  <w:style w:type="character" w:customStyle="1" w:styleId="style4099">
    <w:name w:val="Heading 3 Char_31089fdc-af52-4eaf-85d7-277a28b63715"/>
    <w:basedOn w:val="style65"/>
    <w:next w:val="style4099"/>
    <w:link w:val="style3"/>
    <w:uiPriority w:val="9"/>
    <w:rPr>
      <w:rFonts w:cs="宋体" w:eastAsia="宋体"/>
      <w:color w:val="0f4761"/>
      <w:sz w:val="28"/>
      <w:szCs w:val="28"/>
    </w:rPr>
  </w:style>
  <w:style w:type="character" w:customStyle="1" w:styleId="style4100">
    <w:name w:val="Heading 4 Char_fb30fa2d-8285-4c66-8cb5-b326bc0f8d35"/>
    <w:basedOn w:val="style65"/>
    <w:next w:val="style4100"/>
    <w:link w:val="style4"/>
    <w:uiPriority w:val="9"/>
    <w:rPr>
      <w:rFonts w:cs="宋体" w:eastAsia="宋体"/>
      <w:i/>
      <w:iCs/>
      <w:color w:val="0f4761"/>
    </w:rPr>
  </w:style>
  <w:style w:type="character" w:customStyle="1" w:styleId="style4101">
    <w:name w:val="Heading 5 Char_7fad19ac-6bf9-470d-bc81-399275dab734"/>
    <w:basedOn w:val="style65"/>
    <w:next w:val="style4101"/>
    <w:link w:val="style5"/>
    <w:uiPriority w:val="9"/>
    <w:rPr>
      <w:rFonts w:cs="宋体" w:eastAsia="宋体"/>
      <w:color w:val="0f4761"/>
    </w:rPr>
  </w:style>
  <w:style w:type="character" w:customStyle="1" w:styleId="style4102">
    <w:name w:val="Heading 6 Char_ec01c97a-ed21-496b-8b33-d54e8a637363"/>
    <w:basedOn w:val="style65"/>
    <w:next w:val="style4102"/>
    <w:link w:val="style6"/>
    <w:uiPriority w:val="9"/>
    <w:rPr>
      <w:rFonts w:cs="宋体" w:eastAsia="宋体"/>
      <w:i/>
      <w:iCs/>
      <w:color w:val="595959"/>
    </w:rPr>
  </w:style>
  <w:style w:type="character" w:customStyle="1" w:styleId="style4103">
    <w:name w:val="Heading 7 Char_2b2605be-b26d-409b-a414-27be76f5cf89"/>
    <w:basedOn w:val="style65"/>
    <w:next w:val="style4103"/>
    <w:link w:val="style7"/>
    <w:uiPriority w:val="9"/>
    <w:rPr>
      <w:rFonts w:cs="宋体" w:eastAsia="宋体"/>
      <w:color w:val="595959"/>
    </w:rPr>
  </w:style>
  <w:style w:type="character" w:customStyle="1" w:styleId="style4104">
    <w:name w:val="Heading 8 Char_55dc655e-b760-4f31-a9ff-50ece07c72ae"/>
    <w:basedOn w:val="style65"/>
    <w:next w:val="style4104"/>
    <w:link w:val="style8"/>
    <w:uiPriority w:val="9"/>
    <w:rPr>
      <w:rFonts w:cs="宋体" w:eastAsia="宋体"/>
      <w:i/>
      <w:iCs/>
      <w:color w:val="272727"/>
    </w:rPr>
  </w:style>
  <w:style w:type="character" w:customStyle="1" w:styleId="style4105">
    <w:name w:val="Heading 9 Char_4176d4cd-9722-439e-af4c-4b2f95a411d0"/>
    <w:basedOn w:val="style65"/>
    <w:next w:val="style4105"/>
    <w:link w:val="style9"/>
    <w:uiPriority w:val="9"/>
    <w:rPr>
      <w:rFonts w:cs="宋体" w:eastAsia="宋体"/>
      <w:color w:val="272727"/>
    </w:rPr>
  </w:style>
  <w:style w:type="character" w:customStyle="1" w:styleId="style4106">
    <w:name w:val="Title Char_21581d84-2e2d-4122-a790-47db4c12d799"/>
    <w:basedOn w:val="style65"/>
    <w:next w:val="style4106"/>
    <w:link w:val="style62"/>
    <w:uiPriority w:val="10"/>
    <w:rPr>
      <w:rFonts w:ascii="Aptos Display" w:cs="宋体" w:eastAsia="宋体" w:hAnsi="Aptos Display"/>
      <w:spacing w:val="-10"/>
      <w:kern w:val="28"/>
      <w:sz w:val="56"/>
      <w:szCs w:val="56"/>
    </w:rPr>
  </w:style>
  <w:style w:type="paragraph" w:styleId="style62">
    <w:name w:val="Title"/>
    <w:basedOn w:val="style0"/>
    <w:next w:val="style0"/>
    <w:link w:val="style4106"/>
    <w:qFormat/>
    <w:uiPriority w:val="10"/>
    <w:pPr>
      <w:spacing w:after="80" w:lineRule="auto" w:line="240"/>
      <w:contextualSpacing/>
    </w:pPr>
    <w:rPr>
      <w:rFonts w:ascii="Aptos Display" w:cs="宋体" w:eastAsia="宋体" w:hAnsi="Aptos Display"/>
      <w:spacing w:val="-10"/>
      <w:kern w:val="28"/>
      <w:sz w:val="56"/>
      <w:szCs w:val="56"/>
    </w:rPr>
  </w:style>
  <w:style w:type="character" w:customStyle="1" w:styleId="style4107">
    <w:name w:val="Subtitle Char"/>
    <w:basedOn w:val="style65"/>
    <w:next w:val="style4107"/>
    <w:link w:val="style74"/>
    <w:uiPriority w:val="11"/>
    <w:rPr>
      <w:rFonts w:cs="宋体" w:eastAsia="宋体"/>
      <w:color w:val="595959"/>
      <w:spacing w:val="15"/>
      <w:sz w:val="28"/>
      <w:szCs w:val="28"/>
    </w:rPr>
  </w:style>
  <w:style w:type="paragraph" w:styleId="style74">
    <w:name w:val="Subtitle"/>
    <w:basedOn w:val="style0"/>
    <w:next w:val="style0"/>
    <w:link w:val="style4107"/>
    <w:qFormat/>
    <w:uiPriority w:val="11"/>
    <w:pPr>
      <w:numPr>
        <w:ilvl w:val="1"/>
        <w:numId w:val="0"/>
      </w:numPr>
    </w:pPr>
    <w:rPr>
      <w:rFonts w:cs="宋体" w:eastAsia="宋体"/>
      <w:color w:val="595959"/>
      <w:spacing w:val="15"/>
      <w:sz w:val="28"/>
      <w:szCs w:val="28"/>
    </w:rPr>
  </w:style>
  <w:style w:type="character" w:styleId="style261">
    <w:name w:val="Intense Emphasis"/>
    <w:basedOn w:val="style65"/>
    <w:next w:val="style261"/>
    <w:qFormat/>
    <w:uiPriority w:val="21"/>
    <w:rPr>
      <w:i/>
      <w:iCs/>
      <w:color w:val="0f4761"/>
    </w:rPr>
  </w:style>
  <w:style w:type="character" w:customStyle="1" w:styleId="style4108">
    <w:name w:val="Quote Char_6014507f-9e13-4176-b920-e94d04a46478"/>
    <w:basedOn w:val="style65"/>
    <w:next w:val="style4108"/>
    <w:link w:val="style180"/>
    <w:uiPriority w:val="29"/>
    <w:rPr>
      <w:i/>
      <w:iCs/>
      <w:color w:val="404040"/>
    </w:rPr>
  </w:style>
  <w:style w:type="paragraph" w:styleId="style180">
    <w:name w:val="Quote"/>
    <w:basedOn w:val="style0"/>
    <w:next w:val="style0"/>
    <w:link w:val="style4108"/>
    <w:qFormat/>
    <w:uiPriority w:val="29"/>
    <w:pPr>
      <w:spacing w:before="160"/>
      <w:jc w:val="center"/>
    </w:pPr>
    <w:rPr>
      <w:i/>
      <w:iCs/>
      <w:color w:val="404040"/>
    </w:rPr>
  </w:style>
  <w:style w:type="character" w:customStyle="1" w:styleId="style4109">
    <w:name w:val="Intense Quote Char_85a0a2bf-772a-48d0-b852-603508c4bcef"/>
    <w:basedOn w:val="style65"/>
    <w:next w:val="style4109"/>
    <w:link w:val="style181"/>
    <w:uiPriority w:val="30"/>
    <w:rPr>
      <w:i/>
      <w:iCs/>
      <w:color w:val="0f4761"/>
    </w:rPr>
  </w:style>
  <w:style w:type="paragraph" w:styleId="style181">
    <w:name w:val="Intense Quote"/>
    <w:basedOn w:val="style0"/>
    <w:next w:val="style0"/>
    <w:link w:val="style4109"/>
    <w:qFormat/>
    <w:uiPriority w:val="30"/>
    <w:pPr>
      <w:pBdr>
        <w:top w:val="single" w:sz="4" w:space="10" w:color="0f4761"/>
        <w:bottom w:val="single" w:sz="4" w:space="10" w:color="0f4761"/>
      </w:pBdr>
      <w:spacing w:before="360" w:after="360"/>
      <w:ind w:left="864" w:right="864"/>
      <w:jc w:val="center"/>
    </w:pPr>
    <w:rPr>
      <w:i/>
      <w:iCs/>
      <w:color w:val="0f4761"/>
    </w:rPr>
  </w:style>
  <w:style w:type="character" w:styleId="style263">
    <w:name w:val="Intense Reference"/>
    <w:basedOn w:val="style65"/>
    <w:next w:val="style263"/>
    <w:qFormat/>
    <w:uiPriority w:val="32"/>
    <w:rPr>
      <w:b/>
      <w:bCs/>
      <w:smallCaps/>
      <w:color w:val="0f4761"/>
      <w:spacing w:val="5"/>
    </w:rPr>
  </w:style>
  <w:style w:type="paragraph" w:styleId="style179">
    <w:name w:val="List Paragraph"/>
    <w:basedOn w:val="style0"/>
    <w:next w:val="style179"/>
    <w:qFormat/>
    <w:uiPriority w:val="34"/>
    <w:pPr>
      <w:ind w:left="720"/>
      <w:contextualSpacing/>
    </w:pPr>
    <w:rPr/>
  </w:style>
  <w:style w:type="table" w:styleId="style154">
    <w:name w:val="Table Grid"/>
    <w:basedOn w:val="style105"/>
    <w:next w:val="style154"/>
    <w:uiPriority w:val="59"/>
    <w:pPr>
      <w:spacing w:after="0" w:lineRule="auto" w:line="240"/>
    </w:pP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cPr>
  </w:style>
  <w:style w:type="table" w:customStyle="1" w:styleId="style4110">
    <w:name w:val="Grid Table Light"/>
    <w:basedOn w:val="style105"/>
    <w:next w:val="style4110"/>
    <w:uiPriority w:val="40"/>
    <w:pPr>
      <w:spacing w:after="0" w:lineRule="auto" w:line="240"/>
    </w:pP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tcBorders/>
    </w:tcPr>
  </w:style>
  <w:style w:type="table" w:customStyle="1" w:styleId="style4111">
    <w:name w:val="Plain Table 1"/>
    <w:basedOn w:val="style105"/>
    <w:next w:val="style4111"/>
    <w:uiPriority w:val="41"/>
    <w:pPr>
      <w:spacing w:after="0" w:lineRule="auto" w:line="240"/>
    </w:pPr>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pPr/>
      <w:rPr>
        <w:b/>
        <w:bCs/>
      </w:rPr>
      <w:tcPr>
        <w:tcBorders/>
      </w:tcPr>
    </w:tblStylePr>
    <w:tblStylePr w:type="lastRow">
      <w:pPr/>
      <w:rPr>
        <w:b/>
        <w:bCs/>
      </w:rPr>
      <w:tblPr/>
      <w:tcPr>
        <w:tcBorders>
          <w:top w:val="double" w:sz="4" w:space="0" w:color="bfbfbf"/>
        </w:tcBorders>
      </w:tcPr>
    </w:tblStylePr>
    <w:tblStylePr w:type="band1Horz">
      <w:pPr/>
      <w:tblPr/>
      <w:tcPr>
        <w:tcBorders/>
        <w:shd w:val="clear" w:color="auto" w:fill="f2f2f2"/>
      </w:tcPr>
    </w:tblStylePr>
    <w:tblStylePr w:type="firstCol">
      <w:pPr/>
      <w:rPr>
        <w:b/>
        <w:bCs/>
      </w:rPr>
      <w:tcPr>
        <w:tcBorders/>
      </w:tcPr>
    </w:tblStylePr>
    <w:tblStylePr w:type="lastCol">
      <w:pPr/>
      <w:rPr>
        <w:b/>
        <w:bCs/>
      </w:rPr>
      <w:tcPr>
        <w:tcBorders/>
      </w:tcPr>
    </w:tblStylePr>
    <w:tblStylePr w:type="band1Vert">
      <w:pPr/>
      <w:tblPr/>
      <w:tcPr>
        <w:tcBorders/>
        <w:shd w:val="clear" w:color="auto" w:fill="f2f2f2"/>
      </w:tcPr>
    </w:tblStylePr>
    <w:tcPr>
      <w:tcBorders/>
    </w:tcPr>
  </w:style>
  <w:style w:type="character" w:styleId="style85">
    <w:name w:val="Hyperlink"/>
    <w:basedOn w:val="style65"/>
    <w:next w:val="style85"/>
    <w:uiPriority w:val="99"/>
    <w:rPr>
      <w:color w:val="467886"/>
      <w:u w:val="single"/>
    </w:rPr>
  </w:style>
  <w:style w:type="paragraph" w:styleId="style31">
    <w:name w:val="header"/>
    <w:basedOn w:val="style0"/>
    <w:next w:val="style31"/>
    <w:link w:val="style4112"/>
    <w:uiPriority w:val="99"/>
    <w:pPr>
      <w:tabs>
        <w:tab w:val="center" w:leader="none" w:pos="4320"/>
        <w:tab w:val="right" w:leader="none" w:pos="8640"/>
      </w:tabs>
      <w:spacing w:after="0" w:lineRule="auto" w:line="240"/>
    </w:pPr>
    <w:rPr/>
  </w:style>
  <w:style w:type="character" w:customStyle="1" w:styleId="style4112">
    <w:name w:val="Header Char_15d15ae4-8771-4233-a0d9-b7fd64a36752"/>
    <w:basedOn w:val="style65"/>
    <w:next w:val="style4112"/>
    <w:link w:val="style31"/>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Words>4765</Words>
  <Pages>1</Pages>
  <Characters>28782</Characters>
  <Application>WPS Office</Application>
  <DocSecurity>0</DocSecurity>
  <Paragraphs>637</Paragraphs>
  <ScaleCrop>false</ScaleCrop>
  <LinksUpToDate>false</LinksUpToDate>
  <CharactersWithSpaces>34373</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2025-04-08T12:40:00Z</dcterms:created>
  <dc:creator>Abubakar Abdullahi</dc:creator>
  <lastModifiedBy>TECNO KE5</lastModifiedBy>
  <dcterms:modified xsi:type="dcterms:W3CDTF">2025-04-08T13:35:25Z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ad0db98cea9749e88825f482a20e5e33</vt:lpwstr>
  </property>
</Properties>
</file>