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06" w:rsidRPr="00F36506" w:rsidRDefault="00F36506" w:rsidP="00F36506">
      <w:pPr>
        <w:rPr>
          <w:rFonts w:ascii="Times New Roman" w:hAnsi="Times New Roman" w:cs="Times New Roman"/>
          <w:b/>
          <w:sz w:val="28"/>
          <w:szCs w:val="28"/>
        </w:rPr>
      </w:pPr>
      <w:r>
        <w:rPr>
          <w:rFonts w:ascii="Times New Roman" w:hAnsi="Times New Roman" w:cs="Times New Roman"/>
          <w:b/>
          <w:sz w:val="24"/>
          <w:szCs w:val="24"/>
        </w:rPr>
        <w:br/>
      </w:r>
      <w:r w:rsidRPr="00F36506">
        <w:rPr>
          <w:rFonts w:ascii="Times New Roman" w:hAnsi="Times New Roman" w:cs="Times New Roman"/>
          <w:b/>
          <w:sz w:val="28"/>
          <w:szCs w:val="28"/>
        </w:rPr>
        <w:t>Forensic Science and the Pursuit of Justice in Sexual Assault Cases</w:t>
      </w:r>
    </w:p>
    <w:p w:rsidR="00F36506" w:rsidRPr="00B86BB7" w:rsidRDefault="00B86BB7" w:rsidP="00F36506">
      <w:pPr>
        <w:rPr>
          <w:rFonts w:ascii="Times New Roman" w:hAnsi="Times New Roman" w:cs="Times New Roman"/>
          <w:b/>
          <w:sz w:val="24"/>
          <w:szCs w:val="24"/>
        </w:rPr>
      </w:pPr>
      <w:r w:rsidRPr="00B86BB7">
        <w:rPr>
          <w:rFonts w:ascii="Times New Roman" w:hAnsi="Times New Roman" w:cs="Times New Roman"/>
          <w:b/>
          <w:sz w:val="24"/>
          <w:szCs w:val="24"/>
        </w:rPr>
        <w:t xml:space="preserve">Abdul </w:t>
      </w:r>
      <w:proofErr w:type="spellStart"/>
      <w:r w:rsidRPr="00B86BB7">
        <w:rPr>
          <w:rFonts w:ascii="Times New Roman" w:hAnsi="Times New Roman" w:cs="Times New Roman"/>
          <w:b/>
          <w:sz w:val="24"/>
          <w:szCs w:val="24"/>
        </w:rPr>
        <w:t>rehman</w:t>
      </w:r>
      <w:proofErr w:type="spellEnd"/>
      <w:r w:rsidRPr="00B86BB7">
        <w:rPr>
          <w:rFonts w:ascii="Times New Roman" w:hAnsi="Times New Roman" w:cs="Times New Roman"/>
          <w:b/>
          <w:sz w:val="24"/>
          <w:szCs w:val="24"/>
        </w:rPr>
        <w:t xml:space="preserve">, Raza </w:t>
      </w:r>
      <w:proofErr w:type="spellStart"/>
      <w:proofErr w:type="gramStart"/>
      <w:r w:rsidRPr="00B86BB7">
        <w:rPr>
          <w:rFonts w:ascii="Times New Roman" w:hAnsi="Times New Roman" w:cs="Times New Roman"/>
          <w:b/>
          <w:sz w:val="24"/>
          <w:szCs w:val="24"/>
        </w:rPr>
        <w:t>ali</w:t>
      </w:r>
      <w:proofErr w:type="spellEnd"/>
      <w:proofErr w:type="gramEnd"/>
      <w:r w:rsidRPr="00B86BB7">
        <w:rPr>
          <w:rFonts w:ascii="Times New Roman" w:hAnsi="Times New Roman" w:cs="Times New Roman"/>
          <w:b/>
          <w:sz w:val="24"/>
          <w:szCs w:val="24"/>
        </w:rPr>
        <w:t xml:space="preserve">, Abdul Rahman, </w:t>
      </w:r>
      <w:proofErr w:type="spellStart"/>
      <w:r w:rsidRPr="00B86BB7">
        <w:rPr>
          <w:rFonts w:ascii="Times New Roman" w:hAnsi="Times New Roman" w:cs="Times New Roman"/>
          <w:b/>
          <w:sz w:val="24"/>
          <w:szCs w:val="24"/>
        </w:rPr>
        <w:t>Humair</w:t>
      </w:r>
      <w:proofErr w:type="spellEnd"/>
      <w:r w:rsidRPr="00B86BB7">
        <w:rPr>
          <w:rFonts w:ascii="Times New Roman" w:hAnsi="Times New Roman" w:cs="Times New Roman"/>
          <w:b/>
          <w:sz w:val="24"/>
          <w:szCs w:val="24"/>
        </w:rPr>
        <w:t xml:space="preserve"> Saeed </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t>Abstract:</w:t>
      </w:r>
    </w:p>
    <w:p w:rsidR="00F36506" w:rsidRPr="00B86BB7" w:rsidRDefault="00F36506" w:rsidP="00F36506">
      <w:pPr>
        <w:rPr>
          <w:rFonts w:ascii="Times New Roman" w:hAnsi="Times New Roman" w:cs="Times New Roman"/>
          <w:sz w:val="20"/>
          <w:szCs w:val="20"/>
        </w:rPr>
      </w:pPr>
      <w:r w:rsidRPr="00F36506">
        <w:rPr>
          <w:rFonts w:ascii="Times New Roman" w:hAnsi="Times New Roman" w:cs="Times New Roman"/>
          <w:sz w:val="24"/>
          <w:szCs w:val="24"/>
        </w:rPr>
        <w:t xml:space="preserve">Law enforcement needs forensic medical examinations to connect victims' trauma experiences to legal justice pursuits in sexual assault investigations. The testing process requires biological evidence analysis along with DNA identification and complete documentation of physical injuries. Professional examination of sexual assault victims needs scientific precision together with ethical awareness and trauma-sensitive treatment approaches. Strategic DNA testing helps </w:t>
      </w:r>
      <w:r w:rsidRPr="00B86BB7">
        <w:rPr>
          <w:rFonts w:ascii="Times New Roman" w:hAnsi="Times New Roman" w:cs="Times New Roman"/>
          <w:sz w:val="20"/>
          <w:szCs w:val="20"/>
        </w:rPr>
        <w:t>identify offenders yet forensic recordings of survivor injuries prove essential in backing their reports. However, the potential for false accusations necessitates objective evaluation of forensic findings. Experts handling sexual assault victims must give top priority to survivor mental health through caring interaction while recognizing the serious psychological toll of this trauma. The process of forensic medical examination enables justice by requiring medical and legal officials to work with law enforcement agencies for proper and fair investigations.</w:t>
      </w:r>
      <w:r w:rsidRPr="00B86BB7">
        <w:rPr>
          <w:rFonts w:ascii="Times New Roman" w:hAnsi="Times New Roman" w:cs="Times New Roman"/>
          <w:sz w:val="20"/>
          <w:szCs w:val="20"/>
        </w:rPr>
        <w:br/>
      </w:r>
    </w:p>
    <w:p w:rsidR="00F36506" w:rsidRPr="00F36506" w:rsidRDefault="00F36506" w:rsidP="00F36506">
      <w:pPr>
        <w:rPr>
          <w:rFonts w:ascii="Times New Roman" w:hAnsi="Times New Roman" w:cs="Times New Roman"/>
          <w:sz w:val="24"/>
          <w:szCs w:val="24"/>
        </w:rPr>
      </w:pPr>
      <w:r w:rsidRPr="00B86BB7">
        <w:rPr>
          <w:rFonts w:ascii="Times New Roman" w:hAnsi="Times New Roman" w:cs="Times New Roman"/>
          <w:sz w:val="20"/>
          <w:szCs w:val="20"/>
        </w:rPr>
        <w:t>When investigating incidents of sexual assault one must pursue an investigative method which prioritizes both carefulness and empathy towards victims. Forensic medical examinations act as solid indicators of truth to uncover complicated stories behind terrible events during justice investigations. The document investigates sexual assault forensic science operations while focusing on scientific methods alongside moral dilemmas as it affects survivors alongside legal processes</w:t>
      </w:r>
      <w:r w:rsidR="00B86BB7">
        <w:rPr>
          <w:rFonts w:ascii="Times New Roman" w:hAnsi="Times New Roman" w:cs="Times New Roman"/>
          <w:sz w:val="24"/>
          <w:szCs w:val="24"/>
        </w:rPr>
        <w:t>.</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t>I. The Foundation: Forensic Meth</w:t>
      </w:r>
      <w:r w:rsidR="00B86BB7" w:rsidRPr="00B86BB7">
        <w:rPr>
          <w:rFonts w:ascii="Times New Roman" w:hAnsi="Times New Roman" w:cs="Times New Roman"/>
          <w:b/>
          <w:sz w:val="24"/>
          <w:szCs w:val="24"/>
        </w:rPr>
        <w:t>ods of Diagnosing Sexual Crimes</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The evaluation process for sexual assault victims needs both medical and scientific precision alongside sensitive treatment from forensic professionals. The main goal requires detailed documentation of physical signs together with biological evidence collection that supports victim testimony when searching for perpetrator identification.</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t>A. Biological Evidence: The Silent Witnesses</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Forensic investigations heavily depend on the collection of biological evidence as their fundamental investigative basis. Trace evidence from semen and saliva, blood cells and hair strands together with other biological substances serves as vital information for identifying the perpetrator.   </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Laboratories use two tests for semen detection which consists of prostate-specific antigen detection and spermatozoa microscopic examination. Three types of swabs including vaginal and anal and oral will be used to collect cell-based DNA material.</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Modern forensic science technology known as DNA analysis provides exceptional capabilities for identifying people precisely. DNA analysis becomes possible through polymerase chain reaction (PCR) which increases limited and degraded DNA amounts for analysis.   </w:t>
      </w:r>
    </w:p>
    <w:p w:rsidR="00F36506" w:rsidRPr="00F36506" w:rsidRDefault="00F36506" w:rsidP="00F36506">
      <w:pPr>
        <w:rPr>
          <w:rFonts w:ascii="Times New Roman" w:hAnsi="Times New Roman" w:cs="Times New Roman"/>
          <w:sz w:val="24"/>
          <w:szCs w:val="24"/>
        </w:rPr>
      </w:pPr>
      <w:r w:rsidRPr="00B86BB7">
        <w:rPr>
          <w:rFonts w:ascii="Times New Roman" w:hAnsi="Times New Roman" w:cs="Times New Roman"/>
          <w:sz w:val="20"/>
          <w:szCs w:val="20"/>
        </w:rPr>
        <w:t xml:space="preserve">Special attention must be given to the proper way of extracting DNA samples. The expert separation of mixed DNA samples between victim and perpetrator takes advantage of this specific method.   </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Y-STR analysis remains important because it examines the male-specific Y chromosome which offers strong results for mixed samples testing.   </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A comprehensive record of evidence handling which forms the chain of custody becomes essential for maintaining evidence integrity that leads to court acceptability. The scientific findings become invalid when the chain of custody framework suffers any kind of failure.   </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lastRenderedPageBreak/>
        <w:t>B. Injury Documentation: Tracing the Physical Scars</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Through their work forensic experts methodically record all physical wound types starting from lacerations through abrasions and contusions as well as bite marks.</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To achieve proper representation of the traumatic injuries detailed information regarding measurements and photographic materials are indispensable.</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Scientists utilize ultraviolet and infrared light alongside alternative sources which enable them to detect wounds which traditional human vision cannot detect.   </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When performed by a qualified expert the tool of colposcopy proves essential in genital area examination to discover potential injuries that might otherwise stay undetected.   </w:t>
      </w:r>
    </w:p>
    <w:p w:rsid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The healthcare professional obtains medical history through detailed patient inquiries to understand both the attack context and distinguish between past conditions and current injuries.</w:t>
      </w:r>
    </w:p>
    <w:p w:rsidR="00F36506" w:rsidRPr="00B86BB7" w:rsidRDefault="00F36506" w:rsidP="00F36506">
      <w:pPr>
        <w:rPr>
          <w:rFonts w:ascii="Times New Roman" w:hAnsi="Times New Roman" w:cs="Times New Roman"/>
          <w:b/>
          <w:sz w:val="24"/>
          <w:szCs w:val="24"/>
        </w:rPr>
      </w:pPr>
      <w:r w:rsidRPr="00F36506">
        <w:rPr>
          <w:rFonts w:ascii="Times New Roman" w:hAnsi="Times New Roman" w:cs="Times New Roman"/>
          <w:sz w:val="24"/>
          <w:szCs w:val="24"/>
        </w:rPr>
        <w:br/>
      </w:r>
      <w:r w:rsidRPr="00B86BB7">
        <w:rPr>
          <w:rFonts w:ascii="Times New Roman" w:hAnsi="Times New Roman" w:cs="Times New Roman"/>
          <w:b/>
          <w:sz w:val="24"/>
          <w:szCs w:val="24"/>
        </w:rPr>
        <w:t>C. Technological Advancements: The Evolving Landscape</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The forensic science field keeps developing through better DNA techniques and improved medical image technologies and digital documentation methods.   </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The distinctive approach of Next-generation sequencing (NGS) makes DNA analysis much more sensitive by offering extensive DNA reading capabilities for even degraded and complex samples.   </w:t>
      </w:r>
    </w:p>
    <w:p w:rsidR="00F36506" w:rsidRPr="00F36506" w:rsidRDefault="00F36506" w:rsidP="00F36506">
      <w:pPr>
        <w:rPr>
          <w:rFonts w:ascii="Times New Roman" w:hAnsi="Times New Roman" w:cs="Times New Roman"/>
          <w:sz w:val="24"/>
          <w:szCs w:val="24"/>
        </w:rPr>
      </w:pPr>
      <w:r w:rsidRPr="00B86BB7">
        <w:rPr>
          <w:rFonts w:ascii="Times New Roman" w:hAnsi="Times New Roman" w:cs="Times New Roman"/>
          <w:sz w:val="20"/>
          <w:szCs w:val="20"/>
        </w:rPr>
        <w:t>The documentation alongside presentation of injury patterns becomes more effective through the use of digital imaging and three-dimensional modeling.  </w:t>
      </w:r>
      <w:r w:rsidRPr="00F36506">
        <w:rPr>
          <w:rFonts w:ascii="Times New Roman" w:hAnsi="Times New Roman" w:cs="Times New Roman"/>
          <w:sz w:val="24"/>
          <w:szCs w:val="24"/>
        </w:rPr>
        <w:t xml:space="preserve"> </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t>II. The Shadow of Doub</w:t>
      </w:r>
      <w:r w:rsidR="00B86BB7">
        <w:rPr>
          <w:rFonts w:ascii="Times New Roman" w:hAnsi="Times New Roman" w:cs="Times New Roman"/>
          <w:b/>
          <w:sz w:val="24"/>
          <w:szCs w:val="24"/>
        </w:rPr>
        <w:t>t: Addressing False Accusations</w:t>
      </w:r>
    </w:p>
    <w:p w:rsidR="00F36506" w:rsidRPr="00B86BB7" w:rsidRDefault="00F36506" w:rsidP="00F36506">
      <w:pPr>
        <w:rPr>
          <w:rFonts w:ascii="Times New Roman" w:hAnsi="Times New Roman" w:cs="Times New Roman"/>
          <w:sz w:val="20"/>
          <w:szCs w:val="20"/>
        </w:rPr>
      </w:pPr>
      <w:r w:rsidRPr="00B86BB7">
        <w:rPr>
          <w:rFonts w:ascii="Times New Roman" w:hAnsi="Times New Roman" w:cs="Times New Roman"/>
          <w:sz w:val="20"/>
          <w:szCs w:val="20"/>
        </w:rPr>
        <w:t xml:space="preserve">The vital search for justice for survivors requires forensic examinations to remain objective and dependable in order to combat the </w:t>
      </w:r>
      <w:r w:rsidR="00B86BB7">
        <w:rPr>
          <w:rFonts w:ascii="Times New Roman" w:hAnsi="Times New Roman" w:cs="Times New Roman"/>
          <w:sz w:val="20"/>
          <w:szCs w:val="20"/>
        </w:rPr>
        <w:t>threat of baseless accusations.</w:t>
      </w:r>
    </w:p>
    <w:p w:rsidR="00F36506" w:rsidRPr="00B86BB7" w:rsidRDefault="00F36506" w:rsidP="00F36506">
      <w:pPr>
        <w:rPr>
          <w:rFonts w:ascii="Times New Roman" w:hAnsi="Times New Roman" w:cs="Times New Roman"/>
          <w:b/>
          <w:sz w:val="24"/>
          <w:szCs w:val="24"/>
        </w:rPr>
      </w:pPr>
      <w:r w:rsidRPr="00B86BB7">
        <w:rPr>
          <w:rFonts w:ascii="Times New Roman" w:hAnsi="Times New Roman" w:cs="Times New Roman"/>
          <w:b/>
          <w:sz w:val="24"/>
          <w:szCs w:val="24"/>
        </w:rPr>
        <w:t>A. The Challenge of Misinterpretation:</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Science findings need assessment based on every case detail while accounting for all types of evidence together with possible bias factors.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proper assessment of forensic evidence alongside psychological factors stands as the essential approach for such cases.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It is essential to use proper control samples that will confirm there has been no contamination during the process.</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B. Exonerating the Innocent:</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Crime scene evidence serves as an essential instrument to clear innocent people when they face wrongful sexual assault accusations.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Proof of innocence comes exclusively from DNA analysis.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importance of complete forensic investigation emerges during these cases because false accusations lead to significant damage for all involved.</w:t>
      </w:r>
    </w:p>
    <w:p w:rsidR="00F36506" w:rsidRPr="00B86BB7" w:rsidRDefault="00F36506" w:rsidP="00F36506">
      <w:pPr>
        <w:rPr>
          <w:rFonts w:ascii="Times New Roman" w:hAnsi="Times New Roman" w:cs="Times New Roman"/>
          <w:sz w:val="20"/>
          <w:szCs w:val="24"/>
        </w:rPr>
      </w:pP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III. The Power of Identification: DNA Expertise in S</w:t>
      </w:r>
      <w:r w:rsidRPr="00B86BB7">
        <w:rPr>
          <w:rFonts w:ascii="Times New Roman" w:hAnsi="Times New Roman" w:cs="Times New Roman"/>
          <w:b/>
          <w:sz w:val="24"/>
          <w:szCs w:val="28"/>
        </w:rPr>
        <w:t>exual Assault Cases</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sz w:val="20"/>
          <w:szCs w:val="24"/>
        </w:rPr>
        <w:lastRenderedPageBreak/>
        <w:t>The investigation of sexual assault has been transformed through DNA analysis because this method enables evidence-based identification of attackers while connecting them to specific locations.</w:t>
      </w:r>
      <w:r w:rsidRPr="00B86BB7">
        <w:rPr>
          <w:rFonts w:ascii="Times New Roman" w:hAnsi="Times New Roman" w:cs="Times New Roman"/>
          <w:sz w:val="20"/>
          <w:szCs w:val="24"/>
        </w:rPr>
        <w:br/>
      </w:r>
      <w:r w:rsidRPr="00F36506">
        <w:rPr>
          <w:rFonts w:ascii="Times New Roman" w:hAnsi="Times New Roman" w:cs="Times New Roman"/>
          <w:sz w:val="24"/>
          <w:szCs w:val="24"/>
        </w:rPr>
        <w:br/>
      </w:r>
      <w:r w:rsidRPr="00B86BB7">
        <w:rPr>
          <w:rFonts w:ascii="Times New Roman" w:hAnsi="Times New Roman" w:cs="Times New Roman"/>
          <w:b/>
          <w:sz w:val="24"/>
          <w:szCs w:val="28"/>
        </w:rPr>
        <w:t>B. The Reliability and Limitations: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reliability of DNA analysis remains very high yet it cannot produce error-free results.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The accuracy of test results might suffer from degraded DNA samples as well as mixed samples along with laboratory derived errors.   </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To evaluate DNA matches their meaningful value requires statistical evaluation.</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IV. Trauma Detection through Forensic Evaluation Methods Establishes a Diag</w:t>
      </w:r>
      <w:r w:rsidRPr="00B86BB7">
        <w:rPr>
          <w:rFonts w:ascii="Times New Roman" w:hAnsi="Times New Roman" w:cs="Times New Roman"/>
          <w:sz w:val="20"/>
          <w:szCs w:val="24"/>
        </w:rPr>
        <w:t>noses for Injury Identification</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detection and documentation of sexual assault-related injuries needs training because it creates vi</w:t>
      </w:r>
      <w:r w:rsidRPr="00B86BB7">
        <w:rPr>
          <w:rFonts w:ascii="Times New Roman" w:hAnsi="Times New Roman" w:cs="Times New Roman"/>
          <w:sz w:val="20"/>
          <w:szCs w:val="24"/>
        </w:rPr>
        <w:t xml:space="preserve">tal evidence of harm.   </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A. Recognizing the Signs: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typical injuries found in sexual assault situations consist of genital trauma alongside different types of bruises and identifying indications of biting and self-protection wounds.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Medical imaging includes colposcopy alongside CT scans because these tools uncover hidden internal injuries which cannot be seen externally.</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The use of alternate light sources enables examination of bodily injuries that the human eye misses.   </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B. The Importance of Detailed Documentation:</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Proper documentation that specifies injuries with precision becomes necessary for all legal proceedings to advance.</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Medical professionals benefit from injury assessment standardization tools alongside photographic documentation to document physical evidence in an unbiased way.   </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V. The Human Element: Psychological A</w:t>
      </w:r>
      <w:r w:rsidRPr="00B86BB7">
        <w:rPr>
          <w:rFonts w:ascii="Times New Roman" w:hAnsi="Times New Roman" w:cs="Times New Roman"/>
          <w:sz w:val="20"/>
          <w:szCs w:val="24"/>
        </w:rPr>
        <w:t>spects and Trauma-Informed Care</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Every forensic examination for sexual assault survivors requires professionals to conduct tests with meaningful sensitivity and genuine care for the psychologi</w:t>
      </w:r>
      <w:r w:rsidRPr="00B86BB7">
        <w:rPr>
          <w:rFonts w:ascii="Times New Roman" w:hAnsi="Times New Roman" w:cs="Times New Roman"/>
          <w:sz w:val="20"/>
          <w:szCs w:val="24"/>
        </w:rPr>
        <w:t xml:space="preserve">cal welfare of each patient.   </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A. The Impact of Trauma:</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Every sexual assault survivor faces different psychological symptoms where they develop post-traumatic stress disorder (PTSD) combined with anxiety and depression.   </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memory distortions and emotional distress which occur during examinations should be understood by forensic examination experts.</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sz w:val="20"/>
          <w:szCs w:val="24"/>
        </w:rPr>
        <w:t>All examining authorities need to pay attention to the effects of GHB alongside other date rape drugs.</w:t>
      </w:r>
      <w:r w:rsidRPr="00B86BB7">
        <w:rPr>
          <w:rFonts w:ascii="Times New Roman" w:hAnsi="Times New Roman" w:cs="Times New Roman"/>
          <w:sz w:val="20"/>
          <w:szCs w:val="24"/>
        </w:rPr>
        <w:br/>
      </w:r>
      <w:r w:rsidRPr="00B86BB7">
        <w:rPr>
          <w:rFonts w:ascii="Times New Roman" w:hAnsi="Times New Roman" w:cs="Times New Roman"/>
          <w:sz w:val="20"/>
          <w:szCs w:val="24"/>
        </w:rPr>
        <w:br/>
      </w:r>
      <w:r w:rsidRPr="00B86BB7">
        <w:rPr>
          <w:rFonts w:ascii="Times New Roman" w:hAnsi="Times New Roman" w:cs="Times New Roman"/>
          <w:b/>
          <w:sz w:val="24"/>
          <w:szCs w:val="28"/>
        </w:rPr>
        <w:t>B. Trauma-Informed Care:</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Survivors should experience forensic examinations within an environment that ensures their safety while providing supportive care as their comfort stands as the main priority.</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Specialists conducting communications about traumatic incidents should choose methods that minimize re-traumatization while speaking with victims.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lastRenderedPageBreak/>
        <w:t>Providing accurate information requires complete comprehension of traumatic sexual effects on individuals for successful support services.</w:t>
      </w:r>
    </w:p>
    <w:p w:rsidR="00F36506" w:rsidRPr="00F36506" w:rsidRDefault="00F36506" w:rsidP="00F36506">
      <w:pPr>
        <w:rPr>
          <w:rFonts w:ascii="Times New Roman" w:hAnsi="Times New Roman" w:cs="Times New Roman"/>
          <w:sz w:val="24"/>
          <w:szCs w:val="24"/>
        </w:rPr>
      </w:pP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C. Expert Witness Testimony:</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Experts in forensic sciences can testify about trauma-oriented psychological factors of sexual assault when addressing how trauma affects memory storage and human actions.   </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experts should present psychological complexities to the court in simple language which is easy for judges to understand.</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A forensic expert must possess a complete comprehension of PTSD symptoms that impair memory and their ability to present this information in legal proceedings.</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VI. The Pursuit of Justice: Ethical Considerations and Collaborative Eff</w:t>
      </w:r>
      <w:r w:rsidRPr="00B86BB7">
        <w:rPr>
          <w:rFonts w:ascii="Times New Roman" w:hAnsi="Times New Roman" w:cs="Times New Roman"/>
          <w:b/>
          <w:sz w:val="24"/>
          <w:szCs w:val="28"/>
        </w:rPr>
        <w:t>orts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Medical examinations in forensic settings serve justice protection because they combine scientific methods with ethical principles alongside</w:t>
      </w:r>
      <w:r w:rsidRPr="00B86BB7">
        <w:rPr>
          <w:rFonts w:ascii="Times New Roman" w:hAnsi="Times New Roman" w:cs="Times New Roman"/>
          <w:sz w:val="20"/>
          <w:szCs w:val="24"/>
        </w:rPr>
        <w:t xml:space="preserve"> interdisciplinary team effort.</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A. Ethical Guidelines: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Law enforcement forensic experts must strictly follow ethical framework rules which protect their work from bias and preserve privacy of their data and evidence.   </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The makes both survivor independence and their voluntary agreement essential before any procedures start.</w:t>
      </w:r>
    </w:p>
    <w:p w:rsidR="00F36506" w:rsidRPr="00B86BB7" w:rsidRDefault="00F36506" w:rsidP="00F36506">
      <w:pPr>
        <w:rPr>
          <w:rFonts w:ascii="Times New Roman" w:hAnsi="Times New Roman" w:cs="Times New Roman"/>
          <w:b/>
          <w:sz w:val="24"/>
          <w:szCs w:val="28"/>
        </w:rPr>
      </w:pPr>
      <w:r w:rsidRPr="00B86BB7">
        <w:rPr>
          <w:rFonts w:ascii="Times New Roman" w:hAnsi="Times New Roman" w:cs="Times New Roman"/>
          <w:b/>
          <w:sz w:val="24"/>
          <w:szCs w:val="28"/>
        </w:rPr>
        <w:t>B. Collaborative Efforts:</w:t>
      </w:r>
    </w:p>
    <w:p w:rsidR="00F36506"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Such effective investigations of sexual assault cases rely on close work between forensic specialists and teams consisting of medical professionals as well as law enforcement officers and experts.</w:t>
      </w:r>
    </w:p>
    <w:p w:rsidR="00020BE7" w:rsidRPr="00B86BB7" w:rsidRDefault="00F36506" w:rsidP="00F36506">
      <w:pPr>
        <w:rPr>
          <w:rFonts w:ascii="Times New Roman" w:hAnsi="Times New Roman" w:cs="Times New Roman"/>
          <w:sz w:val="20"/>
          <w:szCs w:val="24"/>
        </w:rPr>
      </w:pPr>
      <w:r w:rsidRPr="00B86BB7">
        <w:rPr>
          <w:rFonts w:ascii="Times New Roman" w:hAnsi="Times New Roman" w:cs="Times New Roman"/>
          <w:sz w:val="20"/>
          <w:szCs w:val="24"/>
        </w:rPr>
        <w:t xml:space="preserve">Specific teams made up of professionals from different fields give survivors complete support while conducting comprehensive investigations.   </w:t>
      </w:r>
      <w:r w:rsidR="00020BE7">
        <w:rPr>
          <w:rFonts w:ascii="Times New Roman" w:hAnsi="Times New Roman" w:cs="Times New Roman"/>
          <w:sz w:val="20"/>
          <w:szCs w:val="24"/>
        </w:rPr>
        <w:br/>
      </w:r>
      <w:r w:rsidR="00020BE7">
        <w:rPr>
          <w:rFonts w:ascii="Times New Roman" w:hAnsi="Times New Roman" w:cs="Times New Roman"/>
          <w:sz w:val="20"/>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2"/>
        <w:gridCol w:w="3830"/>
        <w:gridCol w:w="3508"/>
      </w:tblGrid>
      <w:tr w:rsidR="00020BE7" w:rsidRPr="00020BE7" w:rsidTr="00020BE7">
        <w:trPr>
          <w:tblCellSpacing w:w="15" w:type="dxa"/>
        </w:trPr>
        <w:tc>
          <w:tcPr>
            <w:tcW w:w="0" w:type="auto"/>
            <w:tcBorders>
              <w:top w:val="single" w:sz="4" w:space="0" w:color="auto"/>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b/>
                <w:bCs/>
                <w:sz w:val="24"/>
                <w:szCs w:val="24"/>
              </w:rPr>
            </w:pPr>
            <w:r w:rsidRPr="00020BE7">
              <w:rPr>
                <w:rFonts w:ascii="Times New Roman" w:eastAsia="Times New Roman" w:hAnsi="Times New Roman" w:cs="Times New Roman"/>
                <w:b/>
                <w:bCs/>
                <w:sz w:val="24"/>
                <w:szCs w:val="24"/>
              </w:rPr>
              <w:t>Aspect</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b/>
                <w:bCs/>
                <w:sz w:val="24"/>
                <w:szCs w:val="24"/>
              </w:rPr>
            </w:pPr>
            <w:r w:rsidRPr="00020BE7">
              <w:rPr>
                <w:rFonts w:ascii="Times New Roman" w:eastAsia="Times New Roman" w:hAnsi="Times New Roman" w:cs="Times New Roman"/>
                <w:b/>
                <w:bCs/>
                <w:sz w:val="24"/>
                <w:szCs w:val="24"/>
              </w:rPr>
              <w:t>United States</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b/>
                <w:bCs/>
                <w:sz w:val="24"/>
                <w:szCs w:val="24"/>
              </w:rPr>
            </w:pPr>
            <w:r w:rsidRPr="00020BE7">
              <w:rPr>
                <w:rFonts w:ascii="Times New Roman" w:eastAsia="Times New Roman" w:hAnsi="Times New Roman" w:cs="Times New Roman"/>
                <w:b/>
                <w:bCs/>
                <w:sz w:val="24"/>
                <w:szCs w:val="24"/>
              </w:rPr>
              <w:t>United Kingdom</w:t>
            </w:r>
            <w:bookmarkStart w:id="0" w:name="_GoBack"/>
            <w:bookmarkEnd w:id="0"/>
          </w:p>
        </w:tc>
      </w:tr>
      <w:tr w:rsidR="00020BE7" w:rsidRPr="00020BE7" w:rsidTr="00020BE7">
        <w:trPr>
          <w:tblCellSpacing w:w="15" w:type="dxa"/>
        </w:trPr>
        <w:tc>
          <w:tcPr>
            <w:tcW w:w="0" w:type="auto"/>
            <w:tcBorders>
              <w:left w:val="single" w:sz="4" w:space="0" w:color="auto"/>
              <w:right w:val="single" w:sz="4" w:space="0" w:color="auto"/>
            </w:tcBorders>
            <w:vAlign w:val="center"/>
          </w:tcPr>
          <w:p w:rsidR="00020BE7" w:rsidRPr="00020BE7" w:rsidRDefault="00020BE7" w:rsidP="00020BE7">
            <w:pPr>
              <w:spacing w:after="0" w:line="240" w:lineRule="auto"/>
              <w:rPr>
                <w:rFonts w:ascii="Times New Roman" w:eastAsia="Times New Roman" w:hAnsi="Times New Roman" w:cs="Times New Roman"/>
                <w:b/>
                <w:bCs/>
                <w:sz w:val="20"/>
                <w:szCs w:val="20"/>
              </w:rPr>
            </w:pPr>
          </w:p>
        </w:tc>
        <w:tc>
          <w:tcPr>
            <w:tcW w:w="0" w:type="auto"/>
            <w:tcBorders>
              <w:right w:val="single" w:sz="4" w:space="0" w:color="auto"/>
            </w:tcBorders>
            <w:vAlign w:val="center"/>
          </w:tcPr>
          <w:p w:rsidR="00020BE7" w:rsidRPr="00020BE7" w:rsidRDefault="00020BE7" w:rsidP="00020BE7">
            <w:pPr>
              <w:spacing w:after="0" w:line="240" w:lineRule="auto"/>
              <w:rPr>
                <w:rFonts w:ascii="Times New Roman" w:eastAsia="Times New Roman" w:hAnsi="Times New Roman" w:cs="Times New Roman"/>
                <w:b/>
                <w:bCs/>
                <w:sz w:val="20"/>
                <w:szCs w:val="20"/>
              </w:rPr>
            </w:pPr>
          </w:p>
        </w:tc>
        <w:tc>
          <w:tcPr>
            <w:tcW w:w="0" w:type="auto"/>
            <w:tcBorders>
              <w:right w:val="single" w:sz="4" w:space="0" w:color="auto"/>
            </w:tcBorders>
            <w:vAlign w:val="center"/>
          </w:tcPr>
          <w:p w:rsidR="00020BE7" w:rsidRPr="00020BE7" w:rsidRDefault="00020BE7" w:rsidP="00020BE7">
            <w:pPr>
              <w:spacing w:after="0" w:line="240" w:lineRule="auto"/>
              <w:rPr>
                <w:rFonts w:ascii="Times New Roman" w:eastAsia="Times New Roman" w:hAnsi="Times New Roman" w:cs="Times New Roman"/>
                <w:b/>
                <w:bCs/>
                <w:sz w:val="20"/>
                <w:szCs w:val="20"/>
              </w:rPr>
            </w:pPr>
          </w:p>
        </w:tc>
      </w:tr>
      <w:tr w:rsidR="00020BE7" w:rsidRPr="00020BE7" w:rsidTr="00020BE7">
        <w:trPr>
          <w:tblCellSpacing w:w="15" w:type="dxa"/>
        </w:trPr>
        <w:tc>
          <w:tcPr>
            <w:tcW w:w="0" w:type="auto"/>
            <w:tcBorders>
              <w:left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Legal Definition of Sexual Assault</w:t>
            </w:r>
          </w:p>
        </w:tc>
        <w:tc>
          <w:tcPr>
            <w:tcW w:w="0" w:type="auto"/>
            <w:tcBorders>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Variations across states; generally includes non-consensual sexual acts, but specifics (e.g., consent definitions) differ.</w:t>
            </w:r>
          </w:p>
        </w:tc>
        <w:tc>
          <w:tcPr>
            <w:tcW w:w="0" w:type="auto"/>
            <w:tcBorders>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Standardized national definition; emphasis on consent, including affirmative consent.</w:t>
            </w:r>
          </w:p>
        </w:tc>
      </w:tr>
      <w:tr w:rsidR="00020BE7" w:rsidRPr="00020BE7" w:rsidTr="00020BE7">
        <w:trPr>
          <w:tblCellSpacing w:w="15" w:type="dxa"/>
        </w:trPr>
        <w:tc>
          <w:tcPr>
            <w:tcW w:w="0" w:type="auto"/>
            <w:tcBorders>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Forensic Medical Examination Access</w:t>
            </w:r>
          </w:p>
        </w:tc>
        <w:tc>
          <w:tcPr>
            <w:tcW w:w="0" w:type="auto"/>
            <w:tcBorders>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Variable access; SANE (Sexual Assault Nurse Examiner) programs are becoming more prevalent, but availability can be limited, especially in rural areas.</w:t>
            </w:r>
          </w:p>
        </w:tc>
        <w:tc>
          <w:tcPr>
            <w:tcW w:w="0" w:type="auto"/>
            <w:tcBorders>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 xml:space="preserve">More standardized access through Sexual Assault Referral </w:t>
            </w:r>
            <w:proofErr w:type="spellStart"/>
            <w:r w:rsidRPr="00020BE7">
              <w:rPr>
                <w:rFonts w:ascii="Times New Roman" w:eastAsia="Times New Roman" w:hAnsi="Times New Roman" w:cs="Times New Roman"/>
                <w:sz w:val="20"/>
                <w:szCs w:val="20"/>
              </w:rPr>
              <w:t>Centres</w:t>
            </w:r>
            <w:proofErr w:type="spellEnd"/>
            <w:r w:rsidRPr="00020BE7">
              <w:rPr>
                <w:rFonts w:ascii="Times New Roman" w:eastAsia="Times New Roman" w:hAnsi="Times New Roman" w:cs="Times New Roman"/>
                <w:sz w:val="20"/>
                <w:szCs w:val="20"/>
              </w:rPr>
              <w:t xml:space="preserve"> (SARCs), providing medical and forensic care.</w:t>
            </w:r>
          </w:p>
        </w:tc>
      </w:tr>
      <w:tr w:rsidR="00020BE7" w:rsidRPr="00020BE7" w:rsidTr="00020BE7">
        <w:trPr>
          <w:tblCellSpacing w:w="15" w:type="dxa"/>
        </w:trPr>
        <w:tc>
          <w:tcPr>
            <w:tcW w:w="0" w:type="auto"/>
            <w:tcBorders>
              <w:top w:val="single" w:sz="4" w:space="0" w:color="auto"/>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DNA Evidence Utilization</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High reliance on DNA evidence; extensive DNA databases (CODIS), with increasing use of familial DNA.</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High reliance on DNA evidence; national DNA database, with strict regulations.</w:t>
            </w:r>
          </w:p>
        </w:tc>
      </w:tr>
      <w:tr w:rsidR="00020BE7" w:rsidRPr="00020BE7" w:rsidTr="00020BE7">
        <w:trPr>
          <w:tblCellSpacing w:w="15" w:type="dxa"/>
        </w:trPr>
        <w:tc>
          <w:tcPr>
            <w:tcW w:w="0" w:type="auto"/>
            <w:tcBorders>
              <w:top w:val="single" w:sz="4" w:space="0" w:color="auto"/>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Consent and Credibility</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Historically, focus on victim resistance; shifting towards understanding the complexities of consent and trauma. Credibility can still have major influences on case outcomes.</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Greater emphasis on affirmative consent; increasing awareness of trauma's impact on victim behavior. Credibility is still an issue, but policies are improving.</w:t>
            </w:r>
          </w:p>
        </w:tc>
      </w:tr>
      <w:tr w:rsidR="00020BE7" w:rsidRPr="00020BE7" w:rsidTr="00020BE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lastRenderedPageBreak/>
              <w:t>Reporting and Prosecution Rates</w:t>
            </w:r>
          </w:p>
        </w:tc>
        <w:tc>
          <w:tcPr>
            <w:tcW w:w="0" w:type="auto"/>
            <w:tcBorders>
              <w:top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Historically low reporting and prosecution rates; significant variations across jurisdictions.</w:t>
            </w:r>
          </w:p>
        </w:tc>
        <w:tc>
          <w:tcPr>
            <w:tcW w:w="0" w:type="auto"/>
            <w:tcBorders>
              <w:top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Also faces challenges with low prosecution rates, but increased efforts to improve reporting and support for survivors.</w:t>
            </w:r>
          </w:p>
        </w:tc>
      </w:tr>
      <w:tr w:rsidR="00020BE7" w:rsidRPr="00020BE7" w:rsidTr="00020BE7">
        <w:trPr>
          <w:tblCellSpacing w:w="15" w:type="dxa"/>
        </w:trPr>
        <w:tc>
          <w:tcPr>
            <w:tcW w:w="0" w:type="auto"/>
            <w:tcBorders>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Training and Specialization</w:t>
            </w:r>
          </w:p>
        </w:tc>
        <w:tc>
          <w:tcPr>
            <w:tcW w:w="0" w:type="auto"/>
            <w:tcBorders>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Increasing focus on specialized training for law enforcement, medical professionals, and legal personnel. But training varies across state and local areas.</w:t>
            </w:r>
          </w:p>
        </w:tc>
        <w:tc>
          <w:tcPr>
            <w:tcW w:w="0" w:type="auto"/>
            <w:tcBorders>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Specialized training for SARC staff and police officers; national guidelines for handling sexual assault cases.</w:t>
            </w:r>
          </w:p>
        </w:tc>
      </w:tr>
      <w:tr w:rsidR="00020BE7" w:rsidRPr="00020BE7" w:rsidTr="00020BE7">
        <w:trPr>
          <w:tblCellSpacing w:w="15" w:type="dxa"/>
        </w:trPr>
        <w:tc>
          <w:tcPr>
            <w:tcW w:w="0" w:type="auto"/>
            <w:tcBorders>
              <w:top w:val="single" w:sz="4" w:space="0" w:color="auto"/>
              <w:left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Victim Support Services</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Availability varies; some states have robust victim advocacy programs, while others lack sufficient resources.</w:t>
            </w:r>
          </w:p>
        </w:tc>
        <w:tc>
          <w:tcPr>
            <w:tcW w:w="0" w:type="auto"/>
            <w:tcBorders>
              <w:top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National network of support services, including helplines and counseling.</w:t>
            </w:r>
          </w:p>
        </w:tc>
      </w:tr>
      <w:tr w:rsidR="00020BE7" w:rsidRPr="00020BE7" w:rsidTr="00020BE7">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Legal process, and how victims are treated within that system</w:t>
            </w:r>
          </w:p>
        </w:tc>
        <w:tc>
          <w:tcPr>
            <w:tcW w:w="0" w:type="auto"/>
            <w:tcBorders>
              <w:top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r w:rsidRPr="00020BE7">
              <w:rPr>
                <w:rFonts w:ascii="Times New Roman" w:eastAsia="Times New Roman" w:hAnsi="Times New Roman" w:cs="Times New Roman"/>
                <w:sz w:val="20"/>
                <w:szCs w:val="20"/>
              </w:rPr>
              <w:t>Significant Variance within states, and between local and federal jurisdictions. Victims experience varying results, and treatment.</w:t>
            </w:r>
          </w:p>
        </w:tc>
        <w:tc>
          <w:tcPr>
            <w:tcW w:w="0" w:type="auto"/>
            <w:tcBorders>
              <w:top w:val="single" w:sz="4" w:space="0" w:color="auto"/>
              <w:bottom w:val="single" w:sz="4" w:space="0" w:color="auto"/>
              <w:right w:val="single" w:sz="4" w:space="0" w:color="auto"/>
            </w:tcBorders>
            <w:vAlign w:val="center"/>
            <w:hideMark/>
          </w:tcPr>
          <w:p w:rsidR="00020BE7" w:rsidRPr="00020BE7" w:rsidRDefault="00020BE7" w:rsidP="00020BE7">
            <w:pPr>
              <w:spacing w:after="0" w:line="240" w:lineRule="auto"/>
              <w:rPr>
                <w:rFonts w:ascii="Times New Roman" w:eastAsia="Times New Roman" w:hAnsi="Times New Roman" w:cs="Times New Roman"/>
                <w:sz w:val="20"/>
                <w:szCs w:val="20"/>
              </w:rPr>
            </w:pPr>
            <w:proofErr w:type="gramStart"/>
            <w:r w:rsidRPr="00020BE7">
              <w:rPr>
                <w:rFonts w:ascii="Times New Roman" w:eastAsia="Times New Roman" w:hAnsi="Times New Roman" w:cs="Times New Roman"/>
                <w:sz w:val="20"/>
                <w:szCs w:val="20"/>
              </w:rPr>
              <w:t>more</w:t>
            </w:r>
            <w:proofErr w:type="gramEnd"/>
            <w:r w:rsidRPr="00020BE7">
              <w:rPr>
                <w:rFonts w:ascii="Times New Roman" w:eastAsia="Times New Roman" w:hAnsi="Times New Roman" w:cs="Times New Roman"/>
                <w:sz w:val="20"/>
                <w:szCs w:val="20"/>
              </w:rPr>
              <w:t xml:space="preserve"> standardized national approach. Victims still experience hardship in the legal system, but there are better national level </w:t>
            </w:r>
            <w:proofErr w:type="spellStart"/>
            <w:r w:rsidRPr="00020BE7">
              <w:rPr>
                <w:rFonts w:ascii="Times New Roman" w:eastAsia="Times New Roman" w:hAnsi="Times New Roman" w:cs="Times New Roman"/>
                <w:sz w:val="20"/>
                <w:szCs w:val="20"/>
              </w:rPr>
              <w:t>guidlines</w:t>
            </w:r>
            <w:proofErr w:type="spellEnd"/>
            <w:r w:rsidRPr="00020BE7">
              <w:rPr>
                <w:rFonts w:ascii="Times New Roman" w:eastAsia="Times New Roman" w:hAnsi="Times New Roman" w:cs="Times New Roman"/>
                <w:sz w:val="20"/>
                <w:szCs w:val="20"/>
              </w:rPr>
              <w:t>.</w:t>
            </w:r>
          </w:p>
        </w:tc>
      </w:tr>
    </w:tbl>
    <w:p w:rsidR="00020BE7" w:rsidRPr="00020BE7" w:rsidRDefault="00020BE7" w:rsidP="00020BE7">
      <w:pPr>
        <w:spacing w:after="0" w:line="240" w:lineRule="auto"/>
        <w:rPr>
          <w:rFonts w:ascii="Times New Roman" w:eastAsia="Times New Roman" w:hAnsi="Times New Roman" w:cs="Times New Roman"/>
          <w:sz w:val="24"/>
          <w:szCs w:val="24"/>
        </w:rPr>
      </w:pPr>
    </w:p>
    <w:p w:rsidR="00F36506" w:rsidRPr="00B86BB7" w:rsidRDefault="00F36506" w:rsidP="00F36506">
      <w:pPr>
        <w:rPr>
          <w:rFonts w:ascii="Times New Roman" w:hAnsi="Times New Roman" w:cs="Times New Roman"/>
          <w:sz w:val="20"/>
          <w:szCs w:val="24"/>
        </w:rPr>
      </w:pPr>
    </w:p>
    <w:p w:rsidR="00B86BB7" w:rsidRPr="00B86BB7" w:rsidRDefault="00B86BB7" w:rsidP="00B86BB7">
      <w:pPr>
        <w:pStyle w:val="ListParagraph"/>
        <w:numPr>
          <w:ilvl w:val="1"/>
          <w:numId w:val="2"/>
        </w:numPr>
        <w:spacing w:before="100" w:beforeAutospacing="1" w:after="100" w:afterAutospacing="1" w:line="240" w:lineRule="auto"/>
        <w:rPr>
          <w:rFonts w:ascii="Times New Roman" w:eastAsia="Times New Roman" w:hAnsi="Times New Roman" w:cs="Times New Roman"/>
          <w:b/>
          <w:sz w:val="24"/>
          <w:szCs w:val="24"/>
        </w:rPr>
      </w:pPr>
      <w:r w:rsidRPr="00B86BB7">
        <w:rPr>
          <w:rFonts w:ascii="Times New Roman" w:eastAsia="Times New Roman" w:hAnsi="Times New Roman" w:cs="Times New Roman"/>
          <w:b/>
          <w:sz w:val="24"/>
          <w:szCs w:val="24"/>
        </w:rPr>
        <w:t>REFERANCE:</w:t>
      </w:r>
    </w:p>
    <w:p w:rsidR="00B86BB7" w:rsidRPr="00B86BB7" w:rsidRDefault="00F36506" w:rsidP="00B86BB7">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B86BB7">
        <w:rPr>
          <w:rFonts w:ascii="Times New Roman" w:hAnsi="Times New Roman" w:cs="Times New Roman"/>
          <w:sz w:val="20"/>
          <w:szCs w:val="20"/>
        </w:rPr>
        <w:t xml:space="preserve">The </w:t>
      </w:r>
      <w:proofErr w:type="gramStart"/>
      <w:r w:rsidRPr="00B86BB7">
        <w:rPr>
          <w:rFonts w:ascii="Times New Roman" w:hAnsi="Times New Roman" w:cs="Times New Roman"/>
          <w:sz w:val="20"/>
          <w:szCs w:val="20"/>
        </w:rPr>
        <w:t>victims</w:t>
      </w:r>
      <w:proofErr w:type="gramEnd"/>
      <w:r w:rsidRPr="00B86BB7">
        <w:rPr>
          <w:rFonts w:ascii="Times New Roman" w:hAnsi="Times New Roman" w:cs="Times New Roman"/>
          <w:sz w:val="20"/>
          <w:szCs w:val="20"/>
        </w:rPr>
        <w:t xml:space="preserve"> physical safety coupled with their mental wellness stands at the core of the entire procedure.</w:t>
      </w:r>
      <w:r w:rsidR="00B86BB7" w:rsidRPr="00B86BB7">
        <w:rPr>
          <w:rFonts w:ascii="Times New Roman" w:hAnsi="Times New Roman" w:cs="Times New Roman"/>
          <w:sz w:val="20"/>
          <w:szCs w:val="20"/>
        </w:rPr>
        <w:br/>
      </w:r>
      <w:r w:rsidR="00B86BB7" w:rsidRPr="00B86BB7">
        <w:rPr>
          <w:rFonts w:ascii="Times New Roman" w:hAnsi="Times New Roman" w:cs="Times New Roman"/>
          <w:sz w:val="20"/>
          <w:szCs w:val="20"/>
        </w:rPr>
        <w:br/>
      </w:r>
      <w:r w:rsidR="00B86BB7" w:rsidRPr="00B86BB7">
        <w:rPr>
          <w:rFonts w:ascii="Times New Roman" w:eastAsia="Times New Roman" w:hAnsi="Times New Roman" w:cs="Times New Roman"/>
          <w:sz w:val="20"/>
          <w:szCs w:val="20"/>
        </w:rPr>
        <w:t xml:space="preserve">  "Forensic Science: An Introduction to Scientific and Investigative Techniques" by </w:t>
      </w:r>
      <w:proofErr w:type="spellStart"/>
      <w:r w:rsidR="00B86BB7" w:rsidRPr="00B86BB7">
        <w:rPr>
          <w:rFonts w:ascii="Times New Roman" w:eastAsia="Times New Roman" w:hAnsi="Times New Roman" w:cs="Times New Roman"/>
          <w:sz w:val="20"/>
          <w:szCs w:val="20"/>
        </w:rPr>
        <w:t>Saferstein</w:t>
      </w:r>
      <w:proofErr w:type="spellEnd"/>
    </w:p>
    <w:p w:rsidR="00B86BB7" w:rsidRPr="00B86BB7" w:rsidRDefault="00B86BB7" w:rsidP="00B86BB7">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B86BB7">
        <w:rPr>
          <w:rFonts w:ascii="Times New Roman" w:eastAsia="Times New Roman" w:hAnsi="Times New Roman" w:cs="Times New Roman"/>
          <w:sz w:val="20"/>
          <w:szCs w:val="20"/>
        </w:rPr>
        <w:t>"Principles of Forensic Medicine" by Payne-James et al.</w:t>
      </w:r>
    </w:p>
    <w:p w:rsidR="00B86BB7" w:rsidRPr="00B86BB7" w:rsidRDefault="00B86BB7" w:rsidP="00B86BB7">
      <w:pPr>
        <w:pStyle w:val="ListParagraph"/>
        <w:numPr>
          <w:ilvl w:val="1"/>
          <w:numId w:val="2"/>
        </w:numPr>
        <w:spacing w:before="100" w:beforeAutospacing="1" w:after="100" w:afterAutospacing="1" w:line="240" w:lineRule="auto"/>
        <w:rPr>
          <w:rFonts w:ascii="Times New Roman" w:eastAsia="Times New Roman" w:hAnsi="Times New Roman" w:cs="Times New Roman"/>
          <w:sz w:val="20"/>
          <w:szCs w:val="20"/>
        </w:rPr>
      </w:pPr>
      <w:r w:rsidRPr="00B86BB7">
        <w:rPr>
          <w:rFonts w:ascii="Times New Roman" w:eastAsia="Times New Roman" w:hAnsi="Times New Roman" w:cs="Times New Roman"/>
          <w:sz w:val="20"/>
          <w:szCs w:val="20"/>
        </w:rPr>
        <w:t xml:space="preserve">Journals: </w:t>
      </w:r>
      <w:r w:rsidRPr="00B86BB7">
        <w:rPr>
          <w:rFonts w:ascii="Times New Roman" w:eastAsia="Times New Roman" w:hAnsi="Times New Roman" w:cs="Times New Roman"/>
          <w:i/>
          <w:iCs/>
          <w:sz w:val="20"/>
          <w:szCs w:val="20"/>
        </w:rPr>
        <w:t>Journal of Forensic Sciences</w:t>
      </w:r>
      <w:r w:rsidRPr="00B86BB7">
        <w:rPr>
          <w:rFonts w:ascii="Times New Roman" w:eastAsia="Times New Roman" w:hAnsi="Times New Roman" w:cs="Times New Roman"/>
          <w:sz w:val="20"/>
          <w:szCs w:val="20"/>
        </w:rPr>
        <w:t xml:space="preserve">, </w:t>
      </w:r>
      <w:r w:rsidRPr="00B86BB7">
        <w:rPr>
          <w:rFonts w:ascii="Times New Roman" w:eastAsia="Times New Roman" w:hAnsi="Times New Roman" w:cs="Times New Roman"/>
          <w:i/>
          <w:iCs/>
          <w:sz w:val="20"/>
          <w:szCs w:val="20"/>
        </w:rPr>
        <w:t>Forensic Science International</w:t>
      </w:r>
      <w:r w:rsidRPr="00B86BB7">
        <w:rPr>
          <w:rFonts w:ascii="Times New Roman" w:eastAsia="Times New Roman" w:hAnsi="Times New Roman" w:cs="Times New Roman"/>
          <w:sz w:val="20"/>
          <w:szCs w:val="20"/>
        </w:rPr>
        <w:t xml:space="preserve">, </w:t>
      </w:r>
      <w:r w:rsidRPr="00B86BB7">
        <w:rPr>
          <w:rFonts w:ascii="Times New Roman" w:eastAsia="Times New Roman" w:hAnsi="Times New Roman" w:cs="Times New Roman"/>
          <w:i/>
          <w:iCs/>
          <w:sz w:val="20"/>
          <w:szCs w:val="20"/>
        </w:rPr>
        <w:t>International Journal of Legal Medicine</w:t>
      </w:r>
      <w:r w:rsidRPr="00B86BB7">
        <w:rPr>
          <w:rFonts w:ascii="Times New Roman" w:eastAsia="Times New Roman" w:hAnsi="Times New Roman" w:cs="Times New Roman"/>
          <w:sz w:val="20"/>
          <w:szCs w:val="20"/>
        </w:rPr>
        <w:t>.</w:t>
      </w:r>
    </w:p>
    <w:p w:rsidR="00B86BB7" w:rsidRPr="00B86BB7" w:rsidRDefault="00B86BB7" w:rsidP="00B86BB7">
      <w:pPr>
        <w:pStyle w:val="ListParagraph"/>
        <w:numPr>
          <w:ilvl w:val="0"/>
          <w:numId w:val="2"/>
        </w:numPr>
        <w:rPr>
          <w:rFonts w:ascii="Times New Roman" w:eastAsia="Times New Roman" w:hAnsi="Times New Roman" w:cs="Times New Roman"/>
          <w:sz w:val="20"/>
          <w:szCs w:val="20"/>
        </w:rPr>
      </w:pPr>
      <w:r w:rsidRPr="00B86BB7">
        <w:rPr>
          <w:rFonts w:ascii="Times New Roman" w:eastAsia="Times New Roman" w:hAnsi="Times New Roman" w:cs="Times New Roman"/>
          <w:sz w:val="20"/>
          <w:szCs w:val="20"/>
        </w:rPr>
        <w:t>Guidelines from organizations like the International Association of Forensic Nurses (IAFN).</w:t>
      </w:r>
    </w:p>
    <w:p w:rsidR="00B86BB7" w:rsidRPr="00B86BB7" w:rsidRDefault="00B86BB7" w:rsidP="00B86BB7">
      <w:pPr>
        <w:pStyle w:val="ListParagraph"/>
        <w:numPr>
          <w:ilvl w:val="0"/>
          <w:numId w:val="2"/>
        </w:numPr>
        <w:spacing w:after="0" w:line="240" w:lineRule="auto"/>
        <w:rPr>
          <w:rFonts w:ascii="Times New Roman" w:eastAsia="Times New Roman" w:hAnsi="Times New Roman" w:cs="Times New Roman"/>
          <w:sz w:val="20"/>
          <w:szCs w:val="20"/>
        </w:rPr>
      </w:pPr>
      <w:r w:rsidRPr="00B86BB7">
        <w:rPr>
          <w:rFonts w:ascii="Times New Roman" w:eastAsia="Times New Roman" w:hAnsi="Times New Roman" w:cs="Times New Roman"/>
          <w:sz w:val="20"/>
          <w:szCs w:val="20"/>
        </w:rPr>
        <w:t>Legal texts on evidence and criminal procedure.</w:t>
      </w:r>
    </w:p>
    <w:p w:rsidR="00F36506" w:rsidRPr="00B86BB7" w:rsidRDefault="00B86BB7" w:rsidP="00B86BB7">
      <w:pPr>
        <w:pStyle w:val="ListParagraph"/>
        <w:numPr>
          <w:ilvl w:val="0"/>
          <w:numId w:val="2"/>
        </w:numPr>
        <w:rPr>
          <w:rFonts w:ascii="Times New Roman" w:hAnsi="Times New Roman" w:cs="Times New Roman"/>
          <w:sz w:val="20"/>
          <w:szCs w:val="20"/>
        </w:rPr>
      </w:pPr>
      <w:r w:rsidRPr="00B86BB7">
        <w:rPr>
          <w:rFonts w:ascii="Times New Roman" w:eastAsia="Times New Roman" w:hAnsi="Times New Roman" w:cs="Times New Roman"/>
          <w:sz w:val="20"/>
          <w:szCs w:val="20"/>
        </w:rPr>
        <w:t>World Health Organization (WHO) guidelines on responding to sexual violence.</w:t>
      </w:r>
    </w:p>
    <w:sectPr w:rsidR="00F36506" w:rsidRPr="00B86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90F02"/>
    <w:multiLevelType w:val="hybridMultilevel"/>
    <w:tmpl w:val="C7FA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0A7E51"/>
    <w:multiLevelType w:val="multilevel"/>
    <w:tmpl w:val="86F6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6"/>
    <w:rsid w:val="00020BE7"/>
    <w:rsid w:val="000530E3"/>
    <w:rsid w:val="001060C7"/>
    <w:rsid w:val="00B86BB7"/>
    <w:rsid w:val="00F3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0F06E-E047-41A3-9F21-D9E88C2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6BB7"/>
    <w:rPr>
      <w:i/>
      <w:iCs/>
    </w:rPr>
  </w:style>
  <w:style w:type="paragraph" w:styleId="ListParagraph">
    <w:name w:val="List Paragraph"/>
    <w:basedOn w:val="Normal"/>
    <w:uiPriority w:val="34"/>
    <w:qFormat/>
    <w:rsid w:val="00B86BB7"/>
    <w:pPr>
      <w:ind w:left="720"/>
      <w:contextualSpacing/>
    </w:pPr>
  </w:style>
  <w:style w:type="character" w:customStyle="1" w:styleId="export-sheets-button">
    <w:name w:val="export-sheets-button"/>
    <w:basedOn w:val="DefaultParagraphFont"/>
    <w:rsid w:val="0002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262618">
      <w:bodyDiv w:val="1"/>
      <w:marLeft w:val="0"/>
      <w:marRight w:val="0"/>
      <w:marTop w:val="0"/>
      <w:marBottom w:val="0"/>
      <w:divBdr>
        <w:top w:val="none" w:sz="0" w:space="0" w:color="auto"/>
        <w:left w:val="none" w:sz="0" w:space="0" w:color="auto"/>
        <w:bottom w:val="none" w:sz="0" w:space="0" w:color="auto"/>
        <w:right w:val="none" w:sz="0" w:space="0" w:color="auto"/>
      </w:divBdr>
    </w:div>
    <w:div w:id="2117866254">
      <w:bodyDiv w:val="1"/>
      <w:marLeft w:val="0"/>
      <w:marRight w:val="0"/>
      <w:marTop w:val="0"/>
      <w:marBottom w:val="0"/>
      <w:divBdr>
        <w:top w:val="none" w:sz="0" w:space="0" w:color="auto"/>
        <w:left w:val="none" w:sz="0" w:space="0" w:color="auto"/>
        <w:bottom w:val="none" w:sz="0" w:space="0" w:color="auto"/>
        <w:right w:val="none" w:sz="0" w:space="0" w:color="auto"/>
      </w:divBdr>
      <w:divsChild>
        <w:div w:id="1598172603">
          <w:marLeft w:val="0"/>
          <w:marRight w:val="0"/>
          <w:marTop w:val="0"/>
          <w:marBottom w:val="0"/>
          <w:divBdr>
            <w:top w:val="none" w:sz="0" w:space="0" w:color="auto"/>
            <w:left w:val="none" w:sz="0" w:space="0" w:color="auto"/>
            <w:bottom w:val="none" w:sz="0" w:space="0" w:color="auto"/>
            <w:right w:val="none" w:sz="0" w:space="0" w:color="auto"/>
          </w:divBdr>
          <w:divsChild>
            <w:div w:id="651444267">
              <w:marLeft w:val="0"/>
              <w:marRight w:val="0"/>
              <w:marTop w:val="0"/>
              <w:marBottom w:val="0"/>
              <w:divBdr>
                <w:top w:val="none" w:sz="0" w:space="0" w:color="auto"/>
                <w:left w:val="none" w:sz="0" w:space="0" w:color="auto"/>
                <w:bottom w:val="none" w:sz="0" w:space="0" w:color="auto"/>
                <w:right w:val="none" w:sz="0" w:space="0" w:color="auto"/>
              </w:divBdr>
              <w:divsChild>
                <w:div w:id="2028365589">
                  <w:marLeft w:val="0"/>
                  <w:marRight w:val="0"/>
                  <w:marTop w:val="0"/>
                  <w:marBottom w:val="0"/>
                  <w:divBdr>
                    <w:top w:val="none" w:sz="0" w:space="0" w:color="auto"/>
                    <w:left w:val="none" w:sz="0" w:space="0" w:color="auto"/>
                    <w:bottom w:val="none" w:sz="0" w:space="0" w:color="auto"/>
                    <w:right w:val="none" w:sz="0" w:space="0" w:color="auto"/>
                  </w:divBdr>
                  <w:divsChild>
                    <w:div w:id="222722767">
                      <w:marLeft w:val="0"/>
                      <w:marRight w:val="0"/>
                      <w:marTop w:val="0"/>
                      <w:marBottom w:val="0"/>
                      <w:divBdr>
                        <w:top w:val="none" w:sz="0" w:space="0" w:color="auto"/>
                        <w:left w:val="none" w:sz="0" w:space="0" w:color="auto"/>
                        <w:bottom w:val="none" w:sz="0" w:space="0" w:color="auto"/>
                        <w:right w:val="none" w:sz="0" w:space="0" w:color="auto"/>
                      </w:divBdr>
                    </w:div>
                    <w:div w:id="20668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5</Pages>
  <Words>1940</Words>
  <Characters>11058</Characters>
  <Application>Microsoft Office Word</Application>
  <DocSecurity>0</DocSecurity>
  <Lines>92</Lines>
  <Paragraphs>25</Paragraphs>
  <ScaleCrop>false</ScaleCrop>
  <Company/>
  <LinksUpToDate>false</LinksUpToDate>
  <CharactersWithSpaces>12973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2025-04-06T19:23:00Z</dcterms:created>
  <dcterms:modified xsi:type="dcterms:W3CDTF">2025-04-07T05:54:00Z</dcterms:modified>
</cp:coreProperties>
</file>