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55007" w14:textId="77777777" w:rsidR="004472F2" w:rsidRDefault="004472F2" w:rsidP="009F6540">
      <w:pPr>
        <w:spacing w:before="54" w:after="0" w:line="276" w:lineRule="auto"/>
        <w:jc w:val="center"/>
        <w:rPr>
          <w:rFonts w:ascii="Times New Roman" w:hAnsi="Times New Roman" w:cs="Times New Roman"/>
          <w:b/>
          <w:bCs/>
          <w:color w:val="000000" w:themeColor="text1"/>
          <w:sz w:val="28"/>
          <w:szCs w:val="28"/>
        </w:rPr>
      </w:pPr>
      <w:r w:rsidRPr="004472F2">
        <w:rPr>
          <w:rFonts w:ascii="Times New Roman" w:hAnsi="Times New Roman" w:cs="Times New Roman"/>
          <w:b/>
          <w:bCs/>
          <w:color w:val="000000" w:themeColor="text1"/>
          <w:sz w:val="28"/>
          <w:szCs w:val="28"/>
        </w:rPr>
        <w:t xml:space="preserve">OPTIMIZING PROPERTIES OF CONCRETE BY SWAPPING M30 SOLID CEMENT WITH ONION PEEL ASH (OPA) AND GROUND GRANULATED BLAST FURNACE SLAG (GGBS) </w:t>
      </w:r>
    </w:p>
    <w:p w14:paraId="736B6AC8" w14:textId="1389E732" w:rsidR="00DA52F4" w:rsidRPr="001E51F3" w:rsidRDefault="004472F2" w:rsidP="009F6540">
      <w:pPr>
        <w:spacing w:before="54" w:after="0" w:line="276" w:lineRule="auto"/>
        <w:jc w:val="center"/>
        <w:rPr>
          <w:rFonts w:ascii="Times New Roman" w:hAnsi="Times New Roman" w:cs="Times New Roman"/>
          <w:b/>
          <w:bCs/>
          <w:color w:val="000000" w:themeColor="text1"/>
          <w:sz w:val="24"/>
          <w:szCs w:val="24"/>
        </w:rPr>
      </w:pPr>
      <w:r w:rsidRPr="004472F2">
        <w:rPr>
          <w:rFonts w:ascii="Times New Roman" w:hAnsi="Times New Roman" w:cs="Times New Roman"/>
          <w:b/>
          <w:bCs/>
          <w:color w:val="000000" w:themeColor="text1"/>
          <w:sz w:val="24"/>
          <w:szCs w:val="24"/>
        </w:rPr>
        <w:t xml:space="preserve">Bolledula Bhanu Prakash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Vanam Sameer Kumar </w:t>
      </w:r>
      <w:r w:rsidR="00DA52F4" w:rsidRPr="001E51F3">
        <w:rPr>
          <w:rFonts w:ascii="Times New Roman" w:hAnsi="Times New Roman" w:cs="Times New Roman"/>
          <w:b/>
          <w:bCs/>
          <w:color w:val="000000" w:themeColor="text1"/>
          <w:sz w:val="24"/>
          <w:szCs w:val="24"/>
          <w:vertAlign w:val="superscript"/>
        </w:rPr>
        <w:t>2</w:t>
      </w:r>
    </w:p>
    <w:p w14:paraId="7AEC63B4" w14:textId="0C27DD7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472F2">
        <w:rPr>
          <w:rFonts w:ascii="Times New Roman" w:hAnsi="Times New Roman" w:cs="Times New Roman"/>
          <w:color w:val="000000" w:themeColor="text1"/>
        </w:rPr>
        <w:t>PG Student</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bookmarkStart w:id="0" w:name="_Hlk193909954"/>
      <w:r w:rsidR="004472F2">
        <w:rPr>
          <w:rFonts w:ascii="Times New Roman" w:hAnsi="Times New Roman" w:cs="Times New Roman"/>
          <w:color w:val="000000" w:themeColor="text1"/>
        </w:rPr>
        <w:t>Dr.K.V.Subba Reddy Institute of Technology</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Kurnool</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sidR="004472F2">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bookmarkEnd w:id="0"/>
    </w:p>
    <w:p w14:paraId="59B9E3B4" w14:textId="3D0AEB7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472F2">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4472F2" w:rsidRPr="004472F2">
        <w:rPr>
          <w:rFonts w:ascii="Times New Roman" w:hAnsi="Times New Roman" w:cs="Times New Roman"/>
          <w:color w:val="000000" w:themeColor="text1"/>
        </w:rPr>
        <w:t xml:space="preserve"> </w:t>
      </w:r>
      <w:r w:rsidR="004472F2">
        <w:rPr>
          <w:rFonts w:ascii="Times New Roman" w:hAnsi="Times New Roman" w:cs="Times New Roman"/>
          <w:color w:val="000000" w:themeColor="text1"/>
        </w:rPr>
        <w:t>Civil Engineering,</w:t>
      </w:r>
      <w:r w:rsidRPr="001E51F3">
        <w:rPr>
          <w:rFonts w:ascii="Times New Roman" w:hAnsi="Times New Roman" w:cs="Times New Roman"/>
          <w:color w:val="000000" w:themeColor="text1"/>
        </w:rPr>
        <w:t xml:space="preserve"> </w:t>
      </w:r>
      <w:r w:rsidR="004472F2" w:rsidRPr="004472F2">
        <w:rPr>
          <w:rFonts w:ascii="Times New Roman" w:hAnsi="Times New Roman" w:cs="Times New Roman"/>
          <w:color w:val="000000" w:themeColor="text1"/>
        </w:rPr>
        <w:t>Dr.K.V.Subba Reddy Institute of Technology, Kurnool, Andhra Pradesh, India</w:t>
      </w:r>
      <w:bookmarkStart w:id="1" w:name="_GoBack"/>
      <w:bookmarkEnd w:id="1"/>
    </w:p>
    <w:p w14:paraId="7C6E1520" w14:textId="0E23DAA6" w:rsidR="00DA52F4" w:rsidRPr="001E51F3" w:rsidRDefault="00DA52F4" w:rsidP="004472F2">
      <w:pPr>
        <w:pBdr>
          <w:bottom w:val="single" w:sz="4" w:space="1" w:color="auto"/>
        </w:pBdr>
        <w:spacing w:before="54" w:after="0" w:line="276" w:lineRule="auto"/>
        <w:rPr>
          <w:rFonts w:ascii="Times New Roman" w:hAnsi="Times New Roman" w:cs="Times New Roman"/>
          <w:color w:val="000000" w:themeColor="text1"/>
        </w:rPr>
      </w:pPr>
    </w:p>
    <w:p w14:paraId="262D7931" w14:textId="613E4F2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2F4C911" w14:textId="77777777" w:rsidR="004472F2" w:rsidRPr="004472F2" w:rsidRDefault="004472F2" w:rsidP="004472F2">
      <w:pPr>
        <w:pBdr>
          <w:bottom w:val="single" w:sz="4" w:space="1" w:color="auto"/>
        </w:pBdr>
        <w:spacing w:before="54" w:after="0" w:line="276" w:lineRule="auto"/>
        <w:ind w:firstLine="720"/>
        <w:jc w:val="both"/>
        <w:rPr>
          <w:rFonts w:ascii="Times New Roman" w:hAnsi="Times New Roman" w:cs="Times New Roman"/>
          <w:color w:val="000000" w:themeColor="text1"/>
          <w:sz w:val="20"/>
          <w:szCs w:val="20"/>
        </w:rPr>
      </w:pPr>
      <w:r w:rsidRPr="004472F2">
        <w:rPr>
          <w:rFonts w:ascii="Times New Roman" w:hAnsi="Times New Roman" w:cs="Times New Roman"/>
          <w:color w:val="000000" w:themeColor="text1"/>
          <w:sz w:val="20"/>
          <w:szCs w:val="20"/>
        </w:rPr>
        <w:t>The suggestion for the use of Agricultural by-products supplies an environmentally friendly strategy for lowering waste and boosting concrete performance. The concrete industry might reduce its adverse environmental effects, facilitate recycling, and use locally sourced, renewable materials. This change minimizes landfill pull and promotes a circular economy in building materials.</w:t>
      </w:r>
    </w:p>
    <w:p w14:paraId="03D2482D" w14:textId="77777777" w:rsidR="004472F2" w:rsidRPr="004472F2" w:rsidRDefault="004472F2" w:rsidP="004472F2">
      <w:pPr>
        <w:pBdr>
          <w:bottom w:val="single" w:sz="4" w:space="1" w:color="auto"/>
        </w:pBdr>
        <w:spacing w:before="54" w:after="0" w:line="276" w:lineRule="auto"/>
        <w:ind w:firstLine="720"/>
        <w:jc w:val="both"/>
        <w:rPr>
          <w:rFonts w:ascii="Times New Roman" w:hAnsi="Times New Roman" w:cs="Times New Roman"/>
          <w:color w:val="000000" w:themeColor="text1"/>
          <w:sz w:val="20"/>
          <w:szCs w:val="20"/>
        </w:rPr>
      </w:pPr>
      <w:r w:rsidRPr="004472F2">
        <w:rPr>
          <w:rFonts w:ascii="Times New Roman" w:hAnsi="Times New Roman" w:cs="Times New Roman"/>
          <w:color w:val="000000" w:themeColor="text1"/>
          <w:sz w:val="20"/>
          <w:szCs w:val="20"/>
        </w:rPr>
        <w:t xml:space="preserve">The focus of the project includes both Ground Granulated Blast Furnace Slag (GGBS) and onion peel ashes (OPA) have been investigated as partial substitutes for cement in concrete. The objective is to reduce decrease dependence on Portland cement, and improve the sustainability of concrete. When onion peels are burned, a byproduct known as onion peel ash is produced. The pozzolanic capabilities are attributed to the high silica content in the ash. GGBS is a byproduct from the steel sector, particularly from the blast furnace method of rapidly cooling (granulation) liquid iron slag. Combining OPA with GGBS: A mixture consisting OPA and GGBS is typically applied; however, this must be changed according to the necessary performance and regional conditions. The GGBS &amp; OPA both are replaced in place of cement by maintaining GGBS as constant with 15% and OPA with ascending follows from 0%, 4%, 8%, 12%, 15% &amp; 20% in M30 Solid. </w:t>
      </w:r>
    </w:p>
    <w:p w14:paraId="3527A644" w14:textId="62F96EEA" w:rsidR="004472F2" w:rsidRPr="004472F2" w:rsidRDefault="004472F2" w:rsidP="004472F2">
      <w:pPr>
        <w:pBdr>
          <w:bottom w:val="single" w:sz="4" w:space="1" w:color="auto"/>
        </w:pBdr>
        <w:spacing w:before="54" w:after="0" w:line="276" w:lineRule="auto"/>
        <w:ind w:firstLine="720"/>
        <w:jc w:val="both"/>
        <w:rPr>
          <w:rFonts w:ascii="Times New Roman" w:hAnsi="Times New Roman" w:cs="Times New Roman"/>
          <w:color w:val="000000" w:themeColor="text1"/>
          <w:sz w:val="20"/>
          <w:szCs w:val="20"/>
        </w:rPr>
      </w:pPr>
      <w:r w:rsidRPr="004472F2">
        <w:rPr>
          <w:rFonts w:ascii="Times New Roman" w:hAnsi="Times New Roman" w:cs="Times New Roman"/>
          <w:color w:val="000000" w:themeColor="text1"/>
          <w:sz w:val="20"/>
          <w:szCs w:val="20"/>
        </w:rPr>
        <w:t>Furthermore, the comparison is made between the regular Solid and Solid mixed with proxies such as 0%OPA+0%GGBS, 4%OPA+15%GGBS, 8%OPA+15%GGBS, 12%OPA+15%GGBS, 15%OPA+15%GGBS, and 20%OPA+15%GGBS.</w:t>
      </w:r>
    </w:p>
    <w:p w14:paraId="5501AD32" w14:textId="0CCC055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472F2" w:rsidRPr="004472F2">
        <w:rPr>
          <w:rFonts w:ascii="Times New Roman" w:hAnsi="Times New Roman" w:cs="Times New Roman"/>
          <w:color w:val="000000" w:themeColor="text1"/>
          <w:sz w:val="20"/>
          <w:szCs w:val="20"/>
        </w:rPr>
        <w:t>Portland cement, Onion Peel Ash (OPA), Ground Granulated Blast Furnace Slag (GGBS), &amp; M30 Solid</w:t>
      </w:r>
      <w:r w:rsidRPr="001E51F3">
        <w:rPr>
          <w:rFonts w:ascii="Times New Roman" w:hAnsi="Times New Roman" w:cs="Times New Roman"/>
          <w:color w:val="000000" w:themeColor="text1"/>
          <w:sz w:val="20"/>
          <w:szCs w:val="20"/>
        </w:rPr>
        <w:t>.</w:t>
      </w:r>
    </w:p>
    <w:p w14:paraId="075684D6" w14:textId="7184023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FD47CA6"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Cement, aggregates such as sand, gravel or stone, and water make up the cement. Despite being the most frequently used construction material in the world, concrete is getting more and more difficult to procure. There are a variety of concerns affecting these raw resources. </w:t>
      </w:r>
    </w:p>
    <w:p w14:paraId="7A295728" w14:textId="75BEC41E"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The first restriction is the Sand restriction. There has been an exponential growth in mining and usage of sand owing to its rising demand, notably in building. As a consequence, local shortages have emerged. The usage of sand has also been found to impact the environment, such as by shifting river channels or harming other ecosystems.</w:t>
      </w:r>
    </w:p>
    <w:p w14:paraId="1F01A307"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The second task is the Environmental task. The manufacturing of cement is an energy intensive process that leads to substantial greenhouse gas emissions which eventually adds to global warming. Also, there are locations which have no significant limestone reserves, therefore producing cement looks unfeasible.</w:t>
      </w:r>
    </w:p>
    <w:p w14:paraId="1CD80302"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The third concern is the Pressure on Domestic Supply. Rock and sand which are fundamental source in the manufacture of cement are already in depletion stages in different places since the mining of such raw materials might over time leads to pollution of the environment as well as deplete the existing supplies.</w:t>
      </w:r>
    </w:p>
    <w:p w14:paraId="25F837CC" w14:textId="77777777" w:rsidR="00BE0498" w:rsidRPr="00BE0498" w:rsidRDefault="00BE0498" w:rsidP="00BE0498">
      <w:pPr>
        <w:numPr>
          <w:ilvl w:val="1"/>
          <w:numId w:val="22"/>
        </w:num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WHAT IS ONION PEEL ASH (OPA)?</w:t>
      </w:r>
    </w:p>
    <w:p w14:paraId="3E815F4E"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Onion peel ash is the residue left behind following burning of onion peels. Onion peels, which are commonly discarded as agricultural waste, are high in these nutrients and minerals. In particular, the agricultural, construction, and future textile sectors need such ash and its capacity to survive hard circumstances when combined with concrete.</w:t>
      </w:r>
    </w:p>
    <w:p w14:paraId="04321725" w14:textId="2CBA4C5E" w:rsidR="00BE0498" w:rsidRPr="00BE0498" w:rsidRDefault="00BE0498" w:rsidP="00BE0498">
      <w:p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 xml:space="preserve">1.2.1 MAKE-UP OF ONION PEEL </w:t>
      </w:r>
      <w:r w:rsidR="00C952FE" w:rsidRPr="00BE0498">
        <w:rPr>
          <w:rFonts w:ascii="Times New Roman" w:hAnsi="Times New Roman" w:cs="Times New Roman"/>
          <w:b/>
          <w:color w:val="000000" w:themeColor="text1"/>
          <w:sz w:val="20"/>
          <w:szCs w:val="20"/>
        </w:rPr>
        <w:t>ASH:</w:t>
      </w:r>
    </w:p>
    <w:p w14:paraId="10AE97D3"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ab/>
        <w:t xml:space="preserve">Several elements and compounds present within onion peel ash, including the following: </w:t>
      </w:r>
    </w:p>
    <w:p w14:paraId="150321AB" w14:textId="77777777" w:rsidR="00BE0498" w:rsidRPr="00BE0498" w:rsidRDefault="00BE0498" w:rsidP="00BE0498">
      <w:pPr>
        <w:numPr>
          <w:ilvl w:val="0"/>
          <w:numId w:val="23"/>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Calcium (Ca): A difference in the increase of the quality and consistency of concrete is documented. </w:t>
      </w:r>
    </w:p>
    <w:p w14:paraId="342F5073" w14:textId="68BA0790" w:rsidR="00BE0498" w:rsidRPr="00BE0498" w:rsidRDefault="00BE0498" w:rsidP="00BE0498">
      <w:pPr>
        <w:numPr>
          <w:ilvl w:val="0"/>
          <w:numId w:val="23"/>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Potassium (K): It is utilized in the fertilization of </w:t>
      </w:r>
      <w:r w:rsidR="00C952FE" w:rsidRPr="00BE0498">
        <w:rPr>
          <w:rFonts w:ascii="Times New Roman" w:hAnsi="Times New Roman" w:cs="Times New Roman"/>
          <w:color w:val="000000" w:themeColor="text1"/>
          <w:sz w:val="20"/>
          <w:szCs w:val="20"/>
        </w:rPr>
        <w:t>plants and</w:t>
      </w:r>
      <w:r w:rsidRPr="00BE0498">
        <w:rPr>
          <w:rFonts w:ascii="Times New Roman" w:hAnsi="Times New Roman" w:cs="Times New Roman"/>
          <w:color w:val="000000" w:themeColor="text1"/>
          <w:sz w:val="20"/>
          <w:szCs w:val="20"/>
        </w:rPr>
        <w:t xml:space="preserve"> may also impact the hydration rate of cement.</w:t>
      </w:r>
    </w:p>
    <w:p w14:paraId="162E0F84" w14:textId="77777777" w:rsidR="00BE0498" w:rsidRPr="00BE0498" w:rsidRDefault="00BE0498" w:rsidP="00BE0498">
      <w:pPr>
        <w:numPr>
          <w:ilvl w:val="0"/>
          <w:numId w:val="23"/>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Magnesium (Mg): Of major relevance to the characteristics of concrete.</w:t>
      </w:r>
    </w:p>
    <w:p w14:paraId="0015F63A" w14:textId="77777777" w:rsidR="00BE0498" w:rsidRPr="00BE0498" w:rsidRDefault="00BE0498" w:rsidP="00BE0498">
      <w:pPr>
        <w:numPr>
          <w:ilvl w:val="0"/>
          <w:numId w:val="23"/>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lastRenderedPageBreak/>
        <w:t>Silica (SiO2): Harnessed from the ashes of numerous plants, silica helps strengthen both the strength and chemical endurance of the concrete.</w:t>
      </w:r>
    </w:p>
    <w:p w14:paraId="6593B62E" w14:textId="77777777" w:rsidR="00BE0498" w:rsidRPr="00BE0498" w:rsidRDefault="00BE0498" w:rsidP="00BE0498">
      <w:pPr>
        <w:numPr>
          <w:ilvl w:val="0"/>
          <w:numId w:val="23"/>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Trace Components: Onion peel ash also includes additional trace elements such as iron, phosphorus, and sulfur.</w:t>
      </w:r>
    </w:p>
    <w:p w14:paraId="6EC0FBDE" w14:textId="77777777" w:rsidR="00BE0498" w:rsidRPr="00BE0498" w:rsidRDefault="00BE0498" w:rsidP="00BE0498">
      <w:p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1.2.2 EMPLOYMENTS OF ONION PEEL ASH:</w:t>
      </w:r>
    </w:p>
    <w:p w14:paraId="7C8B7678" w14:textId="77777777" w:rsidR="00BE0498" w:rsidRPr="00BE0498" w:rsidRDefault="00BE0498" w:rsidP="00BE0498">
      <w:pPr>
        <w:numPr>
          <w:ilvl w:val="0"/>
          <w:numId w:val="25"/>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Onion peel ash may be used as a partial replacement for cement in building. The silica present in the ashes has the ability to improve the structural strength of the concrete, comparable to cement. It may also be used to partially replace Portland cement, so reducing the negative environmental effect of cement manufacturing.</w:t>
      </w:r>
    </w:p>
    <w:p w14:paraId="0D4CDF7E" w14:textId="77777777" w:rsidR="00BE0498" w:rsidRPr="00BE0498" w:rsidRDefault="00BE0498" w:rsidP="00BE0498">
      <w:pPr>
        <w:numPr>
          <w:ilvl w:val="0"/>
          <w:numId w:val="25"/>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Enhanced Performance:</w:t>
      </w:r>
      <w:r w:rsidRPr="00BE0498">
        <w:rPr>
          <w:rFonts w:ascii="Times New Roman" w:hAnsi="Times New Roman" w:cs="Times New Roman"/>
          <w:color w:val="000000" w:themeColor="text1"/>
          <w:sz w:val="20"/>
          <w:szCs w:val="20"/>
        </w:rPr>
        <w:t xml:space="preserve"> The use of natural volcanic ash in concrete is believed to enhance properties such as chemical resistance, water retention, and temperature stability.</w:t>
      </w:r>
    </w:p>
    <w:p w14:paraId="5926AF07"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color w:val="000000" w:themeColor="text1"/>
          <w:sz w:val="20"/>
          <w:szCs w:val="20"/>
        </w:rPr>
        <w:t>1.2.3 BENEFITS OF ONION PEELING ASH:</w:t>
      </w:r>
    </w:p>
    <w:p w14:paraId="3C15799B" w14:textId="77777777" w:rsidR="00BE0498" w:rsidRPr="00BE0498" w:rsidRDefault="00BE0498" w:rsidP="00BE0498">
      <w:pPr>
        <w:numPr>
          <w:ilvl w:val="0"/>
          <w:numId w:val="24"/>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Environmentally friendly:</w:t>
      </w:r>
      <w:r w:rsidRPr="00BE0498">
        <w:rPr>
          <w:rFonts w:ascii="Times New Roman" w:hAnsi="Times New Roman" w:cs="Times New Roman"/>
          <w:color w:val="000000" w:themeColor="text1"/>
          <w:sz w:val="20"/>
          <w:szCs w:val="20"/>
        </w:rPr>
        <w:t xml:space="preserve"> It aids in waste minimization and might be a low-cost, non-polluting alternative to certain traditional building materials.</w:t>
      </w:r>
    </w:p>
    <w:p w14:paraId="1EE715E3" w14:textId="77777777" w:rsidR="00BE0498" w:rsidRPr="00BE0498" w:rsidRDefault="00BE0498" w:rsidP="00BE0498">
      <w:pPr>
        <w:numPr>
          <w:ilvl w:val="0"/>
          <w:numId w:val="24"/>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Better Concrete Performance Characteristics:</w:t>
      </w:r>
      <w:r w:rsidRPr="00BE0498">
        <w:rPr>
          <w:rFonts w:ascii="Times New Roman" w:hAnsi="Times New Roman" w:cs="Times New Roman"/>
          <w:color w:val="000000" w:themeColor="text1"/>
          <w:sz w:val="20"/>
          <w:szCs w:val="20"/>
        </w:rPr>
        <w:t xml:space="preserve"> According to certain research, onion peel ash may increase the workability, durability, and strength of concrete, particularly in terms of resistance to chemical attack and cracking.</w:t>
      </w:r>
    </w:p>
    <w:p w14:paraId="223F727E" w14:textId="77777777" w:rsidR="00BE0498" w:rsidRPr="00BE0498" w:rsidRDefault="00BE0498" w:rsidP="00BE0498">
      <w:pPr>
        <w:numPr>
          <w:ilvl w:val="1"/>
          <w:numId w:val="22"/>
        </w:num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WHAT IS GROUND GRANULATED BLAST FURNACE SLAG (GGBS)?</w:t>
      </w:r>
    </w:p>
    <w:p w14:paraId="77181B1F"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ab/>
        <w:t>GGBS denotes Ground Granulated Blast-furnace Slag, which may function as a byproduct of the steel manufacture process. It is created by quickly cooling molten iron slag from a blast furnace using water or steam, a method called as granulation, and then grinding it into a fine powder. GGBS is frequently exploited as a partial substitute for Portland cement in concrete manufacturing.</w:t>
      </w:r>
    </w:p>
    <w:p w14:paraId="72D55BCF" w14:textId="77777777" w:rsidR="00BE0498" w:rsidRPr="00BE0498" w:rsidRDefault="00BE0498" w:rsidP="00BE0498">
      <w:p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 xml:space="preserve">1.3.1 COMPOSITION OF GGBS: </w:t>
      </w:r>
    </w:p>
    <w:p w14:paraId="7E301599" w14:textId="77777777" w:rsidR="00BE0498" w:rsidRPr="00BE0498" w:rsidRDefault="00BE0498" w:rsidP="00BE0498">
      <w:p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      GGBS principally comprises:</w:t>
      </w:r>
    </w:p>
    <w:p w14:paraId="15B98319"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Silica (</w:t>
      </w:r>
      <w:proofErr w:type="spellStart"/>
      <w:r w:rsidRPr="00BE0498">
        <w:rPr>
          <w:rFonts w:ascii="Times New Roman" w:hAnsi="Times New Roman" w:cs="Times New Roman"/>
          <w:color w:val="000000" w:themeColor="text1"/>
          <w:sz w:val="20"/>
          <w:szCs w:val="20"/>
        </w:rPr>
        <w:t>SiO</w:t>
      </w:r>
      <w:proofErr w:type="spellEnd"/>
      <w:r w:rsidRPr="00BE0498">
        <w:rPr>
          <w:rFonts w:ascii="Times New Roman" w:hAnsi="Times New Roman" w:cs="Times New Roman"/>
          <w:color w:val="000000" w:themeColor="text1"/>
          <w:sz w:val="20"/>
          <w:szCs w:val="20"/>
        </w:rPr>
        <w:t>₂): Aids in strengthening the strength and durability of concrete.</w:t>
      </w:r>
    </w:p>
    <w:p w14:paraId="08E71AF2"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Alumina (</w:t>
      </w:r>
      <w:proofErr w:type="spellStart"/>
      <w:r w:rsidRPr="00BE0498">
        <w:rPr>
          <w:rFonts w:ascii="Times New Roman" w:hAnsi="Times New Roman" w:cs="Times New Roman"/>
          <w:color w:val="000000" w:themeColor="text1"/>
          <w:sz w:val="20"/>
          <w:szCs w:val="20"/>
        </w:rPr>
        <w:t>Al₂O</w:t>
      </w:r>
      <w:proofErr w:type="spellEnd"/>
      <w:r w:rsidRPr="00BE0498">
        <w:rPr>
          <w:rFonts w:ascii="Times New Roman" w:hAnsi="Times New Roman" w:cs="Times New Roman"/>
          <w:color w:val="000000" w:themeColor="text1"/>
          <w:sz w:val="20"/>
          <w:szCs w:val="20"/>
        </w:rPr>
        <w:t>₃): Enhances workability and strength as time goes.</w:t>
      </w:r>
    </w:p>
    <w:p w14:paraId="2501669F"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Calcium Oxide (</w:t>
      </w:r>
      <w:proofErr w:type="spellStart"/>
      <w:r w:rsidRPr="00BE0498">
        <w:rPr>
          <w:rFonts w:ascii="Times New Roman" w:hAnsi="Times New Roman" w:cs="Times New Roman"/>
          <w:color w:val="000000" w:themeColor="text1"/>
          <w:sz w:val="20"/>
          <w:szCs w:val="20"/>
        </w:rPr>
        <w:t>CaO</w:t>
      </w:r>
      <w:proofErr w:type="spellEnd"/>
      <w:r w:rsidRPr="00BE0498">
        <w:rPr>
          <w:rFonts w:ascii="Times New Roman" w:hAnsi="Times New Roman" w:cs="Times New Roman"/>
          <w:color w:val="000000" w:themeColor="text1"/>
          <w:sz w:val="20"/>
          <w:szCs w:val="20"/>
        </w:rPr>
        <w:t>): Assists in producing the cementitious chemicals when coupled with water.</w:t>
      </w:r>
    </w:p>
    <w:p w14:paraId="41CA97C9"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Magnesium Oxide (</w:t>
      </w:r>
      <w:proofErr w:type="spellStart"/>
      <w:r w:rsidRPr="00BE0498">
        <w:rPr>
          <w:rFonts w:ascii="Times New Roman" w:hAnsi="Times New Roman" w:cs="Times New Roman"/>
          <w:color w:val="000000" w:themeColor="text1"/>
          <w:sz w:val="20"/>
          <w:szCs w:val="20"/>
        </w:rPr>
        <w:t>MgO</w:t>
      </w:r>
      <w:proofErr w:type="spellEnd"/>
      <w:r w:rsidRPr="00BE0498">
        <w:rPr>
          <w:rFonts w:ascii="Times New Roman" w:hAnsi="Times New Roman" w:cs="Times New Roman"/>
          <w:color w:val="000000" w:themeColor="text1"/>
          <w:sz w:val="20"/>
          <w:szCs w:val="20"/>
        </w:rPr>
        <w:t>): Contributes to the development of strength over the long term.</w:t>
      </w:r>
    </w:p>
    <w:p w14:paraId="142DD270" w14:textId="77777777" w:rsidR="00BE0498" w:rsidRPr="00BE0498" w:rsidRDefault="00BE0498" w:rsidP="00BE0498">
      <w:pPr>
        <w:numPr>
          <w:ilvl w:val="0"/>
          <w:numId w:val="26"/>
        </w:num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color w:val="000000" w:themeColor="text1"/>
          <w:sz w:val="20"/>
          <w:szCs w:val="20"/>
        </w:rPr>
        <w:t>Iron Oxide (</w:t>
      </w:r>
      <w:proofErr w:type="spellStart"/>
      <w:r w:rsidRPr="00BE0498">
        <w:rPr>
          <w:rFonts w:ascii="Times New Roman" w:hAnsi="Times New Roman" w:cs="Times New Roman"/>
          <w:color w:val="000000" w:themeColor="text1"/>
          <w:sz w:val="20"/>
          <w:szCs w:val="20"/>
        </w:rPr>
        <w:t>Fe₂O</w:t>
      </w:r>
      <w:proofErr w:type="spellEnd"/>
      <w:r w:rsidRPr="00BE0498">
        <w:rPr>
          <w:rFonts w:ascii="Times New Roman" w:hAnsi="Times New Roman" w:cs="Times New Roman"/>
          <w:color w:val="000000" w:themeColor="text1"/>
          <w:sz w:val="20"/>
          <w:szCs w:val="20"/>
        </w:rPr>
        <w:t>₃): Enhances the chemical resistance and overall efficacy of concrete.</w:t>
      </w:r>
    </w:p>
    <w:p w14:paraId="3CEED30D" w14:textId="77777777" w:rsidR="00BE0498" w:rsidRPr="00BE0498" w:rsidRDefault="00BE0498" w:rsidP="00BE0498">
      <w:p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1.3.2 ADVANTAGES &amp; USES OF GGBS</w:t>
      </w:r>
    </w:p>
    <w:p w14:paraId="312374B0"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Sustainability</w:t>
      </w:r>
    </w:p>
    <w:p w14:paraId="38404B0C"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Improved Workability</w:t>
      </w:r>
    </w:p>
    <w:p w14:paraId="158BCD4D"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Reduced Hydration Heat</w:t>
      </w:r>
    </w:p>
    <w:p w14:paraId="2F4FB075"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Long-Term Enhancement of Quality</w:t>
      </w:r>
    </w:p>
    <w:p w14:paraId="1F3135CC"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Carbon Footprint Reduction</w:t>
      </w:r>
    </w:p>
    <w:p w14:paraId="3DE99CEA"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In Concrete</w:t>
      </w:r>
      <w:r w:rsidRPr="00BE0498">
        <w:rPr>
          <w:rFonts w:ascii="Times New Roman" w:hAnsi="Times New Roman" w:cs="Times New Roman"/>
          <w:color w:val="000000" w:themeColor="text1"/>
          <w:sz w:val="20"/>
          <w:szCs w:val="20"/>
        </w:rPr>
        <w:t>: GGBS is generally exploited as a partial substitute for Portland cement in the making of concrete. It has the potential to replace up to 70% of the cement in a combination, dependent upon the individual application.</w:t>
      </w:r>
    </w:p>
    <w:p w14:paraId="463593A0"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High-strength concrete</w:t>
      </w:r>
      <w:r w:rsidRPr="00BE0498">
        <w:rPr>
          <w:rFonts w:ascii="Times New Roman" w:hAnsi="Times New Roman" w:cs="Times New Roman"/>
          <w:color w:val="000000" w:themeColor="text1"/>
          <w:sz w:val="20"/>
          <w:szCs w:val="20"/>
        </w:rPr>
        <w:t>: Employed in high-performance concrete for large-scale foundation constructions.</w:t>
      </w:r>
    </w:p>
    <w:p w14:paraId="106D3A11"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Durable concrete</w:t>
      </w:r>
      <w:r w:rsidRPr="00BE0498">
        <w:rPr>
          <w:rFonts w:ascii="Times New Roman" w:hAnsi="Times New Roman" w:cs="Times New Roman"/>
          <w:color w:val="000000" w:themeColor="text1"/>
          <w:sz w:val="20"/>
          <w:szCs w:val="20"/>
        </w:rPr>
        <w:t>: Ideal for maritime constructions, sewage treatment facilities, and diverse scenarios exposed to severe chemicals or dampness.</w:t>
      </w:r>
    </w:p>
    <w:p w14:paraId="495968F4"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b/>
          <w:i/>
          <w:color w:val="000000" w:themeColor="text1"/>
          <w:sz w:val="20"/>
          <w:szCs w:val="20"/>
        </w:rPr>
        <w:t>In Mortar</w:t>
      </w:r>
      <w:r w:rsidRPr="00BE0498">
        <w:rPr>
          <w:rFonts w:ascii="Times New Roman" w:hAnsi="Times New Roman" w:cs="Times New Roman"/>
          <w:color w:val="000000" w:themeColor="text1"/>
          <w:sz w:val="20"/>
          <w:szCs w:val="20"/>
        </w:rPr>
        <w:t>: GGBS may also be employed in mortar formulations for better workability and strength.</w:t>
      </w:r>
    </w:p>
    <w:p w14:paraId="061C3D20" w14:textId="77777777" w:rsidR="00BE0498" w:rsidRPr="00BE0498" w:rsidRDefault="00BE0498" w:rsidP="00BE0498">
      <w:pPr>
        <w:spacing w:before="54" w:after="0" w:line="276" w:lineRule="auto"/>
        <w:jc w:val="both"/>
        <w:rPr>
          <w:rFonts w:ascii="Times New Roman" w:hAnsi="Times New Roman" w:cs="Times New Roman"/>
          <w:b/>
          <w:color w:val="000000" w:themeColor="text1"/>
          <w:sz w:val="20"/>
          <w:szCs w:val="20"/>
        </w:rPr>
      </w:pPr>
      <w:r w:rsidRPr="00BE0498">
        <w:rPr>
          <w:rFonts w:ascii="Times New Roman" w:hAnsi="Times New Roman" w:cs="Times New Roman"/>
          <w:b/>
          <w:color w:val="000000" w:themeColor="text1"/>
          <w:sz w:val="20"/>
          <w:szCs w:val="20"/>
        </w:rPr>
        <w:t>1.4 MANUFACTURING PROCESS OF MAKING ONION PEEL INTO ASH:</w:t>
      </w:r>
    </w:p>
    <w:p w14:paraId="046197FF"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Collection and Cleaning: Onion skins are collected, generally as a secondary product of onion processing, then washed to eliminate impurities by cleaning.</w:t>
      </w:r>
    </w:p>
    <w:p w14:paraId="2F10BAEC"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Drying: The washed skins are dried (either by natural air or by a mechanical drier) to decrease moisture levels, enhancing combustion efficiency and the quality of the generated ash.</w:t>
      </w:r>
    </w:p>
    <w:p w14:paraId="2FDFCCCC"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Burning or Combustion: The dried skins are torched at tremendous temperatures, either in open flames or controlled ovens, where they break down into ash. </w:t>
      </w:r>
    </w:p>
    <w:p w14:paraId="37C07884"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Cooling and Collection: Following burning, the ash is allowed to cool for safe handling and is then collected in containers as a fine, grayish or white powder.</w:t>
      </w:r>
    </w:p>
    <w:p w14:paraId="6DDC2196" w14:textId="77777777"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lastRenderedPageBreak/>
        <w:t>Processing of Ash (Optional): The ash may be treated to a finer texture or subjected to chemical treatment, particularly if it is intended for specialist purposes such as fertilizer.</w:t>
      </w:r>
    </w:p>
    <w:p w14:paraId="31017C31" w14:textId="7A59F959" w:rsidR="00BE0498" w:rsidRPr="00BE0498" w:rsidRDefault="00BE0498" w:rsidP="00BE0498">
      <w:pPr>
        <w:numPr>
          <w:ilvl w:val="0"/>
          <w:numId w:val="26"/>
        </w:numPr>
        <w:spacing w:before="54" w:after="0" w:line="276" w:lineRule="auto"/>
        <w:jc w:val="both"/>
        <w:rPr>
          <w:rFonts w:ascii="Times New Roman" w:hAnsi="Times New Roman" w:cs="Times New Roman"/>
          <w:color w:val="000000" w:themeColor="text1"/>
          <w:sz w:val="20"/>
          <w:szCs w:val="20"/>
        </w:rPr>
      </w:pPr>
      <w:r w:rsidRPr="00BE0498">
        <w:rPr>
          <w:rFonts w:ascii="Times New Roman" w:hAnsi="Times New Roman" w:cs="Times New Roman"/>
          <w:color w:val="000000" w:themeColor="text1"/>
          <w:sz w:val="20"/>
          <w:szCs w:val="20"/>
        </w:rPr>
        <w:t xml:space="preserve">This procedure leads to the transformation of onion peel refuse into a beneficial byproduct as ash, which serves various purposes across multiple industries. </w:t>
      </w:r>
    </w:p>
    <w:p w14:paraId="2185514B" w14:textId="70C0E784" w:rsidR="006A6434" w:rsidRDefault="00BE0498" w:rsidP="00EF2823">
      <w:pPr>
        <w:numPr>
          <w:ilvl w:val="0"/>
          <w:numId w:val="26"/>
        </w:numPr>
        <w:spacing w:before="54" w:after="0" w:line="276" w:lineRule="auto"/>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 xml:space="preserve">Now the idea is implanted to use this ash in place of cement with suitable </w:t>
      </w:r>
      <w:r w:rsidR="00C952FE" w:rsidRPr="00C952FE">
        <w:rPr>
          <w:rFonts w:ascii="Times New Roman" w:hAnsi="Times New Roman" w:cs="Times New Roman"/>
          <w:color w:val="000000" w:themeColor="text1"/>
          <w:sz w:val="20"/>
          <w:szCs w:val="20"/>
        </w:rPr>
        <w:t>percentages.</w:t>
      </w:r>
    </w:p>
    <w:p w14:paraId="2318BF57" w14:textId="24DE9224" w:rsidR="00C952FE" w:rsidRDefault="00C952FE" w:rsidP="00C952FE">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75FF1FE3" wp14:editId="77B5A9FF">
            <wp:extent cx="4820285" cy="2524125"/>
            <wp:effectExtent l="76200" t="76200" r="132715" b="142875"/>
            <wp:docPr id="2" name="Picture 1" descr="napkin-selectio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kin-selection (1).png"/>
                    <pic:cNvPicPr/>
                  </pic:nvPicPr>
                  <pic:blipFill>
                    <a:blip r:embed="rId8">
                      <a:extLst>
                        <a:ext uri="{28A0092B-C50C-407E-A947-70E740481C1C}">
                          <a14:useLocalDpi xmlns:a14="http://schemas.microsoft.com/office/drawing/2010/main" val="0"/>
                        </a:ext>
                      </a:extLst>
                    </a:blip>
                    <a:stretch>
                      <a:fillRect/>
                    </a:stretch>
                  </pic:blipFill>
                  <pic:spPr>
                    <a:xfrm>
                      <a:off x="0" y="0"/>
                      <a:ext cx="4820285" cy="2524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082257E" w14:textId="77777777" w:rsidR="00C952FE" w:rsidRPr="00C952FE" w:rsidRDefault="00C952FE" w:rsidP="00C952F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C952FE">
        <w:rPr>
          <w:rFonts w:ascii="Times New Roman" w:hAnsi="Times New Roman" w:cs="Times New Roman"/>
          <w:color w:val="000000" w:themeColor="text1"/>
          <w:sz w:val="20"/>
          <w:szCs w:val="20"/>
        </w:rPr>
        <w:t>The procedure of manufacturing ash from onion peel.</w:t>
      </w:r>
    </w:p>
    <w:p w14:paraId="7A033264" w14:textId="4555C53B" w:rsidR="00DA52F4" w:rsidRPr="001E51F3" w:rsidRDefault="00DA52F4" w:rsidP="00C952F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A3F392F" w14:textId="799D3EFF" w:rsidR="00C952FE" w:rsidRPr="00C952FE" w:rsidRDefault="00C952FE" w:rsidP="00C952FE">
      <w:pPr>
        <w:pStyle w:val="ListParagraph"/>
        <w:spacing w:before="54" w:after="0" w:line="276" w:lineRule="auto"/>
        <w:ind w:left="360"/>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The Methodology describes the proxies used in place of cement done over this paper:</w:t>
      </w:r>
    </w:p>
    <w:p w14:paraId="26818CCD" w14:textId="3AF4A270" w:rsidR="00C952FE" w:rsidRPr="00C952FE" w:rsidRDefault="00C952FE" w:rsidP="00086A6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 xml:space="preserve">Investigating the use of ground granulated blast furnace slag (GGBS) at a fixed ratio of 15% to cement and onion </w:t>
      </w:r>
      <w:r>
        <w:rPr>
          <w:rFonts w:ascii="Times New Roman" w:hAnsi="Times New Roman" w:cs="Times New Roman"/>
          <w:color w:val="000000" w:themeColor="text1"/>
          <w:sz w:val="20"/>
          <w:szCs w:val="20"/>
        </w:rPr>
        <w:t>peel</w:t>
      </w:r>
      <w:r w:rsidRPr="00C952FE">
        <w:rPr>
          <w:rFonts w:ascii="Times New Roman" w:hAnsi="Times New Roman" w:cs="Times New Roman"/>
          <w:color w:val="000000" w:themeColor="text1"/>
          <w:sz w:val="20"/>
          <w:szCs w:val="20"/>
        </w:rPr>
        <w:t xml:space="preserve"> ash (OPA) at proportions of 4%–20% for M30 Solid.</w:t>
      </w:r>
    </w:p>
    <w:p w14:paraId="53036E50" w14:textId="1E5BFBB1" w:rsidR="00C952FE" w:rsidRPr="00C952FE" w:rsidRDefault="00C952FE" w:rsidP="00086A6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Compressive strength characteristics for 150 x 150 x 150 mm cubes are evaluated.</w:t>
      </w:r>
    </w:p>
    <w:p w14:paraId="45ABC4BC" w14:textId="510AED93" w:rsidR="00C952FE" w:rsidRPr="00C952FE" w:rsidRDefault="00C952FE" w:rsidP="00086A6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Tensile strength characteristics for cylinders of 150 mm in diameter and 300 mm in height are examined.</w:t>
      </w:r>
    </w:p>
    <w:p w14:paraId="39838E03" w14:textId="283C5F24" w:rsidR="00C952FE" w:rsidRDefault="00C952FE" w:rsidP="00086A6E">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Evaluation of 500 x 100 x 100 mm beams' bending strength characteristics</w:t>
      </w:r>
    </w:p>
    <w:p w14:paraId="27293DDE" w14:textId="4BFEC300" w:rsidR="00C952FE" w:rsidRDefault="00C952FE" w:rsidP="00C952FE">
      <w:pPr>
        <w:pStyle w:val="ListParagraph"/>
        <w:spacing w:before="54" w:after="0" w:line="276" w:lineRule="auto"/>
        <w:ind w:left="360"/>
        <w:jc w:val="center"/>
        <w:rPr>
          <w:rFonts w:ascii="Times New Roman" w:hAnsi="Times New Roman" w:cs="Times New Roman"/>
          <w:b/>
          <w:bCs/>
          <w:color w:val="000000" w:themeColor="text1"/>
          <w:sz w:val="20"/>
          <w:szCs w:val="20"/>
        </w:rPr>
      </w:pPr>
      <w:r>
        <w:rPr>
          <w:noProof/>
        </w:rPr>
        <w:drawing>
          <wp:inline distT="0" distB="0" distL="0" distR="0" wp14:anchorId="078BB809" wp14:editId="71FEE294">
            <wp:extent cx="3867150" cy="3495675"/>
            <wp:effectExtent l="76200" t="76200" r="133350" b="142875"/>
            <wp:docPr id="11" name="Picture 10" descr="napkin-selection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pkin-selection (2).png"/>
                    <pic:cNvPicPr/>
                  </pic:nvPicPr>
                  <pic:blipFill>
                    <a:blip r:embed="rId9"/>
                    <a:stretch>
                      <a:fillRect/>
                    </a:stretch>
                  </pic:blipFill>
                  <pic:spPr>
                    <a:xfrm>
                      <a:off x="0" y="0"/>
                      <a:ext cx="3883712" cy="35106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7221137" w14:textId="638C52B8" w:rsidR="00C952FE" w:rsidRPr="00C952FE" w:rsidRDefault="00C952FE" w:rsidP="00C952F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C952FE">
        <w:rPr>
          <w:rFonts w:ascii="Times New Roman" w:hAnsi="Times New Roman" w:cs="Times New Roman"/>
          <w:color w:val="000000" w:themeColor="text1"/>
          <w:sz w:val="20"/>
          <w:szCs w:val="20"/>
        </w:rPr>
        <w:t>Steps involved in methodology of with respect to proxies.</w:t>
      </w:r>
    </w:p>
    <w:p w14:paraId="086E07ED" w14:textId="77777777" w:rsidR="00C952FE" w:rsidRDefault="00C952FE" w:rsidP="00C952F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MATERIALS USED</w:t>
      </w:r>
    </w:p>
    <w:p w14:paraId="0C458168" w14:textId="72EEAFA8"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Cement:</w:t>
      </w:r>
    </w:p>
    <w:p w14:paraId="61822BA6" w14:textId="4A534ED9" w:rsidR="00C952FE" w:rsidRPr="00C952FE" w:rsidRDefault="00C952FE" w:rsidP="00F643DF">
      <w:pPr>
        <w:spacing w:before="54" w:after="0" w:line="276" w:lineRule="auto"/>
        <w:ind w:firstLine="720"/>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It exhibits a cementitious structure that, upon contact with water, establishes a strong adhesion inside the stone. The chemical constituents of the cement persist in the final product, augmenting its advantageous characteristics and facilitating its amalgamation with the cement. The cement used is JAYPEE Cement, especially Standard Portland Cement (OPC 43 Review).</w:t>
      </w:r>
    </w:p>
    <w:p w14:paraId="59D17A56" w14:textId="77777777" w:rsidR="00C952FE" w:rsidRDefault="00C952FE" w:rsidP="00F643DF">
      <w:pPr>
        <w:spacing w:after="0" w:line="276" w:lineRule="auto"/>
        <w:jc w:val="center"/>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0" distR="0" wp14:anchorId="4E959F65" wp14:editId="71674C79">
            <wp:extent cx="1045845" cy="1104900"/>
            <wp:effectExtent l="76200" t="76200" r="135255" b="133350"/>
            <wp:docPr id="7" name="Picture 3" descr="CEMNET B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MNET BAG.JPG"/>
                    <pic:cNvPicPr/>
                  </pic:nvPicPr>
                  <pic:blipFill>
                    <a:blip r:embed="rId10"/>
                    <a:stretch>
                      <a:fillRect/>
                    </a:stretch>
                  </pic:blipFill>
                  <pic:spPr>
                    <a:xfrm>
                      <a:off x="0" y="0"/>
                      <a:ext cx="1057028" cy="11167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44F18D2" w14:textId="7A238250" w:rsidR="00C952FE" w:rsidRPr="00905DAB" w:rsidRDefault="00C952FE" w:rsidP="00F643DF">
      <w:pPr>
        <w:spacing w:line="276" w:lineRule="auto"/>
        <w:jc w:val="center"/>
        <w:rPr>
          <w:rFonts w:ascii="Times New Roman" w:hAnsi="Times New Roman" w:cs="Times New Roman"/>
          <w:sz w:val="20"/>
          <w:szCs w:val="20"/>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3</w:t>
      </w:r>
      <w:r w:rsidRPr="00905DAB">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Type of Cement</w:t>
      </w:r>
    </w:p>
    <w:p w14:paraId="7978197C" w14:textId="1E988215"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Fine Aggregate:</w:t>
      </w:r>
    </w:p>
    <w:p w14:paraId="0F76AB27" w14:textId="77777777" w:rsidR="00C952FE" w:rsidRPr="00C952FE" w:rsidRDefault="00C952FE" w:rsidP="00F643DF">
      <w:pPr>
        <w:spacing w:before="54" w:after="0" w:line="276" w:lineRule="auto"/>
        <w:ind w:firstLine="720"/>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Particles as tiny as 4.75 mm in size are known as fine aggregates, and they find widespread use in the building industry. Primarily composed of 77% calcium oxide, their principal role is to fill the spaces between bigger aggregates. Because of this addition, the concrete mixture is more dimensionally stable. In this case, the sand comes from a nearby location and meets the requirements for zone I. Furthermore, it has been tested in a laboratory setting using sieve analysis in accordance with the guidelines provided in IS 383:1970.</w:t>
      </w:r>
    </w:p>
    <w:p w14:paraId="5690A972" w14:textId="77777777" w:rsidR="00C952FE" w:rsidRDefault="00C952FE" w:rsidP="00F643DF">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64884D7C" wp14:editId="5BE500F0">
            <wp:extent cx="846074" cy="885825"/>
            <wp:effectExtent l="76200" t="76200" r="125730" b="123825"/>
            <wp:docPr id="1" name="Picture 1" descr="s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nd.JPG"/>
                    <pic:cNvPicPr/>
                  </pic:nvPicPr>
                  <pic:blipFill>
                    <a:blip r:embed="rId11"/>
                    <a:stretch>
                      <a:fillRect/>
                    </a:stretch>
                  </pic:blipFill>
                  <pic:spPr>
                    <a:xfrm>
                      <a:off x="0" y="0"/>
                      <a:ext cx="864175" cy="90477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06C14FB0" w14:textId="0EBA6DD2" w:rsidR="00C952FE" w:rsidRPr="00086A6E" w:rsidRDefault="00086A6E" w:rsidP="00F643DF">
      <w:pPr>
        <w:spacing w:line="276" w:lineRule="auto"/>
        <w:jc w:val="center"/>
        <w:rPr>
          <w:rFonts w:ascii="Times New Roman" w:hAnsi="Times New Roman" w:cs="Times New Roman"/>
          <w:color w:val="000000" w:themeColor="text1"/>
          <w:sz w:val="20"/>
          <w:szCs w:val="20"/>
        </w:rPr>
      </w:pPr>
      <w:r w:rsidRPr="00905DAB">
        <w:rPr>
          <w:rFonts w:ascii="Times New Roman" w:hAnsi="Times New Roman" w:cs="Times New Roman"/>
          <w:b/>
          <w:sz w:val="20"/>
          <w:szCs w:val="20"/>
        </w:rPr>
        <w:t>Fig</w:t>
      </w:r>
      <w:r>
        <w:rPr>
          <w:rFonts w:ascii="Times New Roman" w:hAnsi="Times New Roman" w:cs="Times New Roman"/>
          <w:b/>
          <w:sz w:val="20"/>
          <w:szCs w:val="20"/>
        </w:rPr>
        <w:t>ure 4</w:t>
      </w:r>
      <w:r w:rsidR="00C952FE" w:rsidRPr="00905DAB">
        <w:rPr>
          <w:rFonts w:ascii="Times New Roman" w:hAnsi="Times New Roman" w:cs="Times New Roman"/>
          <w:b/>
          <w:sz w:val="20"/>
          <w:szCs w:val="20"/>
        </w:rPr>
        <w:t xml:space="preserve">: </w:t>
      </w:r>
      <w:r w:rsidR="00C952FE" w:rsidRPr="00086A6E">
        <w:rPr>
          <w:rFonts w:ascii="Times New Roman" w:hAnsi="Times New Roman" w:cs="Times New Roman"/>
          <w:color w:val="000000" w:themeColor="text1"/>
          <w:sz w:val="20"/>
          <w:szCs w:val="20"/>
        </w:rPr>
        <w:t>Fine Aggregate</w:t>
      </w:r>
    </w:p>
    <w:p w14:paraId="411ABB2D" w14:textId="532342E5"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Coarse Aggregate:</w:t>
      </w:r>
    </w:p>
    <w:p w14:paraId="398B7594" w14:textId="77777777" w:rsidR="00C952FE" w:rsidRPr="00C952FE" w:rsidRDefault="00C952FE" w:rsidP="00F643DF">
      <w:pPr>
        <w:spacing w:before="54" w:after="0" w:line="276" w:lineRule="auto"/>
        <w:ind w:firstLine="720"/>
        <w:jc w:val="both"/>
        <w:rPr>
          <w:rFonts w:ascii="Times New Roman" w:hAnsi="Times New Roman" w:cs="Times New Roman"/>
          <w:color w:val="000000" w:themeColor="text1"/>
          <w:sz w:val="20"/>
          <w:szCs w:val="20"/>
        </w:rPr>
      </w:pPr>
      <w:r w:rsidRPr="00C952FE">
        <w:rPr>
          <w:rFonts w:ascii="Times New Roman" w:hAnsi="Times New Roman" w:cs="Times New Roman"/>
          <w:color w:val="000000" w:themeColor="text1"/>
          <w:sz w:val="20"/>
          <w:szCs w:val="20"/>
        </w:rPr>
        <w:t>Quarrying produces rough aggregates, which are irregularly shaped bits of varying sizes used for building tasks. These sizes are widely accessible on the market, including those larger than 40mm, as well as 20mm and 10mm. Their inclusion greatly increases the strength of concrete. The amount used is typically one, with a specified measurement of 20mm in compliance with the IS 383-1970 standard.</w:t>
      </w:r>
    </w:p>
    <w:p w14:paraId="467CA88A" w14:textId="77777777" w:rsidR="00086A6E" w:rsidRDefault="00C952FE" w:rsidP="00F643DF">
      <w:pPr>
        <w:spacing w:after="0" w:line="276" w:lineRule="auto"/>
        <w:ind w:firstLine="720"/>
        <w:jc w:val="center"/>
        <w:rPr>
          <w:rFonts w:ascii="Times New Roman" w:hAnsi="Times New Roman" w:cs="Times New Roman"/>
          <w:sz w:val="24"/>
          <w:szCs w:val="24"/>
        </w:rPr>
      </w:pPr>
      <w:r w:rsidRPr="0058384F">
        <w:rPr>
          <w:rFonts w:ascii="Times New Roman" w:hAnsi="Times New Roman" w:cs="Times New Roman"/>
          <w:sz w:val="24"/>
          <w:szCs w:val="24"/>
        </w:rPr>
        <w:t>.</w:t>
      </w:r>
      <w:r>
        <w:rPr>
          <w:rFonts w:ascii="Times New Roman" w:hAnsi="Times New Roman" w:cs="Times New Roman"/>
          <w:noProof/>
          <w:sz w:val="24"/>
          <w:szCs w:val="24"/>
        </w:rPr>
        <w:drawing>
          <wp:inline distT="0" distB="0" distL="0" distR="0" wp14:anchorId="2546848F" wp14:editId="3ABF78FC">
            <wp:extent cx="848995" cy="895350"/>
            <wp:effectExtent l="76200" t="76200" r="141605" b="133350"/>
            <wp:docPr id="4" name="Picture 3" descr="coars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rser.JPG"/>
                    <pic:cNvPicPr/>
                  </pic:nvPicPr>
                  <pic:blipFill>
                    <a:blip r:embed="rId12"/>
                    <a:stretch>
                      <a:fillRect/>
                    </a:stretch>
                  </pic:blipFill>
                  <pic:spPr>
                    <a:xfrm>
                      <a:off x="0" y="0"/>
                      <a:ext cx="851579" cy="8980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95CED42" w14:textId="4EA8C66D" w:rsidR="00C952FE" w:rsidRPr="00905DAB" w:rsidRDefault="00C952FE" w:rsidP="00F643DF">
      <w:pPr>
        <w:spacing w:after="0" w:line="276" w:lineRule="auto"/>
        <w:ind w:firstLine="720"/>
        <w:jc w:val="center"/>
        <w:rPr>
          <w:rFonts w:ascii="Times New Roman" w:hAnsi="Times New Roman" w:cs="Times New Roman"/>
          <w:sz w:val="20"/>
          <w:szCs w:val="20"/>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5</w:t>
      </w:r>
      <w:r w:rsidRPr="00905DAB">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Coarse Aggregate</w:t>
      </w:r>
    </w:p>
    <w:p w14:paraId="1D06BFE4" w14:textId="71B835F1"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Water:</w:t>
      </w:r>
    </w:p>
    <w:p w14:paraId="26FC492C" w14:textId="77777777" w:rsidR="00C952FE" w:rsidRPr="00086A6E" w:rsidRDefault="00C952FE" w:rsidP="00F643DF">
      <w:pPr>
        <w:spacing w:before="54" w:after="0" w:line="276" w:lineRule="auto"/>
        <w:jc w:val="both"/>
        <w:rPr>
          <w:rFonts w:ascii="Times New Roman" w:hAnsi="Times New Roman" w:cs="Times New Roman"/>
          <w:color w:val="000000" w:themeColor="text1"/>
          <w:sz w:val="20"/>
          <w:szCs w:val="20"/>
        </w:rPr>
      </w:pPr>
      <w:r w:rsidRPr="00086A6E">
        <w:rPr>
          <w:rFonts w:ascii="Times New Roman" w:hAnsi="Times New Roman" w:cs="Times New Roman"/>
          <w:color w:val="000000" w:themeColor="text1"/>
          <w:sz w:val="20"/>
          <w:szCs w:val="20"/>
        </w:rPr>
        <w:tab/>
        <w:t>Since water actively participates in the chemical reaction with cement, it is essential to concrete. Tap water is used for mixing and curing throughout the manufacturing process. The pH level is measured at 6.8.</w:t>
      </w:r>
    </w:p>
    <w:p w14:paraId="378FF16E" w14:textId="4687A6C7"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Onion Peel Ash (OPA):</w:t>
      </w:r>
    </w:p>
    <w:p w14:paraId="282DD7A3" w14:textId="77777777" w:rsidR="00C952FE" w:rsidRPr="00086A6E" w:rsidRDefault="00C952FE" w:rsidP="00F643DF">
      <w:pPr>
        <w:spacing w:before="54" w:after="0" w:line="276" w:lineRule="auto"/>
        <w:jc w:val="both"/>
        <w:rPr>
          <w:rFonts w:ascii="Times New Roman" w:hAnsi="Times New Roman" w:cs="Times New Roman"/>
          <w:color w:val="000000" w:themeColor="text1"/>
          <w:sz w:val="20"/>
          <w:szCs w:val="20"/>
        </w:rPr>
      </w:pPr>
      <w:r w:rsidRPr="00086A6E">
        <w:rPr>
          <w:rFonts w:ascii="Times New Roman" w:hAnsi="Times New Roman" w:cs="Times New Roman"/>
          <w:color w:val="000000" w:themeColor="text1"/>
          <w:sz w:val="20"/>
          <w:szCs w:val="20"/>
        </w:rPr>
        <w:tab/>
        <w:t>Onion peel ash is the waste derived from the burning of onion peels. While these peels are typically thrown aside, their burning creates an ash that is wealthy in a variety of minerals and useful chemicals. This ash is especially noted for its high amount of potassium, calcium, phosphorus, and numerous micronutrients. Additionally, onion peel ash serves as a potential lightweight alternative for usage as a fill material in cement applications, delivering a sustainable choice compared to standard fill materials.</w:t>
      </w:r>
    </w:p>
    <w:p w14:paraId="01B6576B" w14:textId="77777777" w:rsidR="00C952FE" w:rsidRDefault="00C952FE" w:rsidP="00F643DF">
      <w:pPr>
        <w:spacing w:after="0" w:line="276"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14:anchorId="58A7D7D8" wp14:editId="0E57D21F">
            <wp:extent cx="1105535" cy="962025"/>
            <wp:effectExtent l="76200" t="76200" r="132715" b="142875"/>
            <wp:docPr id="3" name="Picture 2" descr="Gemini_Generated_Image_o2imrlo2imrlo2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mini_Generated_Image_o2imrlo2imrlo2im.jpg"/>
                    <pic:cNvPicPr/>
                  </pic:nvPicPr>
                  <pic:blipFill>
                    <a:blip r:embed="rId13"/>
                    <a:stretch>
                      <a:fillRect/>
                    </a:stretch>
                  </pic:blipFill>
                  <pic:spPr>
                    <a:xfrm>
                      <a:off x="0" y="0"/>
                      <a:ext cx="1106165" cy="96257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B44571F" w14:textId="78DC6F61" w:rsidR="00C952FE" w:rsidRPr="00647C8F" w:rsidRDefault="00C952FE" w:rsidP="00F643DF">
      <w:pPr>
        <w:spacing w:after="0" w:line="276" w:lineRule="auto"/>
        <w:jc w:val="center"/>
        <w:rPr>
          <w:rFonts w:ascii="Times New Roman" w:hAnsi="Times New Roman" w:cs="Times New Roman"/>
          <w:b/>
          <w:sz w:val="24"/>
          <w:szCs w:val="24"/>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6</w:t>
      </w:r>
      <w:r w:rsidRPr="00905DAB">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Onion Peel Ash (OPA)</w:t>
      </w:r>
    </w:p>
    <w:p w14:paraId="17CF2366" w14:textId="462F3090" w:rsidR="00C952FE" w:rsidRPr="00086A6E" w:rsidRDefault="00C952FE" w:rsidP="00F643DF">
      <w:pPr>
        <w:spacing w:before="54" w:after="0" w:line="276" w:lineRule="auto"/>
        <w:jc w:val="both"/>
        <w:rPr>
          <w:rFonts w:ascii="Times New Roman" w:hAnsi="Times New Roman" w:cs="Times New Roman"/>
          <w:b/>
          <w:color w:val="000000" w:themeColor="text1"/>
          <w:sz w:val="20"/>
          <w:szCs w:val="20"/>
        </w:rPr>
      </w:pPr>
      <w:r w:rsidRPr="00086A6E">
        <w:rPr>
          <w:rFonts w:ascii="Times New Roman" w:hAnsi="Times New Roman" w:cs="Times New Roman"/>
          <w:b/>
          <w:color w:val="000000" w:themeColor="text1"/>
          <w:sz w:val="20"/>
          <w:szCs w:val="20"/>
        </w:rPr>
        <w:t>Ground Granulated Blast Furnace Flag (GGBS):</w:t>
      </w:r>
    </w:p>
    <w:p w14:paraId="008DB017" w14:textId="77777777" w:rsidR="00C952FE" w:rsidRPr="00086A6E" w:rsidRDefault="00C952FE" w:rsidP="00F643DF">
      <w:pPr>
        <w:spacing w:before="54" w:after="0" w:line="276" w:lineRule="auto"/>
        <w:ind w:firstLine="720"/>
        <w:jc w:val="both"/>
        <w:rPr>
          <w:rFonts w:ascii="Times New Roman" w:hAnsi="Times New Roman" w:cs="Times New Roman"/>
          <w:sz w:val="24"/>
          <w:szCs w:val="24"/>
        </w:rPr>
      </w:pPr>
      <w:r w:rsidRPr="00086A6E">
        <w:rPr>
          <w:rFonts w:ascii="Times New Roman" w:hAnsi="Times New Roman" w:cs="Times New Roman"/>
          <w:color w:val="000000" w:themeColor="text1"/>
          <w:sz w:val="20"/>
          <w:szCs w:val="20"/>
        </w:rPr>
        <w:t>Ground Granulated Blast Furnace Slag (GGBS) is an industrial by product obtained from the iron manufacturing process, primarily from the operation of a blast furnace where iron ore is coupled with coke and limestone. The descriptor "granulated" signifies the quick cooling of the molten slag by the application of water or steam, resulting in a glass-like, amorphous material. Once this granulated substance is finely crushed, it is classed as GGBS. This substance is widely employed as a supplemental cementitious ingredient in concrete formulations, where its integration with conventional Portland cement (OPC) greatly enhances different performance parameters of the concrete</w:t>
      </w:r>
      <w:r w:rsidRPr="00086A6E">
        <w:rPr>
          <w:rFonts w:ascii="Times New Roman" w:hAnsi="Times New Roman" w:cs="Times New Roman"/>
          <w:sz w:val="24"/>
          <w:szCs w:val="24"/>
        </w:rPr>
        <w:t>.</w:t>
      </w:r>
    </w:p>
    <w:p w14:paraId="56A90007" w14:textId="77777777" w:rsidR="00C952FE" w:rsidRDefault="00C952FE" w:rsidP="00F643DF">
      <w:pPr>
        <w:spacing w:after="0" w:line="276"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55987C" wp14:editId="44DB2F28">
            <wp:extent cx="1038860" cy="847725"/>
            <wp:effectExtent l="76200" t="76200" r="142240" b="142875"/>
            <wp:docPr id="5" name="Picture 4" descr="gg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bs.JPG"/>
                    <pic:cNvPicPr/>
                  </pic:nvPicPr>
                  <pic:blipFill>
                    <a:blip r:embed="rId14"/>
                    <a:stretch>
                      <a:fillRect/>
                    </a:stretch>
                  </pic:blipFill>
                  <pic:spPr>
                    <a:xfrm>
                      <a:off x="0" y="0"/>
                      <a:ext cx="1042528" cy="85071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72E3B0" w14:textId="6D6403CB" w:rsidR="00C952FE" w:rsidRDefault="00C952FE" w:rsidP="00F643DF">
      <w:pPr>
        <w:spacing w:after="0" w:line="276" w:lineRule="auto"/>
        <w:ind w:firstLine="720"/>
        <w:jc w:val="center"/>
        <w:rPr>
          <w:rFonts w:ascii="Times New Roman" w:hAnsi="Times New Roman" w:cs="Times New Roman"/>
          <w:color w:val="000000" w:themeColor="text1"/>
          <w:sz w:val="20"/>
          <w:szCs w:val="20"/>
        </w:rPr>
      </w:pPr>
      <w:r w:rsidRPr="00905DAB">
        <w:rPr>
          <w:rFonts w:ascii="Times New Roman" w:hAnsi="Times New Roman" w:cs="Times New Roman"/>
          <w:b/>
          <w:sz w:val="20"/>
          <w:szCs w:val="20"/>
        </w:rPr>
        <w:t>Fig</w:t>
      </w:r>
      <w:r w:rsidR="00086A6E">
        <w:rPr>
          <w:rFonts w:ascii="Times New Roman" w:hAnsi="Times New Roman" w:cs="Times New Roman"/>
          <w:b/>
          <w:sz w:val="20"/>
          <w:szCs w:val="20"/>
        </w:rPr>
        <w:t>ure 7</w:t>
      </w:r>
      <w:r w:rsidRPr="00905DAB">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Ground Granulated Blast Furnace Flag (GGBS)</w:t>
      </w:r>
    </w:p>
    <w:p w14:paraId="30F26A99" w14:textId="77777777" w:rsidR="00F643DF" w:rsidRDefault="00F643DF" w:rsidP="00F643DF">
      <w:pPr>
        <w:spacing w:after="0" w:line="276" w:lineRule="auto"/>
        <w:ind w:firstLine="720"/>
        <w:jc w:val="center"/>
        <w:rPr>
          <w:rFonts w:ascii="Times New Roman" w:hAnsi="Times New Roman" w:cs="Times New Roman"/>
          <w:color w:val="000000" w:themeColor="text1"/>
          <w:sz w:val="20"/>
          <w:szCs w:val="20"/>
        </w:rPr>
      </w:pPr>
    </w:p>
    <w:p w14:paraId="57C95CB3" w14:textId="1DA2621E" w:rsidR="00F643DF" w:rsidRPr="00086A6E" w:rsidRDefault="00086A6E" w:rsidP="00F643DF">
      <w:pPr>
        <w:spacing w:after="0" w:line="276" w:lineRule="auto"/>
        <w:rPr>
          <w:rFonts w:ascii="Times New Roman" w:hAnsi="Times New Roman" w:cs="Times New Roman"/>
          <w:b/>
          <w:sz w:val="20"/>
          <w:szCs w:val="20"/>
        </w:rPr>
      </w:pPr>
      <w:r w:rsidRPr="00086A6E">
        <w:rPr>
          <w:rFonts w:ascii="Times New Roman" w:hAnsi="Times New Roman" w:cs="Times New Roman"/>
          <w:b/>
          <w:sz w:val="20"/>
          <w:szCs w:val="20"/>
        </w:rPr>
        <w:t xml:space="preserve">Table No 1. </w:t>
      </w:r>
      <w:r w:rsidRPr="00086A6E">
        <w:rPr>
          <w:rFonts w:ascii="Times New Roman" w:hAnsi="Times New Roman" w:cs="Times New Roman"/>
          <w:color w:val="000000" w:themeColor="text1"/>
          <w:sz w:val="20"/>
          <w:szCs w:val="20"/>
        </w:rPr>
        <w:t>Physical properties of Onion Peel Ash (OPA):</w:t>
      </w:r>
    </w:p>
    <w:tbl>
      <w:tblPr>
        <w:tblW w:w="5581" w:type="dxa"/>
        <w:jc w:val="center"/>
        <w:tblLook w:val="04A0" w:firstRow="1" w:lastRow="0" w:firstColumn="1" w:lastColumn="0" w:noHBand="0" w:noVBand="1"/>
      </w:tblPr>
      <w:tblGrid>
        <w:gridCol w:w="793"/>
        <w:gridCol w:w="1793"/>
        <w:gridCol w:w="2995"/>
      </w:tblGrid>
      <w:tr w:rsidR="00086A6E" w:rsidRPr="00086A6E" w14:paraId="7D4DF15B" w14:textId="77777777" w:rsidTr="00086A6E">
        <w:trPr>
          <w:trHeight w:val="261"/>
          <w:jc w:val="center"/>
        </w:trPr>
        <w:tc>
          <w:tcPr>
            <w:tcW w:w="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D9567" w14:textId="297827FD" w:rsidR="00086A6E" w:rsidRPr="00086A6E" w:rsidRDefault="00F643DF" w:rsidP="00F643DF">
            <w:pPr>
              <w:spacing w:after="0" w:line="276" w:lineRule="auto"/>
              <w:jc w:val="center"/>
              <w:rPr>
                <w:rFonts w:ascii="Times New Roman" w:eastAsia="Times New Roman" w:hAnsi="Times New Roman" w:cs="Times New Roman"/>
                <w:b/>
                <w:bCs/>
                <w:color w:val="000000"/>
                <w:sz w:val="20"/>
                <w:szCs w:val="20"/>
              </w:rPr>
            </w:pPr>
            <w:r w:rsidRPr="00086A6E">
              <w:rPr>
                <w:rFonts w:ascii="Times New Roman" w:eastAsia="Times New Roman" w:hAnsi="Times New Roman" w:cs="Times New Roman"/>
                <w:b/>
                <w:bCs/>
                <w:color w:val="000000"/>
                <w:sz w:val="20"/>
                <w:szCs w:val="20"/>
              </w:rPr>
              <w:t>S. No</w:t>
            </w:r>
          </w:p>
        </w:tc>
        <w:tc>
          <w:tcPr>
            <w:tcW w:w="1793" w:type="dxa"/>
            <w:tcBorders>
              <w:top w:val="single" w:sz="4" w:space="0" w:color="auto"/>
              <w:left w:val="nil"/>
              <w:bottom w:val="single" w:sz="4" w:space="0" w:color="auto"/>
              <w:right w:val="single" w:sz="4" w:space="0" w:color="auto"/>
            </w:tcBorders>
            <w:shd w:val="clear" w:color="auto" w:fill="auto"/>
            <w:noWrap/>
            <w:vAlign w:val="center"/>
            <w:hideMark/>
          </w:tcPr>
          <w:p w14:paraId="2F293B34" w14:textId="77777777" w:rsidR="00086A6E" w:rsidRPr="00086A6E" w:rsidRDefault="00086A6E" w:rsidP="00F643DF">
            <w:pPr>
              <w:spacing w:after="0" w:line="276" w:lineRule="auto"/>
              <w:rPr>
                <w:rFonts w:ascii="Times New Roman" w:eastAsia="Times New Roman" w:hAnsi="Times New Roman" w:cs="Times New Roman"/>
                <w:b/>
                <w:bCs/>
                <w:color w:val="000000"/>
                <w:sz w:val="20"/>
                <w:szCs w:val="20"/>
              </w:rPr>
            </w:pPr>
            <w:r w:rsidRPr="00086A6E">
              <w:rPr>
                <w:rFonts w:ascii="Times New Roman" w:eastAsia="Times New Roman" w:hAnsi="Times New Roman" w:cs="Times New Roman"/>
                <w:b/>
                <w:bCs/>
                <w:color w:val="000000"/>
                <w:sz w:val="20"/>
                <w:szCs w:val="20"/>
              </w:rPr>
              <w:t>Physical Property</w:t>
            </w:r>
          </w:p>
        </w:tc>
        <w:tc>
          <w:tcPr>
            <w:tcW w:w="2995" w:type="dxa"/>
            <w:tcBorders>
              <w:top w:val="single" w:sz="4" w:space="0" w:color="auto"/>
              <w:left w:val="nil"/>
              <w:bottom w:val="single" w:sz="4" w:space="0" w:color="auto"/>
              <w:right w:val="single" w:sz="4" w:space="0" w:color="auto"/>
            </w:tcBorders>
            <w:shd w:val="clear" w:color="auto" w:fill="auto"/>
            <w:noWrap/>
            <w:vAlign w:val="center"/>
            <w:hideMark/>
          </w:tcPr>
          <w:p w14:paraId="5BD108DD" w14:textId="77777777" w:rsidR="00086A6E" w:rsidRPr="00086A6E" w:rsidRDefault="00086A6E" w:rsidP="00F643DF">
            <w:pPr>
              <w:spacing w:after="0" w:line="276" w:lineRule="auto"/>
              <w:jc w:val="center"/>
              <w:rPr>
                <w:rFonts w:ascii="Times New Roman" w:eastAsia="Times New Roman" w:hAnsi="Times New Roman" w:cs="Times New Roman"/>
                <w:b/>
                <w:bCs/>
                <w:color w:val="000000"/>
                <w:sz w:val="20"/>
                <w:szCs w:val="20"/>
              </w:rPr>
            </w:pPr>
            <w:r w:rsidRPr="00086A6E">
              <w:rPr>
                <w:rFonts w:ascii="Times New Roman" w:eastAsia="Times New Roman" w:hAnsi="Times New Roman" w:cs="Times New Roman"/>
                <w:b/>
                <w:bCs/>
                <w:color w:val="000000"/>
                <w:sz w:val="20"/>
                <w:szCs w:val="20"/>
              </w:rPr>
              <w:t>Onion Peel Ash (OPA)</w:t>
            </w:r>
          </w:p>
        </w:tc>
      </w:tr>
      <w:tr w:rsidR="00086A6E" w:rsidRPr="00086A6E" w14:paraId="4A96A7B1"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32311F8E"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1</w:t>
            </w:r>
          </w:p>
        </w:tc>
        <w:tc>
          <w:tcPr>
            <w:tcW w:w="1793" w:type="dxa"/>
            <w:tcBorders>
              <w:top w:val="nil"/>
              <w:left w:val="nil"/>
              <w:bottom w:val="single" w:sz="4" w:space="0" w:color="auto"/>
              <w:right w:val="single" w:sz="4" w:space="0" w:color="auto"/>
            </w:tcBorders>
            <w:shd w:val="clear" w:color="auto" w:fill="auto"/>
            <w:noWrap/>
            <w:vAlign w:val="center"/>
            <w:hideMark/>
          </w:tcPr>
          <w:p w14:paraId="219448DB"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Size of Particle</w:t>
            </w:r>
          </w:p>
        </w:tc>
        <w:tc>
          <w:tcPr>
            <w:tcW w:w="2995" w:type="dxa"/>
            <w:tcBorders>
              <w:top w:val="nil"/>
              <w:left w:val="nil"/>
              <w:bottom w:val="single" w:sz="4" w:space="0" w:color="auto"/>
              <w:right w:val="single" w:sz="4" w:space="0" w:color="auto"/>
            </w:tcBorders>
            <w:shd w:val="clear" w:color="auto" w:fill="auto"/>
            <w:noWrap/>
            <w:vAlign w:val="center"/>
            <w:hideMark/>
          </w:tcPr>
          <w:p w14:paraId="50BBAADC"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Fine, typically below 100 microns</w:t>
            </w:r>
          </w:p>
        </w:tc>
      </w:tr>
      <w:tr w:rsidR="00086A6E" w:rsidRPr="00086A6E" w14:paraId="1FB62E0D"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10AC0F1D"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2</w:t>
            </w:r>
          </w:p>
        </w:tc>
        <w:tc>
          <w:tcPr>
            <w:tcW w:w="1793" w:type="dxa"/>
            <w:tcBorders>
              <w:top w:val="nil"/>
              <w:left w:val="nil"/>
              <w:bottom w:val="single" w:sz="4" w:space="0" w:color="auto"/>
              <w:right w:val="single" w:sz="4" w:space="0" w:color="auto"/>
            </w:tcBorders>
            <w:shd w:val="clear" w:color="auto" w:fill="auto"/>
            <w:noWrap/>
            <w:vAlign w:val="center"/>
            <w:hideMark/>
          </w:tcPr>
          <w:p w14:paraId="33CC8EE6"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Color</w:t>
            </w:r>
          </w:p>
        </w:tc>
        <w:tc>
          <w:tcPr>
            <w:tcW w:w="2995" w:type="dxa"/>
            <w:tcBorders>
              <w:top w:val="nil"/>
              <w:left w:val="nil"/>
              <w:bottom w:val="single" w:sz="4" w:space="0" w:color="auto"/>
              <w:right w:val="single" w:sz="4" w:space="0" w:color="auto"/>
            </w:tcBorders>
            <w:shd w:val="clear" w:color="auto" w:fill="auto"/>
            <w:noWrap/>
            <w:vAlign w:val="center"/>
            <w:hideMark/>
          </w:tcPr>
          <w:p w14:paraId="4992CC58"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Light gray to brownish</w:t>
            </w:r>
          </w:p>
        </w:tc>
      </w:tr>
      <w:tr w:rsidR="00086A6E" w:rsidRPr="00086A6E" w14:paraId="2FBC0049"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2B1179A6"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3</w:t>
            </w:r>
          </w:p>
        </w:tc>
        <w:tc>
          <w:tcPr>
            <w:tcW w:w="1793" w:type="dxa"/>
            <w:tcBorders>
              <w:top w:val="nil"/>
              <w:left w:val="nil"/>
              <w:bottom w:val="single" w:sz="4" w:space="0" w:color="auto"/>
              <w:right w:val="single" w:sz="4" w:space="0" w:color="auto"/>
            </w:tcBorders>
            <w:shd w:val="clear" w:color="auto" w:fill="auto"/>
            <w:noWrap/>
            <w:vAlign w:val="center"/>
            <w:hideMark/>
          </w:tcPr>
          <w:p w14:paraId="58748F5F"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Density</w:t>
            </w:r>
          </w:p>
        </w:tc>
        <w:tc>
          <w:tcPr>
            <w:tcW w:w="2995" w:type="dxa"/>
            <w:tcBorders>
              <w:top w:val="nil"/>
              <w:left w:val="nil"/>
              <w:bottom w:val="single" w:sz="4" w:space="0" w:color="auto"/>
              <w:right w:val="single" w:sz="4" w:space="0" w:color="auto"/>
            </w:tcBorders>
            <w:shd w:val="clear" w:color="auto" w:fill="auto"/>
            <w:noWrap/>
            <w:vAlign w:val="center"/>
            <w:hideMark/>
          </w:tcPr>
          <w:p w14:paraId="0AAD26F3"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0.4 to 0.6 g/cm³</w:t>
            </w:r>
          </w:p>
        </w:tc>
      </w:tr>
      <w:tr w:rsidR="00086A6E" w:rsidRPr="00086A6E" w14:paraId="3D60F15F"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5A63B959"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4</w:t>
            </w:r>
          </w:p>
        </w:tc>
        <w:tc>
          <w:tcPr>
            <w:tcW w:w="1793" w:type="dxa"/>
            <w:tcBorders>
              <w:top w:val="nil"/>
              <w:left w:val="nil"/>
              <w:bottom w:val="single" w:sz="4" w:space="0" w:color="auto"/>
              <w:right w:val="single" w:sz="4" w:space="0" w:color="auto"/>
            </w:tcBorders>
            <w:shd w:val="clear" w:color="auto" w:fill="auto"/>
            <w:noWrap/>
            <w:vAlign w:val="center"/>
            <w:hideMark/>
          </w:tcPr>
          <w:p w14:paraId="3ECA7A73"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Water absorption</w:t>
            </w:r>
          </w:p>
        </w:tc>
        <w:tc>
          <w:tcPr>
            <w:tcW w:w="2995" w:type="dxa"/>
            <w:tcBorders>
              <w:top w:val="nil"/>
              <w:left w:val="nil"/>
              <w:bottom w:val="single" w:sz="4" w:space="0" w:color="auto"/>
              <w:right w:val="single" w:sz="4" w:space="0" w:color="auto"/>
            </w:tcBorders>
            <w:shd w:val="clear" w:color="auto" w:fill="auto"/>
            <w:noWrap/>
            <w:vAlign w:val="center"/>
            <w:hideMark/>
          </w:tcPr>
          <w:p w14:paraId="78C875ED"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3–5%</w:t>
            </w:r>
          </w:p>
        </w:tc>
      </w:tr>
      <w:tr w:rsidR="00086A6E" w:rsidRPr="00086A6E" w14:paraId="6DF8259C" w14:textId="77777777" w:rsidTr="00086A6E">
        <w:trPr>
          <w:trHeight w:val="261"/>
          <w:jc w:val="center"/>
        </w:trPr>
        <w:tc>
          <w:tcPr>
            <w:tcW w:w="793" w:type="dxa"/>
            <w:tcBorders>
              <w:top w:val="nil"/>
              <w:left w:val="single" w:sz="4" w:space="0" w:color="auto"/>
              <w:bottom w:val="single" w:sz="4" w:space="0" w:color="auto"/>
              <w:right w:val="single" w:sz="4" w:space="0" w:color="auto"/>
            </w:tcBorders>
            <w:shd w:val="clear" w:color="auto" w:fill="auto"/>
            <w:noWrap/>
            <w:vAlign w:val="center"/>
            <w:hideMark/>
          </w:tcPr>
          <w:p w14:paraId="4B188F1F"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5</w:t>
            </w:r>
          </w:p>
        </w:tc>
        <w:tc>
          <w:tcPr>
            <w:tcW w:w="1793" w:type="dxa"/>
            <w:tcBorders>
              <w:top w:val="nil"/>
              <w:left w:val="nil"/>
              <w:bottom w:val="single" w:sz="4" w:space="0" w:color="auto"/>
              <w:right w:val="single" w:sz="4" w:space="0" w:color="auto"/>
            </w:tcBorders>
            <w:shd w:val="clear" w:color="auto" w:fill="auto"/>
            <w:noWrap/>
            <w:vAlign w:val="center"/>
            <w:hideMark/>
          </w:tcPr>
          <w:p w14:paraId="0837684A"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Specific Gravity</w:t>
            </w:r>
          </w:p>
        </w:tc>
        <w:tc>
          <w:tcPr>
            <w:tcW w:w="2995" w:type="dxa"/>
            <w:tcBorders>
              <w:top w:val="nil"/>
              <w:left w:val="nil"/>
              <w:bottom w:val="single" w:sz="4" w:space="0" w:color="auto"/>
              <w:right w:val="single" w:sz="4" w:space="0" w:color="auto"/>
            </w:tcBorders>
            <w:shd w:val="clear" w:color="auto" w:fill="auto"/>
            <w:noWrap/>
            <w:vAlign w:val="center"/>
            <w:hideMark/>
          </w:tcPr>
          <w:p w14:paraId="50A8920F"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2.37</w:t>
            </w:r>
          </w:p>
        </w:tc>
      </w:tr>
    </w:tbl>
    <w:p w14:paraId="1C8B4974" w14:textId="77777777" w:rsidR="00086A6E" w:rsidRDefault="00086A6E" w:rsidP="00F643DF">
      <w:pPr>
        <w:spacing w:after="0" w:line="276" w:lineRule="auto"/>
        <w:rPr>
          <w:rFonts w:ascii="Times New Roman" w:hAnsi="Times New Roman" w:cs="Times New Roman"/>
          <w:b/>
          <w:sz w:val="20"/>
          <w:szCs w:val="20"/>
        </w:rPr>
      </w:pPr>
    </w:p>
    <w:p w14:paraId="30955ED6" w14:textId="799AD596" w:rsidR="00F643DF" w:rsidRPr="00086A6E" w:rsidRDefault="00086A6E" w:rsidP="00F643DF">
      <w:pPr>
        <w:spacing w:after="0" w:line="276" w:lineRule="auto"/>
        <w:rPr>
          <w:rFonts w:ascii="Times New Roman" w:hAnsi="Times New Roman" w:cs="Times New Roman"/>
          <w:b/>
          <w:sz w:val="20"/>
          <w:szCs w:val="20"/>
        </w:rPr>
      </w:pPr>
      <w:r w:rsidRPr="00086A6E">
        <w:rPr>
          <w:rFonts w:ascii="Times New Roman" w:hAnsi="Times New Roman" w:cs="Times New Roman"/>
          <w:b/>
          <w:sz w:val="20"/>
          <w:szCs w:val="20"/>
        </w:rPr>
        <w:t xml:space="preserve">Table No </w:t>
      </w:r>
      <w:r>
        <w:rPr>
          <w:rFonts w:ascii="Times New Roman" w:hAnsi="Times New Roman" w:cs="Times New Roman"/>
          <w:b/>
          <w:sz w:val="20"/>
          <w:szCs w:val="20"/>
        </w:rPr>
        <w:t>2</w:t>
      </w:r>
      <w:r w:rsidRPr="00086A6E">
        <w:rPr>
          <w:rFonts w:ascii="Times New Roman" w:hAnsi="Times New Roman" w:cs="Times New Roman"/>
          <w:b/>
          <w:sz w:val="20"/>
          <w:szCs w:val="20"/>
        </w:rPr>
        <w:t xml:space="preserve">. </w:t>
      </w:r>
      <w:r w:rsidRPr="00086A6E">
        <w:rPr>
          <w:rFonts w:ascii="Times New Roman" w:hAnsi="Times New Roman" w:cs="Times New Roman"/>
          <w:color w:val="000000" w:themeColor="text1"/>
          <w:sz w:val="20"/>
          <w:szCs w:val="20"/>
        </w:rPr>
        <w:t>Physical properties of Ground Granulated Blast Furnace Flag (GGBS)</w:t>
      </w:r>
    </w:p>
    <w:tbl>
      <w:tblPr>
        <w:tblW w:w="8187" w:type="dxa"/>
        <w:jc w:val="center"/>
        <w:tblLook w:val="04A0" w:firstRow="1" w:lastRow="0" w:firstColumn="1" w:lastColumn="0" w:noHBand="0" w:noVBand="1"/>
      </w:tblPr>
      <w:tblGrid>
        <w:gridCol w:w="821"/>
        <w:gridCol w:w="1855"/>
        <w:gridCol w:w="5511"/>
      </w:tblGrid>
      <w:tr w:rsidR="00086A6E" w:rsidRPr="00086A6E" w14:paraId="46DCA28E" w14:textId="77777777" w:rsidTr="00086A6E">
        <w:trPr>
          <w:trHeight w:val="275"/>
          <w:jc w:val="center"/>
        </w:trPr>
        <w:tc>
          <w:tcPr>
            <w:tcW w:w="8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EE701" w14:textId="2EABA24A" w:rsidR="00086A6E" w:rsidRPr="00086A6E" w:rsidRDefault="00F643DF" w:rsidP="00F643DF">
            <w:pPr>
              <w:spacing w:after="0" w:line="276" w:lineRule="auto"/>
              <w:jc w:val="center"/>
              <w:rPr>
                <w:rFonts w:ascii="Times New Roman" w:eastAsia="Times New Roman" w:hAnsi="Times New Roman" w:cs="Times New Roman"/>
                <w:b/>
                <w:bCs/>
                <w:color w:val="000000"/>
                <w:sz w:val="20"/>
                <w:szCs w:val="20"/>
              </w:rPr>
            </w:pPr>
            <w:r w:rsidRPr="00086A6E">
              <w:rPr>
                <w:rFonts w:ascii="Times New Roman" w:eastAsia="Times New Roman" w:hAnsi="Times New Roman" w:cs="Times New Roman"/>
                <w:b/>
                <w:bCs/>
                <w:color w:val="000000"/>
                <w:sz w:val="20"/>
                <w:szCs w:val="20"/>
              </w:rPr>
              <w:t>S. No</w:t>
            </w:r>
          </w:p>
        </w:tc>
        <w:tc>
          <w:tcPr>
            <w:tcW w:w="1855" w:type="dxa"/>
            <w:tcBorders>
              <w:top w:val="single" w:sz="4" w:space="0" w:color="auto"/>
              <w:left w:val="nil"/>
              <w:bottom w:val="single" w:sz="4" w:space="0" w:color="auto"/>
              <w:right w:val="single" w:sz="4" w:space="0" w:color="auto"/>
            </w:tcBorders>
            <w:shd w:val="clear" w:color="auto" w:fill="auto"/>
            <w:noWrap/>
            <w:vAlign w:val="center"/>
            <w:hideMark/>
          </w:tcPr>
          <w:p w14:paraId="52C0E056" w14:textId="77777777" w:rsidR="00086A6E" w:rsidRPr="00086A6E" w:rsidRDefault="00086A6E" w:rsidP="00F643DF">
            <w:pPr>
              <w:spacing w:after="0" w:line="276" w:lineRule="auto"/>
              <w:rPr>
                <w:rFonts w:ascii="Times New Roman" w:eastAsia="Times New Roman" w:hAnsi="Times New Roman" w:cs="Times New Roman"/>
                <w:b/>
                <w:bCs/>
                <w:color w:val="000000"/>
                <w:sz w:val="20"/>
                <w:szCs w:val="20"/>
              </w:rPr>
            </w:pPr>
            <w:r w:rsidRPr="00086A6E">
              <w:rPr>
                <w:rFonts w:ascii="Times New Roman" w:eastAsia="Times New Roman" w:hAnsi="Times New Roman" w:cs="Times New Roman"/>
                <w:b/>
                <w:bCs/>
                <w:color w:val="000000"/>
                <w:sz w:val="20"/>
                <w:szCs w:val="20"/>
              </w:rPr>
              <w:t>Physical Property</w:t>
            </w:r>
          </w:p>
        </w:tc>
        <w:tc>
          <w:tcPr>
            <w:tcW w:w="5511" w:type="dxa"/>
            <w:tcBorders>
              <w:top w:val="single" w:sz="4" w:space="0" w:color="auto"/>
              <w:left w:val="nil"/>
              <w:bottom w:val="single" w:sz="4" w:space="0" w:color="auto"/>
              <w:right w:val="single" w:sz="4" w:space="0" w:color="auto"/>
            </w:tcBorders>
            <w:shd w:val="clear" w:color="auto" w:fill="auto"/>
            <w:noWrap/>
            <w:vAlign w:val="center"/>
            <w:hideMark/>
          </w:tcPr>
          <w:p w14:paraId="4C6B2E50" w14:textId="77777777" w:rsidR="00086A6E" w:rsidRPr="00086A6E" w:rsidRDefault="00086A6E" w:rsidP="00F643DF">
            <w:pPr>
              <w:spacing w:after="0" w:line="276" w:lineRule="auto"/>
              <w:jc w:val="center"/>
              <w:rPr>
                <w:rFonts w:ascii="Times New Roman" w:eastAsia="Times New Roman" w:hAnsi="Times New Roman" w:cs="Times New Roman"/>
                <w:b/>
                <w:bCs/>
                <w:color w:val="000000"/>
                <w:sz w:val="20"/>
                <w:szCs w:val="20"/>
              </w:rPr>
            </w:pPr>
            <w:r w:rsidRPr="00086A6E">
              <w:rPr>
                <w:rFonts w:ascii="Times New Roman" w:eastAsia="Times New Roman" w:hAnsi="Times New Roman" w:cs="Times New Roman"/>
                <w:b/>
                <w:bCs/>
                <w:color w:val="000000"/>
                <w:sz w:val="20"/>
                <w:szCs w:val="20"/>
              </w:rPr>
              <w:t>Ground Granulated Blast Furnace Flag (GGBS)</w:t>
            </w:r>
          </w:p>
        </w:tc>
      </w:tr>
      <w:tr w:rsidR="00086A6E" w:rsidRPr="00086A6E" w14:paraId="6B076A00"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9550638"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1</w:t>
            </w:r>
          </w:p>
        </w:tc>
        <w:tc>
          <w:tcPr>
            <w:tcW w:w="1855" w:type="dxa"/>
            <w:tcBorders>
              <w:top w:val="nil"/>
              <w:left w:val="nil"/>
              <w:bottom w:val="single" w:sz="4" w:space="0" w:color="auto"/>
              <w:right w:val="single" w:sz="4" w:space="0" w:color="auto"/>
            </w:tcBorders>
            <w:shd w:val="clear" w:color="auto" w:fill="auto"/>
            <w:noWrap/>
            <w:vAlign w:val="center"/>
            <w:hideMark/>
          </w:tcPr>
          <w:p w14:paraId="6DDC43A5"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Size of Particle</w:t>
            </w:r>
          </w:p>
        </w:tc>
        <w:tc>
          <w:tcPr>
            <w:tcW w:w="5511" w:type="dxa"/>
            <w:tcBorders>
              <w:top w:val="nil"/>
              <w:left w:val="nil"/>
              <w:bottom w:val="single" w:sz="4" w:space="0" w:color="auto"/>
              <w:right w:val="single" w:sz="4" w:space="0" w:color="auto"/>
            </w:tcBorders>
            <w:shd w:val="clear" w:color="auto" w:fill="auto"/>
            <w:noWrap/>
            <w:vAlign w:val="center"/>
            <w:hideMark/>
          </w:tcPr>
          <w:p w14:paraId="361BFEB6" w14:textId="083BA312"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Typically, finer than 45 microns (usually around 30–50 microns)</w:t>
            </w:r>
          </w:p>
        </w:tc>
      </w:tr>
      <w:tr w:rsidR="00086A6E" w:rsidRPr="00086A6E" w14:paraId="12718CCC"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167A72B2"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2</w:t>
            </w:r>
          </w:p>
        </w:tc>
        <w:tc>
          <w:tcPr>
            <w:tcW w:w="1855" w:type="dxa"/>
            <w:tcBorders>
              <w:top w:val="nil"/>
              <w:left w:val="nil"/>
              <w:bottom w:val="single" w:sz="4" w:space="0" w:color="auto"/>
              <w:right w:val="single" w:sz="4" w:space="0" w:color="auto"/>
            </w:tcBorders>
            <w:shd w:val="clear" w:color="auto" w:fill="auto"/>
            <w:noWrap/>
            <w:vAlign w:val="center"/>
            <w:hideMark/>
          </w:tcPr>
          <w:p w14:paraId="728ED155"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Color</w:t>
            </w:r>
          </w:p>
        </w:tc>
        <w:tc>
          <w:tcPr>
            <w:tcW w:w="5511" w:type="dxa"/>
            <w:tcBorders>
              <w:top w:val="nil"/>
              <w:left w:val="nil"/>
              <w:bottom w:val="single" w:sz="4" w:space="0" w:color="auto"/>
              <w:right w:val="single" w:sz="4" w:space="0" w:color="auto"/>
            </w:tcBorders>
            <w:shd w:val="clear" w:color="auto" w:fill="auto"/>
            <w:noWrap/>
            <w:vAlign w:val="center"/>
            <w:hideMark/>
          </w:tcPr>
          <w:p w14:paraId="6C018C55"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Light grey to off-white</w:t>
            </w:r>
          </w:p>
        </w:tc>
      </w:tr>
      <w:tr w:rsidR="00086A6E" w:rsidRPr="00086A6E" w14:paraId="4D0C1388"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29332196"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3</w:t>
            </w:r>
          </w:p>
        </w:tc>
        <w:tc>
          <w:tcPr>
            <w:tcW w:w="1855" w:type="dxa"/>
            <w:tcBorders>
              <w:top w:val="nil"/>
              <w:left w:val="nil"/>
              <w:bottom w:val="single" w:sz="4" w:space="0" w:color="auto"/>
              <w:right w:val="single" w:sz="4" w:space="0" w:color="auto"/>
            </w:tcBorders>
            <w:shd w:val="clear" w:color="auto" w:fill="auto"/>
            <w:noWrap/>
            <w:vAlign w:val="center"/>
            <w:hideMark/>
          </w:tcPr>
          <w:p w14:paraId="299C492A"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Density</w:t>
            </w:r>
          </w:p>
        </w:tc>
        <w:tc>
          <w:tcPr>
            <w:tcW w:w="5511" w:type="dxa"/>
            <w:tcBorders>
              <w:top w:val="nil"/>
              <w:left w:val="nil"/>
              <w:bottom w:val="single" w:sz="4" w:space="0" w:color="auto"/>
              <w:right w:val="single" w:sz="4" w:space="0" w:color="auto"/>
            </w:tcBorders>
            <w:shd w:val="clear" w:color="auto" w:fill="auto"/>
            <w:noWrap/>
            <w:vAlign w:val="center"/>
            <w:hideMark/>
          </w:tcPr>
          <w:p w14:paraId="6BAFA9A5"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1.1 to 1.3 g/cm³</w:t>
            </w:r>
          </w:p>
        </w:tc>
      </w:tr>
      <w:tr w:rsidR="00086A6E" w:rsidRPr="00086A6E" w14:paraId="537F38C9"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63561428"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4</w:t>
            </w:r>
          </w:p>
        </w:tc>
        <w:tc>
          <w:tcPr>
            <w:tcW w:w="1855" w:type="dxa"/>
            <w:tcBorders>
              <w:top w:val="nil"/>
              <w:left w:val="nil"/>
              <w:bottom w:val="single" w:sz="4" w:space="0" w:color="auto"/>
              <w:right w:val="single" w:sz="4" w:space="0" w:color="auto"/>
            </w:tcBorders>
            <w:shd w:val="clear" w:color="auto" w:fill="auto"/>
            <w:noWrap/>
            <w:vAlign w:val="center"/>
            <w:hideMark/>
          </w:tcPr>
          <w:p w14:paraId="785034DE"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Water absorption</w:t>
            </w:r>
          </w:p>
        </w:tc>
        <w:tc>
          <w:tcPr>
            <w:tcW w:w="5511" w:type="dxa"/>
            <w:tcBorders>
              <w:top w:val="nil"/>
              <w:left w:val="nil"/>
              <w:bottom w:val="single" w:sz="4" w:space="0" w:color="auto"/>
              <w:right w:val="single" w:sz="4" w:space="0" w:color="auto"/>
            </w:tcBorders>
            <w:shd w:val="clear" w:color="auto" w:fill="auto"/>
            <w:noWrap/>
            <w:vAlign w:val="center"/>
            <w:hideMark/>
          </w:tcPr>
          <w:p w14:paraId="38092FE5"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Less than 1%</w:t>
            </w:r>
          </w:p>
        </w:tc>
      </w:tr>
      <w:tr w:rsidR="00086A6E" w:rsidRPr="00086A6E" w14:paraId="32304767" w14:textId="77777777" w:rsidTr="00086A6E">
        <w:trPr>
          <w:trHeight w:val="275"/>
          <w:jc w:val="center"/>
        </w:trPr>
        <w:tc>
          <w:tcPr>
            <w:tcW w:w="821" w:type="dxa"/>
            <w:tcBorders>
              <w:top w:val="nil"/>
              <w:left w:val="single" w:sz="4" w:space="0" w:color="auto"/>
              <w:bottom w:val="single" w:sz="4" w:space="0" w:color="auto"/>
              <w:right w:val="single" w:sz="4" w:space="0" w:color="auto"/>
            </w:tcBorders>
            <w:shd w:val="clear" w:color="auto" w:fill="auto"/>
            <w:noWrap/>
            <w:vAlign w:val="center"/>
            <w:hideMark/>
          </w:tcPr>
          <w:p w14:paraId="52B253A1" w14:textId="77777777" w:rsidR="00086A6E" w:rsidRPr="00086A6E" w:rsidRDefault="00086A6E" w:rsidP="00F643DF">
            <w:pPr>
              <w:spacing w:after="0" w:line="276" w:lineRule="auto"/>
              <w:jc w:val="center"/>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5</w:t>
            </w:r>
          </w:p>
        </w:tc>
        <w:tc>
          <w:tcPr>
            <w:tcW w:w="1855" w:type="dxa"/>
            <w:tcBorders>
              <w:top w:val="nil"/>
              <w:left w:val="nil"/>
              <w:bottom w:val="single" w:sz="4" w:space="0" w:color="auto"/>
              <w:right w:val="single" w:sz="4" w:space="0" w:color="auto"/>
            </w:tcBorders>
            <w:shd w:val="clear" w:color="auto" w:fill="auto"/>
            <w:noWrap/>
            <w:vAlign w:val="center"/>
            <w:hideMark/>
          </w:tcPr>
          <w:p w14:paraId="1E3F34D0"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Specific Gravity</w:t>
            </w:r>
          </w:p>
        </w:tc>
        <w:tc>
          <w:tcPr>
            <w:tcW w:w="5511" w:type="dxa"/>
            <w:tcBorders>
              <w:top w:val="nil"/>
              <w:left w:val="nil"/>
              <w:bottom w:val="single" w:sz="4" w:space="0" w:color="auto"/>
              <w:right w:val="single" w:sz="4" w:space="0" w:color="auto"/>
            </w:tcBorders>
            <w:shd w:val="clear" w:color="auto" w:fill="auto"/>
            <w:noWrap/>
            <w:vAlign w:val="center"/>
            <w:hideMark/>
          </w:tcPr>
          <w:p w14:paraId="79D9C38F" w14:textId="77777777" w:rsidR="00086A6E" w:rsidRPr="00086A6E" w:rsidRDefault="00086A6E" w:rsidP="00F643DF">
            <w:pPr>
              <w:spacing w:after="0" w:line="276" w:lineRule="auto"/>
              <w:rPr>
                <w:rFonts w:ascii="Times New Roman" w:eastAsia="Times New Roman" w:hAnsi="Times New Roman" w:cs="Times New Roman"/>
                <w:color w:val="000000"/>
                <w:sz w:val="20"/>
                <w:szCs w:val="20"/>
              </w:rPr>
            </w:pPr>
            <w:r w:rsidRPr="00086A6E">
              <w:rPr>
                <w:rFonts w:ascii="Times New Roman" w:eastAsia="Times New Roman" w:hAnsi="Times New Roman" w:cs="Times New Roman"/>
                <w:color w:val="000000"/>
                <w:sz w:val="20"/>
                <w:szCs w:val="20"/>
              </w:rPr>
              <w:t>2.92.</w:t>
            </w:r>
          </w:p>
        </w:tc>
      </w:tr>
    </w:tbl>
    <w:p w14:paraId="6DD80AF3" w14:textId="2C771C67" w:rsidR="00F643DF" w:rsidRPr="001E51F3" w:rsidRDefault="00F643DF" w:rsidP="00F643D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0F7272E" w14:textId="77777777" w:rsidR="00F643DF" w:rsidRPr="00F643DF" w:rsidRDefault="00F643DF" w:rsidP="00F643DF">
      <w:pPr>
        <w:spacing w:before="54" w:after="0" w:line="276" w:lineRule="auto"/>
        <w:ind w:firstLine="720"/>
        <w:jc w:val="both"/>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Alternative cement manufacturing methods are being investigated due to the growing demand for eco-friendly building materials. Organic waste materials like onion peel ash (OPA) and industrial byproducts like Ground Granulated Blast Furnace Slag (GGBS) may reduce cement manufacturing's environmental impact. This literature study discusses onion peel ash and GGBS as partial cement alternatives, including their pros and cons in concrete manufacturing.</w:t>
      </w:r>
    </w:p>
    <w:p w14:paraId="64A6E50D" w14:textId="2C83954A" w:rsidR="00F643DF" w:rsidRPr="00F643DF" w:rsidRDefault="00F643DF" w:rsidP="00F643DF">
      <w:pPr>
        <w:spacing w:before="54" w:after="0" w:line="276" w:lineRule="auto"/>
        <w:ind w:firstLine="720"/>
        <w:jc w:val="both"/>
        <w:rPr>
          <w:rStyle w:val="Hyperlink"/>
          <w:rFonts w:ascii="Times New Roman" w:hAnsi="Times New Roman"/>
          <w:sz w:val="20"/>
          <w:szCs w:val="20"/>
        </w:rPr>
      </w:pPr>
      <w:r w:rsidRPr="00F643DF">
        <w:rPr>
          <w:rFonts w:ascii="Times New Roman" w:hAnsi="Times New Roman" w:cs="Times New Roman"/>
          <w:b/>
          <w:color w:val="000000" w:themeColor="text1"/>
          <w:sz w:val="20"/>
          <w:szCs w:val="20"/>
        </w:rPr>
        <w:t xml:space="preserve">Ramesh </w:t>
      </w:r>
      <w:proofErr w:type="spellStart"/>
      <w:r w:rsidRPr="00F643DF">
        <w:rPr>
          <w:rFonts w:ascii="Times New Roman" w:hAnsi="Times New Roman" w:cs="Times New Roman"/>
          <w:b/>
          <w:color w:val="000000" w:themeColor="text1"/>
          <w:sz w:val="20"/>
          <w:szCs w:val="20"/>
        </w:rPr>
        <w:t>Vandanapu</w:t>
      </w:r>
      <w:proofErr w:type="spellEnd"/>
      <w:r w:rsidRPr="00F643DF">
        <w:rPr>
          <w:rFonts w:ascii="Times New Roman" w:hAnsi="Times New Roman" w:cs="Times New Roman"/>
          <w:b/>
          <w:color w:val="000000" w:themeColor="text1"/>
          <w:sz w:val="20"/>
          <w:szCs w:val="20"/>
        </w:rPr>
        <w:t xml:space="preserve">, Vidya </w:t>
      </w:r>
      <w:proofErr w:type="spellStart"/>
      <w:r w:rsidRPr="00F643DF">
        <w:rPr>
          <w:rFonts w:ascii="Times New Roman" w:hAnsi="Times New Roman" w:cs="Times New Roman"/>
          <w:b/>
          <w:color w:val="000000" w:themeColor="text1"/>
          <w:sz w:val="20"/>
          <w:szCs w:val="20"/>
        </w:rPr>
        <w:t>Mohanan</w:t>
      </w:r>
      <w:proofErr w:type="spellEnd"/>
      <w:r w:rsidRPr="00F643DF">
        <w:rPr>
          <w:rFonts w:ascii="Times New Roman" w:hAnsi="Times New Roman" w:cs="Times New Roman"/>
          <w:b/>
          <w:color w:val="000000" w:themeColor="text1"/>
          <w:sz w:val="20"/>
          <w:szCs w:val="20"/>
        </w:rPr>
        <w:t xml:space="preserve"> et.al;</w:t>
      </w:r>
      <w:r w:rsidRPr="00F643DF">
        <w:rPr>
          <w:rFonts w:ascii="Times New Roman" w:hAnsi="Times New Roman" w:cs="Times New Roman"/>
          <w:color w:val="000000" w:themeColor="text1"/>
          <w:sz w:val="20"/>
          <w:szCs w:val="20"/>
        </w:rPr>
        <w:t xml:space="preserve"> Compared to control concrete without additive, concrete with GGBS replacement (0%–60%) had no increase in compressive strength at all testing ages (7, 14, and 28 days). The low pozzolanic reactivity expected to increase compressive strength may explain this lack of improvement. Even with 50% cement replacement, compressive strength after 28 days remained above the intended mean strength (38.25 </w:t>
      </w:r>
      <w:proofErr w:type="spellStart"/>
      <w:r w:rsidRPr="00F643DF">
        <w:rPr>
          <w:rFonts w:ascii="Times New Roman" w:hAnsi="Times New Roman" w:cs="Times New Roman"/>
          <w:color w:val="000000" w:themeColor="text1"/>
          <w:sz w:val="20"/>
          <w:szCs w:val="20"/>
        </w:rPr>
        <w:t>MPa</w:t>
      </w:r>
      <w:proofErr w:type="spellEnd"/>
      <w:r w:rsidRPr="00F643DF">
        <w:rPr>
          <w:rFonts w:ascii="Times New Roman" w:hAnsi="Times New Roman" w:cs="Times New Roman"/>
          <w:color w:val="000000" w:themeColor="text1"/>
          <w:sz w:val="20"/>
          <w:szCs w:val="20"/>
        </w:rPr>
        <w:t xml:space="preserve">) for M30 concrete, despite a reduction in compressive strength. Flexural strength up to 30% replacement level was unclear, possibly due to cementitious compound delays or incomplete development. Flexural strength increased when cement substitution with GGBS topped 30%. GGBS replaced more cement, reducing concrete slump. GGBS, a finer substance than cement, requires more water to accommodate its surface area.  Finally, the flexural strength of concrete was found to be 10% to 20% of its compressive strength, increasing when GGBS substituted cement. </w:t>
      </w:r>
      <w:r>
        <w:rPr>
          <w:color w:val="000000" w:themeColor="text1"/>
          <w:sz w:val="20"/>
          <w:szCs w:val="20"/>
        </w:rPr>
        <w:fldChar w:fldCharType="begin"/>
      </w:r>
      <w:r>
        <w:rPr>
          <w:color w:val="000000" w:themeColor="text1"/>
          <w:sz w:val="20"/>
          <w:szCs w:val="20"/>
        </w:rPr>
        <w:instrText xml:space="preserve"> HYPERLINK "https://doi.org/10.1109/ICASET.2019.8714522" </w:instrText>
      </w:r>
      <w:r>
        <w:rPr>
          <w:color w:val="000000" w:themeColor="text1"/>
          <w:sz w:val="20"/>
          <w:szCs w:val="20"/>
        </w:rPr>
        <w:fldChar w:fldCharType="separate"/>
      </w:r>
      <w:r w:rsidRPr="00E76534">
        <w:rPr>
          <w:rStyle w:val="Hyperlink"/>
          <w:rFonts w:ascii="Times New Roman" w:hAnsi="Times New Roman"/>
          <w:sz w:val="20"/>
          <w:szCs w:val="20"/>
        </w:rPr>
        <w:t>https://doi.org/10.1109/ICASET.2019.8714522</w:t>
      </w:r>
    </w:p>
    <w:p w14:paraId="71AE1FA7" w14:textId="3ED5480B" w:rsidR="00F643DF" w:rsidRDefault="00F643DF" w:rsidP="00F643DF">
      <w:pPr>
        <w:spacing w:before="54" w:after="0" w:line="276" w:lineRule="auto"/>
        <w:ind w:firstLine="720"/>
        <w:jc w:val="both"/>
        <w:rPr>
          <w:rFonts w:ascii="Times New Roman" w:hAnsi="Times New Roman" w:cs="Times New Roman"/>
          <w:color w:val="000000" w:themeColor="text1"/>
          <w:sz w:val="20"/>
          <w:szCs w:val="20"/>
        </w:rPr>
      </w:pPr>
      <w:r>
        <w:rPr>
          <w:color w:val="000000" w:themeColor="text1"/>
          <w:sz w:val="20"/>
          <w:szCs w:val="20"/>
        </w:rPr>
        <w:lastRenderedPageBreak/>
        <w:fldChar w:fldCharType="end"/>
      </w:r>
      <w:r w:rsidRPr="00F643DF">
        <w:rPr>
          <w:rFonts w:ascii="Times New Roman" w:hAnsi="Times New Roman" w:cs="Times New Roman"/>
          <w:b/>
          <w:color w:val="000000" w:themeColor="text1"/>
          <w:sz w:val="20"/>
          <w:szCs w:val="20"/>
        </w:rPr>
        <w:t xml:space="preserve">Reshma </w:t>
      </w:r>
      <w:proofErr w:type="spellStart"/>
      <w:r w:rsidRPr="00F643DF">
        <w:rPr>
          <w:rFonts w:ascii="Times New Roman" w:hAnsi="Times New Roman" w:cs="Times New Roman"/>
          <w:b/>
          <w:color w:val="000000" w:themeColor="text1"/>
          <w:sz w:val="20"/>
          <w:szCs w:val="20"/>
        </w:rPr>
        <w:t>Rughooputh</w:t>
      </w:r>
      <w:proofErr w:type="spellEnd"/>
      <w:r w:rsidRPr="00F643DF">
        <w:rPr>
          <w:rFonts w:ascii="Times New Roman" w:hAnsi="Times New Roman" w:cs="Times New Roman"/>
          <w:b/>
          <w:color w:val="000000" w:themeColor="text1"/>
          <w:sz w:val="20"/>
          <w:szCs w:val="20"/>
        </w:rPr>
        <w:t xml:space="preserve"> and </w:t>
      </w:r>
      <w:proofErr w:type="spellStart"/>
      <w:r w:rsidRPr="00F643DF">
        <w:rPr>
          <w:rFonts w:ascii="Times New Roman" w:hAnsi="Times New Roman" w:cs="Times New Roman"/>
          <w:b/>
          <w:color w:val="000000" w:themeColor="text1"/>
          <w:sz w:val="20"/>
          <w:szCs w:val="20"/>
        </w:rPr>
        <w:t>Jaylina</w:t>
      </w:r>
      <w:proofErr w:type="spellEnd"/>
      <w:r w:rsidRPr="00F643DF">
        <w:rPr>
          <w:rFonts w:ascii="Times New Roman" w:hAnsi="Times New Roman" w:cs="Times New Roman"/>
          <w:b/>
          <w:color w:val="000000" w:themeColor="text1"/>
          <w:sz w:val="20"/>
          <w:szCs w:val="20"/>
        </w:rPr>
        <w:t xml:space="preserve"> Rana (2014)</w:t>
      </w:r>
      <w:r w:rsidRPr="00F643DF">
        <w:rPr>
          <w:rFonts w:ascii="Times New Roman" w:hAnsi="Times New Roman" w:cs="Times New Roman"/>
          <w:color w:val="000000" w:themeColor="text1"/>
          <w:sz w:val="20"/>
          <w:szCs w:val="20"/>
        </w:rPr>
        <w:t xml:space="preserve"> conducted a study on the impact of partially substituting cement with ground granulated blast furnace slag (GGBFS) in concrete. Their research focused on various concrete properties, including compressive strength, tensile strength, splitting strength, flexural strength, modulus of elasticity, drying shrinkage, and initial surface absorption. The experiments involved replacement levels of 30% to 50% of ordinary Portland cement (OPC) with GGBFS, evaluated at 7 and 28 days. The findings indicated that while the compressive strength was lower at early ages, it improved significantly over time. Specifically, the flexural strength of the specimens increased by 22% and 24%, while tensile strength rose by 12% and 17% for the 30% and 50% replacement levels, respectively. Additionally, drying shrinkage showed an increase of 3% and 4%, and the static modulus of elasticity improved by 5% and 13%. The study concluded that the optimal mix was achieved with a 50% replacement of GGBFS.</w:t>
      </w:r>
    </w:p>
    <w:p w14:paraId="17FA6FED" w14:textId="2DB26C13" w:rsidR="00F643DF" w:rsidRDefault="00F643DF" w:rsidP="00F643DF">
      <w:pPr>
        <w:spacing w:before="54" w:after="0" w:line="276" w:lineRule="auto"/>
        <w:ind w:firstLine="720"/>
        <w:jc w:val="both"/>
        <w:rPr>
          <w:rFonts w:ascii="Times New Roman" w:hAnsi="Times New Roman" w:cs="Times New Roman"/>
          <w:color w:val="000000" w:themeColor="text1"/>
          <w:sz w:val="20"/>
          <w:szCs w:val="20"/>
        </w:rPr>
      </w:pPr>
      <w:proofErr w:type="spellStart"/>
      <w:r w:rsidRPr="00F643DF">
        <w:rPr>
          <w:rFonts w:ascii="Times New Roman" w:hAnsi="Times New Roman" w:cs="Times New Roman"/>
          <w:b/>
          <w:color w:val="000000" w:themeColor="text1"/>
          <w:sz w:val="20"/>
          <w:szCs w:val="20"/>
        </w:rPr>
        <w:t>Hanifi</w:t>
      </w:r>
      <w:proofErr w:type="spellEnd"/>
      <w:r w:rsidRPr="00F643DF">
        <w:rPr>
          <w:rFonts w:ascii="Times New Roman" w:hAnsi="Times New Roman" w:cs="Times New Roman"/>
          <w:b/>
          <w:color w:val="000000" w:themeColor="text1"/>
          <w:sz w:val="20"/>
          <w:szCs w:val="20"/>
        </w:rPr>
        <w:t> </w:t>
      </w:r>
      <w:proofErr w:type="gramStart"/>
      <w:r w:rsidRPr="00F643DF">
        <w:rPr>
          <w:rFonts w:ascii="Times New Roman" w:hAnsi="Times New Roman" w:cs="Times New Roman"/>
          <w:b/>
          <w:color w:val="000000" w:themeColor="text1"/>
          <w:sz w:val="20"/>
          <w:szCs w:val="20"/>
        </w:rPr>
        <w:t>Binici ,</w:t>
      </w:r>
      <w:proofErr w:type="gramEnd"/>
      <w:r w:rsidRPr="00F643DF">
        <w:rPr>
          <w:rFonts w:ascii="Times New Roman" w:hAnsi="Times New Roman" w:cs="Times New Roman"/>
          <w:b/>
          <w:color w:val="000000" w:themeColor="text1"/>
          <w:sz w:val="20"/>
          <w:szCs w:val="20"/>
        </w:rPr>
        <w:t xml:space="preserve"> </w:t>
      </w:r>
      <w:proofErr w:type="spellStart"/>
      <w:r w:rsidRPr="00F643DF">
        <w:rPr>
          <w:rFonts w:ascii="Times New Roman" w:hAnsi="Times New Roman" w:cs="Times New Roman"/>
          <w:b/>
          <w:color w:val="000000" w:themeColor="text1"/>
          <w:sz w:val="20"/>
          <w:szCs w:val="20"/>
        </w:rPr>
        <w:t>Orhan</w:t>
      </w:r>
      <w:proofErr w:type="spellEnd"/>
      <w:r w:rsidRPr="00F643DF">
        <w:rPr>
          <w:rFonts w:ascii="Times New Roman" w:hAnsi="Times New Roman" w:cs="Times New Roman"/>
          <w:b/>
          <w:color w:val="000000" w:themeColor="text1"/>
          <w:sz w:val="20"/>
          <w:szCs w:val="20"/>
        </w:rPr>
        <w:t> </w:t>
      </w:r>
      <w:proofErr w:type="spellStart"/>
      <w:r w:rsidRPr="00F643DF">
        <w:rPr>
          <w:rFonts w:ascii="Times New Roman" w:hAnsi="Times New Roman" w:cs="Times New Roman"/>
          <w:b/>
          <w:color w:val="000000" w:themeColor="text1"/>
          <w:sz w:val="20"/>
          <w:szCs w:val="20"/>
        </w:rPr>
        <w:t>Aksogan</w:t>
      </w:r>
      <w:proofErr w:type="spellEnd"/>
      <w:r w:rsidRPr="00F643DF">
        <w:rPr>
          <w:rFonts w:ascii="Times New Roman" w:hAnsi="Times New Roman" w:cs="Times New Roman"/>
          <w:b/>
          <w:color w:val="000000" w:themeColor="text1"/>
          <w:sz w:val="20"/>
          <w:szCs w:val="20"/>
        </w:rPr>
        <w:t xml:space="preserve"> (2016)</w:t>
      </w:r>
      <w:r w:rsidRPr="00F643DF">
        <w:rPr>
          <w:rFonts w:ascii="Times New Roman" w:hAnsi="Times New Roman" w:cs="Times New Roman"/>
          <w:color w:val="000000" w:themeColor="text1"/>
          <w:sz w:val="20"/>
          <w:szCs w:val="20"/>
        </w:rPr>
        <w:t xml:space="preserve"> The thermal conductivity coefficients of samples composed of onion skins and peanut shells are significantly lower, ranging from 3.5 to 5 times less than those of the control samples. This reduction is attributed to the fiber composition. These lightweight construction materials are expected to contribute to substantial energy savings in buildings. Additionally, the use of waste materials from onion skins and peanut shells results in a notable reduction in sound permeability values, while maintaining compressive and flexural strengths that meet the required standards. </w:t>
      </w:r>
      <w:hyperlink r:id="rId15" w:history="1">
        <w:r w:rsidRPr="00F643DF">
          <w:rPr>
            <w:rStyle w:val="Hyperlink"/>
            <w:rFonts w:ascii="Times New Roman" w:hAnsi="Times New Roman"/>
            <w:sz w:val="20"/>
            <w:szCs w:val="20"/>
          </w:rPr>
          <w:t>https://doi.org/10.1016/j.mtcomm.2016.09.004</w:t>
        </w:r>
      </w:hyperlink>
    </w:p>
    <w:p w14:paraId="08B23878" w14:textId="77777777" w:rsidR="00F643DF" w:rsidRPr="00F643DF" w:rsidRDefault="00F643DF" w:rsidP="00F643DF">
      <w:pPr>
        <w:spacing w:before="54" w:after="0" w:line="276" w:lineRule="auto"/>
        <w:ind w:firstLine="720"/>
        <w:jc w:val="both"/>
        <w:rPr>
          <w:rFonts w:ascii="Times New Roman" w:hAnsi="Times New Roman" w:cs="Times New Roman"/>
          <w:color w:val="000000" w:themeColor="text1"/>
          <w:sz w:val="20"/>
          <w:szCs w:val="20"/>
        </w:rPr>
      </w:pPr>
      <w:proofErr w:type="spellStart"/>
      <w:r w:rsidRPr="00F643DF">
        <w:rPr>
          <w:rFonts w:ascii="Times New Roman" w:hAnsi="Times New Roman" w:cs="Times New Roman"/>
          <w:b/>
          <w:color w:val="000000" w:themeColor="text1"/>
          <w:sz w:val="20"/>
          <w:szCs w:val="20"/>
        </w:rPr>
        <w:t>Yehudy</w:t>
      </w:r>
      <w:proofErr w:type="spellEnd"/>
      <w:r w:rsidRPr="00F643DF">
        <w:rPr>
          <w:rFonts w:ascii="Times New Roman" w:hAnsi="Times New Roman" w:cs="Times New Roman"/>
          <w:b/>
          <w:color w:val="000000" w:themeColor="text1"/>
          <w:sz w:val="20"/>
          <w:szCs w:val="20"/>
        </w:rPr>
        <w:t xml:space="preserve"> </w:t>
      </w:r>
      <w:proofErr w:type="spellStart"/>
      <w:r w:rsidRPr="00F643DF">
        <w:rPr>
          <w:rFonts w:ascii="Times New Roman" w:hAnsi="Times New Roman" w:cs="Times New Roman"/>
          <w:b/>
          <w:color w:val="000000" w:themeColor="text1"/>
          <w:sz w:val="20"/>
          <w:szCs w:val="20"/>
        </w:rPr>
        <w:t>Yelitza</w:t>
      </w:r>
      <w:proofErr w:type="spellEnd"/>
      <w:r w:rsidRPr="00F643DF">
        <w:rPr>
          <w:rFonts w:ascii="Times New Roman" w:hAnsi="Times New Roman" w:cs="Times New Roman"/>
          <w:b/>
          <w:color w:val="000000" w:themeColor="text1"/>
          <w:sz w:val="20"/>
          <w:szCs w:val="20"/>
        </w:rPr>
        <w:t xml:space="preserve"> </w:t>
      </w:r>
      <w:proofErr w:type="spellStart"/>
      <w:r w:rsidRPr="00F643DF">
        <w:rPr>
          <w:rFonts w:ascii="Times New Roman" w:hAnsi="Times New Roman" w:cs="Times New Roman"/>
          <w:b/>
          <w:color w:val="000000" w:themeColor="text1"/>
          <w:sz w:val="20"/>
          <w:szCs w:val="20"/>
        </w:rPr>
        <w:t>Lizcano</w:t>
      </w:r>
      <w:proofErr w:type="spellEnd"/>
      <w:r w:rsidRPr="00F643DF">
        <w:rPr>
          <w:rFonts w:ascii="Times New Roman" w:hAnsi="Times New Roman" w:cs="Times New Roman"/>
          <w:b/>
          <w:color w:val="000000" w:themeColor="text1"/>
          <w:sz w:val="20"/>
          <w:szCs w:val="20"/>
        </w:rPr>
        <w:t>-Delgado et; al (2024)</w:t>
      </w:r>
      <w:r w:rsidRPr="00F643DF">
        <w:rPr>
          <w:rFonts w:ascii="Times New Roman" w:hAnsi="Times New Roman" w:cs="Times New Roman"/>
          <w:color w:val="000000" w:themeColor="text1"/>
          <w:sz w:val="20"/>
          <w:szCs w:val="20"/>
        </w:rPr>
        <w:t xml:space="preserve"> As resources become scarcer and water is increasingly polluted with heavy metals from rising production levels, a plentiful agro industrial waste like onion peel could help address water treatment needs. Onion peel is a cost-effective option with a strong ability to remove Co2+ from water without harming the environment. The onion peel being examined is a mesoporous material that is high in carbohydrates. These carbohydrates have C=O and O–H groups that aid in the biosorption of cobalt. The outer layer of the biosorbent gets coated with Co2+ until it reaches saturation in a process that is exothermic, non-spontaneous, and partially reversible. Several factors can affect how Co2+ interacts with the biosorbent, including the size of the onion peel particles, the initial concentration of Co2+, the pH and temperature of the solution, and the contact time. The results indicate that the removal of Co2+ by onion peel involves both physical and chemical sorption, with key mechanisms being electrostatic attraction, ion exchange, and chemisorptions. </w:t>
      </w:r>
      <w:hyperlink r:id="rId16" w:history="1">
        <w:r w:rsidRPr="00F643DF">
          <w:rPr>
            <w:rStyle w:val="Hyperlink"/>
            <w:rFonts w:ascii="Times New Roman" w:hAnsi="Times New Roman"/>
            <w:sz w:val="20"/>
            <w:szCs w:val="20"/>
          </w:rPr>
          <w:t>https://doi.org/10.3390/pr12061263</w:t>
        </w:r>
      </w:hyperlink>
      <w:r w:rsidRPr="00F643DF">
        <w:rPr>
          <w:rFonts w:ascii="Times New Roman" w:hAnsi="Times New Roman" w:cs="Times New Roman"/>
          <w:color w:val="000000" w:themeColor="text1"/>
          <w:sz w:val="20"/>
          <w:szCs w:val="20"/>
        </w:rPr>
        <w:t>.</w:t>
      </w:r>
    </w:p>
    <w:p w14:paraId="2F3C66E8" w14:textId="53C68046" w:rsidR="00DA52F4" w:rsidRDefault="00F643D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MIX DESIGN &amp; SLUMP </w:t>
      </w:r>
      <w:r w:rsidR="001B4B66">
        <w:rPr>
          <w:rFonts w:ascii="Times New Roman" w:hAnsi="Times New Roman" w:cs="Times New Roman"/>
          <w:b/>
          <w:bCs/>
          <w:color w:val="000000" w:themeColor="text1"/>
          <w:sz w:val="24"/>
          <w:szCs w:val="24"/>
        </w:rPr>
        <w:t>VALUE</w:t>
      </w:r>
    </w:p>
    <w:p w14:paraId="1591F561" w14:textId="409C19A4" w:rsidR="00F643DF" w:rsidRPr="00F643DF" w:rsidRDefault="00F643DF" w:rsidP="00F643DF">
      <w:pPr>
        <w:spacing w:after="0" w:line="276" w:lineRule="auto"/>
        <w:rPr>
          <w:rFonts w:ascii="Times New Roman" w:hAnsi="Times New Roman" w:cs="Times New Roman"/>
          <w:b/>
          <w:sz w:val="20"/>
          <w:szCs w:val="20"/>
        </w:rPr>
      </w:pPr>
      <w:r w:rsidRPr="00F643DF">
        <w:rPr>
          <w:rFonts w:ascii="Times New Roman" w:hAnsi="Times New Roman" w:cs="Times New Roman"/>
          <w:b/>
          <w:sz w:val="20"/>
          <w:szCs w:val="20"/>
        </w:rPr>
        <w:t xml:space="preserve">Table No </w:t>
      </w:r>
      <w:r>
        <w:rPr>
          <w:rFonts w:ascii="Times New Roman" w:hAnsi="Times New Roman" w:cs="Times New Roman"/>
          <w:b/>
          <w:sz w:val="20"/>
          <w:szCs w:val="20"/>
        </w:rPr>
        <w:t>3</w:t>
      </w:r>
      <w:r w:rsidRPr="00F643DF">
        <w:rPr>
          <w:rFonts w:ascii="Times New Roman" w:hAnsi="Times New Roman" w:cs="Times New Roman"/>
          <w:b/>
          <w:sz w:val="20"/>
          <w:szCs w:val="20"/>
        </w:rPr>
        <w:t xml:space="preserve">. </w:t>
      </w:r>
      <w:r w:rsidRPr="00F643DF">
        <w:rPr>
          <w:rFonts w:ascii="Times New Roman" w:hAnsi="Times New Roman" w:cs="Times New Roman"/>
          <w:bCs/>
          <w:color w:val="000000" w:themeColor="text1"/>
          <w:sz w:val="20"/>
          <w:szCs w:val="20"/>
        </w:rPr>
        <w:t>Slump Cone values</w:t>
      </w:r>
    </w:p>
    <w:tbl>
      <w:tblPr>
        <w:tblW w:w="5624" w:type="dxa"/>
        <w:jc w:val="center"/>
        <w:tblLook w:val="04A0" w:firstRow="1" w:lastRow="0" w:firstColumn="1" w:lastColumn="0" w:noHBand="0" w:noVBand="1"/>
      </w:tblPr>
      <w:tblGrid>
        <w:gridCol w:w="3023"/>
        <w:gridCol w:w="2601"/>
      </w:tblGrid>
      <w:tr w:rsidR="00F643DF" w:rsidRPr="00F643DF" w14:paraId="723439CC" w14:textId="77777777" w:rsidTr="00F643DF">
        <w:trPr>
          <w:trHeight w:val="195"/>
          <w:jc w:val="center"/>
        </w:trPr>
        <w:tc>
          <w:tcPr>
            <w:tcW w:w="30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6054BE" w14:textId="77777777" w:rsidR="00F643DF" w:rsidRPr="00F643DF" w:rsidRDefault="00F643DF" w:rsidP="00F643DF">
            <w:pPr>
              <w:spacing w:before="54" w:after="0" w:line="240" w:lineRule="auto"/>
              <w:jc w:val="center"/>
              <w:rPr>
                <w:rFonts w:ascii="Times New Roman" w:hAnsi="Times New Roman" w:cs="Times New Roman"/>
                <w:b/>
                <w:color w:val="000000" w:themeColor="text1"/>
                <w:sz w:val="20"/>
                <w:szCs w:val="20"/>
              </w:rPr>
            </w:pPr>
            <w:r w:rsidRPr="00F643DF">
              <w:rPr>
                <w:rFonts w:ascii="Times New Roman" w:hAnsi="Times New Roman" w:cs="Times New Roman"/>
                <w:b/>
                <w:color w:val="000000" w:themeColor="text1"/>
                <w:sz w:val="20"/>
                <w:szCs w:val="20"/>
              </w:rPr>
              <w:t>Mix % Replacement</w:t>
            </w:r>
          </w:p>
        </w:tc>
        <w:tc>
          <w:tcPr>
            <w:tcW w:w="2601" w:type="dxa"/>
            <w:tcBorders>
              <w:top w:val="single" w:sz="4" w:space="0" w:color="auto"/>
              <w:left w:val="nil"/>
              <w:bottom w:val="single" w:sz="4" w:space="0" w:color="auto"/>
              <w:right w:val="single" w:sz="4" w:space="0" w:color="auto"/>
            </w:tcBorders>
            <w:shd w:val="clear" w:color="auto" w:fill="auto"/>
            <w:noWrap/>
            <w:vAlign w:val="center"/>
            <w:hideMark/>
          </w:tcPr>
          <w:p w14:paraId="139FBD77" w14:textId="77777777" w:rsidR="00F643DF" w:rsidRPr="00F643DF" w:rsidRDefault="00F643DF" w:rsidP="00F643DF">
            <w:pPr>
              <w:spacing w:before="54" w:after="0" w:line="240" w:lineRule="auto"/>
              <w:jc w:val="center"/>
              <w:rPr>
                <w:rFonts w:ascii="Times New Roman" w:hAnsi="Times New Roman" w:cs="Times New Roman"/>
                <w:b/>
                <w:color w:val="000000" w:themeColor="text1"/>
                <w:sz w:val="20"/>
                <w:szCs w:val="20"/>
              </w:rPr>
            </w:pPr>
            <w:r w:rsidRPr="00F643DF">
              <w:rPr>
                <w:rFonts w:ascii="Times New Roman" w:hAnsi="Times New Roman" w:cs="Times New Roman"/>
                <w:b/>
                <w:color w:val="000000" w:themeColor="text1"/>
                <w:sz w:val="20"/>
                <w:szCs w:val="20"/>
              </w:rPr>
              <w:t>Slump value in mm</w:t>
            </w:r>
          </w:p>
        </w:tc>
      </w:tr>
      <w:tr w:rsidR="00F643DF" w:rsidRPr="00F643DF" w14:paraId="306E31C7" w14:textId="77777777" w:rsidTr="00F643DF">
        <w:trPr>
          <w:trHeight w:val="195"/>
          <w:jc w:val="center"/>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14:paraId="589A3075"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0%OPA + 0%GGBS</w:t>
            </w:r>
          </w:p>
        </w:tc>
        <w:tc>
          <w:tcPr>
            <w:tcW w:w="2601" w:type="dxa"/>
            <w:tcBorders>
              <w:top w:val="nil"/>
              <w:left w:val="nil"/>
              <w:bottom w:val="single" w:sz="4" w:space="0" w:color="auto"/>
              <w:right w:val="single" w:sz="4" w:space="0" w:color="auto"/>
            </w:tcBorders>
            <w:shd w:val="clear" w:color="auto" w:fill="auto"/>
            <w:noWrap/>
            <w:vAlign w:val="center"/>
            <w:hideMark/>
          </w:tcPr>
          <w:p w14:paraId="2E41E154"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100</w:t>
            </w:r>
          </w:p>
        </w:tc>
      </w:tr>
      <w:tr w:rsidR="00F643DF" w:rsidRPr="00F643DF" w14:paraId="445AB257" w14:textId="77777777" w:rsidTr="00F643DF">
        <w:trPr>
          <w:trHeight w:val="195"/>
          <w:jc w:val="center"/>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14:paraId="0E78661B"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4%OPA + 15%GGBS</w:t>
            </w:r>
          </w:p>
        </w:tc>
        <w:tc>
          <w:tcPr>
            <w:tcW w:w="2601" w:type="dxa"/>
            <w:tcBorders>
              <w:top w:val="nil"/>
              <w:left w:val="nil"/>
              <w:bottom w:val="single" w:sz="4" w:space="0" w:color="auto"/>
              <w:right w:val="single" w:sz="4" w:space="0" w:color="auto"/>
            </w:tcBorders>
            <w:shd w:val="clear" w:color="auto" w:fill="auto"/>
            <w:noWrap/>
            <w:vAlign w:val="bottom"/>
            <w:hideMark/>
          </w:tcPr>
          <w:p w14:paraId="3BF1BFDF"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103</w:t>
            </w:r>
          </w:p>
        </w:tc>
      </w:tr>
      <w:tr w:rsidR="00F643DF" w:rsidRPr="00F643DF" w14:paraId="5D7EAF3E" w14:textId="77777777" w:rsidTr="00F643DF">
        <w:trPr>
          <w:trHeight w:val="195"/>
          <w:jc w:val="center"/>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14:paraId="667895C2"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8%OPA + 15%GGBS</w:t>
            </w:r>
          </w:p>
        </w:tc>
        <w:tc>
          <w:tcPr>
            <w:tcW w:w="2601" w:type="dxa"/>
            <w:tcBorders>
              <w:top w:val="nil"/>
              <w:left w:val="nil"/>
              <w:bottom w:val="single" w:sz="4" w:space="0" w:color="auto"/>
              <w:right w:val="single" w:sz="4" w:space="0" w:color="auto"/>
            </w:tcBorders>
            <w:shd w:val="clear" w:color="auto" w:fill="auto"/>
            <w:noWrap/>
            <w:vAlign w:val="bottom"/>
            <w:hideMark/>
          </w:tcPr>
          <w:p w14:paraId="3B1631BB"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108</w:t>
            </w:r>
          </w:p>
        </w:tc>
      </w:tr>
      <w:tr w:rsidR="00F643DF" w:rsidRPr="00F643DF" w14:paraId="3CA9A229" w14:textId="77777777" w:rsidTr="00F643DF">
        <w:trPr>
          <w:trHeight w:val="195"/>
          <w:jc w:val="center"/>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14:paraId="6015D555"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12%OPA + 15%GGBS</w:t>
            </w:r>
          </w:p>
        </w:tc>
        <w:tc>
          <w:tcPr>
            <w:tcW w:w="2601" w:type="dxa"/>
            <w:tcBorders>
              <w:top w:val="nil"/>
              <w:left w:val="nil"/>
              <w:bottom w:val="single" w:sz="4" w:space="0" w:color="auto"/>
              <w:right w:val="single" w:sz="4" w:space="0" w:color="auto"/>
            </w:tcBorders>
            <w:shd w:val="clear" w:color="auto" w:fill="auto"/>
            <w:noWrap/>
            <w:vAlign w:val="bottom"/>
            <w:hideMark/>
          </w:tcPr>
          <w:p w14:paraId="40A608BA"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113</w:t>
            </w:r>
          </w:p>
        </w:tc>
      </w:tr>
      <w:tr w:rsidR="00F643DF" w:rsidRPr="00F643DF" w14:paraId="221D8CAE" w14:textId="77777777" w:rsidTr="00F643DF">
        <w:trPr>
          <w:trHeight w:val="195"/>
          <w:jc w:val="center"/>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14:paraId="52BEC986"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15%OPA + 15%GGBS</w:t>
            </w:r>
          </w:p>
        </w:tc>
        <w:tc>
          <w:tcPr>
            <w:tcW w:w="2601" w:type="dxa"/>
            <w:tcBorders>
              <w:top w:val="nil"/>
              <w:left w:val="nil"/>
              <w:bottom w:val="single" w:sz="4" w:space="0" w:color="auto"/>
              <w:right w:val="single" w:sz="4" w:space="0" w:color="auto"/>
            </w:tcBorders>
            <w:shd w:val="clear" w:color="auto" w:fill="auto"/>
            <w:noWrap/>
            <w:vAlign w:val="bottom"/>
            <w:hideMark/>
          </w:tcPr>
          <w:p w14:paraId="7C45F038"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99</w:t>
            </w:r>
          </w:p>
        </w:tc>
      </w:tr>
      <w:tr w:rsidR="00F643DF" w:rsidRPr="00F643DF" w14:paraId="1E7270D4" w14:textId="77777777" w:rsidTr="00F643DF">
        <w:trPr>
          <w:trHeight w:val="195"/>
          <w:jc w:val="center"/>
        </w:trPr>
        <w:tc>
          <w:tcPr>
            <w:tcW w:w="3023" w:type="dxa"/>
            <w:tcBorders>
              <w:top w:val="nil"/>
              <w:left w:val="single" w:sz="4" w:space="0" w:color="auto"/>
              <w:bottom w:val="single" w:sz="4" w:space="0" w:color="auto"/>
              <w:right w:val="single" w:sz="4" w:space="0" w:color="auto"/>
            </w:tcBorders>
            <w:shd w:val="clear" w:color="auto" w:fill="auto"/>
            <w:noWrap/>
            <w:vAlign w:val="center"/>
            <w:hideMark/>
          </w:tcPr>
          <w:p w14:paraId="62AABE42"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20%OPA + 15%GGBS</w:t>
            </w:r>
          </w:p>
        </w:tc>
        <w:tc>
          <w:tcPr>
            <w:tcW w:w="2601" w:type="dxa"/>
            <w:tcBorders>
              <w:top w:val="nil"/>
              <w:left w:val="nil"/>
              <w:bottom w:val="single" w:sz="4" w:space="0" w:color="auto"/>
              <w:right w:val="single" w:sz="4" w:space="0" w:color="auto"/>
            </w:tcBorders>
            <w:shd w:val="clear" w:color="auto" w:fill="auto"/>
            <w:noWrap/>
            <w:vAlign w:val="center"/>
            <w:hideMark/>
          </w:tcPr>
          <w:p w14:paraId="4B51DC04" w14:textId="77777777" w:rsidR="00F643DF" w:rsidRPr="00F643DF" w:rsidRDefault="00F643DF" w:rsidP="00F643DF">
            <w:pPr>
              <w:spacing w:before="54" w:after="0" w:line="240" w:lineRule="auto"/>
              <w:jc w:val="center"/>
              <w:rPr>
                <w:rFonts w:ascii="Times New Roman" w:hAnsi="Times New Roman" w:cs="Times New Roman"/>
                <w:color w:val="000000" w:themeColor="text1"/>
                <w:sz w:val="20"/>
                <w:szCs w:val="20"/>
              </w:rPr>
            </w:pPr>
            <w:r w:rsidRPr="00F643DF">
              <w:rPr>
                <w:rFonts w:ascii="Times New Roman" w:hAnsi="Times New Roman" w:cs="Times New Roman"/>
                <w:color w:val="000000" w:themeColor="text1"/>
                <w:sz w:val="20"/>
                <w:szCs w:val="20"/>
              </w:rPr>
              <w:t>93</w:t>
            </w:r>
          </w:p>
        </w:tc>
      </w:tr>
    </w:tbl>
    <w:p w14:paraId="5CF341EC" w14:textId="77777777" w:rsidR="00F643DF" w:rsidRDefault="00F643DF" w:rsidP="009F6540">
      <w:pPr>
        <w:spacing w:before="54" w:after="0" w:line="276" w:lineRule="auto"/>
        <w:jc w:val="center"/>
        <w:rPr>
          <w:rFonts w:ascii="Times New Roman" w:hAnsi="Times New Roman" w:cs="Times New Roman"/>
          <w:color w:val="000000" w:themeColor="text1"/>
          <w:sz w:val="20"/>
          <w:szCs w:val="20"/>
        </w:rPr>
      </w:pPr>
    </w:p>
    <w:p w14:paraId="174F9E5B" w14:textId="5215B775" w:rsidR="00DA52F4" w:rsidRDefault="00F643DF" w:rsidP="009F6540">
      <w:pPr>
        <w:spacing w:before="54" w:after="0" w:line="276" w:lineRule="auto"/>
        <w:jc w:val="center"/>
        <w:rPr>
          <w:rFonts w:ascii="Times New Roman" w:hAnsi="Times New Roman" w:cs="Times New Roman"/>
          <w:color w:val="000000" w:themeColor="text1"/>
          <w:sz w:val="20"/>
          <w:szCs w:val="20"/>
        </w:rPr>
      </w:pPr>
      <w:r w:rsidRPr="00760D21">
        <w:rPr>
          <w:b/>
          <w:bCs/>
          <w:noProof/>
        </w:rPr>
        <w:drawing>
          <wp:inline distT="0" distB="0" distL="0" distR="0" wp14:anchorId="36A5A40D" wp14:editId="54E7E231">
            <wp:extent cx="4283075" cy="2771775"/>
            <wp:effectExtent l="0" t="0" r="3175" b="9525"/>
            <wp:docPr id="3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00D5D07" w14:textId="544A7BE5" w:rsidR="00E76534" w:rsidRDefault="00E76534" w:rsidP="00E76534">
      <w:pPr>
        <w:spacing w:after="0" w:line="276" w:lineRule="auto"/>
        <w:ind w:firstLine="720"/>
        <w:jc w:val="center"/>
        <w:rPr>
          <w:rFonts w:ascii="Times New Roman" w:hAnsi="Times New Roman" w:cs="Times New Roman"/>
          <w:color w:val="000000" w:themeColor="text1"/>
          <w:sz w:val="20"/>
          <w:szCs w:val="20"/>
        </w:rPr>
      </w:pPr>
      <w:r>
        <w:rPr>
          <w:rFonts w:ascii="Times New Roman" w:hAnsi="Times New Roman" w:cs="Times New Roman"/>
          <w:b/>
          <w:sz w:val="20"/>
          <w:szCs w:val="20"/>
        </w:rPr>
        <w:t>Graph No 1</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Slump Cone values</w:t>
      </w:r>
    </w:p>
    <w:p w14:paraId="03B2F804" w14:textId="6EF2E44E" w:rsidR="00E76534" w:rsidRDefault="00E76534" w:rsidP="00125B8F">
      <w:pPr>
        <w:spacing w:before="54" w:after="0" w:line="276" w:lineRule="auto"/>
        <w:jc w:val="both"/>
        <w:rPr>
          <w:rFonts w:ascii="Times New Roman" w:hAnsi="Times New Roman" w:cs="Times New Roman"/>
          <w:color w:val="000000" w:themeColor="text1"/>
          <w:sz w:val="20"/>
          <w:szCs w:val="20"/>
        </w:rPr>
      </w:pPr>
      <w:r w:rsidRPr="00E76534">
        <w:rPr>
          <w:rFonts w:ascii="Times New Roman" w:hAnsi="Times New Roman" w:cs="Times New Roman"/>
          <w:b/>
          <w:color w:val="000000" w:themeColor="text1"/>
          <w:sz w:val="20"/>
          <w:szCs w:val="20"/>
        </w:rPr>
        <w:lastRenderedPageBreak/>
        <w:t xml:space="preserve">Table no </w:t>
      </w:r>
      <w:r>
        <w:rPr>
          <w:rFonts w:ascii="Times New Roman" w:hAnsi="Times New Roman" w:cs="Times New Roman"/>
          <w:b/>
          <w:color w:val="000000" w:themeColor="text1"/>
          <w:sz w:val="20"/>
          <w:szCs w:val="20"/>
        </w:rPr>
        <w:t>4</w:t>
      </w:r>
      <w:r w:rsidRPr="00E76534">
        <w:rPr>
          <w:rFonts w:ascii="Times New Roman" w:hAnsi="Times New Roman" w:cs="Times New Roman"/>
          <w:b/>
          <w:color w:val="000000" w:themeColor="text1"/>
          <w:sz w:val="20"/>
          <w:szCs w:val="20"/>
        </w:rPr>
        <w:t xml:space="preserve">: </w:t>
      </w:r>
      <w:r w:rsidRPr="00E76534">
        <w:rPr>
          <w:rFonts w:ascii="Times New Roman" w:hAnsi="Times New Roman" w:cs="Times New Roman"/>
          <w:color w:val="000000" w:themeColor="text1"/>
          <w:sz w:val="20"/>
          <w:szCs w:val="20"/>
        </w:rPr>
        <w:t>Mix proportion of M30</w:t>
      </w:r>
    </w:p>
    <w:tbl>
      <w:tblPr>
        <w:tblStyle w:val="TableGrid"/>
        <w:tblW w:w="0" w:type="auto"/>
        <w:jc w:val="center"/>
        <w:tblLook w:val="04A0" w:firstRow="1" w:lastRow="0" w:firstColumn="1" w:lastColumn="0" w:noHBand="0" w:noVBand="1"/>
      </w:tblPr>
      <w:tblGrid>
        <w:gridCol w:w="1792"/>
        <w:gridCol w:w="1854"/>
      </w:tblGrid>
      <w:tr w:rsidR="00E76534" w:rsidRPr="00E76534" w14:paraId="1D46AA62" w14:textId="77777777" w:rsidTr="00E76534">
        <w:trPr>
          <w:trHeight w:val="272"/>
          <w:jc w:val="center"/>
        </w:trPr>
        <w:tc>
          <w:tcPr>
            <w:tcW w:w="1792" w:type="dxa"/>
          </w:tcPr>
          <w:p w14:paraId="3CD78CDB"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Grade</w:t>
            </w:r>
          </w:p>
        </w:tc>
        <w:tc>
          <w:tcPr>
            <w:tcW w:w="1854" w:type="dxa"/>
          </w:tcPr>
          <w:p w14:paraId="344384B4"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color w:val="000000" w:themeColor="text1"/>
              </w:rPr>
              <w:t>M30</w:t>
            </w:r>
          </w:p>
        </w:tc>
      </w:tr>
      <w:tr w:rsidR="00E76534" w:rsidRPr="00E76534" w14:paraId="381199B0" w14:textId="77777777" w:rsidTr="00E76534">
        <w:trPr>
          <w:trHeight w:val="272"/>
          <w:jc w:val="center"/>
        </w:trPr>
        <w:tc>
          <w:tcPr>
            <w:tcW w:w="1792" w:type="dxa"/>
          </w:tcPr>
          <w:p w14:paraId="3B0345E6"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Proportion</w:t>
            </w:r>
          </w:p>
        </w:tc>
        <w:tc>
          <w:tcPr>
            <w:tcW w:w="1854" w:type="dxa"/>
          </w:tcPr>
          <w:p w14:paraId="079D494C"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bCs/>
                <w:color w:val="000000" w:themeColor="text1"/>
              </w:rPr>
              <w:t>1:1.66:2.18</w:t>
            </w:r>
          </w:p>
        </w:tc>
      </w:tr>
      <w:tr w:rsidR="00E76534" w:rsidRPr="00E76534" w14:paraId="750E718A" w14:textId="77777777" w:rsidTr="00E76534">
        <w:trPr>
          <w:trHeight w:val="272"/>
          <w:jc w:val="center"/>
        </w:trPr>
        <w:tc>
          <w:tcPr>
            <w:tcW w:w="1792" w:type="dxa"/>
          </w:tcPr>
          <w:p w14:paraId="1641CDCE"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W/C ratio</w:t>
            </w:r>
          </w:p>
        </w:tc>
        <w:tc>
          <w:tcPr>
            <w:tcW w:w="1854" w:type="dxa"/>
          </w:tcPr>
          <w:p w14:paraId="75811BA5"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color w:val="000000" w:themeColor="text1"/>
              </w:rPr>
              <w:t>0.41</w:t>
            </w:r>
          </w:p>
        </w:tc>
      </w:tr>
      <w:tr w:rsidR="00E76534" w:rsidRPr="00E76534" w14:paraId="31360153" w14:textId="77777777" w:rsidTr="00E76534">
        <w:trPr>
          <w:trHeight w:val="272"/>
          <w:jc w:val="center"/>
        </w:trPr>
        <w:tc>
          <w:tcPr>
            <w:tcW w:w="1792" w:type="dxa"/>
          </w:tcPr>
          <w:p w14:paraId="4626AADA"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Cement</w:t>
            </w:r>
          </w:p>
        </w:tc>
        <w:tc>
          <w:tcPr>
            <w:tcW w:w="1854" w:type="dxa"/>
          </w:tcPr>
          <w:p w14:paraId="54754071"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color w:val="000000" w:themeColor="text1"/>
              </w:rPr>
              <w:t>428.47</w:t>
            </w:r>
          </w:p>
        </w:tc>
      </w:tr>
      <w:tr w:rsidR="00E76534" w:rsidRPr="00E76534" w14:paraId="39FDE393" w14:textId="77777777" w:rsidTr="00E76534">
        <w:trPr>
          <w:trHeight w:val="272"/>
          <w:jc w:val="center"/>
        </w:trPr>
        <w:tc>
          <w:tcPr>
            <w:tcW w:w="1792" w:type="dxa"/>
          </w:tcPr>
          <w:p w14:paraId="7FDD918F"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Fine Aggregate</w:t>
            </w:r>
          </w:p>
        </w:tc>
        <w:tc>
          <w:tcPr>
            <w:tcW w:w="1854" w:type="dxa"/>
          </w:tcPr>
          <w:p w14:paraId="722614EE"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color w:val="000000" w:themeColor="text1"/>
              </w:rPr>
              <w:t>712.67</w:t>
            </w:r>
          </w:p>
        </w:tc>
      </w:tr>
      <w:tr w:rsidR="00E76534" w:rsidRPr="00E76534" w14:paraId="0EDDC0CE" w14:textId="77777777" w:rsidTr="00E76534">
        <w:trPr>
          <w:trHeight w:val="272"/>
          <w:jc w:val="center"/>
        </w:trPr>
        <w:tc>
          <w:tcPr>
            <w:tcW w:w="1792" w:type="dxa"/>
          </w:tcPr>
          <w:p w14:paraId="5C1054A5"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Coarse Aggregate</w:t>
            </w:r>
          </w:p>
        </w:tc>
        <w:tc>
          <w:tcPr>
            <w:tcW w:w="1854" w:type="dxa"/>
          </w:tcPr>
          <w:p w14:paraId="798C1A66"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color w:val="000000" w:themeColor="text1"/>
              </w:rPr>
              <w:t>934.28</w:t>
            </w:r>
          </w:p>
        </w:tc>
      </w:tr>
      <w:tr w:rsidR="00E76534" w:rsidRPr="00E76534" w14:paraId="2C890CC9" w14:textId="77777777" w:rsidTr="00E76534">
        <w:trPr>
          <w:trHeight w:val="272"/>
          <w:jc w:val="center"/>
        </w:trPr>
        <w:tc>
          <w:tcPr>
            <w:tcW w:w="1792" w:type="dxa"/>
          </w:tcPr>
          <w:p w14:paraId="6C3A5B27" w14:textId="77777777" w:rsidR="00E76534" w:rsidRPr="00E76534" w:rsidRDefault="00E76534" w:rsidP="00E76534">
            <w:pPr>
              <w:spacing w:before="54" w:line="276" w:lineRule="auto"/>
              <w:jc w:val="both"/>
              <w:rPr>
                <w:rFonts w:ascii="Times New Roman" w:eastAsiaTheme="minorHAnsi" w:hAnsi="Times New Roman" w:cs="Times New Roman"/>
                <w:color w:val="000000" w:themeColor="text1"/>
              </w:rPr>
            </w:pPr>
            <w:r w:rsidRPr="00E76534">
              <w:rPr>
                <w:rFonts w:ascii="Times New Roman" w:eastAsiaTheme="minorHAnsi" w:hAnsi="Times New Roman" w:cs="Times New Roman"/>
                <w:color w:val="000000" w:themeColor="text1"/>
              </w:rPr>
              <w:t>Water</w:t>
            </w:r>
          </w:p>
        </w:tc>
        <w:tc>
          <w:tcPr>
            <w:tcW w:w="1854" w:type="dxa"/>
          </w:tcPr>
          <w:p w14:paraId="15C7C97A" w14:textId="77777777" w:rsidR="00E76534" w:rsidRPr="00E76534" w:rsidRDefault="00E76534" w:rsidP="00E76534">
            <w:pPr>
              <w:spacing w:before="54" w:line="276" w:lineRule="auto"/>
              <w:jc w:val="center"/>
              <w:rPr>
                <w:rFonts w:ascii="Times New Roman" w:eastAsiaTheme="minorHAnsi" w:hAnsi="Times New Roman" w:cs="Times New Roman"/>
                <w:b/>
                <w:color w:val="000000" w:themeColor="text1"/>
              </w:rPr>
            </w:pPr>
            <w:r w:rsidRPr="00E76534">
              <w:rPr>
                <w:rFonts w:ascii="Times New Roman" w:eastAsiaTheme="minorHAnsi" w:hAnsi="Times New Roman" w:cs="Times New Roman"/>
                <w:b/>
                <w:color w:val="000000" w:themeColor="text1"/>
              </w:rPr>
              <w:t>197.16</w:t>
            </w:r>
          </w:p>
        </w:tc>
      </w:tr>
    </w:tbl>
    <w:p w14:paraId="796CAC1C" w14:textId="1DB0FE0D" w:rsidR="00E76534" w:rsidRDefault="00E76534" w:rsidP="00E7653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TEST RESULTS</w:t>
      </w:r>
    </w:p>
    <w:p w14:paraId="2A0EF8F0" w14:textId="5FA952A8" w:rsidR="00E76534" w:rsidRPr="00E76534" w:rsidRDefault="00E76534" w:rsidP="00E76534">
      <w:pPr>
        <w:rPr>
          <w:rFonts w:ascii="Times New Roman" w:hAnsi="Times New Roman" w:cs="Times New Roman"/>
          <w:b/>
          <w:bCs/>
          <w:color w:val="000000" w:themeColor="text1"/>
          <w:sz w:val="24"/>
          <w:szCs w:val="24"/>
        </w:rPr>
      </w:pPr>
      <w:r w:rsidRPr="00E76534">
        <w:rPr>
          <w:rFonts w:ascii="Times New Roman" w:hAnsi="Times New Roman" w:cs="Times New Roman"/>
          <w:b/>
          <w:sz w:val="20"/>
          <w:szCs w:val="20"/>
        </w:rPr>
        <w:t xml:space="preserve">Table no </w:t>
      </w:r>
      <w:r>
        <w:rPr>
          <w:rFonts w:ascii="Times New Roman" w:hAnsi="Times New Roman" w:cs="Times New Roman"/>
          <w:b/>
          <w:sz w:val="20"/>
          <w:szCs w:val="20"/>
        </w:rPr>
        <w:t>5</w:t>
      </w:r>
      <w:r w:rsidRPr="00E76534">
        <w:rPr>
          <w:rFonts w:ascii="Times New Roman" w:hAnsi="Times New Roman" w:cs="Times New Roman"/>
          <w:color w:val="000000" w:themeColor="text1"/>
          <w:sz w:val="20"/>
          <w:szCs w:val="20"/>
        </w:rPr>
        <w:t xml:space="preserve"> Test results of Compressive Strength at 7 days, 14 days &amp; 28 days:</w:t>
      </w:r>
      <w:r w:rsidRPr="00E76534">
        <w:t xml:space="preserve"> </w:t>
      </w:r>
    </w:p>
    <w:tbl>
      <w:tblPr>
        <w:tblW w:w="8207" w:type="dxa"/>
        <w:jc w:val="center"/>
        <w:tblLook w:val="04A0" w:firstRow="1" w:lastRow="0" w:firstColumn="1" w:lastColumn="0" w:noHBand="0" w:noVBand="1"/>
      </w:tblPr>
      <w:tblGrid>
        <w:gridCol w:w="2601"/>
        <w:gridCol w:w="1786"/>
        <w:gridCol w:w="1910"/>
        <w:gridCol w:w="1910"/>
      </w:tblGrid>
      <w:tr w:rsidR="00E76534" w:rsidRPr="00E76534" w14:paraId="7DE29FEA" w14:textId="77777777" w:rsidTr="00E76534">
        <w:trPr>
          <w:trHeight w:val="264"/>
          <w:jc w:val="center"/>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8FC03F"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Mix % Replacement</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32CF35E3"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7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525308D3"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14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56866BCE" w14:textId="77777777" w:rsidR="00E76534" w:rsidRPr="00E76534" w:rsidRDefault="00E76534" w:rsidP="00E76534">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28 days in Mpa</w:t>
            </w:r>
          </w:p>
        </w:tc>
      </w:tr>
      <w:tr w:rsidR="00E76534" w:rsidRPr="00E76534" w14:paraId="5E5295C3"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7A1DCB4A"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0%OPA + 0%GGBS</w:t>
            </w:r>
          </w:p>
        </w:tc>
        <w:tc>
          <w:tcPr>
            <w:tcW w:w="1786" w:type="dxa"/>
            <w:tcBorders>
              <w:top w:val="nil"/>
              <w:left w:val="nil"/>
              <w:bottom w:val="single" w:sz="4" w:space="0" w:color="auto"/>
              <w:right w:val="single" w:sz="4" w:space="0" w:color="auto"/>
            </w:tcBorders>
            <w:shd w:val="clear" w:color="auto" w:fill="auto"/>
            <w:noWrap/>
            <w:vAlign w:val="center"/>
            <w:hideMark/>
          </w:tcPr>
          <w:p w14:paraId="640CDCAD"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25.82</w:t>
            </w:r>
          </w:p>
        </w:tc>
        <w:tc>
          <w:tcPr>
            <w:tcW w:w="1910" w:type="dxa"/>
            <w:tcBorders>
              <w:top w:val="nil"/>
              <w:left w:val="nil"/>
              <w:bottom w:val="single" w:sz="4" w:space="0" w:color="auto"/>
              <w:right w:val="single" w:sz="4" w:space="0" w:color="auto"/>
            </w:tcBorders>
            <w:shd w:val="clear" w:color="auto" w:fill="auto"/>
            <w:noWrap/>
            <w:vAlign w:val="center"/>
            <w:hideMark/>
          </w:tcPr>
          <w:p w14:paraId="5C7AD05B"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30.83</w:t>
            </w:r>
          </w:p>
        </w:tc>
        <w:tc>
          <w:tcPr>
            <w:tcW w:w="1910" w:type="dxa"/>
            <w:tcBorders>
              <w:top w:val="nil"/>
              <w:left w:val="nil"/>
              <w:bottom w:val="single" w:sz="4" w:space="0" w:color="auto"/>
              <w:right w:val="single" w:sz="4" w:space="0" w:color="auto"/>
            </w:tcBorders>
            <w:shd w:val="clear" w:color="auto" w:fill="auto"/>
            <w:noWrap/>
            <w:vAlign w:val="center"/>
            <w:hideMark/>
          </w:tcPr>
          <w:p w14:paraId="6E982865"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36.19</w:t>
            </w:r>
          </w:p>
        </w:tc>
      </w:tr>
      <w:tr w:rsidR="00E76534" w:rsidRPr="00E76534" w14:paraId="78085AA1"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21484969"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4%OPA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6D350660"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26.24</w:t>
            </w:r>
          </w:p>
        </w:tc>
        <w:tc>
          <w:tcPr>
            <w:tcW w:w="1910" w:type="dxa"/>
            <w:tcBorders>
              <w:top w:val="nil"/>
              <w:left w:val="nil"/>
              <w:bottom w:val="single" w:sz="4" w:space="0" w:color="auto"/>
              <w:right w:val="single" w:sz="4" w:space="0" w:color="auto"/>
            </w:tcBorders>
            <w:shd w:val="clear" w:color="auto" w:fill="auto"/>
            <w:noWrap/>
            <w:vAlign w:val="bottom"/>
            <w:hideMark/>
          </w:tcPr>
          <w:p w14:paraId="26428AC9"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31.21</w:t>
            </w:r>
          </w:p>
        </w:tc>
        <w:tc>
          <w:tcPr>
            <w:tcW w:w="1910" w:type="dxa"/>
            <w:tcBorders>
              <w:top w:val="nil"/>
              <w:left w:val="nil"/>
              <w:bottom w:val="single" w:sz="4" w:space="0" w:color="auto"/>
              <w:right w:val="single" w:sz="4" w:space="0" w:color="auto"/>
            </w:tcBorders>
            <w:shd w:val="clear" w:color="auto" w:fill="auto"/>
            <w:noWrap/>
            <w:vAlign w:val="bottom"/>
            <w:hideMark/>
          </w:tcPr>
          <w:p w14:paraId="61D308E0"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37.57</w:t>
            </w:r>
          </w:p>
        </w:tc>
      </w:tr>
      <w:tr w:rsidR="00E76534" w:rsidRPr="00E76534" w14:paraId="11ADFCC2"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7389C9D9"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8%OPA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08117150"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26.62</w:t>
            </w:r>
          </w:p>
        </w:tc>
        <w:tc>
          <w:tcPr>
            <w:tcW w:w="1910" w:type="dxa"/>
            <w:tcBorders>
              <w:top w:val="nil"/>
              <w:left w:val="nil"/>
              <w:bottom w:val="single" w:sz="4" w:space="0" w:color="auto"/>
              <w:right w:val="single" w:sz="4" w:space="0" w:color="auto"/>
            </w:tcBorders>
            <w:shd w:val="clear" w:color="auto" w:fill="auto"/>
            <w:noWrap/>
            <w:vAlign w:val="bottom"/>
            <w:hideMark/>
          </w:tcPr>
          <w:p w14:paraId="2034B7B2"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31.59</w:t>
            </w:r>
          </w:p>
        </w:tc>
        <w:tc>
          <w:tcPr>
            <w:tcW w:w="1910" w:type="dxa"/>
            <w:tcBorders>
              <w:top w:val="nil"/>
              <w:left w:val="nil"/>
              <w:bottom w:val="single" w:sz="4" w:space="0" w:color="auto"/>
              <w:right w:val="single" w:sz="4" w:space="0" w:color="auto"/>
            </w:tcBorders>
            <w:shd w:val="clear" w:color="auto" w:fill="auto"/>
            <w:noWrap/>
            <w:vAlign w:val="bottom"/>
            <w:hideMark/>
          </w:tcPr>
          <w:p w14:paraId="2177F2E5"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37.95</w:t>
            </w:r>
          </w:p>
        </w:tc>
      </w:tr>
      <w:tr w:rsidR="00E76534" w:rsidRPr="00E76534" w14:paraId="44FA9FB9"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AC64F7A"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12%OPA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04E3F396"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27.01</w:t>
            </w:r>
          </w:p>
        </w:tc>
        <w:tc>
          <w:tcPr>
            <w:tcW w:w="1910" w:type="dxa"/>
            <w:tcBorders>
              <w:top w:val="nil"/>
              <w:left w:val="nil"/>
              <w:bottom w:val="single" w:sz="4" w:space="0" w:color="auto"/>
              <w:right w:val="single" w:sz="4" w:space="0" w:color="auto"/>
            </w:tcBorders>
            <w:shd w:val="clear" w:color="auto" w:fill="auto"/>
            <w:noWrap/>
            <w:vAlign w:val="bottom"/>
            <w:hideMark/>
          </w:tcPr>
          <w:p w14:paraId="38046310"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31.98</w:t>
            </w:r>
          </w:p>
        </w:tc>
        <w:tc>
          <w:tcPr>
            <w:tcW w:w="1910" w:type="dxa"/>
            <w:tcBorders>
              <w:top w:val="nil"/>
              <w:left w:val="nil"/>
              <w:bottom w:val="single" w:sz="4" w:space="0" w:color="auto"/>
              <w:right w:val="single" w:sz="4" w:space="0" w:color="auto"/>
            </w:tcBorders>
            <w:shd w:val="clear" w:color="auto" w:fill="auto"/>
            <w:noWrap/>
            <w:vAlign w:val="bottom"/>
            <w:hideMark/>
          </w:tcPr>
          <w:p w14:paraId="1B591EAD"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38.53</w:t>
            </w:r>
          </w:p>
        </w:tc>
      </w:tr>
      <w:tr w:rsidR="00E76534" w:rsidRPr="00E76534" w14:paraId="72C3DD20"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DCE63FB"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15%OPA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51DE83FA"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23.39</w:t>
            </w:r>
          </w:p>
        </w:tc>
        <w:tc>
          <w:tcPr>
            <w:tcW w:w="1910" w:type="dxa"/>
            <w:tcBorders>
              <w:top w:val="nil"/>
              <w:left w:val="nil"/>
              <w:bottom w:val="single" w:sz="4" w:space="0" w:color="auto"/>
              <w:right w:val="single" w:sz="4" w:space="0" w:color="auto"/>
            </w:tcBorders>
            <w:shd w:val="clear" w:color="auto" w:fill="auto"/>
            <w:noWrap/>
            <w:vAlign w:val="bottom"/>
            <w:hideMark/>
          </w:tcPr>
          <w:p w14:paraId="6079E7F5"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26.25</w:t>
            </w:r>
          </w:p>
        </w:tc>
        <w:tc>
          <w:tcPr>
            <w:tcW w:w="1910" w:type="dxa"/>
            <w:tcBorders>
              <w:top w:val="nil"/>
              <w:left w:val="nil"/>
              <w:bottom w:val="single" w:sz="4" w:space="0" w:color="auto"/>
              <w:right w:val="single" w:sz="4" w:space="0" w:color="auto"/>
            </w:tcBorders>
            <w:shd w:val="clear" w:color="auto" w:fill="auto"/>
            <w:noWrap/>
            <w:vAlign w:val="bottom"/>
            <w:hideMark/>
          </w:tcPr>
          <w:p w14:paraId="3FC48F8D"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32.51</w:t>
            </w:r>
          </w:p>
        </w:tc>
      </w:tr>
      <w:tr w:rsidR="00E76534" w:rsidRPr="00E76534" w14:paraId="742C08F5" w14:textId="77777777" w:rsidTr="00E76534">
        <w:trPr>
          <w:trHeight w:val="264"/>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5F070AB6"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20%OPA + 15%GGBS</w:t>
            </w:r>
          </w:p>
        </w:tc>
        <w:tc>
          <w:tcPr>
            <w:tcW w:w="1786" w:type="dxa"/>
            <w:tcBorders>
              <w:top w:val="nil"/>
              <w:left w:val="nil"/>
              <w:bottom w:val="single" w:sz="4" w:space="0" w:color="auto"/>
              <w:right w:val="single" w:sz="4" w:space="0" w:color="auto"/>
            </w:tcBorders>
            <w:shd w:val="clear" w:color="auto" w:fill="auto"/>
            <w:noWrap/>
            <w:vAlign w:val="center"/>
            <w:hideMark/>
          </w:tcPr>
          <w:p w14:paraId="2C32CC26"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21.25</w:t>
            </w:r>
          </w:p>
        </w:tc>
        <w:tc>
          <w:tcPr>
            <w:tcW w:w="1910" w:type="dxa"/>
            <w:tcBorders>
              <w:top w:val="nil"/>
              <w:left w:val="nil"/>
              <w:bottom w:val="single" w:sz="4" w:space="0" w:color="auto"/>
              <w:right w:val="single" w:sz="4" w:space="0" w:color="auto"/>
            </w:tcBorders>
            <w:shd w:val="clear" w:color="auto" w:fill="auto"/>
            <w:noWrap/>
            <w:vAlign w:val="center"/>
            <w:hideMark/>
          </w:tcPr>
          <w:p w14:paraId="33CE9417"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22.92</w:t>
            </w:r>
          </w:p>
        </w:tc>
        <w:tc>
          <w:tcPr>
            <w:tcW w:w="1910" w:type="dxa"/>
            <w:tcBorders>
              <w:top w:val="nil"/>
              <w:left w:val="nil"/>
              <w:bottom w:val="single" w:sz="4" w:space="0" w:color="auto"/>
              <w:right w:val="single" w:sz="4" w:space="0" w:color="auto"/>
            </w:tcBorders>
            <w:shd w:val="clear" w:color="auto" w:fill="auto"/>
            <w:noWrap/>
            <w:vAlign w:val="center"/>
            <w:hideMark/>
          </w:tcPr>
          <w:p w14:paraId="1713F85F" w14:textId="77777777" w:rsidR="00E76534" w:rsidRPr="00E76534" w:rsidRDefault="00E76534" w:rsidP="00E76534">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28.21</w:t>
            </w:r>
          </w:p>
        </w:tc>
      </w:tr>
    </w:tbl>
    <w:p w14:paraId="6AFE6724" w14:textId="77777777" w:rsidR="00E76534" w:rsidRDefault="00E76534" w:rsidP="00E76534">
      <w:pPr>
        <w:pStyle w:val="ListParagraph"/>
        <w:spacing w:before="54" w:after="0" w:line="276" w:lineRule="auto"/>
        <w:ind w:left="360"/>
        <w:rPr>
          <w:rFonts w:ascii="Times New Roman" w:hAnsi="Times New Roman" w:cs="Times New Roman"/>
          <w:b/>
          <w:bCs/>
          <w:color w:val="000000" w:themeColor="text1"/>
          <w:sz w:val="24"/>
          <w:szCs w:val="24"/>
        </w:rPr>
      </w:pPr>
    </w:p>
    <w:p w14:paraId="64F0084E" w14:textId="4794E7B9" w:rsidR="00E76534" w:rsidRDefault="00E76534" w:rsidP="00125B8F">
      <w:pPr>
        <w:spacing w:before="54" w:after="0" w:line="276" w:lineRule="auto"/>
        <w:jc w:val="both"/>
        <w:rPr>
          <w:rFonts w:ascii="Times New Roman" w:hAnsi="Times New Roman" w:cs="Times New Roman"/>
          <w:color w:val="000000" w:themeColor="text1"/>
          <w:sz w:val="20"/>
          <w:szCs w:val="20"/>
        </w:rPr>
      </w:pPr>
      <w:r w:rsidRPr="00B43473">
        <w:rPr>
          <w:rFonts w:ascii="Times New Roman" w:hAnsi="Times New Roman" w:cs="Times New Roman"/>
          <w:b/>
          <w:noProof/>
          <w:sz w:val="24"/>
          <w:szCs w:val="24"/>
        </w:rPr>
        <w:drawing>
          <wp:inline distT="0" distB="0" distL="0" distR="0" wp14:anchorId="15C710A2" wp14:editId="54B00AE0">
            <wp:extent cx="6286500" cy="3743325"/>
            <wp:effectExtent l="0" t="0" r="0" b="9525"/>
            <wp:docPr id="76"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8A7C53" w14:textId="0D595D0B" w:rsidR="00E76534" w:rsidRDefault="00E76534" w:rsidP="00E76534">
      <w:pPr>
        <w:spacing w:after="0" w:line="276" w:lineRule="auto"/>
        <w:ind w:firstLine="720"/>
        <w:jc w:val="center"/>
        <w:rPr>
          <w:rFonts w:ascii="Times New Roman" w:hAnsi="Times New Roman" w:cs="Times New Roman"/>
          <w:bCs/>
          <w:color w:val="000000" w:themeColor="text1"/>
          <w:sz w:val="20"/>
          <w:szCs w:val="20"/>
        </w:rPr>
      </w:pPr>
      <w:r>
        <w:rPr>
          <w:rFonts w:ascii="Times New Roman" w:hAnsi="Times New Roman" w:cs="Times New Roman"/>
          <w:b/>
          <w:sz w:val="20"/>
          <w:szCs w:val="20"/>
        </w:rPr>
        <w:t>Graph No 2</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Contrast values of Compressive strength for 7 days, 14 days &amp; 28 days</w:t>
      </w:r>
    </w:p>
    <w:p w14:paraId="385332E2" w14:textId="77777777" w:rsidR="00645292" w:rsidRDefault="00645292" w:rsidP="00E76534">
      <w:pPr>
        <w:spacing w:after="0" w:line="276" w:lineRule="auto"/>
        <w:ind w:firstLine="720"/>
        <w:jc w:val="center"/>
        <w:rPr>
          <w:rFonts w:ascii="Times New Roman" w:hAnsi="Times New Roman" w:cs="Times New Roman"/>
          <w:bCs/>
          <w:color w:val="000000" w:themeColor="text1"/>
          <w:sz w:val="20"/>
          <w:szCs w:val="20"/>
        </w:rPr>
      </w:pPr>
    </w:p>
    <w:p w14:paraId="10E3C837" w14:textId="2FCCD060" w:rsidR="00E76534" w:rsidRDefault="00E76534" w:rsidP="00645292">
      <w:pPr>
        <w:spacing w:after="0" w:line="276" w:lineRule="auto"/>
        <w:rPr>
          <w:rFonts w:ascii="Times New Roman" w:hAnsi="Times New Roman" w:cs="Times New Roman"/>
          <w:bCs/>
          <w:color w:val="000000" w:themeColor="text1"/>
          <w:sz w:val="20"/>
          <w:szCs w:val="20"/>
        </w:rPr>
      </w:pPr>
      <w:r w:rsidRPr="00E76534">
        <w:rPr>
          <w:rFonts w:ascii="Times New Roman" w:hAnsi="Times New Roman" w:cs="Times New Roman"/>
          <w:b/>
          <w:sz w:val="20"/>
          <w:szCs w:val="20"/>
        </w:rPr>
        <w:t xml:space="preserve">Table no </w:t>
      </w:r>
      <w:r w:rsidR="00645292">
        <w:rPr>
          <w:rFonts w:ascii="Times New Roman" w:hAnsi="Times New Roman" w:cs="Times New Roman"/>
          <w:b/>
          <w:sz w:val="20"/>
          <w:szCs w:val="20"/>
        </w:rPr>
        <w:t>6</w:t>
      </w:r>
      <w:r w:rsidRPr="00E76534">
        <w:rPr>
          <w:rFonts w:ascii="Times New Roman" w:hAnsi="Times New Roman" w:cs="Times New Roman"/>
          <w:color w:val="000000" w:themeColor="text1"/>
          <w:sz w:val="20"/>
          <w:szCs w:val="20"/>
        </w:rPr>
        <w:t xml:space="preserve"> </w:t>
      </w:r>
      <w:r w:rsidR="00645292" w:rsidRPr="00645292">
        <w:rPr>
          <w:rFonts w:ascii="Times New Roman" w:hAnsi="Times New Roman" w:cs="Times New Roman"/>
          <w:color w:val="000000" w:themeColor="text1"/>
          <w:sz w:val="20"/>
          <w:szCs w:val="20"/>
        </w:rPr>
        <w:t>Test results of Split Tensile Strength at 7 days, 14 days &amp; 28 days:</w:t>
      </w:r>
    </w:p>
    <w:tbl>
      <w:tblPr>
        <w:tblW w:w="8812" w:type="dxa"/>
        <w:jc w:val="center"/>
        <w:tblLook w:val="04A0" w:firstRow="1" w:lastRow="0" w:firstColumn="1" w:lastColumn="0" w:noHBand="0" w:noVBand="1"/>
      </w:tblPr>
      <w:tblGrid>
        <w:gridCol w:w="2793"/>
        <w:gridCol w:w="1917"/>
        <w:gridCol w:w="2051"/>
        <w:gridCol w:w="2051"/>
      </w:tblGrid>
      <w:tr w:rsidR="00E76534" w:rsidRPr="00E76534" w14:paraId="1D96059D" w14:textId="77777777" w:rsidTr="00E76534">
        <w:trPr>
          <w:trHeight w:val="262"/>
          <w:jc w:val="center"/>
        </w:trPr>
        <w:tc>
          <w:tcPr>
            <w:tcW w:w="27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FA767"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Mix % Replacement</w:t>
            </w:r>
          </w:p>
        </w:tc>
        <w:tc>
          <w:tcPr>
            <w:tcW w:w="1917" w:type="dxa"/>
            <w:tcBorders>
              <w:top w:val="single" w:sz="4" w:space="0" w:color="auto"/>
              <w:left w:val="nil"/>
              <w:bottom w:val="single" w:sz="4" w:space="0" w:color="auto"/>
              <w:right w:val="single" w:sz="4" w:space="0" w:color="auto"/>
            </w:tcBorders>
            <w:shd w:val="clear" w:color="auto" w:fill="auto"/>
            <w:noWrap/>
            <w:vAlign w:val="center"/>
            <w:hideMark/>
          </w:tcPr>
          <w:p w14:paraId="5F5607BD"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7 days in Mpa</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14:paraId="0273B807"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14 days in Mpa</w:t>
            </w:r>
          </w:p>
        </w:tc>
        <w:tc>
          <w:tcPr>
            <w:tcW w:w="2051" w:type="dxa"/>
            <w:tcBorders>
              <w:top w:val="single" w:sz="4" w:space="0" w:color="auto"/>
              <w:left w:val="nil"/>
              <w:bottom w:val="single" w:sz="4" w:space="0" w:color="auto"/>
              <w:right w:val="single" w:sz="4" w:space="0" w:color="auto"/>
            </w:tcBorders>
            <w:shd w:val="clear" w:color="auto" w:fill="auto"/>
            <w:noWrap/>
            <w:vAlign w:val="center"/>
            <w:hideMark/>
          </w:tcPr>
          <w:p w14:paraId="2C679A45" w14:textId="77777777" w:rsidR="00E76534" w:rsidRPr="00E76534" w:rsidRDefault="00E76534" w:rsidP="003A08E8">
            <w:pPr>
              <w:spacing w:after="0" w:line="240" w:lineRule="auto"/>
              <w:jc w:val="center"/>
              <w:rPr>
                <w:rFonts w:ascii="Times New Roman" w:eastAsia="Times New Roman" w:hAnsi="Times New Roman" w:cs="Times New Roman"/>
                <w:b/>
                <w:bCs/>
                <w:color w:val="000000"/>
                <w:sz w:val="20"/>
                <w:szCs w:val="20"/>
              </w:rPr>
            </w:pPr>
            <w:r w:rsidRPr="00E76534">
              <w:rPr>
                <w:rFonts w:ascii="Times New Roman" w:eastAsia="Times New Roman" w:hAnsi="Times New Roman" w:cs="Times New Roman"/>
                <w:b/>
                <w:bCs/>
                <w:color w:val="000000"/>
                <w:sz w:val="20"/>
                <w:szCs w:val="20"/>
              </w:rPr>
              <w:t>28 days in Mpa</w:t>
            </w:r>
          </w:p>
        </w:tc>
      </w:tr>
      <w:tr w:rsidR="00E76534" w:rsidRPr="00E76534" w14:paraId="035EBBA7"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1F621986"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0%OPA + 0%GGBS</w:t>
            </w:r>
          </w:p>
        </w:tc>
        <w:tc>
          <w:tcPr>
            <w:tcW w:w="1917" w:type="dxa"/>
            <w:tcBorders>
              <w:top w:val="nil"/>
              <w:left w:val="nil"/>
              <w:bottom w:val="single" w:sz="4" w:space="0" w:color="auto"/>
              <w:right w:val="single" w:sz="4" w:space="0" w:color="auto"/>
            </w:tcBorders>
            <w:shd w:val="clear" w:color="auto" w:fill="auto"/>
            <w:noWrap/>
            <w:vAlign w:val="center"/>
            <w:hideMark/>
          </w:tcPr>
          <w:p w14:paraId="1179FA15"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1.25</w:t>
            </w:r>
          </w:p>
        </w:tc>
        <w:tc>
          <w:tcPr>
            <w:tcW w:w="2051" w:type="dxa"/>
            <w:tcBorders>
              <w:top w:val="nil"/>
              <w:left w:val="nil"/>
              <w:bottom w:val="single" w:sz="4" w:space="0" w:color="auto"/>
              <w:right w:val="single" w:sz="4" w:space="0" w:color="auto"/>
            </w:tcBorders>
            <w:shd w:val="clear" w:color="auto" w:fill="auto"/>
            <w:noWrap/>
            <w:vAlign w:val="center"/>
            <w:hideMark/>
          </w:tcPr>
          <w:p w14:paraId="0F7BA749"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1.65</w:t>
            </w:r>
          </w:p>
        </w:tc>
        <w:tc>
          <w:tcPr>
            <w:tcW w:w="2051" w:type="dxa"/>
            <w:tcBorders>
              <w:top w:val="nil"/>
              <w:left w:val="nil"/>
              <w:bottom w:val="single" w:sz="4" w:space="0" w:color="auto"/>
              <w:right w:val="single" w:sz="4" w:space="0" w:color="auto"/>
            </w:tcBorders>
            <w:shd w:val="clear" w:color="auto" w:fill="auto"/>
            <w:noWrap/>
            <w:vAlign w:val="center"/>
            <w:hideMark/>
          </w:tcPr>
          <w:p w14:paraId="15CD6314"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2.03</w:t>
            </w:r>
          </w:p>
        </w:tc>
      </w:tr>
      <w:tr w:rsidR="00E76534" w:rsidRPr="00E76534" w14:paraId="3543188B"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6451B0C9"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4%OPA + 15%GGBS</w:t>
            </w:r>
          </w:p>
        </w:tc>
        <w:tc>
          <w:tcPr>
            <w:tcW w:w="1917" w:type="dxa"/>
            <w:tcBorders>
              <w:top w:val="nil"/>
              <w:left w:val="nil"/>
              <w:bottom w:val="single" w:sz="4" w:space="0" w:color="auto"/>
              <w:right w:val="single" w:sz="4" w:space="0" w:color="auto"/>
            </w:tcBorders>
            <w:shd w:val="clear" w:color="auto" w:fill="auto"/>
            <w:noWrap/>
            <w:vAlign w:val="bottom"/>
            <w:hideMark/>
          </w:tcPr>
          <w:p w14:paraId="2CF7F4EC"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1.51</w:t>
            </w:r>
          </w:p>
        </w:tc>
        <w:tc>
          <w:tcPr>
            <w:tcW w:w="2051" w:type="dxa"/>
            <w:tcBorders>
              <w:top w:val="nil"/>
              <w:left w:val="nil"/>
              <w:bottom w:val="single" w:sz="4" w:space="0" w:color="auto"/>
              <w:right w:val="single" w:sz="4" w:space="0" w:color="auto"/>
            </w:tcBorders>
            <w:shd w:val="clear" w:color="auto" w:fill="auto"/>
            <w:noWrap/>
            <w:vAlign w:val="bottom"/>
            <w:hideMark/>
          </w:tcPr>
          <w:p w14:paraId="3F7BDCC6"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1.93</w:t>
            </w:r>
          </w:p>
        </w:tc>
        <w:tc>
          <w:tcPr>
            <w:tcW w:w="2051" w:type="dxa"/>
            <w:tcBorders>
              <w:top w:val="nil"/>
              <w:left w:val="nil"/>
              <w:bottom w:val="single" w:sz="4" w:space="0" w:color="auto"/>
              <w:right w:val="single" w:sz="4" w:space="0" w:color="auto"/>
            </w:tcBorders>
            <w:shd w:val="clear" w:color="auto" w:fill="auto"/>
            <w:noWrap/>
            <w:vAlign w:val="bottom"/>
            <w:hideMark/>
          </w:tcPr>
          <w:p w14:paraId="0DD16602"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2.49</w:t>
            </w:r>
          </w:p>
        </w:tc>
      </w:tr>
      <w:tr w:rsidR="00E76534" w:rsidRPr="00E76534" w14:paraId="4D565C3C"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6A1160B7"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8%OPA + 15%GGBS</w:t>
            </w:r>
          </w:p>
        </w:tc>
        <w:tc>
          <w:tcPr>
            <w:tcW w:w="1917" w:type="dxa"/>
            <w:tcBorders>
              <w:top w:val="nil"/>
              <w:left w:val="nil"/>
              <w:bottom w:val="single" w:sz="4" w:space="0" w:color="auto"/>
              <w:right w:val="single" w:sz="4" w:space="0" w:color="auto"/>
            </w:tcBorders>
            <w:shd w:val="clear" w:color="auto" w:fill="auto"/>
            <w:noWrap/>
            <w:vAlign w:val="bottom"/>
            <w:hideMark/>
          </w:tcPr>
          <w:p w14:paraId="37B82C9D"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1.79</w:t>
            </w:r>
          </w:p>
        </w:tc>
        <w:tc>
          <w:tcPr>
            <w:tcW w:w="2051" w:type="dxa"/>
            <w:tcBorders>
              <w:top w:val="nil"/>
              <w:left w:val="nil"/>
              <w:bottom w:val="single" w:sz="4" w:space="0" w:color="auto"/>
              <w:right w:val="single" w:sz="4" w:space="0" w:color="auto"/>
            </w:tcBorders>
            <w:shd w:val="clear" w:color="auto" w:fill="auto"/>
            <w:noWrap/>
            <w:vAlign w:val="bottom"/>
            <w:hideMark/>
          </w:tcPr>
          <w:p w14:paraId="2F945E99"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2.27</w:t>
            </w:r>
          </w:p>
        </w:tc>
        <w:tc>
          <w:tcPr>
            <w:tcW w:w="2051" w:type="dxa"/>
            <w:tcBorders>
              <w:top w:val="nil"/>
              <w:left w:val="nil"/>
              <w:bottom w:val="single" w:sz="4" w:space="0" w:color="auto"/>
              <w:right w:val="single" w:sz="4" w:space="0" w:color="auto"/>
            </w:tcBorders>
            <w:shd w:val="clear" w:color="auto" w:fill="auto"/>
            <w:noWrap/>
            <w:vAlign w:val="bottom"/>
            <w:hideMark/>
          </w:tcPr>
          <w:p w14:paraId="69FDEC12"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2.78</w:t>
            </w:r>
          </w:p>
        </w:tc>
      </w:tr>
      <w:tr w:rsidR="00E76534" w:rsidRPr="00E76534" w14:paraId="182D7504"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051D40A5"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12%OPA + 15%GGBS</w:t>
            </w:r>
          </w:p>
        </w:tc>
        <w:tc>
          <w:tcPr>
            <w:tcW w:w="1917" w:type="dxa"/>
            <w:tcBorders>
              <w:top w:val="nil"/>
              <w:left w:val="nil"/>
              <w:bottom w:val="single" w:sz="4" w:space="0" w:color="auto"/>
              <w:right w:val="single" w:sz="4" w:space="0" w:color="auto"/>
            </w:tcBorders>
            <w:shd w:val="clear" w:color="auto" w:fill="auto"/>
            <w:noWrap/>
            <w:vAlign w:val="bottom"/>
            <w:hideMark/>
          </w:tcPr>
          <w:p w14:paraId="4E459B0F"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1.98</w:t>
            </w:r>
          </w:p>
        </w:tc>
        <w:tc>
          <w:tcPr>
            <w:tcW w:w="2051" w:type="dxa"/>
            <w:tcBorders>
              <w:top w:val="nil"/>
              <w:left w:val="nil"/>
              <w:bottom w:val="single" w:sz="4" w:space="0" w:color="auto"/>
              <w:right w:val="single" w:sz="4" w:space="0" w:color="auto"/>
            </w:tcBorders>
            <w:shd w:val="clear" w:color="auto" w:fill="auto"/>
            <w:noWrap/>
            <w:vAlign w:val="bottom"/>
            <w:hideMark/>
          </w:tcPr>
          <w:p w14:paraId="5F5A733A"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2.58</w:t>
            </w:r>
          </w:p>
        </w:tc>
        <w:tc>
          <w:tcPr>
            <w:tcW w:w="2051" w:type="dxa"/>
            <w:tcBorders>
              <w:top w:val="nil"/>
              <w:left w:val="nil"/>
              <w:bottom w:val="single" w:sz="4" w:space="0" w:color="auto"/>
              <w:right w:val="single" w:sz="4" w:space="0" w:color="auto"/>
            </w:tcBorders>
            <w:shd w:val="clear" w:color="auto" w:fill="auto"/>
            <w:noWrap/>
            <w:vAlign w:val="bottom"/>
            <w:hideMark/>
          </w:tcPr>
          <w:p w14:paraId="2C035DAD"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3.02</w:t>
            </w:r>
          </w:p>
        </w:tc>
      </w:tr>
      <w:tr w:rsidR="00E76534" w:rsidRPr="00E76534" w14:paraId="607A3053"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22EED2A7"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15%OPA + 15%GGBS</w:t>
            </w:r>
          </w:p>
        </w:tc>
        <w:tc>
          <w:tcPr>
            <w:tcW w:w="1917" w:type="dxa"/>
            <w:tcBorders>
              <w:top w:val="nil"/>
              <w:left w:val="nil"/>
              <w:bottom w:val="single" w:sz="4" w:space="0" w:color="auto"/>
              <w:right w:val="single" w:sz="4" w:space="0" w:color="auto"/>
            </w:tcBorders>
            <w:shd w:val="clear" w:color="auto" w:fill="auto"/>
            <w:noWrap/>
            <w:vAlign w:val="bottom"/>
            <w:hideMark/>
          </w:tcPr>
          <w:p w14:paraId="3F140CFC"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1.16</w:t>
            </w:r>
          </w:p>
        </w:tc>
        <w:tc>
          <w:tcPr>
            <w:tcW w:w="2051" w:type="dxa"/>
            <w:tcBorders>
              <w:top w:val="nil"/>
              <w:left w:val="nil"/>
              <w:bottom w:val="single" w:sz="4" w:space="0" w:color="auto"/>
              <w:right w:val="single" w:sz="4" w:space="0" w:color="auto"/>
            </w:tcBorders>
            <w:shd w:val="clear" w:color="auto" w:fill="auto"/>
            <w:noWrap/>
            <w:vAlign w:val="bottom"/>
            <w:hideMark/>
          </w:tcPr>
          <w:p w14:paraId="7F4301D9"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1.45</w:t>
            </w:r>
          </w:p>
        </w:tc>
        <w:tc>
          <w:tcPr>
            <w:tcW w:w="2051" w:type="dxa"/>
            <w:tcBorders>
              <w:top w:val="nil"/>
              <w:left w:val="nil"/>
              <w:bottom w:val="single" w:sz="4" w:space="0" w:color="auto"/>
              <w:right w:val="single" w:sz="4" w:space="0" w:color="auto"/>
            </w:tcBorders>
            <w:shd w:val="clear" w:color="auto" w:fill="auto"/>
            <w:noWrap/>
            <w:vAlign w:val="bottom"/>
            <w:hideMark/>
          </w:tcPr>
          <w:p w14:paraId="48AAEE06"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1.79</w:t>
            </w:r>
          </w:p>
        </w:tc>
      </w:tr>
      <w:tr w:rsidR="00E76534" w:rsidRPr="00E76534" w14:paraId="6C35C6D1" w14:textId="77777777" w:rsidTr="00E76534">
        <w:trPr>
          <w:trHeight w:val="262"/>
          <w:jc w:val="center"/>
        </w:trPr>
        <w:tc>
          <w:tcPr>
            <w:tcW w:w="2793" w:type="dxa"/>
            <w:tcBorders>
              <w:top w:val="nil"/>
              <w:left w:val="single" w:sz="4" w:space="0" w:color="auto"/>
              <w:bottom w:val="single" w:sz="4" w:space="0" w:color="auto"/>
              <w:right w:val="single" w:sz="4" w:space="0" w:color="auto"/>
            </w:tcBorders>
            <w:shd w:val="clear" w:color="auto" w:fill="auto"/>
            <w:noWrap/>
            <w:vAlign w:val="bottom"/>
            <w:hideMark/>
          </w:tcPr>
          <w:p w14:paraId="4A9CB951"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20%OPA + 15%GGBS</w:t>
            </w:r>
          </w:p>
        </w:tc>
        <w:tc>
          <w:tcPr>
            <w:tcW w:w="1917" w:type="dxa"/>
            <w:tcBorders>
              <w:top w:val="nil"/>
              <w:left w:val="nil"/>
              <w:bottom w:val="single" w:sz="4" w:space="0" w:color="auto"/>
              <w:right w:val="single" w:sz="4" w:space="0" w:color="auto"/>
            </w:tcBorders>
            <w:shd w:val="clear" w:color="auto" w:fill="auto"/>
            <w:noWrap/>
            <w:vAlign w:val="center"/>
            <w:hideMark/>
          </w:tcPr>
          <w:p w14:paraId="797E381B"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0.92</w:t>
            </w:r>
          </w:p>
        </w:tc>
        <w:tc>
          <w:tcPr>
            <w:tcW w:w="2051" w:type="dxa"/>
            <w:tcBorders>
              <w:top w:val="nil"/>
              <w:left w:val="nil"/>
              <w:bottom w:val="single" w:sz="4" w:space="0" w:color="auto"/>
              <w:right w:val="single" w:sz="4" w:space="0" w:color="auto"/>
            </w:tcBorders>
            <w:shd w:val="clear" w:color="auto" w:fill="auto"/>
            <w:noWrap/>
            <w:vAlign w:val="center"/>
            <w:hideMark/>
          </w:tcPr>
          <w:p w14:paraId="7A3B6249"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1.12</w:t>
            </w:r>
          </w:p>
        </w:tc>
        <w:tc>
          <w:tcPr>
            <w:tcW w:w="2051" w:type="dxa"/>
            <w:tcBorders>
              <w:top w:val="nil"/>
              <w:left w:val="nil"/>
              <w:bottom w:val="single" w:sz="4" w:space="0" w:color="auto"/>
              <w:right w:val="single" w:sz="4" w:space="0" w:color="auto"/>
            </w:tcBorders>
            <w:shd w:val="clear" w:color="auto" w:fill="auto"/>
            <w:noWrap/>
            <w:vAlign w:val="center"/>
            <w:hideMark/>
          </w:tcPr>
          <w:p w14:paraId="53367BBC" w14:textId="77777777" w:rsidR="00E76534" w:rsidRPr="00E76534" w:rsidRDefault="00E76534" w:rsidP="003A08E8">
            <w:pPr>
              <w:spacing w:after="0" w:line="240" w:lineRule="auto"/>
              <w:jc w:val="center"/>
              <w:rPr>
                <w:rFonts w:ascii="Times New Roman" w:eastAsia="Times New Roman" w:hAnsi="Times New Roman" w:cs="Times New Roman"/>
                <w:color w:val="000000"/>
                <w:sz w:val="20"/>
                <w:szCs w:val="20"/>
              </w:rPr>
            </w:pPr>
            <w:r w:rsidRPr="00E76534">
              <w:rPr>
                <w:rFonts w:ascii="Times New Roman" w:eastAsia="Times New Roman" w:hAnsi="Times New Roman" w:cs="Times New Roman"/>
                <w:color w:val="000000"/>
                <w:sz w:val="20"/>
                <w:szCs w:val="20"/>
              </w:rPr>
              <w:t>1.35</w:t>
            </w:r>
          </w:p>
        </w:tc>
      </w:tr>
    </w:tbl>
    <w:p w14:paraId="0632B146" w14:textId="1BA8D1F8" w:rsidR="00E76534" w:rsidRDefault="00645292" w:rsidP="00E76534">
      <w:pPr>
        <w:spacing w:after="0" w:line="276" w:lineRule="auto"/>
        <w:ind w:firstLine="720"/>
        <w:jc w:val="center"/>
        <w:rPr>
          <w:rFonts w:ascii="Times New Roman" w:hAnsi="Times New Roman" w:cs="Times New Roman"/>
          <w:color w:val="000000" w:themeColor="text1"/>
          <w:sz w:val="20"/>
          <w:szCs w:val="20"/>
        </w:rPr>
      </w:pPr>
      <w:r w:rsidRPr="0031703C">
        <w:rPr>
          <w:rFonts w:ascii="Times New Roman" w:hAnsi="Times New Roman" w:cs="Times New Roman"/>
          <w:noProof/>
          <w:sz w:val="24"/>
          <w:szCs w:val="24"/>
        </w:rPr>
        <w:lastRenderedPageBreak/>
        <w:drawing>
          <wp:inline distT="0" distB="0" distL="0" distR="0" wp14:anchorId="368BE731" wp14:editId="1227FA38">
            <wp:extent cx="5694045" cy="3333750"/>
            <wp:effectExtent l="0" t="0" r="1905" b="0"/>
            <wp:docPr id="80"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88AADD8" w14:textId="20E72DDF" w:rsidR="00645292" w:rsidRDefault="00645292" w:rsidP="00645292">
      <w:pPr>
        <w:spacing w:after="0" w:line="276" w:lineRule="auto"/>
        <w:ind w:firstLine="720"/>
        <w:jc w:val="center"/>
        <w:rPr>
          <w:rFonts w:ascii="Times New Roman" w:hAnsi="Times New Roman" w:cs="Times New Roman"/>
          <w:bCs/>
          <w:color w:val="000000" w:themeColor="text1"/>
          <w:sz w:val="20"/>
          <w:szCs w:val="20"/>
        </w:rPr>
      </w:pPr>
      <w:r>
        <w:rPr>
          <w:rFonts w:ascii="Times New Roman" w:hAnsi="Times New Roman" w:cs="Times New Roman"/>
          <w:b/>
          <w:sz w:val="20"/>
          <w:szCs w:val="20"/>
        </w:rPr>
        <w:t>Graph No 3</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 xml:space="preserve">Contrast values of </w:t>
      </w:r>
      <w:r>
        <w:rPr>
          <w:rFonts w:ascii="Times New Roman" w:hAnsi="Times New Roman" w:cs="Times New Roman"/>
          <w:bCs/>
          <w:color w:val="000000" w:themeColor="text1"/>
          <w:sz w:val="20"/>
          <w:szCs w:val="20"/>
        </w:rPr>
        <w:t>Split Tensile</w:t>
      </w:r>
      <w:r w:rsidRPr="00E76534">
        <w:rPr>
          <w:rFonts w:ascii="Times New Roman" w:hAnsi="Times New Roman" w:cs="Times New Roman"/>
          <w:bCs/>
          <w:color w:val="000000" w:themeColor="text1"/>
          <w:sz w:val="20"/>
          <w:szCs w:val="20"/>
        </w:rPr>
        <w:t xml:space="preserve"> strength for 7 days, 14 days &amp; 28 days</w:t>
      </w:r>
    </w:p>
    <w:p w14:paraId="5FD7893E" w14:textId="77777777" w:rsidR="00645292" w:rsidRDefault="00645292" w:rsidP="00645292">
      <w:pPr>
        <w:spacing w:after="0" w:line="276" w:lineRule="auto"/>
        <w:ind w:firstLine="720"/>
        <w:jc w:val="center"/>
        <w:rPr>
          <w:rFonts w:ascii="Times New Roman" w:hAnsi="Times New Roman" w:cs="Times New Roman"/>
          <w:bCs/>
          <w:color w:val="000000" w:themeColor="text1"/>
          <w:sz w:val="20"/>
          <w:szCs w:val="20"/>
        </w:rPr>
      </w:pPr>
    </w:p>
    <w:p w14:paraId="3B0BB1CC" w14:textId="70697918" w:rsidR="00645292" w:rsidRDefault="00645292" w:rsidP="00645292">
      <w:pPr>
        <w:spacing w:after="0" w:line="276" w:lineRule="auto"/>
        <w:rPr>
          <w:rFonts w:ascii="Times New Roman" w:hAnsi="Times New Roman" w:cs="Times New Roman"/>
          <w:color w:val="000000" w:themeColor="text1"/>
          <w:sz w:val="20"/>
          <w:szCs w:val="20"/>
        </w:rPr>
      </w:pPr>
      <w:r w:rsidRPr="00645292">
        <w:rPr>
          <w:rFonts w:ascii="Times New Roman" w:hAnsi="Times New Roman" w:cs="Times New Roman"/>
          <w:b/>
          <w:color w:val="000000" w:themeColor="text1"/>
          <w:sz w:val="20"/>
          <w:szCs w:val="20"/>
        </w:rPr>
        <w:t xml:space="preserve">Table no </w:t>
      </w:r>
      <w:r>
        <w:rPr>
          <w:rFonts w:ascii="Times New Roman" w:hAnsi="Times New Roman" w:cs="Times New Roman"/>
          <w:b/>
          <w:color w:val="000000" w:themeColor="text1"/>
          <w:sz w:val="20"/>
          <w:szCs w:val="20"/>
        </w:rPr>
        <w:t>7</w:t>
      </w:r>
      <w:r w:rsidRPr="00645292">
        <w:rPr>
          <w:rFonts w:ascii="Times New Roman" w:hAnsi="Times New Roman" w:cs="Times New Roman"/>
          <w:b/>
          <w:color w:val="000000" w:themeColor="text1"/>
          <w:sz w:val="20"/>
          <w:szCs w:val="20"/>
        </w:rPr>
        <w:t xml:space="preserve"> </w:t>
      </w:r>
      <w:r w:rsidRPr="00645292">
        <w:rPr>
          <w:rFonts w:ascii="Times New Roman" w:hAnsi="Times New Roman" w:cs="Times New Roman"/>
          <w:color w:val="000000" w:themeColor="text1"/>
          <w:sz w:val="20"/>
          <w:szCs w:val="20"/>
        </w:rPr>
        <w:t xml:space="preserve">Test results of Flexural Strength at 7 days, 14 days &amp; 28 days: </w:t>
      </w:r>
    </w:p>
    <w:tbl>
      <w:tblPr>
        <w:tblW w:w="8207" w:type="dxa"/>
        <w:jc w:val="center"/>
        <w:tblLook w:val="04A0" w:firstRow="1" w:lastRow="0" w:firstColumn="1" w:lastColumn="0" w:noHBand="0" w:noVBand="1"/>
      </w:tblPr>
      <w:tblGrid>
        <w:gridCol w:w="2601"/>
        <w:gridCol w:w="1786"/>
        <w:gridCol w:w="1910"/>
        <w:gridCol w:w="1910"/>
      </w:tblGrid>
      <w:tr w:rsidR="00645292" w:rsidRPr="0031703C" w14:paraId="595A9B07" w14:textId="77777777" w:rsidTr="00645292">
        <w:trPr>
          <w:trHeight w:val="262"/>
          <w:jc w:val="center"/>
        </w:trPr>
        <w:tc>
          <w:tcPr>
            <w:tcW w:w="26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C934E"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Mix % Replacement</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0D4BDA1A"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7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31FAC4DA"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14 days in Mpa</w:t>
            </w:r>
          </w:p>
        </w:tc>
        <w:tc>
          <w:tcPr>
            <w:tcW w:w="1910" w:type="dxa"/>
            <w:tcBorders>
              <w:top w:val="single" w:sz="4" w:space="0" w:color="auto"/>
              <w:left w:val="nil"/>
              <w:bottom w:val="single" w:sz="4" w:space="0" w:color="auto"/>
              <w:right w:val="single" w:sz="4" w:space="0" w:color="auto"/>
            </w:tcBorders>
            <w:shd w:val="clear" w:color="auto" w:fill="auto"/>
            <w:noWrap/>
            <w:vAlign w:val="center"/>
            <w:hideMark/>
          </w:tcPr>
          <w:p w14:paraId="7C5EBBE1" w14:textId="77777777" w:rsidR="00645292" w:rsidRPr="00645292" w:rsidRDefault="00645292" w:rsidP="003A08E8">
            <w:pPr>
              <w:spacing w:after="0" w:line="240" w:lineRule="auto"/>
              <w:jc w:val="center"/>
              <w:rPr>
                <w:rFonts w:ascii="Times New Roman" w:eastAsia="Times New Roman" w:hAnsi="Times New Roman" w:cs="Times New Roman"/>
                <w:b/>
                <w:bCs/>
                <w:color w:val="000000"/>
                <w:sz w:val="20"/>
                <w:szCs w:val="20"/>
              </w:rPr>
            </w:pPr>
            <w:r w:rsidRPr="00645292">
              <w:rPr>
                <w:rFonts w:ascii="Times New Roman" w:eastAsia="Times New Roman" w:hAnsi="Times New Roman" w:cs="Times New Roman"/>
                <w:b/>
                <w:bCs/>
                <w:color w:val="000000"/>
                <w:sz w:val="20"/>
                <w:szCs w:val="20"/>
              </w:rPr>
              <w:t>28 days in Mpa</w:t>
            </w:r>
          </w:p>
        </w:tc>
      </w:tr>
      <w:tr w:rsidR="00645292" w:rsidRPr="0031703C" w14:paraId="5A2BEFFE"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03FA31CA"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0%OPA + 0%GGBS</w:t>
            </w:r>
          </w:p>
        </w:tc>
        <w:tc>
          <w:tcPr>
            <w:tcW w:w="1786" w:type="dxa"/>
            <w:tcBorders>
              <w:top w:val="nil"/>
              <w:left w:val="nil"/>
              <w:bottom w:val="single" w:sz="4" w:space="0" w:color="auto"/>
              <w:right w:val="single" w:sz="4" w:space="0" w:color="auto"/>
            </w:tcBorders>
            <w:shd w:val="clear" w:color="auto" w:fill="auto"/>
            <w:noWrap/>
            <w:vAlign w:val="center"/>
            <w:hideMark/>
          </w:tcPr>
          <w:p w14:paraId="3054C87B"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3.13</w:t>
            </w:r>
          </w:p>
        </w:tc>
        <w:tc>
          <w:tcPr>
            <w:tcW w:w="1910" w:type="dxa"/>
            <w:tcBorders>
              <w:top w:val="nil"/>
              <w:left w:val="nil"/>
              <w:bottom w:val="single" w:sz="4" w:space="0" w:color="auto"/>
              <w:right w:val="single" w:sz="4" w:space="0" w:color="auto"/>
            </w:tcBorders>
            <w:shd w:val="clear" w:color="auto" w:fill="auto"/>
            <w:noWrap/>
            <w:vAlign w:val="center"/>
            <w:hideMark/>
          </w:tcPr>
          <w:p w14:paraId="3F9BF611"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4.64</w:t>
            </w:r>
          </w:p>
        </w:tc>
        <w:tc>
          <w:tcPr>
            <w:tcW w:w="1910" w:type="dxa"/>
            <w:tcBorders>
              <w:top w:val="nil"/>
              <w:left w:val="nil"/>
              <w:bottom w:val="single" w:sz="4" w:space="0" w:color="auto"/>
              <w:right w:val="single" w:sz="4" w:space="0" w:color="auto"/>
            </w:tcBorders>
            <w:shd w:val="clear" w:color="auto" w:fill="auto"/>
            <w:noWrap/>
            <w:vAlign w:val="center"/>
            <w:hideMark/>
          </w:tcPr>
          <w:p w14:paraId="5D3BCCC8"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5.05</w:t>
            </w:r>
          </w:p>
        </w:tc>
      </w:tr>
      <w:tr w:rsidR="00645292" w:rsidRPr="0031703C" w14:paraId="1C7C3EB6"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2A2CD38"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4%OPA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1AA7D768"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3.38</w:t>
            </w:r>
          </w:p>
        </w:tc>
        <w:tc>
          <w:tcPr>
            <w:tcW w:w="1910" w:type="dxa"/>
            <w:tcBorders>
              <w:top w:val="nil"/>
              <w:left w:val="nil"/>
              <w:bottom w:val="single" w:sz="4" w:space="0" w:color="auto"/>
              <w:right w:val="single" w:sz="4" w:space="0" w:color="auto"/>
            </w:tcBorders>
            <w:shd w:val="clear" w:color="auto" w:fill="auto"/>
            <w:noWrap/>
            <w:vAlign w:val="bottom"/>
            <w:hideMark/>
          </w:tcPr>
          <w:p w14:paraId="33FF6023"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4.98</w:t>
            </w:r>
          </w:p>
        </w:tc>
        <w:tc>
          <w:tcPr>
            <w:tcW w:w="1910" w:type="dxa"/>
            <w:tcBorders>
              <w:top w:val="nil"/>
              <w:left w:val="nil"/>
              <w:bottom w:val="single" w:sz="4" w:space="0" w:color="auto"/>
              <w:right w:val="single" w:sz="4" w:space="0" w:color="auto"/>
            </w:tcBorders>
            <w:shd w:val="clear" w:color="auto" w:fill="auto"/>
            <w:noWrap/>
            <w:vAlign w:val="bottom"/>
            <w:hideMark/>
          </w:tcPr>
          <w:p w14:paraId="6717F0C2"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5.48</w:t>
            </w:r>
          </w:p>
        </w:tc>
      </w:tr>
      <w:tr w:rsidR="00645292" w:rsidRPr="0031703C" w14:paraId="00759E0E"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657E85BC"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8%OPA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41DD7149"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3.63</w:t>
            </w:r>
          </w:p>
        </w:tc>
        <w:tc>
          <w:tcPr>
            <w:tcW w:w="1910" w:type="dxa"/>
            <w:tcBorders>
              <w:top w:val="nil"/>
              <w:left w:val="nil"/>
              <w:bottom w:val="single" w:sz="4" w:space="0" w:color="auto"/>
              <w:right w:val="single" w:sz="4" w:space="0" w:color="auto"/>
            </w:tcBorders>
            <w:shd w:val="clear" w:color="auto" w:fill="auto"/>
            <w:noWrap/>
            <w:vAlign w:val="bottom"/>
            <w:hideMark/>
          </w:tcPr>
          <w:p w14:paraId="674FDE40"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5.27</w:t>
            </w:r>
          </w:p>
        </w:tc>
        <w:tc>
          <w:tcPr>
            <w:tcW w:w="1910" w:type="dxa"/>
            <w:tcBorders>
              <w:top w:val="nil"/>
              <w:left w:val="nil"/>
              <w:bottom w:val="single" w:sz="4" w:space="0" w:color="auto"/>
              <w:right w:val="single" w:sz="4" w:space="0" w:color="auto"/>
            </w:tcBorders>
            <w:shd w:val="clear" w:color="auto" w:fill="auto"/>
            <w:noWrap/>
            <w:vAlign w:val="bottom"/>
            <w:hideMark/>
          </w:tcPr>
          <w:p w14:paraId="7E0E2A31"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5.76</w:t>
            </w:r>
          </w:p>
        </w:tc>
      </w:tr>
      <w:tr w:rsidR="00645292" w:rsidRPr="0031703C" w14:paraId="494A8185"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3B3D2321"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12%OPA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33796AA1"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3.86</w:t>
            </w:r>
          </w:p>
        </w:tc>
        <w:tc>
          <w:tcPr>
            <w:tcW w:w="1910" w:type="dxa"/>
            <w:tcBorders>
              <w:top w:val="nil"/>
              <w:left w:val="nil"/>
              <w:bottom w:val="single" w:sz="4" w:space="0" w:color="auto"/>
              <w:right w:val="single" w:sz="4" w:space="0" w:color="auto"/>
            </w:tcBorders>
            <w:shd w:val="clear" w:color="auto" w:fill="auto"/>
            <w:noWrap/>
            <w:vAlign w:val="bottom"/>
            <w:hideMark/>
          </w:tcPr>
          <w:p w14:paraId="53FC65EC"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5.61</w:t>
            </w:r>
          </w:p>
        </w:tc>
        <w:tc>
          <w:tcPr>
            <w:tcW w:w="1910" w:type="dxa"/>
            <w:tcBorders>
              <w:top w:val="nil"/>
              <w:left w:val="nil"/>
              <w:bottom w:val="single" w:sz="4" w:space="0" w:color="auto"/>
              <w:right w:val="single" w:sz="4" w:space="0" w:color="auto"/>
            </w:tcBorders>
            <w:shd w:val="clear" w:color="auto" w:fill="auto"/>
            <w:noWrap/>
            <w:vAlign w:val="bottom"/>
            <w:hideMark/>
          </w:tcPr>
          <w:p w14:paraId="14DEFADC"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6.08</w:t>
            </w:r>
          </w:p>
        </w:tc>
      </w:tr>
      <w:tr w:rsidR="00645292" w:rsidRPr="0031703C" w14:paraId="1AB5544B"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4A579C9D"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15%OPA + 15%GGBS</w:t>
            </w:r>
          </w:p>
        </w:tc>
        <w:tc>
          <w:tcPr>
            <w:tcW w:w="1786" w:type="dxa"/>
            <w:tcBorders>
              <w:top w:val="nil"/>
              <w:left w:val="nil"/>
              <w:bottom w:val="single" w:sz="4" w:space="0" w:color="auto"/>
              <w:right w:val="single" w:sz="4" w:space="0" w:color="auto"/>
            </w:tcBorders>
            <w:shd w:val="clear" w:color="auto" w:fill="auto"/>
            <w:noWrap/>
            <w:vAlign w:val="bottom"/>
            <w:hideMark/>
          </w:tcPr>
          <w:p w14:paraId="1E200FF3"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2.92</w:t>
            </w:r>
          </w:p>
        </w:tc>
        <w:tc>
          <w:tcPr>
            <w:tcW w:w="1910" w:type="dxa"/>
            <w:tcBorders>
              <w:top w:val="nil"/>
              <w:left w:val="nil"/>
              <w:bottom w:val="single" w:sz="4" w:space="0" w:color="auto"/>
              <w:right w:val="single" w:sz="4" w:space="0" w:color="auto"/>
            </w:tcBorders>
            <w:shd w:val="clear" w:color="auto" w:fill="auto"/>
            <w:noWrap/>
            <w:vAlign w:val="bottom"/>
            <w:hideMark/>
          </w:tcPr>
          <w:p w14:paraId="4F1099BE"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3.41</w:t>
            </w:r>
          </w:p>
        </w:tc>
        <w:tc>
          <w:tcPr>
            <w:tcW w:w="1910" w:type="dxa"/>
            <w:tcBorders>
              <w:top w:val="nil"/>
              <w:left w:val="nil"/>
              <w:bottom w:val="single" w:sz="4" w:space="0" w:color="auto"/>
              <w:right w:val="single" w:sz="4" w:space="0" w:color="auto"/>
            </w:tcBorders>
            <w:shd w:val="clear" w:color="auto" w:fill="auto"/>
            <w:noWrap/>
            <w:vAlign w:val="bottom"/>
            <w:hideMark/>
          </w:tcPr>
          <w:p w14:paraId="4AE6FE44"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4.68</w:t>
            </w:r>
          </w:p>
        </w:tc>
      </w:tr>
      <w:tr w:rsidR="00645292" w:rsidRPr="0031703C" w14:paraId="6BD0C203" w14:textId="77777777" w:rsidTr="00645292">
        <w:trPr>
          <w:trHeight w:val="262"/>
          <w:jc w:val="center"/>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14:paraId="396F6FB4"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20%OPA + 15%GGBS</w:t>
            </w:r>
          </w:p>
        </w:tc>
        <w:tc>
          <w:tcPr>
            <w:tcW w:w="1786" w:type="dxa"/>
            <w:tcBorders>
              <w:top w:val="nil"/>
              <w:left w:val="nil"/>
              <w:bottom w:val="single" w:sz="4" w:space="0" w:color="auto"/>
              <w:right w:val="single" w:sz="4" w:space="0" w:color="auto"/>
            </w:tcBorders>
            <w:shd w:val="clear" w:color="auto" w:fill="auto"/>
            <w:noWrap/>
            <w:vAlign w:val="center"/>
            <w:hideMark/>
          </w:tcPr>
          <w:p w14:paraId="031D178C"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2.43</w:t>
            </w:r>
          </w:p>
        </w:tc>
        <w:tc>
          <w:tcPr>
            <w:tcW w:w="1910" w:type="dxa"/>
            <w:tcBorders>
              <w:top w:val="nil"/>
              <w:left w:val="nil"/>
              <w:bottom w:val="single" w:sz="4" w:space="0" w:color="auto"/>
              <w:right w:val="single" w:sz="4" w:space="0" w:color="auto"/>
            </w:tcBorders>
            <w:shd w:val="clear" w:color="auto" w:fill="auto"/>
            <w:noWrap/>
            <w:vAlign w:val="center"/>
            <w:hideMark/>
          </w:tcPr>
          <w:p w14:paraId="0E1D1075"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3.09</w:t>
            </w:r>
          </w:p>
        </w:tc>
        <w:tc>
          <w:tcPr>
            <w:tcW w:w="1910" w:type="dxa"/>
            <w:tcBorders>
              <w:top w:val="nil"/>
              <w:left w:val="nil"/>
              <w:bottom w:val="single" w:sz="4" w:space="0" w:color="auto"/>
              <w:right w:val="single" w:sz="4" w:space="0" w:color="auto"/>
            </w:tcBorders>
            <w:shd w:val="clear" w:color="auto" w:fill="auto"/>
            <w:noWrap/>
            <w:vAlign w:val="center"/>
            <w:hideMark/>
          </w:tcPr>
          <w:p w14:paraId="0C0D0DA2" w14:textId="77777777" w:rsidR="00645292" w:rsidRPr="00645292" w:rsidRDefault="00645292" w:rsidP="003A08E8">
            <w:pPr>
              <w:spacing w:after="0" w:line="240" w:lineRule="auto"/>
              <w:jc w:val="center"/>
              <w:rPr>
                <w:rFonts w:ascii="Times New Roman" w:eastAsia="Times New Roman" w:hAnsi="Times New Roman" w:cs="Times New Roman"/>
                <w:color w:val="000000"/>
                <w:sz w:val="20"/>
                <w:szCs w:val="20"/>
              </w:rPr>
            </w:pPr>
            <w:r w:rsidRPr="00645292">
              <w:rPr>
                <w:rFonts w:ascii="Times New Roman" w:eastAsia="Times New Roman" w:hAnsi="Times New Roman" w:cs="Times New Roman"/>
                <w:color w:val="000000"/>
                <w:sz w:val="20"/>
                <w:szCs w:val="20"/>
              </w:rPr>
              <w:t>4.31</w:t>
            </w:r>
          </w:p>
        </w:tc>
      </w:tr>
    </w:tbl>
    <w:p w14:paraId="19578934" w14:textId="77777777" w:rsidR="00645292" w:rsidRPr="00645292" w:rsidRDefault="00645292" w:rsidP="00645292">
      <w:pPr>
        <w:spacing w:after="0" w:line="276" w:lineRule="auto"/>
        <w:rPr>
          <w:rFonts w:ascii="Times New Roman" w:hAnsi="Times New Roman" w:cs="Times New Roman"/>
          <w:b/>
          <w:color w:val="000000" w:themeColor="text1"/>
          <w:sz w:val="20"/>
          <w:szCs w:val="20"/>
        </w:rPr>
      </w:pPr>
    </w:p>
    <w:p w14:paraId="465D0D6F" w14:textId="18B3ED56" w:rsidR="00E76534" w:rsidRDefault="00645292" w:rsidP="00E76534">
      <w:pPr>
        <w:spacing w:after="0" w:line="276" w:lineRule="auto"/>
        <w:ind w:firstLine="720"/>
        <w:jc w:val="center"/>
        <w:rPr>
          <w:rFonts w:ascii="Times New Roman" w:hAnsi="Times New Roman" w:cs="Times New Roman"/>
          <w:color w:val="000000" w:themeColor="text1"/>
          <w:sz w:val="20"/>
          <w:szCs w:val="20"/>
        </w:rPr>
      </w:pPr>
      <w:r>
        <w:rPr>
          <w:noProof/>
        </w:rPr>
        <w:drawing>
          <wp:inline distT="0" distB="0" distL="0" distR="0" wp14:anchorId="49A4AE98" wp14:editId="04D28DE2">
            <wp:extent cx="6172200" cy="3705225"/>
            <wp:effectExtent l="0" t="0" r="0" b="9525"/>
            <wp:docPr id="8" name="Chart 8">
              <a:extLst xmlns:a="http://schemas.openxmlformats.org/drawingml/2006/main">
                <a:ext uri="{FF2B5EF4-FFF2-40B4-BE49-F238E27FC236}">
                  <a16:creationId xmlns:a16="http://schemas.microsoft.com/office/drawing/2014/main" id="{00000000-0008-0000-02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7326AAF" w14:textId="76FF9AEA" w:rsidR="00645292" w:rsidRDefault="00645292" w:rsidP="00645292">
      <w:pPr>
        <w:spacing w:after="0" w:line="276" w:lineRule="auto"/>
        <w:ind w:firstLine="720"/>
        <w:jc w:val="center"/>
        <w:rPr>
          <w:rFonts w:ascii="Times New Roman" w:hAnsi="Times New Roman" w:cs="Times New Roman"/>
          <w:bCs/>
          <w:color w:val="000000" w:themeColor="text1"/>
          <w:sz w:val="20"/>
          <w:szCs w:val="20"/>
        </w:rPr>
      </w:pPr>
      <w:r>
        <w:rPr>
          <w:rFonts w:ascii="Times New Roman" w:hAnsi="Times New Roman" w:cs="Times New Roman"/>
          <w:b/>
          <w:sz w:val="20"/>
          <w:szCs w:val="20"/>
        </w:rPr>
        <w:t>Graph No 4</w:t>
      </w:r>
      <w:r w:rsidRPr="00905DAB">
        <w:rPr>
          <w:rFonts w:ascii="Times New Roman" w:hAnsi="Times New Roman" w:cs="Times New Roman"/>
          <w:b/>
          <w:sz w:val="20"/>
          <w:szCs w:val="20"/>
        </w:rPr>
        <w:t xml:space="preserve">: </w:t>
      </w:r>
      <w:r w:rsidRPr="00E76534">
        <w:rPr>
          <w:rFonts w:ascii="Times New Roman" w:hAnsi="Times New Roman" w:cs="Times New Roman"/>
          <w:bCs/>
          <w:color w:val="000000" w:themeColor="text1"/>
          <w:sz w:val="20"/>
          <w:szCs w:val="20"/>
        </w:rPr>
        <w:t xml:space="preserve">Contrast values of </w:t>
      </w:r>
      <w:r>
        <w:rPr>
          <w:rFonts w:ascii="Times New Roman" w:hAnsi="Times New Roman" w:cs="Times New Roman"/>
          <w:bCs/>
          <w:color w:val="000000" w:themeColor="text1"/>
          <w:sz w:val="20"/>
          <w:szCs w:val="20"/>
        </w:rPr>
        <w:t>Flexural</w:t>
      </w:r>
      <w:r w:rsidRPr="00E76534">
        <w:rPr>
          <w:rFonts w:ascii="Times New Roman" w:hAnsi="Times New Roman" w:cs="Times New Roman"/>
          <w:bCs/>
          <w:color w:val="000000" w:themeColor="text1"/>
          <w:sz w:val="20"/>
          <w:szCs w:val="20"/>
        </w:rPr>
        <w:t xml:space="preserve"> strength for 7 days, 14 days &amp; 28 days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30A970B0" w14:textId="77777777" w:rsidR="006A1B37" w:rsidRPr="00C00855" w:rsidRDefault="006A1B37" w:rsidP="007934FC">
      <w:pPr>
        <w:spacing w:before="54" w:after="0" w:line="276" w:lineRule="auto"/>
        <w:jc w:val="both"/>
        <w:rPr>
          <w:rFonts w:ascii="Times New Roman" w:hAnsi="Times New Roman" w:cs="Times New Roman"/>
          <w:color w:val="000000" w:themeColor="text1"/>
          <w:sz w:val="20"/>
          <w:szCs w:val="20"/>
        </w:rPr>
      </w:pPr>
      <w:r w:rsidRPr="00C00855">
        <w:rPr>
          <w:rFonts w:ascii="Times New Roman" w:hAnsi="Times New Roman" w:cs="Times New Roman"/>
          <w:color w:val="000000" w:themeColor="text1"/>
          <w:sz w:val="20"/>
          <w:szCs w:val="20"/>
        </w:rPr>
        <w:t>Based on the foregoing considerations and developments, this essay can be concluded by concentrating on the following points:</w:t>
      </w:r>
    </w:p>
    <w:p w14:paraId="6F54E0B5" w14:textId="40894AF2" w:rsidR="006A1B37" w:rsidRPr="006A1B37" w:rsidRDefault="006A1B37" w:rsidP="006A1B37">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6A1B37">
        <w:rPr>
          <w:rFonts w:ascii="Times New Roman" w:hAnsi="Times New Roman" w:cs="Times New Roman"/>
          <w:color w:val="000000" w:themeColor="text1"/>
          <w:sz w:val="20"/>
          <w:szCs w:val="20"/>
        </w:rPr>
        <w:t xml:space="preserve">The result clearly shows that the substitution of GGBS &amp; OPA both are replaced in place of cement by maintaining GGBS as constant with 15% and OPA with ascending follows from 0%, 4%, 8%, 12%, 15% &amp; 20% in M30 Solid. </w:t>
      </w:r>
    </w:p>
    <w:p w14:paraId="263D789D" w14:textId="00D1026A" w:rsidR="006A1B37" w:rsidRPr="006A1B37" w:rsidRDefault="006A1B37" w:rsidP="006A1B37">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6A1B37">
        <w:rPr>
          <w:rFonts w:ascii="Times New Roman" w:hAnsi="Times New Roman" w:cs="Times New Roman"/>
          <w:color w:val="000000" w:themeColor="text1"/>
          <w:sz w:val="20"/>
          <w:szCs w:val="20"/>
        </w:rPr>
        <w:t>Based on results as considered the compressive quality, ductile quality &amp; flexural quality attained maximum strength at percentage of replacing 12%OPA+15%GGBS.</w:t>
      </w:r>
    </w:p>
    <w:p w14:paraId="1F48F86D" w14:textId="22D44D65" w:rsidR="006A1B37" w:rsidRPr="006A1B37" w:rsidRDefault="006A1B37" w:rsidP="006A1B37">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6A1B37">
        <w:rPr>
          <w:rFonts w:ascii="Times New Roman" w:hAnsi="Times New Roman" w:cs="Times New Roman"/>
          <w:color w:val="000000" w:themeColor="text1"/>
          <w:sz w:val="20"/>
          <w:szCs w:val="20"/>
        </w:rPr>
        <w:t xml:space="preserve">The maximum Compressive strength quality gained for 28 days is 38.53 </w:t>
      </w:r>
      <w:proofErr w:type="spellStart"/>
      <w:r w:rsidRPr="006A1B37">
        <w:rPr>
          <w:rFonts w:ascii="Times New Roman" w:hAnsi="Times New Roman" w:cs="Times New Roman"/>
          <w:color w:val="000000" w:themeColor="text1"/>
          <w:sz w:val="20"/>
          <w:szCs w:val="20"/>
        </w:rPr>
        <w:t>MPa</w:t>
      </w:r>
      <w:proofErr w:type="spellEnd"/>
      <w:r w:rsidRPr="006A1B37">
        <w:rPr>
          <w:rFonts w:ascii="Times New Roman" w:hAnsi="Times New Roman" w:cs="Times New Roman"/>
          <w:color w:val="000000" w:themeColor="text1"/>
          <w:sz w:val="20"/>
          <w:szCs w:val="20"/>
        </w:rPr>
        <w:t>.</w:t>
      </w:r>
    </w:p>
    <w:p w14:paraId="4D6F3BD3" w14:textId="21DBCF7F" w:rsidR="006A1B37" w:rsidRPr="006A1B37" w:rsidRDefault="006A1B37" w:rsidP="006A1B37">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6A1B37">
        <w:rPr>
          <w:rFonts w:ascii="Times New Roman" w:hAnsi="Times New Roman" w:cs="Times New Roman"/>
          <w:color w:val="000000" w:themeColor="text1"/>
          <w:sz w:val="20"/>
          <w:szCs w:val="20"/>
        </w:rPr>
        <w:t xml:space="preserve">The maximum Tensile strength quality gained for 28 days is 3.02 </w:t>
      </w:r>
      <w:proofErr w:type="spellStart"/>
      <w:r w:rsidRPr="006A1B37">
        <w:rPr>
          <w:rFonts w:ascii="Times New Roman" w:hAnsi="Times New Roman" w:cs="Times New Roman"/>
          <w:color w:val="000000" w:themeColor="text1"/>
          <w:sz w:val="20"/>
          <w:szCs w:val="20"/>
        </w:rPr>
        <w:t>MPa</w:t>
      </w:r>
      <w:proofErr w:type="spellEnd"/>
      <w:r w:rsidRPr="006A1B37">
        <w:rPr>
          <w:rFonts w:ascii="Times New Roman" w:hAnsi="Times New Roman" w:cs="Times New Roman"/>
          <w:color w:val="000000" w:themeColor="text1"/>
          <w:sz w:val="20"/>
          <w:szCs w:val="20"/>
        </w:rPr>
        <w:t>.</w:t>
      </w:r>
    </w:p>
    <w:p w14:paraId="3F56D968" w14:textId="7E36DC44" w:rsidR="006A1B37" w:rsidRPr="006A1B37" w:rsidRDefault="006A1B37" w:rsidP="006A1B37">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6A1B37">
        <w:rPr>
          <w:rFonts w:ascii="Times New Roman" w:hAnsi="Times New Roman" w:cs="Times New Roman"/>
          <w:color w:val="000000" w:themeColor="text1"/>
          <w:sz w:val="20"/>
          <w:szCs w:val="20"/>
        </w:rPr>
        <w:t xml:space="preserve">The maximum Compressive strength quality gained for 28 days is 6.08 </w:t>
      </w:r>
      <w:proofErr w:type="spellStart"/>
      <w:r w:rsidRPr="006A1B37">
        <w:rPr>
          <w:rFonts w:ascii="Times New Roman" w:hAnsi="Times New Roman" w:cs="Times New Roman"/>
          <w:color w:val="000000" w:themeColor="text1"/>
          <w:sz w:val="20"/>
          <w:szCs w:val="20"/>
        </w:rPr>
        <w:t>MPa</w:t>
      </w:r>
      <w:proofErr w:type="spellEnd"/>
      <w:r w:rsidRPr="006A1B37">
        <w:rPr>
          <w:rFonts w:ascii="Times New Roman" w:hAnsi="Times New Roman" w:cs="Times New Roman"/>
          <w:color w:val="000000" w:themeColor="text1"/>
          <w:sz w:val="20"/>
          <w:szCs w:val="20"/>
        </w:rPr>
        <w:t>.</w:t>
      </w:r>
    </w:p>
    <w:p w14:paraId="54F17FC1" w14:textId="77777777" w:rsidR="006A1B37" w:rsidRPr="006A1B37" w:rsidRDefault="006A1B37" w:rsidP="006A1B37">
      <w:pPr>
        <w:pStyle w:val="ListParagraph"/>
        <w:numPr>
          <w:ilvl w:val="0"/>
          <w:numId w:val="29"/>
        </w:numPr>
        <w:spacing w:before="54" w:after="0" w:line="276" w:lineRule="auto"/>
        <w:rPr>
          <w:rFonts w:ascii="Times New Roman" w:hAnsi="Times New Roman" w:cs="Times New Roman"/>
          <w:color w:val="000000" w:themeColor="text1"/>
          <w:sz w:val="20"/>
          <w:szCs w:val="20"/>
        </w:rPr>
      </w:pPr>
      <w:r w:rsidRPr="006A1B37">
        <w:rPr>
          <w:rFonts w:ascii="Times New Roman" w:hAnsi="Times New Roman" w:cs="Times New Roman"/>
          <w:color w:val="000000" w:themeColor="text1"/>
          <w:sz w:val="20"/>
          <w:szCs w:val="20"/>
        </w:rPr>
        <w:t>It can be referred as green concrete due to the replacement of agro based waste OPA.</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0A3A6C"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proofErr w:type="spellStart"/>
      <w:r w:rsidRPr="00DC0AB0">
        <w:rPr>
          <w:rFonts w:ascii="Times New Roman" w:hAnsi="Times New Roman" w:cs="Times New Roman"/>
          <w:color w:val="000000" w:themeColor="text1"/>
          <w:sz w:val="20"/>
          <w:szCs w:val="20"/>
        </w:rPr>
        <w:t>Vandanapu</w:t>
      </w:r>
      <w:proofErr w:type="spellEnd"/>
      <w:r w:rsidRPr="00DC0AB0">
        <w:rPr>
          <w:rFonts w:ascii="Times New Roman" w:hAnsi="Times New Roman" w:cs="Times New Roman"/>
          <w:color w:val="000000" w:themeColor="text1"/>
          <w:sz w:val="20"/>
          <w:szCs w:val="20"/>
        </w:rPr>
        <w:t xml:space="preserve">, R., </w:t>
      </w:r>
      <w:proofErr w:type="spellStart"/>
      <w:r w:rsidRPr="00DC0AB0">
        <w:rPr>
          <w:rFonts w:ascii="Times New Roman" w:hAnsi="Times New Roman" w:cs="Times New Roman"/>
          <w:color w:val="000000" w:themeColor="text1"/>
          <w:sz w:val="20"/>
          <w:szCs w:val="20"/>
        </w:rPr>
        <w:t>Mohanan</w:t>
      </w:r>
      <w:proofErr w:type="spellEnd"/>
      <w:r w:rsidRPr="00DC0AB0">
        <w:rPr>
          <w:rFonts w:ascii="Times New Roman" w:hAnsi="Times New Roman" w:cs="Times New Roman"/>
          <w:color w:val="000000" w:themeColor="text1"/>
          <w:sz w:val="20"/>
          <w:szCs w:val="20"/>
        </w:rPr>
        <w:t>, V., &amp; Selvan, C. P. (2019). Understanding the influence of replacing cement with GGBS on compressive and flexural strengths of concrete at medium workability conditions. 2022 Advances in Science and Engineering Technology International Conferences (ASET), 1–4. https://doi.org/10.1109/ICASET.2019.8714522</w:t>
      </w:r>
    </w:p>
    <w:p w14:paraId="34700AAB"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r w:rsidRPr="00DC0AB0">
        <w:rPr>
          <w:rFonts w:ascii="Times New Roman" w:hAnsi="Times New Roman" w:cs="Times New Roman"/>
          <w:color w:val="000000" w:themeColor="text1"/>
          <w:sz w:val="20"/>
          <w:szCs w:val="20"/>
        </w:rPr>
        <w:t xml:space="preserve">Reshma </w:t>
      </w:r>
      <w:proofErr w:type="spellStart"/>
      <w:r w:rsidRPr="00DC0AB0">
        <w:rPr>
          <w:rFonts w:ascii="Times New Roman" w:hAnsi="Times New Roman" w:cs="Times New Roman"/>
          <w:color w:val="000000" w:themeColor="text1"/>
          <w:sz w:val="20"/>
          <w:szCs w:val="20"/>
        </w:rPr>
        <w:t>Rughooputh</w:t>
      </w:r>
      <w:proofErr w:type="spellEnd"/>
      <w:r w:rsidRPr="00DC0AB0">
        <w:rPr>
          <w:rFonts w:ascii="Times New Roman" w:hAnsi="Times New Roman" w:cs="Times New Roman"/>
          <w:color w:val="000000" w:themeColor="text1"/>
          <w:sz w:val="20"/>
          <w:szCs w:val="20"/>
        </w:rPr>
        <w:t xml:space="preserve"> and </w:t>
      </w:r>
      <w:proofErr w:type="spellStart"/>
      <w:r w:rsidRPr="00DC0AB0">
        <w:rPr>
          <w:rFonts w:ascii="Times New Roman" w:hAnsi="Times New Roman" w:cs="Times New Roman"/>
          <w:color w:val="000000" w:themeColor="text1"/>
          <w:sz w:val="20"/>
          <w:szCs w:val="20"/>
        </w:rPr>
        <w:t>Jaylina</w:t>
      </w:r>
      <w:proofErr w:type="spellEnd"/>
      <w:r w:rsidRPr="00DC0AB0">
        <w:rPr>
          <w:rFonts w:ascii="Times New Roman" w:hAnsi="Times New Roman" w:cs="Times New Roman"/>
          <w:color w:val="000000" w:themeColor="text1"/>
          <w:sz w:val="20"/>
          <w:szCs w:val="20"/>
        </w:rPr>
        <w:t xml:space="preserve"> </w:t>
      </w:r>
      <w:proofErr w:type="spellStart"/>
      <w:r w:rsidRPr="00DC0AB0">
        <w:rPr>
          <w:rFonts w:ascii="Times New Roman" w:hAnsi="Times New Roman" w:cs="Times New Roman"/>
          <w:color w:val="000000" w:themeColor="text1"/>
          <w:sz w:val="20"/>
          <w:szCs w:val="20"/>
        </w:rPr>
        <w:t>Rana</w:t>
      </w:r>
      <w:proofErr w:type="spellEnd"/>
      <w:r w:rsidRPr="00DC0AB0">
        <w:rPr>
          <w:rFonts w:ascii="Times New Roman" w:hAnsi="Times New Roman" w:cs="Times New Roman"/>
          <w:color w:val="000000" w:themeColor="text1"/>
          <w:sz w:val="20"/>
          <w:szCs w:val="20"/>
        </w:rPr>
        <w:t xml:space="preserve"> Partial Replacement of Cement by Ground Granulated Blast </w:t>
      </w:r>
      <w:proofErr w:type="gramStart"/>
      <w:r w:rsidRPr="00DC0AB0">
        <w:rPr>
          <w:rFonts w:ascii="Times New Roman" w:hAnsi="Times New Roman" w:cs="Times New Roman"/>
          <w:color w:val="000000" w:themeColor="text1"/>
          <w:sz w:val="20"/>
          <w:szCs w:val="20"/>
        </w:rPr>
        <w:t>furnace</w:t>
      </w:r>
      <w:proofErr w:type="gramEnd"/>
      <w:r w:rsidRPr="00DC0AB0">
        <w:rPr>
          <w:rFonts w:ascii="Times New Roman" w:hAnsi="Times New Roman" w:cs="Times New Roman"/>
          <w:color w:val="000000" w:themeColor="text1"/>
          <w:sz w:val="20"/>
          <w:szCs w:val="20"/>
        </w:rPr>
        <w:t xml:space="preserve"> Slag In Concrete Journal of Emerging Trends in Engineering and Applied Sciences (JETEAS) 5(5): 340-343 © </w:t>
      </w:r>
      <w:proofErr w:type="spellStart"/>
      <w:r w:rsidRPr="00DC0AB0">
        <w:rPr>
          <w:rFonts w:ascii="Times New Roman" w:hAnsi="Times New Roman" w:cs="Times New Roman"/>
          <w:color w:val="000000" w:themeColor="text1"/>
          <w:sz w:val="20"/>
          <w:szCs w:val="20"/>
        </w:rPr>
        <w:t>Scholarlink</w:t>
      </w:r>
      <w:proofErr w:type="spellEnd"/>
      <w:r w:rsidRPr="00DC0AB0">
        <w:rPr>
          <w:rFonts w:ascii="Times New Roman" w:hAnsi="Times New Roman" w:cs="Times New Roman"/>
          <w:color w:val="000000" w:themeColor="text1"/>
          <w:sz w:val="20"/>
          <w:szCs w:val="20"/>
        </w:rPr>
        <w:t xml:space="preserve"> Research Institute Journals, 2014 (ISSN: 2141-7016)</w:t>
      </w:r>
    </w:p>
    <w:p w14:paraId="49560CE6"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r w:rsidRPr="00DC0AB0">
        <w:rPr>
          <w:rFonts w:ascii="Times New Roman" w:hAnsi="Times New Roman" w:cs="Times New Roman"/>
          <w:color w:val="000000" w:themeColor="text1"/>
          <w:sz w:val="20"/>
          <w:szCs w:val="20"/>
        </w:rPr>
        <w:t>Karri, S. K., Rao, G., &amp; Raju, P. (2015). Strength and Durability Studies on GGBS Concrete. International Journal of Civil Engineering, 2(10), 34–41. https://doi.org/10.14445/23488352/IJCE-V2I10P106</w:t>
      </w:r>
    </w:p>
    <w:p w14:paraId="0539B80A"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r w:rsidRPr="00DC0AB0">
        <w:rPr>
          <w:rFonts w:ascii="Times New Roman" w:hAnsi="Times New Roman" w:cs="Times New Roman"/>
          <w:color w:val="000000" w:themeColor="text1"/>
          <w:sz w:val="20"/>
          <w:szCs w:val="20"/>
        </w:rPr>
        <w:t xml:space="preserve">M. Pavan </w:t>
      </w:r>
      <w:proofErr w:type="gramStart"/>
      <w:r w:rsidRPr="00DC0AB0">
        <w:rPr>
          <w:rFonts w:ascii="Times New Roman" w:hAnsi="Times New Roman" w:cs="Times New Roman"/>
          <w:color w:val="000000" w:themeColor="text1"/>
          <w:sz w:val="20"/>
          <w:szCs w:val="20"/>
        </w:rPr>
        <w:t>Kumar ,</w:t>
      </w:r>
      <w:proofErr w:type="gramEnd"/>
      <w:r w:rsidRPr="00DC0AB0">
        <w:rPr>
          <w:rFonts w:ascii="Times New Roman" w:hAnsi="Times New Roman" w:cs="Times New Roman"/>
          <w:color w:val="000000" w:themeColor="text1"/>
          <w:sz w:val="20"/>
          <w:szCs w:val="20"/>
        </w:rPr>
        <w:t xml:space="preserve"> </w:t>
      </w:r>
      <w:proofErr w:type="spellStart"/>
      <w:r w:rsidRPr="00DC0AB0">
        <w:rPr>
          <w:rFonts w:ascii="Times New Roman" w:hAnsi="Times New Roman" w:cs="Times New Roman"/>
          <w:color w:val="000000" w:themeColor="text1"/>
          <w:sz w:val="20"/>
          <w:szCs w:val="20"/>
        </w:rPr>
        <w:t>Y.Mahesh</w:t>
      </w:r>
      <w:proofErr w:type="spellEnd"/>
      <w:r w:rsidRPr="00DC0AB0">
        <w:rPr>
          <w:rFonts w:ascii="Times New Roman" w:hAnsi="Times New Roman" w:cs="Times New Roman"/>
          <w:color w:val="000000" w:themeColor="text1"/>
          <w:sz w:val="20"/>
          <w:szCs w:val="20"/>
        </w:rPr>
        <w:t xml:space="preserve"> The </w:t>
      </w:r>
      <w:proofErr w:type="spellStart"/>
      <w:r w:rsidRPr="00DC0AB0">
        <w:rPr>
          <w:rFonts w:ascii="Times New Roman" w:hAnsi="Times New Roman" w:cs="Times New Roman"/>
          <w:color w:val="000000" w:themeColor="text1"/>
          <w:sz w:val="20"/>
          <w:szCs w:val="20"/>
        </w:rPr>
        <w:t>Behaviour</w:t>
      </w:r>
      <w:proofErr w:type="spellEnd"/>
      <w:r w:rsidRPr="00DC0AB0">
        <w:rPr>
          <w:rFonts w:ascii="Times New Roman" w:hAnsi="Times New Roman" w:cs="Times New Roman"/>
          <w:color w:val="000000" w:themeColor="text1"/>
          <w:sz w:val="20"/>
          <w:szCs w:val="20"/>
        </w:rPr>
        <w:t xml:space="preserve"> of Concrete by Partial Replacement of Fine Aggregate with Copper Slag and Cement with GGBS - An Experimental Study IOSR Journal of Mechanical and Civil Engineering (IOSR-JMCE) e-ISSN: 2278-1684,p-ISSN: 2320-334X, Volume 12, Issue 3 Ver. III (May. - Jun. 2015), PP 51-56 DOI: 10.9790/1684-12335156 </w:t>
      </w:r>
    </w:p>
    <w:p w14:paraId="1255FB01"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r w:rsidRPr="00DC0AB0">
        <w:rPr>
          <w:rFonts w:ascii="Times New Roman" w:hAnsi="Times New Roman" w:cs="Times New Roman"/>
          <w:color w:val="000000" w:themeColor="text1"/>
          <w:sz w:val="20"/>
          <w:szCs w:val="20"/>
        </w:rPr>
        <w:t xml:space="preserve">Binici, H., &amp; </w:t>
      </w:r>
      <w:proofErr w:type="spellStart"/>
      <w:r w:rsidRPr="00DC0AB0">
        <w:rPr>
          <w:rFonts w:ascii="Times New Roman" w:hAnsi="Times New Roman" w:cs="Times New Roman"/>
          <w:color w:val="000000" w:themeColor="text1"/>
          <w:sz w:val="20"/>
          <w:szCs w:val="20"/>
        </w:rPr>
        <w:t>Aksogan</w:t>
      </w:r>
      <w:proofErr w:type="spellEnd"/>
      <w:r w:rsidRPr="00DC0AB0">
        <w:rPr>
          <w:rFonts w:ascii="Times New Roman" w:hAnsi="Times New Roman" w:cs="Times New Roman"/>
          <w:color w:val="000000" w:themeColor="text1"/>
          <w:sz w:val="20"/>
          <w:szCs w:val="20"/>
        </w:rPr>
        <w:t xml:space="preserve">, O. (2016). Insulation material production from onion skin and peanut shell </w:t>
      </w:r>
      <w:proofErr w:type="spellStart"/>
      <w:r w:rsidRPr="00DC0AB0">
        <w:rPr>
          <w:rFonts w:ascii="Times New Roman" w:hAnsi="Times New Roman" w:cs="Times New Roman"/>
          <w:color w:val="000000" w:themeColor="text1"/>
          <w:sz w:val="20"/>
          <w:szCs w:val="20"/>
        </w:rPr>
        <w:t>fibres</w:t>
      </w:r>
      <w:proofErr w:type="spellEnd"/>
      <w:r w:rsidRPr="00DC0AB0">
        <w:rPr>
          <w:rFonts w:ascii="Times New Roman" w:hAnsi="Times New Roman" w:cs="Times New Roman"/>
          <w:color w:val="000000" w:themeColor="text1"/>
          <w:sz w:val="20"/>
          <w:szCs w:val="20"/>
        </w:rPr>
        <w:t>, fly ash, pumice, perlite, barite, cement and gypsum. Materials Today Communications, 10, 14–24. https://doi.org/10.1016/j.mtcomm.2016.09.004</w:t>
      </w:r>
    </w:p>
    <w:p w14:paraId="078AFEA7"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r w:rsidRPr="00DC0AB0">
        <w:rPr>
          <w:rFonts w:ascii="Times New Roman" w:hAnsi="Times New Roman" w:cs="Times New Roman"/>
          <w:color w:val="000000" w:themeColor="text1"/>
          <w:sz w:val="20"/>
          <w:szCs w:val="20"/>
        </w:rPr>
        <w:t xml:space="preserve">A.O. </w:t>
      </w:r>
      <w:proofErr w:type="spellStart"/>
      <w:r w:rsidRPr="00DC0AB0">
        <w:rPr>
          <w:rFonts w:ascii="Times New Roman" w:hAnsi="Times New Roman" w:cs="Times New Roman"/>
          <w:color w:val="000000" w:themeColor="text1"/>
          <w:sz w:val="20"/>
          <w:szCs w:val="20"/>
        </w:rPr>
        <w:t>Familusi</w:t>
      </w:r>
      <w:proofErr w:type="spellEnd"/>
      <w:r w:rsidRPr="00DC0AB0">
        <w:rPr>
          <w:rFonts w:ascii="Times New Roman" w:hAnsi="Times New Roman" w:cs="Times New Roman"/>
          <w:color w:val="000000" w:themeColor="text1"/>
          <w:sz w:val="20"/>
          <w:szCs w:val="20"/>
        </w:rPr>
        <w:t xml:space="preserve">, B. E. </w:t>
      </w:r>
      <w:proofErr w:type="spellStart"/>
      <w:r w:rsidRPr="00DC0AB0">
        <w:rPr>
          <w:rFonts w:ascii="Times New Roman" w:hAnsi="Times New Roman" w:cs="Times New Roman"/>
          <w:color w:val="000000" w:themeColor="text1"/>
          <w:sz w:val="20"/>
          <w:szCs w:val="20"/>
        </w:rPr>
        <w:t>Adewumi</w:t>
      </w:r>
      <w:proofErr w:type="spellEnd"/>
      <w:r w:rsidRPr="00DC0AB0">
        <w:rPr>
          <w:rFonts w:ascii="Times New Roman" w:hAnsi="Times New Roman" w:cs="Times New Roman"/>
          <w:color w:val="000000" w:themeColor="text1"/>
          <w:sz w:val="20"/>
          <w:szCs w:val="20"/>
        </w:rPr>
        <w:t xml:space="preserve">, F. I. Oladipo, D. A. </w:t>
      </w:r>
      <w:proofErr w:type="spellStart"/>
      <w:r w:rsidRPr="00DC0AB0">
        <w:rPr>
          <w:rFonts w:ascii="Times New Roman" w:hAnsi="Times New Roman" w:cs="Times New Roman"/>
          <w:color w:val="000000" w:themeColor="text1"/>
          <w:sz w:val="20"/>
          <w:szCs w:val="20"/>
        </w:rPr>
        <w:t>Ogundare</w:t>
      </w:r>
      <w:proofErr w:type="spellEnd"/>
      <w:r w:rsidRPr="00DC0AB0">
        <w:rPr>
          <w:rFonts w:ascii="Times New Roman" w:hAnsi="Times New Roman" w:cs="Times New Roman"/>
          <w:color w:val="000000" w:themeColor="text1"/>
          <w:sz w:val="20"/>
          <w:szCs w:val="20"/>
        </w:rPr>
        <w:t xml:space="preserve">, and J. O. </w:t>
      </w:r>
      <w:proofErr w:type="spellStart"/>
      <w:proofErr w:type="gramStart"/>
      <w:r w:rsidRPr="00DC0AB0">
        <w:rPr>
          <w:rFonts w:ascii="Times New Roman" w:hAnsi="Times New Roman" w:cs="Times New Roman"/>
          <w:color w:val="000000" w:themeColor="text1"/>
          <w:sz w:val="20"/>
          <w:szCs w:val="20"/>
        </w:rPr>
        <w:t>Olusami</w:t>
      </w:r>
      <w:proofErr w:type="spellEnd"/>
      <w:r w:rsidRPr="00DC0AB0">
        <w:rPr>
          <w:rFonts w:ascii="Times New Roman" w:hAnsi="Times New Roman" w:cs="Times New Roman"/>
          <w:color w:val="000000" w:themeColor="text1"/>
          <w:sz w:val="20"/>
          <w:szCs w:val="20"/>
        </w:rPr>
        <w:t xml:space="preserve">  effects</w:t>
      </w:r>
      <w:proofErr w:type="gramEnd"/>
      <w:r w:rsidRPr="00DC0AB0">
        <w:rPr>
          <w:rFonts w:ascii="Times New Roman" w:hAnsi="Times New Roman" w:cs="Times New Roman"/>
          <w:color w:val="000000" w:themeColor="text1"/>
          <w:sz w:val="20"/>
          <w:szCs w:val="20"/>
        </w:rPr>
        <w:t xml:space="preserve"> of blast furnace slag as a partial replacement for cement in concrete September 2017 Conference: International Conference on Sciences, Engineering and Environmental Technology (ICONSEET 2017) At: Federal Polytechnic Ede Nigeria</w:t>
      </w:r>
    </w:p>
    <w:p w14:paraId="7A58035D"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proofErr w:type="spellStart"/>
      <w:r w:rsidRPr="00DC0AB0">
        <w:rPr>
          <w:rFonts w:ascii="Times New Roman" w:hAnsi="Times New Roman" w:cs="Times New Roman"/>
          <w:color w:val="000000" w:themeColor="text1"/>
          <w:sz w:val="20"/>
          <w:szCs w:val="20"/>
        </w:rPr>
        <w:t>Magandeep</w:t>
      </w:r>
      <w:proofErr w:type="spellEnd"/>
      <w:r w:rsidRPr="00DC0AB0">
        <w:rPr>
          <w:rFonts w:ascii="Times New Roman" w:hAnsi="Times New Roman" w:cs="Times New Roman"/>
          <w:color w:val="000000" w:themeColor="text1"/>
          <w:sz w:val="20"/>
          <w:szCs w:val="20"/>
        </w:rPr>
        <w:t xml:space="preserve">, </w:t>
      </w:r>
      <w:proofErr w:type="spellStart"/>
      <w:r w:rsidRPr="00DC0AB0">
        <w:rPr>
          <w:rFonts w:ascii="Times New Roman" w:hAnsi="Times New Roman" w:cs="Times New Roman"/>
          <w:color w:val="000000" w:themeColor="text1"/>
          <w:sz w:val="20"/>
          <w:szCs w:val="20"/>
        </w:rPr>
        <w:t>Ravikanth</w:t>
      </w:r>
      <w:proofErr w:type="spellEnd"/>
      <w:r w:rsidRPr="00DC0AB0">
        <w:rPr>
          <w:rFonts w:ascii="Times New Roman" w:hAnsi="Times New Roman" w:cs="Times New Roman"/>
          <w:color w:val="000000" w:themeColor="text1"/>
          <w:sz w:val="20"/>
          <w:szCs w:val="20"/>
        </w:rPr>
        <w:t xml:space="preserve"> </w:t>
      </w:r>
      <w:proofErr w:type="spellStart"/>
      <w:r w:rsidRPr="00DC0AB0">
        <w:rPr>
          <w:rFonts w:ascii="Times New Roman" w:hAnsi="Times New Roman" w:cs="Times New Roman"/>
          <w:color w:val="000000" w:themeColor="text1"/>
          <w:sz w:val="20"/>
          <w:szCs w:val="20"/>
        </w:rPr>
        <w:t>Pareek</w:t>
      </w:r>
      <w:proofErr w:type="spellEnd"/>
      <w:r w:rsidRPr="00DC0AB0">
        <w:rPr>
          <w:rFonts w:ascii="Times New Roman" w:hAnsi="Times New Roman" w:cs="Times New Roman"/>
          <w:color w:val="000000" w:themeColor="text1"/>
          <w:sz w:val="20"/>
          <w:szCs w:val="20"/>
        </w:rPr>
        <w:t>, and Varinder Singh Utilization of Ground Granulated Blast Furnace Slag to Improve Properties of Concrete International Journal on Emerging Technologies 6(2): 72-79(2015) ISSN No. (Print</w:t>
      </w:r>
      <w:proofErr w:type="gramStart"/>
      <w:r w:rsidRPr="00DC0AB0">
        <w:rPr>
          <w:rFonts w:ascii="Times New Roman" w:hAnsi="Times New Roman" w:cs="Times New Roman"/>
          <w:color w:val="000000" w:themeColor="text1"/>
          <w:sz w:val="20"/>
          <w:szCs w:val="20"/>
        </w:rPr>
        <w:t>) :</w:t>
      </w:r>
      <w:proofErr w:type="gramEnd"/>
      <w:r w:rsidRPr="00DC0AB0">
        <w:rPr>
          <w:rFonts w:ascii="Times New Roman" w:hAnsi="Times New Roman" w:cs="Times New Roman"/>
          <w:color w:val="000000" w:themeColor="text1"/>
          <w:sz w:val="20"/>
          <w:szCs w:val="20"/>
        </w:rPr>
        <w:t xml:space="preserve"> 0975-8364.</w:t>
      </w:r>
    </w:p>
    <w:p w14:paraId="1D85F78E" w14:textId="77777777" w:rsidR="00E1582C" w:rsidRPr="00DC0AB0" w:rsidRDefault="00E1582C" w:rsidP="001B4B66">
      <w:pPr>
        <w:pStyle w:val="ListParagraph"/>
        <w:numPr>
          <w:ilvl w:val="0"/>
          <w:numId w:val="30"/>
        </w:numPr>
        <w:tabs>
          <w:tab w:val="left" w:pos="6360"/>
        </w:tabs>
        <w:spacing w:after="0"/>
        <w:jc w:val="both"/>
        <w:rPr>
          <w:rFonts w:ascii="Times New Roman" w:hAnsi="Times New Roman" w:cs="Times New Roman"/>
          <w:color w:val="000000" w:themeColor="text1"/>
          <w:sz w:val="20"/>
          <w:szCs w:val="20"/>
        </w:rPr>
      </w:pPr>
      <w:r w:rsidRPr="00DC0AB0">
        <w:rPr>
          <w:rFonts w:ascii="Times New Roman" w:hAnsi="Times New Roman" w:cs="Times New Roman"/>
          <w:color w:val="000000" w:themeColor="text1"/>
          <w:sz w:val="20"/>
          <w:szCs w:val="20"/>
        </w:rPr>
        <w:t>Kumar, V. S. (2023). Examination of Halfway Substitution of Cement M20 Concrete with Silica Rage and Quartz Sand in Fine Total. INTERANTIONAL JOURNAL OF SCIENTIFIC RESEARCH IN ENGINEERING AND MANAGEMENT, 07(08). https://www.doi.org/10.55041/IJSREM25269</w:t>
      </w:r>
    </w:p>
    <w:p w14:paraId="40EFF21F" w14:textId="5028643B" w:rsidR="00911ACD" w:rsidRPr="00911ACD" w:rsidRDefault="00911ACD" w:rsidP="00911ACD">
      <w:pPr>
        <w:tabs>
          <w:tab w:val="left" w:pos="6360"/>
        </w:tabs>
      </w:pPr>
      <w:r>
        <w:tab/>
      </w:r>
    </w:p>
    <w:sectPr w:rsidR="00911ACD" w:rsidRPr="00911ACD" w:rsidSect="005F717A">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F3220" w14:textId="77777777" w:rsidR="0062138E" w:rsidRDefault="0062138E" w:rsidP="00C556D7">
      <w:pPr>
        <w:spacing w:after="0" w:line="240" w:lineRule="auto"/>
      </w:pPr>
      <w:r>
        <w:separator/>
      </w:r>
    </w:p>
  </w:endnote>
  <w:endnote w:type="continuationSeparator" w:id="0">
    <w:p w14:paraId="504B0ED6" w14:textId="77777777" w:rsidR="0062138E" w:rsidRDefault="0062138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86001" w14:textId="77777777" w:rsidR="0062138E" w:rsidRDefault="0062138E" w:rsidP="00C556D7">
      <w:pPr>
        <w:spacing w:after="0" w:line="240" w:lineRule="auto"/>
      </w:pPr>
      <w:r>
        <w:separator/>
      </w:r>
    </w:p>
  </w:footnote>
  <w:footnote w:type="continuationSeparator" w:id="0">
    <w:p w14:paraId="1904C4A4" w14:textId="77777777" w:rsidR="0062138E" w:rsidRDefault="0062138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F62EA"/>
    <w:multiLevelType w:val="hybridMultilevel"/>
    <w:tmpl w:val="FD787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9B05429"/>
    <w:multiLevelType w:val="hybridMultilevel"/>
    <w:tmpl w:val="FEB047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4298B"/>
    <w:multiLevelType w:val="hybridMultilevel"/>
    <w:tmpl w:val="C622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274914"/>
    <w:multiLevelType w:val="hybridMultilevel"/>
    <w:tmpl w:val="902EC3A0"/>
    <w:lvl w:ilvl="0" w:tplc="54C09C98">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4849"/>
    <w:multiLevelType w:val="hybridMultilevel"/>
    <w:tmpl w:val="B6D6C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DE04BB"/>
    <w:multiLevelType w:val="multilevel"/>
    <w:tmpl w:val="4F54D2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BE6B56"/>
    <w:multiLevelType w:val="hybridMultilevel"/>
    <w:tmpl w:val="2C121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815A42"/>
    <w:multiLevelType w:val="hybridMultilevel"/>
    <w:tmpl w:val="A3DE1E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1139B1"/>
    <w:multiLevelType w:val="hybridMultilevel"/>
    <w:tmpl w:val="D166B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17"/>
  </w:num>
  <w:num w:numId="5">
    <w:abstractNumId w:val="10"/>
  </w:num>
  <w:num w:numId="6">
    <w:abstractNumId w:val="22"/>
  </w:num>
  <w:num w:numId="7">
    <w:abstractNumId w:val="2"/>
  </w:num>
  <w:num w:numId="8">
    <w:abstractNumId w:val="29"/>
  </w:num>
  <w:num w:numId="9">
    <w:abstractNumId w:val="0"/>
  </w:num>
  <w:num w:numId="10">
    <w:abstractNumId w:val="6"/>
  </w:num>
  <w:num w:numId="11">
    <w:abstractNumId w:val="26"/>
  </w:num>
  <w:num w:numId="12">
    <w:abstractNumId w:val="20"/>
  </w:num>
  <w:num w:numId="13">
    <w:abstractNumId w:val="15"/>
  </w:num>
  <w:num w:numId="14">
    <w:abstractNumId w:val="5"/>
  </w:num>
  <w:num w:numId="15">
    <w:abstractNumId w:val="24"/>
  </w:num>
  <w:num w:numId="16">
    <w:abstractNumId w:val="14"/>
  </w:num>
  <w:num w:numId="17">
    <w:abstractNumId w:val="18"/>
  </w:num>
  <w:num w:numId="18">
    <w:abstractNumId w:val="4"/>
  </w:num>
  <w:num w:numId="19">
    <w:abstractNumId w:val="28"/>
  </w:num>
  <w:num w:numId="20">
    <w:abstractNumId w:val="9"/>
  </w:num>
  <w:num w:numId="21">
    <w:abstractNumId w:val="23"/>
  </w:num>
  <w:num w:numId="22">
    <w:abstractNumId w:val="19"/>
  </w:num>
  <w:num w:numId="23">
    <w:abstractNumId w:val="7"/>
  </w:num>
  <w:num w:numId="24">
    <w:abstractNumId w:val="1"/>
  </w:num>
  <w:num w:numId="25">
    <w:abstractNumId w:val="27"/>
  </w:num>
  <w:num w:numId="26">
    <w:abstractNumId w:val="13"/>
  </w:num>
  <w:num w:numId="27">
    <w:abstractNumId w:val="3"/>
  </w:num>
  <w:num w:numId="28">
    <w:abstractNumId w:val="25"/>
  </w:num>
  <w:num w:numId="29">
    <w:abstractNumId w:val="21"/>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6A6E"/>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687A"/>
    <w:rsid w:val="001B4B6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472F2"/>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2138E"/>
    <w:rsid w:val="00632466"/>
    <w:rsid w:val="00633CDF"/>
    <w:rsid w:val="006413AE"/>
    <w:rsid w:val="00645292"/>
    <w:rsid w:val="00654EC1"/>
    <w:rsid w:val="00690A1B"/>
    <w:rsid w:val="006918DA"/>
    <w:rsid w:val="006962A4"/>
    <w:rsid w:val="006A1B37"/>
    <w:rsid w:val="006A5E5C"/>
    <w:rsid w:val="006A6434"/>
    <w:rsid w:val="006B2ED8"/>
    <w:rsid w:val="006C11CA"/>
    <w:rsid w:val="006C74D5"/>
    <w:rsid w:val="006D7E62"/>
    <w:rsid w:val="006F51F4"/>
    <w:rsid w:val="00732B32"/>
    <w:rsid w:val="00756E86"/>
    <w:rsid w:val="00767719"/>
    <w:rsid w:val="0079243B"/>
    <w:rsid w:val="007934FC"/>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0498"/>
    <w:rsid w:val="00BE5B25"/>
    <w:rsid w:val="00C00855"/>
    <w:rsid w:val="00C13545"/>
    <w:rsid w:val="00C20B7A"/>
    <w:rsid w:val="00C35F1D"/>
    <w:rsid w:val="00C378A3"/>
    <w:rsid w:val="00C43197"/>
    <w:rsid w:val="00C556D7"/>
    <w:rsid w:val="00C56420"/>
    <w:rsid w:val="00C5653F"/>
    <w:rsid w:val="00C80495"/>
    <w:rsid w:val="00C8572B"/>
    <w:rsid w:val="00C87AD7"/>
    <w:rsid w:val="00C87DAA"/>
    <w:rsid w:val="00C9394F"/>
    <w:rsid w:val="00C952FE"/>
    <w:rsid w:val="00CA0B60"/>
    <w:rsid w:val="00CA6977"/>
    <w:rsid w:val="00CD7165"/>
    <w:rsid w:val="00CE4576"/>
    <w:rsid w:val="00CE4A54"/>
    <w:rsid w:val="00CE5A19"/>
    <w:rsid w:val="00D25854"/>
    <w:rsid w:val="00D3084A"/>
    <w:rsid w:val="00D74DDA"/>
    <w:rsid w:val="00DA52F4"/>
    <w:rsid w:val="00DC0AB0"/>
    <w:rsid w:val="00DD6B36"/>
    <w:rsid w:val="00DD7C7C"/>
    <w:rsid w:val="00DE68FE"/>
    <w:rsid w:val="00DF201E"/>
    <w:rsid w:val="00DF317B"/>
    <w:rsid w:val="00DF6FFA"/>
    <w:rsid w:val="00E03AB8"/>
    <w:rsid w:val="00E058D9"/>
    <w:rsid w:val="00E1582C"/>
    <w:rsid w:val="00E26448"/>
    <w:rsid w:val="00E26687"/>
    <w:rsid w:val="00E34078"/>
    <w:rsid w:val="00E35FB6"/>
    <w:rsid w:val="00E71348"/>
    <w:rsid w:val="00E73492"/>
    <w:rsid w:val="00E76534"/>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43DF"/>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F643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chart" Target="charts/chart2.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3390/pr12061263"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16/j.mtcomm.2016.09.004"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charts/_rels/chart1.xml.rels><?xml version="1.0" encoding="UTF-8" standalone="yes"?>
<Relationships xmlns="http://schemas.openxmlformats.org/package/2006/relationships"><Relationship Id="rId2" Type="http://schemas.openxmlformats.org/officeDocument/2006/relationships/oleObject" Target="file:///C:\Users\user\Desktop\23FH1D2001\New%20Microsoft%20Office%20Excel%20Workshee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23FH1D2001\test%20results.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23FH1D2001\test%20results.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oleObject" Target="file:///F:\M.TECH%20PROJECTS\23FH1D2001\test%20result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5"/>
    </mc:Choice>
    <mc:Fallback>
      <c:style val="15"/>
    </mc:Fallback>
  </mc:AlternateContent>
  <c:clrMapOvr bg1="lt1" tx1="dk1" bg2="lt2" tx2="dk2" accent1="accent1" accent2="accent2" accent3="accent3" accent4="accent4" accent5="accent5" accent6="accent6" hlink="hlink" folHlink="folHlink"/>
  <c:chart>
    <c:title>
      <c:overlay val="0"/>
      <c:txPr>
        <a:bodyPr/>
        <a:lstStyle/>
        <a:p>
          <a:pPr>
            <a:defRPr>
              <a:latin typeface="Times New Roman" pitchFamily="18" charset="0"/>
              <a:cs typeface="Times New Roman" pitchFamily="18" charset="0"/>
            </a:defRPr>
          </a:pPr>
          <a:endParaRPr lang="en-US"/>
        </a:p>
      </c:txPr>
    </c:title>
    <c:autoTitleDeleted val="0"/>
    <c:plotArea>
      <c:layout/>
      <c:barChart>
        <c:barDir val="col"/>
        <c:grouping val="clustered"/>
        <c:varyColors val="0"/>
        <c:ser>
          <c:idx val="0"/>
          <c:order val="0"/>
          <c:tx>
            <c:strRef>
              <c:f>Sheet1!$E$5</c:f>
              <c:strCache>
                <c:ptCount val="1"/>
                <c:pt idx="0">
                  <c:v>Slump value in mm</c:v>
                </c:pt>
              </c:strCache>
            </c:strRef>
          </c:tx>
          <c:invertIfNegative val="0"/>
          <c:dLbls>
            <c:spPr>
              <a:noFill/>
              <a:ln>
                <a:noFill/>
              </a:ln>
              <a:effectLst/>
            </c:spPr>
            <c:txPr>
              <a:bodyPr/>
              <a:lstStyle/>
              <a:p>
                <a:pPr>
                  <a:defRPr sz="1100" b="1">
                    <a:solidFill>
                      <a:schemeClr val="accent2">
                        <a:lumMod val="75000"/>
                      </a:schemeClr>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Sheet1!$D$6:$D$11</c:f>
              <c:strCache>
                <c:ptCount val="6"/>
                <c:pt idx="0">
                  <c:v>0%OPA + 0%GGBS</c:v>
                </c:pt>
                <c:pt idx="1">
                  <c:v>4%OPA + 15%GGBS</c:v>
                </c:pt>
                <c:pt idx="2">
                  <c:v>8%OPA + 15%GGBS</c:v>
                </c:pt>
                <c:pt idx="3">
                  <c:v>12%OPA + 15%GGBS</c:v>
                </c:pt>
                <c:pt idx="4">
                  <c:v>15%OPA + 15%GGBS</c:v>
                </c:pt>
                <c:pt idx="5">
                  <c:v>20%OPA + 15%GGBS</c:v>
                </c:pt>
              </c:strCache>
            </c:strRef>
          </c:cat>
          <c:val>
            <c:numRef>
              <c:f>Sheet1!$E$6:$E$11</c:f>
              <c:numCache>
                <c:formatCode>General</c:formatCode>
                <c:ptCount val="6"/>
                <c:pt idx="0">
                  <c:v>100</c:v>
                </c:pt>
                <c:pt idx="1">
                  <c:v>103</c:v>
                </c:pt>
                <c:pt idx="2">
                  <c:v>108</c:v>
                </c:pt>
                <c:pt idx="3">
                  <c:v>113</c:v>
                </c:pt>
                <c:pt idx="4">
                  <c:v>99</c:v>
                </c:pt>
                <c:pt idx="5">
                  <c:v>93</c:v>
                </c:pt>
              </c:numCache>
            </c:numRef>
          </c:val>
          <c:extLst>
            <c:ext xmlns:c16="http://schemas.microsoft.com/office/drawing/2014/chart" uri="{C3380CC4-5D6E-409C-BE32-E72D297353CC}">
              <c16:uniqueId val="{00000000-A765-413C-B7CF-426C6D37B396}"/>
            </c:ext>
          </c:extLst>
        </c:ser>
        <c:dLbls>
          <c:showLegendKey val="0"/>
          <c:showVal val="0"/>
          <c:showCatName val="0"/>
          <c:showSerName val="0"/>
          <c:showPercent val="0"/>
          <c:showBubbleSize val="0"/>
        </c:dLbls>
        <c:gapWidth val="75"/>
        <c:overlap val="-25"/>
        <c:axId val="113212416"/>
        <c:axId val="113374336"/>
      </c:barChart>
      <c:catAx>
        <c:axId val="113212416"/>
        <c:scaling>
          <c:orientation val="minMax"/>
        </c:scaling>
        <c:delete val="0"/>
        <c:axPos val="b"/>
        <c:numFmt formatCode="General" sourceLinked="0"/>
        <c:majorTickMark val="none"/>
        <c:minorTickMark val="none"/>
        <c:tickLblPos val="nextTo"/>
        <c:txPr>
          <a:bodyPr/>
          <a:lstStyle/>
          <a:p>
            <a:pPr>
              <a:defRPr b="1"/>
            </a:pPr>
            <a:endParaRPr lang="en-US"/>
          </a:p>
        </c:txPr>
        <c:crossAx val="113374336"/>
        <c:crosses val="autoZero"/>
        <c:auto val="1"/>
        <c:lblAlgn val="ctr"/>
        <c:lblOffset val="100"/>
        <c:noMultiLvlLbl val="0"/>
      </c:catAx>
      <c:valAx>
        <c:axId val="113374336"/>
        <c:scaling>
          <c:orientation val="minMax"/>
        </c:scaling>
        <c:delete val="0"/>
        <c:axPos val="l"/>
        <c:majorGridlines/>
        <c:numFmt formatCode="General" sourceLinked="1"/>
        <c:majorTickMark val="none"/>
        <c:minorTickMark val="none"/>
        <c:tickLblPos val="nextTo"/>
        <c:txPr>
          <a:bodyPr/>
          <a:lstStyle/>
          <a:p>
            <a:pPr>
              <a:defRPr b="1"/>
            </a:pPr>
            <a:endParaRPr lang="en-US"/>
          </a:p>
        </c:txPr>
        <c:crossAx val="113212416"/>
        <c:crosses val="autoZero"/>
        <c:crossBetween val="between"/>
      </c:valAx>
    </c:plotArea>
    <c:legend>
      <c:legendPos val="b"/>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1"/>
    </mc:Choice>
    <mc:Fallback>
      <c:style val="31"/>
    </mc:Fallback>
  </mc:AlternateContent>
  <c:chart>
    <c:title>
      <c:tx>
        <c:rich>
          <a:bodyPr/>
          <a:lstStyle/>
          <a:p>
            <a:pPr>
              <a:defRPr sz="1200"/>
            </a:pPr>
            <a:r>
              <a:rPr lang="en-US" sz="1100" b="1">
                <a:effectLst/>
                <a:latin typeface="Times New Roman" pitchFamily="18" charset="0"/>
                <a:cs typeface="Times New Roman" pitchFamily="18" charset="0"/>
              </a:rPr>
              <a:t>CONTRAST</a:t>
            </a:r>
            <a:r>
              <a:rPr lang="en-US" sz="1100" b="1" baseline="0">
                <a:effectLst/>
                <a:latin typeface="Times New Roman" pitchFamily="18" charset="0"/>
                <a:cs typeface="Times New Roman" pitchFamily="18" charset="0"/>
              </a:rPr>
              <a:t> VALUES OF COMPRESSIVE STRENGTH FOR 7 DAYS, 14 DAYS &amp; 28 DAYS</a:t>
            </a:r>
            <a:endParaRPr lang="en-US" sz="1100">
              <a:effectLst/>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'comparison compressive'!$B$4</c:f>
              <c:strCache>
                <c:ptCount val="1"/>
                <c:pt idx="0">
                  <c:v>7 days in Mpa</c:v>
                </c:pt>
              </c:strCache>
            </c:strRef>
          </c:tx>
          <c:invertIfNegative val="0"/>
          <c:dLbls>
            <c:spPr>
              <a:noFill/>
              <a:ln>
                <a:noFill/>
              </a:ln>
              <a:effectLst/>
            </c:spPr>
            <c:txPr>
              <a:bodyPr/>
              <a:lstStyle/>
              <a:p>
                <a:pPr>
                  <a:defRPr b="1">
                    <a:solidFill>
                      <a:srgbClr val="0000FF"/>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compressive'!$A$5:$A$10</c:f>
              <c:strCache>
                <c:ptCount val="6"/>
                <c:pt idx="0">
                  <c:v>0%OPA + 0%GGBS</c:v>
                </c:pt>
                <c:pt idx="1">
                  <c:v>4%OPA + 15%GGBS</c:v>
                </c:pt>
                <c:pt idx="2">
                  <c:v>8%OPA + 15%GGBS</c:v>
                </c:pt>
                <c:pt idx="3">
                  <c:v>12%OPA + 15%GGBS</c:v>
                </c:pt>
                <c:pt idx="4">
                  <c:v>15%OPA + 15%GGBS</c:v>
                </c:pt>
                <c:pt idx="5">
                  <c:v>20%OPA + 15%GGBS</c:v>
                </c:pt>
              </c:strCache>
            </c:strRef>
          </c:cat>
          <c:val>
            <c:numRef>
              <c:f>'comparison compressive'!$B$5:$B$10</c:f>
              <c:numCache>
                <c:formatCode>General</c:formatCode>
                <c:ptCount val="6"/>
                <c:pt idx="0">
                  <c:v>25.82</c:v>
                </c:pt>
                <c:pt idx="1">
                  <c:v>26.24</c:v>
                </c:pt>
                <c:pt idx="2">
                  <c:v>26.62</c:v>
                </c:pt>
                <c:pt idx="3">
                  <c:v>27.01</c:v>
                </c:pt>
                <c:pt idx="4">
                  <c:v>23.39</c:v>
                </c:pt>
                <c:pt idx="5">
                  <c:v>21.25</c:v>
                </c:pt>
              </c:numCache>
            </c:numRef>
          </c:val>
          <c:extLst>
            <c:ext xmlns:c16="http://schemas.microsoft.com/office/drawing/2014/chart" uri="{C3380CC4-5D6E-409C-BE32-E72D297353CC}">
              <c16:uniqueId val="{00000000-83F1-499C-8139-CA6973188A26}"/>
            </c:ext>
          </c:extLst>
        </c:ser>
        <c:ser>
          <c:idx val="1"/>
          <c:order val="1"/>
          <c:tx>
            <c:strRef>
              <c:f>'comparison compressive'!$C$4</c:f>
              <c:strCache>
                <c:ptCount val="1"/>
                <c:pt idx="0">
                  <c:v>14 days in Mpa</c:v>
                </c:pt>
              </c:strCache>
            </c:strRef>
          </c:tx>
          <c:invertIfNegative val="0"/>
          <c:dLbls>
            <c:spPr>
              <a:noFill/>
              <a:ln>
                <a:noFill/>
              </a:ln>
              <a:effectLst/>
            </c:spPr>
            <c:txPr>
              <a:bodyPr/>
              <a:lstStyle/>
              <a:p>
                <a:pPr>
                  <a:defRPr b="1">
                    <a:solidFill>
                      <a:srgbClr val="FF00FF"/>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compressive'!$A$5:$A$10</c:f>
              <c:strCache>
                <c:ptCount val="6"/>
                <c:pt idx="0">
                  <c:v>0%OPA + 0%GGBS</c:v>
                </c:pt>
                <c:pt idx="1">
                  <c:v>4%OPA + 15%GGBS</c:v>
                </c:pt>
                <c:pt idx="2">
                  <c:v>8%OPA + 15%GGBS</c:v>
                </c:pt>
                <c:pt idx="3">
                  <c:v>12%OPA + 15%GGBS</c:v>
                </c:pt>
                <c:pt idx="4">
                  <c:v>15%OPA + 15%GGBS</c:v>
                </c:pt>
                <c:pt idx="5">
                  <c:v>20%OPA + 15%GGBS</c:v>
                </c:pt>
              </c:strCache>
            </c:strRef>
          </c:cat>
          <c:val>
            <c:numRef>
              <c:f>'comparison compressive'!$C$5:$C$10</c:f>
              <c:numCache>
                <c:formatCode>General</c:formatCode>
                <c:ptCount val="6"/>
                <c:pt idx="0">
                  <c:v>30.830000000000005</c:v>
                </c:pt>
                <c:pt idx="1">
                  <c:v>31.21</c:v>
                </c:pt>
                <c:pt idx="2">
                  <c:v>31.59</c:v>
                </c:pt>
                <c:pt idx="3">
                  <c:v>31.979999999999986</c:v>
                </c:pt>
                <c:pt idx="4">
                  <c:v>26.25</c:v>
                </c:pt>
                <c:pt idx="5">
                  <c:v>22.919999999999987</c:v>
                </c:pt>
              </c:numCache>
            </c:numRef>
          </c:val>
          <c:extLst>
            <c:ext xmlns:c16="http://schemas.microsoft.com/office/drawing/2014/chart" uri="{C3380CC4-5D6E-409C-BE32-E72D297353CC}">
              <c16:uniqueId val="{00000001-83F1-499C-8139-CA6973188A26}"/>
            </c:ext>
          </c:extLst>
        </c:ser>
        <c:ser>
          <c:idx val="2"/>
          <c:order val="2"/>
          <c:tx>
            <c:strRef>
              <c:f>'comparison compressive'!$D$4</c:f>
              <c:strCache>
                <c:ptCount val="1"/>
                <c:pt idx="0">
                  <c:v>28 days in Mpa</c:v>
                </c:pt>
              </c:strCache>
            </c:strRef>
          </c:tx>
          <c:invertIfNegative val="0"/>
          <c:dLbls>
            <c:spPr>
              <a:noFill/>
              <a:ln>
                <a:noFill/>
              </a:ln>
              <a:effectLst/>
            </c:spPr>
            <c:txPr>
              <a:bodyPr/>
              <a:lstStyle/>
              <a:p>
                <a:pPr>
                  <a:defRPr b="1">
                    <a:solidFill>
                      <a:srgbClr val="C00000"/>
                    </a:solidFil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'comparison compressive'!$A$5:$A$10</c:f>
              <c:strCache>
                <c:ptCount val="6"/>
                <c:pt idx="0">
                  <c:v>0%OPA + 0%GGBS</c:v>
                </c:pt>
                <c:pt idx="1">
                  <c:v>4%OPA + 15%GGBS</c:v>
                </c:pt>
                <c:pt idx="2">
                  <c:v>8%OPA + 15%GGBS</c:v>
                </c:pt>
                <c:pt idx="3">
                  <c:v>12%OPA + 15%GGBS</c:v>
                </c:pt>
                <c:pt idx="4">
                  <c:v>15%OPA + 15%GGBS</c:v>
                </c:pt>
                <c:pt idx="5">
                  <c:v>20%OPA + 15%GGBS</c:v>
                </c:pt>
              </c:strCache>
            </c:strRef>
          </c:cat>
          <c:val>
            <c:numRef>
              <c:f>'comparison compressive'!$D$5:$D$10</c:f>
              <c:numCache>
                <c:formatCode>General</c:formatCode>
                <c:ptCount val="6"/>
                <c:pt idx="0">
                  <c:v>36.190000000000012</c:v>
                </c:pt>
                <c:pt idx="1">
                  <c:v>37.57</c:v>
                </c:pt>
                <c:pt idx="2">
                  <c:v>37.949999999999996</c:v>
                </c:pt>
                <c:pt idx="3">
                  <c:v>38.53</c:v>
                </c:pt>
                <c:pt idx="4">
                  <c:v>32.51</c:v>
                </c:pt>
                <c:pt idx="5">
                  <c:v>28.21</c:v>
                </c:pt>
              </c:numCache>
            </c:numRef>
          </c:val>
          <c:extLst>
            <c:ext xmlns:c16="http://schemas.microsoft.com/office/drawing/2014/chart" uri="{C3380CC4-5D6E-409C-BE32-E72D297353CC}">
              <c16:uniqueId val="{00000002-83F1-499C-8139-CA6973188A26}"/>
            </c:ext>
          </c:extLst>
        </c:ser>
        <c:dLbls>
          <c:showLegendKey val="0"/>
          <c:showVal val="0"/>
          <c:showCatName val="0"/>
          <c:showSerName val="0"/>
          <c:showPercent val="0"/>
          <c:showBubbleSize val="0"/>
        </c:dLbls>
        <c:gapWidth val="75"/>
        <c:overlap val="-25"/>
        <c:axId val="48654592"/>
        <c:axId val="48660480"/>
      </c:barChart>
      <c:catAx>
        <c:axId val="48654592"/>
        <c:scaling>
          <c:orientation val="minMax"/>
        </c:scaling>
        <c:delete val="0"/>
        <c:axPos val="b"/>
        <c:numFmt formatCode="General" sourceLinked="0"/>
        <c:majorTickMark val="none"/>
        <c:minorTickMark val="none"/>
        <c:tickLblPos val="nextTo"/>
        <c:txPr>
          <a:bodyPr/>
          <a:lstStyle/>
          <a:p>
            <a:pPr>
              <a:defRPr sz="1050" b="1"/>
            </a:pPr>
            <a:endParaRPr lang="en-US"/>
          </a:p>
        </c:txPr>
        <c:crossAx val="48660480"/>
        <c:crosses val="autoZero"/>
        <c:auto val="1"/>
        <c:lblAlgn val="ctr"/>
        <c:lblOffset val="100"/>
        <c:noMultiLvlLbl val="0"/>
      </c:catAx>
      <c:valAx>
        <c:axId val="48660480"/>
        <c:scaling>
          <c:orientation val="minMax"/>
        </c:scaling>
        <c:delete val="0"/>
        <c:axPos val="l"/>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en-US"/>
          </a:p>
        </c:txPr>
        <c:crossAx val="48654592"/>
        <c:crosses val="autoZero"/>
        <c:crossBetween val="between"/>
      </c:valAx>
    </c:plotArea>
    <c:legend>
      <c:legendPos val="b"/>
      <c:overlay val="0"/>
      <c:txPr>
        <a:bodyPr/>
        <a:lstStyle/>
        <a:p>
          <a:pPr>
            <a:defRPr sz="14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a:pPr>
            <a:r>
              <a:rPr lang="en-US" sz="1100">
                <a:latin typeface="Times New Roman" pitchFamily="18" charset="0"/>
                <a:cs typeface="Times New Roman" pitchFamily="18" charset="0"/>
              </a:rPr>
              <a:t>CONTRAST VALUES OF SPLIT TENSILE STRENGTH FOR 7 DAYS, 14 DAYS &amp; 28 DAYS</a:t>
            </a:r>
          </a:p>
        </c:rich>
      </c:tx>
      <c:layout>
        <c:manualLayout>
          <c:xMode val="edge"/>
          <c:yMode val="edge"/>
          <c:x val="0.15220519190826404"/>
          <c:y val="1.2195121951219513E-2"/>
        </c:manualLayout>
      </c:layout>
      <c:overlay val="0"/>
    </c:title>
    <c:autoTitleDeleted val="0"/>
    <c:plotArea>
      <c:layout/>
      <c:barChart>
        <c:barDir val="col"/>
        <c:grouping val="clustered"/>
        <c:varyColors val="0"/>
        <c:ser>
          <c:idx val="0"/>
          <c:order val="0"/>
          <c:tx>
            <c:strRef>
              <c:f>'Split tensile comparision '!$B$4</c:f>
              <c:strCache>
                <c:ptCount val="1"/>
                <c:pt idx="0">
                  <c:v>7 days in Mpa</c:v>
                </c:pt>
              </c:strCache>
            </c:strRef>
          </c:tx>
          <c:invertIfNegative val="0"/>
          <c:dLbls>
            <c:spPr>
              <a:noFill/>
              <a:ln>
                <a:noFill/>
              </a:ln>
              <a:effectLst/>
            </c:spPr>
            <c:txPr>
              <a:bodyPr/>
              <a:lstStyle/>
              <a:p>
                <a:pPr>
                  <a:defRPr b="1">
                    <a:solidFill>
                      <a:srgbClr val="0000FF"/>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'Split tensile comparision '!$A$5:$A$10</c:f>
              <c:strCache>
                <c:ptCount val="6"/>
                <c:pt idx="0">
                  <c:v>0%OPA + 0%GGBS</c:v>
                </c:pt>
                <c:pt idx="1">
                  <c:v>4%OPA + 15%GGBS</c:v>
                </c:pt>
                <c:pt idx="2">
                  <c:v>8%OPA + 15%GGBS</c:v>
                </c:pt>
                <c:pt idx="3">
                  <c:v>12%OPA + 15%GGBS</c:v>
                </c:pt>
                <c:pt idx="4">
                  <c:v>15%OPA + 15%GGBS</c:v>
                </c:pt>
                <c:pt idx="5">
                  <c:v>20%OPA + 15%GGBS</c:v>
                </c:pt>
              </c:strCache>
            </c:strRef>
          </c:cat>
          <c:val>
            <c:numRef>
              <c:f>'Split tensile comparision '!$B$5:$B$10</c:f>
              <c:numCache>
                <c:formatCode>General</c:formatCode>
                <c:ptCount val="6"/>
                <c:pt idx="0">
                  <c:v>1.25</c:v>
                </c:pt>
                <c:pt idx="1">
                  <c:v>1.51</c:v>
                </c:pt>
                <c:pt idx="2">
                  <c:v>1.79</c:v>
                </c:pt>
                <c:pt idx="3">
                  <c:v>1.9800000000000031</c:v>
                </c:pt>
                <c:pt idx="4">
                  <c:v>1.1599999999999968</c:v>
                </c:pt>
                <c:pt idx="5">
                  <c:v>0.92</c:v>
                </c:pt>
              </c:numCache>
            </c:numRef>
          </c:val>
          <c:extLst>
            <c:ext xmlns:c16="http://schemas.microsoft.com/office/drawing/2014/chart" uri="{C3380CC4-5D6E-409C-BE32-E72D297353CC}">
              <c16:uniqueId val="{00000000-2775-4B23-B8F4-98E4A5480D5B}"/>
            </c:ext>
          </c:extLst>
        </c:ser>
        <c:ser>
          <c:idx val="1"/>
          <c:order val="1"/>
          <c:tx>
            <c:strRef>
              <c:f>'Split tensile comparision '!$C$4</c:f>
              <c:strCache>
                <c:ptCount val="1"/>
                <c:pt idx="0">
                  <c:v>14 days in Mpa</c:v>
                </c:pt>
              </c:strCache>
            </c:strRef>
          </c:tx>
          <c:invertIfNegative val="0"/>
          <c:dLbls>
            <c:spPr>
              <a:noFill/>
              <a:ln>
                <a:noFill/>
              </a:ln>
              <a:effectLst/>
            </c:spPr>
            <c:txPr>
              <a:bodyPr/>
              <a:lstStyle/>
              <a:p>
                <a:pPr>
                  <a:defRPr b="1">
                    <a:solidFill>
                      <a:srgbClr val="00B0F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'Split tensile comparision '!$A$5:$A$10</c:f>
              <c:strCache>
                <c:ptCount val="6"/>
                <c:pt idx="0">
                  <c:v>0%OPA + 0%GGBS</c:v>
                </c:pt>
                <c:pt idx="1">
                  <c:v>4%OPA + 15%GGBS</c:v>
                </c:pt>
                <c:pt idx="2">
                  <c:v>8%OPA + 15%GGBS</c:v>
                </c:pt>
                <c:pt idx="3">
                  <c:v>12%OPA + 15%GGBS</c:v>
                </c:pt>
                <c:pt idx="4">
                  <c:v>15%OPA + 15%GGBS</c:v>
                </c:pt>
                <c:pt idx="5">
                  <c:v>20%OPA + 15%GGBS</c:v>
                </c:pt>
              </c:strCache>
            </c:strRef>
          </c:cat>
          <c:val>
            <c:numRef>
              <c:f>'Split tensile comparision '!$C$5:$C$10</c:f>
              <c:numCache>
                <c:formatCode>General</c:formatCode>
                <c:ptCount val="6"/>
                <c:pt idx="0">
                  <c:v>1.6500000000000001</c:v>
                </c:pt>
                <c:pt idx="1">
                  <c:v>1.9300000000000028</c:v>
                </c:pt>
                <c:pt idx="2">
                  <c:v>2.27</c:v>
                </c:pt>
                <c:pt idx="3">
                  <c:v>2.58</c:v>
                </c:pt>
                <c:pt idx="4">
                  <c:v>1.45</c:v>
                </c:pt>
                <c:pt idx="5">
                  <c:v>1.1200000000000001</c:v>
                </c:pt>
              </c:numCache>
            </c:numRef>
          </c:val>
          <c:extLst>
            <c:ext xmlns:c16="http://schemas.microsoft.com/office/drawing/2014/chart" uri="{C3380CC4-5D6E-409C-BE32-E72D297353CC}">
              <c16:uniqueId val="{00000001-2775-4B23-B8F4-98E4A5480D5B}"/>
            </c:ext>
          </c:extLst>
        </c:ser>
        <c:ser>
          <c:idx val="2"/>
          <c:order val="2"/>
          <c:tx>
            <c:strRef>
              <c:f>'Split tensile comparision '!$D$4</c:f>
              <c:strCache>
                <c:ptCount val="1"/>
                <c:pt idx="0">
                  <c:v>28 days in Mpa</c:v>
                </c:pt>
              </c:strCache>
            </c:strRef>
          </c:tx>
          <c:invertIfNegative val="0"/>
          <c:dLbls>
            <c:spPr>
              <a:noFill/>
              <a:ln>
                <a:noFill/>
              </a:ln>
              <a:effectLst/>
            </c:spPr>
            <c:txPr>
              <a:bodyPr/>
              <a:lstStyle/>
              <a:p>
                <a:pPr>
                  <a:defRPr b="1">
                    <a:solidFill>
                      <a:srgbClr val="FF00FF"/>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'Split tensile comparision '!$A$5:$A$10</c:f>
              <c:strCache>
                <c:ptCount val="6"/>
                <c:pt idx="0">
                  <c:v>0%OPA + 0%GGBS</c:v>
                </c:pt>
                <c:pt idx="1">
                  <c:v>4%OPA + 15%GGBS</c:v>
                </c:pt>
                <c:pt idx="2">
                  <c:v>8%OPA + 15%GGBS</c:v>
                </c:pt>
                <c:pt idx="3">
                  <c:v>12%OPA + 15%GGBS</c:v>
                </c:pt>
                <c:pt idx="4">
                  <c:v>15%OPA + 15%GGBS</c:v>
                </c:pt>
                <c:pt idx="5">
                  <c:v>20%OPA + 15%GGBS</c:v>
                </c:pt>
              </c:strCache>
            </c:strRef>
          </c:cat>
          <c:val>
            <c:numRef>
              <c:f>'Split tensile comparision '!$D$5:$D$10</c:f>
              <c:numCache>
                <c:formatCode>General</c:formatCode>
                <c:ptCount val="6"/>
                <c:pt idx="0">
                  <c:v>2.0299999999999998</c:v>
                </c:pt>
                <c:pt idx="1">
                  <c:v>2.4899999999999998</c:v>
                </c:pt>
                <c:pt idx="2">
                  <c:v>2.7800000000000002</c:v>
                </c:pt>
                <c:pt idx="3">
                  <c:v>3.02</c:v>
                </c:pt>
                <c:pt idx="4">
                  <c:v>1.79</c:v>
                </c:pt>
                <c:pt idx="5">
                  <c:v>1.35</c:v>
                </c:pt>
              </c:numCache>
            </c:numRef>
          </c:val>
          <c:extLst>
            <c:ext xmlns:c16="http://schemas.microsoft.com/office/drawing/2014/chart" uri="{C3380CC4-5D6E-409C-BE32-E72D297353CC}">
              <c16:uniqueId val="{00000002-2775-4B23-B8F4-98E4A5480D5B}"/>
            </c:ext>
          </c:extLst>
        </c:ser>
        <c:dLbls>
          <c:showLegendKey val="0"/>
          <c:showVal val="0"/>
          <c:showCatName val="0"/>
          <c:showSerName val="0"/>
          <c:showPercent val="0"/>
          <c:showBubbleSize val="0"/>
        </c:dLbls>
        <c:gapWidth val="75"/>
        <c:overlap val="-25"/>
        <c:axId val="48879488"/>
        <c:axId val="48881024"/>
      </c:barChart>
      <c:catAx>
        <c:axId val="48879488"/>
        <c:scaling>
          <c:orientation val="minMax"/>
        </c:scaling>
        <c:delete val="0"/>
        <c:axPos val="b"/>
        <c:numFmt formatCode="General" sourceLinked="0"/>
        <c:majorTickMark val="none"/>
        <c:minorTickMark val="none"/>
        <c:tickLblPos val="nextTo"/>
        <c:txPr>
          <a:bodyPr/>
          <a:lstStyle/>
          <a:p>
            <a:pPr>
              <a:defRPr b="1">
                <a:latin typeface="Times New Roman" pitchFamily="18" charset="0"/>
                <a:cs typeface="Times New Roman" pitchFamily="18" charset="0"/>
              </a:defRPr>
            </a:pPr>
            <a:endParaRPr lang="en-US"/>
          </a:p>
        </c:txPr>
        <c:crossAx val="48881024"/>
        <c:crosses val="autoZero"/>
        <c:auto val="1"/>
        <c:lblAlgn val="ctr"/>
        <c:lblOffset val="100"/>
        <c:noMultiLvlLbl val="0"/>
      </c:catAx>
      <c:valAx>
        <c:axId val="48881024"/>
        <c:scaling>
          <c:orientation val="minMax"/>
        </c:scaling>
        <c:delete val="0"/>
        <c:axPos val="l"/>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en-US"/>
          </a:p>
        </c:txPr>
        <c:crossAx val="48879488"/>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a:pPr>
            <a:r>
              <a:rPr lang="en-US" sz="1100">
                <a:latin typeface="Times New Roman" pitchFamily="18" charset="0"/>
                <a:cs typeface="Times New Roman" pitchFamily="18" charset="0"/>
              </a:rPr>
              <a:t>CONTRAST VALUES OF FLEXURAL STRENGTH FOR 7 DAYS, 14 DAYS &amp; 28 DAYS</a:t>
            </a:r>
          </a:p>
        </c:rich>
      </c:tx>
      <c:overlay val="0"/>
    </c:title>
    <c:autoTitleDeleted val="0"/>
    <c:plotArea>
      <c:layout/>
      <c:barChart>
        <c:barDir val="col"/>
        <c:grouping val="clustered"/>
        <c:varyColors val="0"/>
        <c:ser>
          <c:idx val="0"/>
          <c:order val="0"/>
          <c:tx>
            <c:strRef>
              <c:f>'Flexural comparison '!$B$4</c:f>
              <c:strCache>
                <c:ptCount val="1"/>
                <c:pt idx="0">
                  <c:v>7 days in Mpa</c:v>
                </c:pt>
              </c:strCache>
            </c:strRef>
          </c:tx>
          <c:invertIfNegative val="0"/>
          <c:dLbls>
            <c:spPr>
              <a:noFill/>
              <a:ln>
                <a:noFill/>
              </a:ln>
              <a:effectLst/>
            </c:spPr>
            <c:txPr>
              <a:bodyPr/>
              <a:lstStyle/>
              <a:p>
                <a:pPr>
                  <a:defRPr b="1">
                    <a:solidFill>
                      <a:srgbClr val="FF0000"/>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'Flexural comparison '!$A$5:$A$10</c:f>
              <c:strCache>
                <c:ptCount val="6"/>
                <c:pt idx="0">
                  <c:v>0%OPA + 0%GGBS</c:v>
                </c:pt>
                <c:pt idx="1">
                  <c:v>4%OPA + 15%GGBS</c:v>
                </c:pt>
                <c:pt idx="2">
                  <c:v>8%OPA + 15%GGBS</c:v>
                </c:pt>
                <c:pt idx="3">
                  <c:v>12%OPA + 15%GGBS</c:v>
                </c:pt>
                <c:pt idx="4">
                  <c:v>15%OPA + 15%GGBS</c:v>
                </c:pt>
                <c:pt idx="5">
                  <c:v>20%OPA + 15%GGBS</c:v>
                </c:pt>
              </c:strCache>
            </c:strRef>
          </c:cat>
          <c:val>
            <c:numRef>
              <c:f>'Flexural comparison '!$B$5:$B$10</c:f>
              <c:numCache>
                <c:formatCode>General</c:formatCode>
                <c:ptCount val="6"/>
                <c:pt idx="0">
                  <c:v>3.13</c:v>
                </c:pt>
                <c:pt idx="1">
                  <c:v>3.38</c:v>
                </c:pt>
                <c:pt idx="2">
                  <c:v>3.63</c:v>
                </c:pt>
                <c:pt idx="3">
                  <c:v>3.86</c:v>
                </c:pt>
                <c:pt idx="4">
                  <c:v>2.92</c:v>
                </c:pt>
                <c:pt idx="5">
                  <c:v>2.4300000000000002</c:v>
                </c:pt>
              </c:numCache>
            </c:numRef>
          </c:val>
          <c:extLst>
            <c:ext xmlns:c16="http://schemas.microsoft.com/office/drawing/2014/chart" uri="{C3380CC4-5D6E-409C-BE32-E72D297353CC}">
              <c16:uniqueId val="{00000000-9747-4FA2-974D-58D3CEF38617}"/>
            </c:ext>
          </c:extLst>
        </c:ser>
        <c:ser>
          <c:idx val="1"/>
          <c:order val="1"/>
          <c:tx>
            <c:strRef>
              <c:f>'Flexural comparison '!$C$4</c:f>
              <c:strCache>
                <c:ptCount val="1"/>
                <c:pt idx="0">
                  <c:v>14 days in Mpa</c:v>
                </c:pt>
              </c:strCache>
            </c:strRef>
          </c:tx>
          <c:invertIfNegative val="0"/>
          <c:dLbls>
            <c:spPr>
              <a:noFill/>
              <a:ln>
                <a:noFill/>
              </a:ln>
              <a:effectLst/>
            </c:spPr>
            <c:txPr>
              <a:bodyPr/>
              <a:lstStyle/>
              <a:p>
                <a:pPr>
                  <a:defRPr b="1">
                    <a:solidFill>
                      <a:srgbClr val="0000FF"/>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'Flexural comparison '!$A$5:$A$10</c:f>
              <c:strCache>
                <c:ptCount val="6"/>
                <c:pt idx="0">
                  <c:v>0%OPA + 0%GGBS</c:v>
                </c:pt>
                <c:pt idx="1">
                  <c:v>4%OPA + 15%GGBS</c:v>
                </c:pt>
                <c:pt idx="2">
                  <c:v>8%OPA + 15%GGBS</c:v>
                </c:pt>
                <c:pt idx="3">
                  <c:v>12%OPA + 15%GGBS</c:v>
                </c:pt>
                <c:pt idx="4">
                  <c:v>15%OPA + 15%GGBS</c:v>
                </c:pt>
                <c:pt idx="5">
                  <c:v>20%OPA + 15%GGBS</c:v>
                </c:pt>
              </c:strCache>
            </c:strRef>
          </c:cat>
          <c:val>
            <c:numRef>
              <c:f>'Flexural comparison '!$C$5:$C$10</c:f>
              <c:numCache>
                <c:formatCode>General</c:formatCode>
                <c:ptCount val="6"/>
                <c:pt idx="0">
                  <c:v>4.6399999999999997</c:v>
                </c:pt>
                <c:pt idx="1">
                  <c:v>4.9800000000000004</c:v>
                </c:pt>
                <c:pt idx="2">
                  <c:v>5.27</c:v>
                </c:pt>
                <c:pt idx="3">
                  <c:v>5.61</c:v>
                </c:pt>
                <c:pt idx="4">
                  <c:v>3.41</c:v>
                </c:pt>
                <c:pt idx="5">
                  <c:v>3.09</c:v>
                </c:pt>
              </c:numCache>
            </c:numRef>
          </c:val>
          <c:extLst>
            <c:ext xmlns:c16="http://schemas.microsoft.com/office/drawing/2014/chart" uri="{C3380CC4-5D6E-409C-BE32-E72D297353CC}">
              <c16:uniqueId val="{00000001-9747-4FA2-974D-58D3CEF38617}"/>
            </c:ext>
          </c:extLst>
        </c:ser>
        <c:ser>
          <c:idx val="2"/>
          <c:order val="2"/>
          <c:tx>
            <c:strRef>
              <c:f>'Flexural comparison '!$D$4</c:f>
              <c:strCache>
                <c:ptCount val="1"/>
                <c:pt idx="0">
                  <c:v>28 days in Mpa</c:v>
                </c:pt>
              </c:strCache>
            </c:strRef>
          </c:tx>
          <c:invertIfNegative val="0"/>
          <c:dLbls>
            <c:spPr>
              <a:noFill/>
              <a:ln>
                <a:noFill/>
              </a:ln>
              <a:effectLst/>
            </c:spPr>
            <c:txPr>
              <a:bodyPr/>
              <a:lstStyle/>
              <a:p>
                <a:pPr>
                  <a:defRPr b="1">
                    <a:solidFill>
                      <a:srgbClr val="FF0066"/>
                    </a:solidFill>
                    <a:latin typeface="Times New Roman" pitchFamily="18" charset="0"/>
                    <a:cs typeface="Times New Roman"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'Flexural comparison '!$A$5:$A$10</c:f>
              <c:strCache>
                <c:ptCount val="6"/>
                <c:pt idx="0">
                  <c:v>0%OPA + 0%GGBS</c:v>
                </c:pt>
                <c:pt idx="1">
                  <c:v>4%OPA + 15%GGBS</c:v>
                </c:pt>
                <c:pt idx="2">
                  <c:v>8%OPA + 15%GGBS</c:v>
                </c:pt>
                <c:pt idx="3">
                  <c:v>12%OPA + 15%GGBS</c:v>
                </c:pt>
                <c:pt idx="4">
                  <c:v>15%OPA + 15%GGBS</c:v>
                </c:pt>
                <c:pt idx="5">
                  <c:v>20%OPA + 15%GGBS</c:v>
                </c:pt>
              </c:strCache>
            </c:strRef>
          </c:cat>
          <c:val>
            <c:numRef>
              <c:f>'Flexural comparison '!$D$5:$D$10</c:f>
              <c:numCache>
                <c:formatCode>General</c:formatCode>
                <c:ptCount val="6"/>
                <c:pt idx="0">
                  <c:v>5.05</c:v>
                </c:pt>
                <c:pt idx="1">
                  <c:v>5.48</c:v>
                </c:pt>
                <c:pt idx="2">
                  <c:v>5.76</c:v>
                </c:pt>
                <c:pt idx="3">
                  <c:v>6.08</c:v>
                </c:pt>
                <c:pt idx="4">
                  <c:v>4.68</c:v>
                </c:pt>
                <c:pt idx="5">
                  <c:v>4.3099999999999996</c:v>
                </c:pt>
              </c:numCache>
            </c:numRef>
          </c:val>
          <c:extLst>
            <c:ext xmlns:c16="http://schemas.microsoft.com/office/drawing/2014/chart" uri="{C3380CC4-5D6E-409C-BE32-E72D297353CC}">
              <c16:uniqueId val="{00000002-9747-4FA2-974D-58D3CEF38617}"/>
            </c:ext>
          </c:extLst>
        </c:ser>
        <c:dLbls>
          <c:showLegendKey val="0"/>
          <c:showVal val="0"/>
          <c:showCatName val="0"/>
          <c:showSerName val="0"/>
          <c:showPercent val="0"/>
          <c:showBubbleSize val="0"/>
        </c:dLbls>
        <c:gapWidth val="75"/>
        <c:overlap val="-25"/>
        <c:axId val="50797568"/>
        <c:axId val="50803456"/>
      </c:barChart>
      <c:catAx>
        <c:axId val="50797568"/>
        <c:scaling>
          <c:orientation val="minMax"/>
        </c:scaling>
        <c:delete val="0"/>
        <c:axPos val="b"/>
        <c:numFmt formatCode="General" sourceLinked="0"/>
        <c:majorTickMark val="none"/>
        <c:minorTickMark val="none"/>
        <c:tickLblPos val="nextTo"/>
        <c:txPr>
          <a:bodyPr/>
          <a:lstStyle/>
          <a:p>
            <a:pPr>
              <a:defRPr sz="850" b="1">
                <a:latin typeface="Times New Roman" pitchFamily="18" charset="0"/>
                <a:cs typeface="Times New Roman" pitchFamily="18" charset="0"/>
              </a:defRPr>
            </a:pPr>
            <a:endParaRPr lang="en-US"/>
          </a:p>
        </c:txPr>
        <c:crossAx val="50803456"/>
        <c:crosses val="autoZero"/>
        <c:auto val="1"/>
        <c:lblAlgn val="ctr"/>
        <c:lblOffset val="100"/>
        <c:noMultiLvlLbl val="0"/>
      </c:catAx>
      <c:valAx>
        <c:axId val="50803456"/>
        <c:scaling>
          <c:orientation val="minMax"/>
        </c:scaling>
        <c:delete val="0"/>
        <c:axPos val="l"/>
        <c:majorGridlines/>
        <c:numFmt formatCode="General" sourceLinked="1"/>
        <c:majorTickMark val="none"/>
        <c:minorTickMark val="none"/>
        <c:tickLblPos val="nextTo"/>
        <c:txPr>
          <a:bodyPr/>
          <a:lstStyle/>
          <a:p>
            <a:pPr>
              <a:defRPr b="1">
                <a:latin typeface="Times New Roman" pitchFamily="18" charset="0"/>
                <a:cs typeface="Times New Roman" pitchFamily="18" charset="0"/>
              </a:defRPr>
            </a:pPr>
            <a:endParaRPr lang="en-US"/>
          </a:p>
        </c:txPr>
        <c:crossAx val="50797568"/>
        <c:crosses val="autoZero"/>
        <c:crossBetween val="between"/>
      </c:valAx>
    </c:plotArea>
    <c:legend>
      <c:legendPos val="b"/>
      <c:overlay val="0"/>
      <c:txPr>
        <a:bodyPr/>
        <a:lstStyle/>
        <a:p>
          <a:pPr>
            <a:defRPr sz="1200" b="1">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C30B8-A4F0-419D-9590-6843074B0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9056</TotalTime>
  <Pages>9</Pages>
  <Words>3218</Words>
  <Characters>18349</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11</cp:revision>
  <cp:lastPrinted>2021-02-22T14:39:00Z</cp:lastPrinted>
  <dcterms:created xsi:type="dcterms:W3CDTF">2023-09-02T03:46:00Z</dcterms:created>
  <dcterms:modified xsi:type="dcterms:W3CDTF">2025-04-02T15:21:00Z</dcterms:modified>
</cp:coreProperties>
</file>