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44"/>
          <w:szCs w:val="44"/>
          <w:color w:val="auto"/>
        </w:rPr>
        <w:t>OPTIMIZING SALES FORECASTING WITH SAP</w:t>
      </w:r>
    </w:p>
    <w:p>
      <w:pPr>
        <w:sectPr>
          <w:pgSz w:w="12240" w:h="15840" w:orient="portrait"/>
          <w:cols w:equalWidth="0" w:num="1">
            <w:col w:w="9480"/>
          </w:cols>
          <w:pgMar w:left="1440" w:top="718" w:right="1320" w:bottom="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38"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Shantanu Biswas</w:t>
      </w:r>
    </w:p>
    <w:p>
      <w:pPr>
        <w:spacing w:after="0" w:line="14" w:lineRule="exact"/>
        <w:rPr>
          <w:sz w:val="24"/>
          <w:szCs w:val="24"/>
          <w:color w:val="auto"/>
        </w:rPr>
      </w:pPr>
    </w:p>
    <w:p>
      <w:pPr>
        <w:ind w:right="640"/>
        <w:spacing w:after="0" w:line="233" w:lineRule="auto"/>
        <w:rPr>
          <w:sz w:val="20"/>
          <w:szCs w:val="20"/>
          <w:color w:val="auto"/>
        </w:rPr>
      </w:pPr>
      <w:r>
        <w:rPr>
          <w:rFonts w:ascii="Times New Roman" w:cs="Times New Roman" w:eastAsia="Times New Roman" w:hAnsi="Times New Roman"/>
          <w:sz w:val="18"/>
          <w:szCs w:val="18"/>
          <w:i w:val="1"/>
          <w:iCs w:val="1"/>
          <w:color w:val="auto"/>
        </w:rPr>
        <w:t>Computer Science and Engineering, Parul Institute of Technology</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Vadodara , Gujarat , India</w:t>
      </w:r>
    </w:p>
    <w:p>
      <w:pPr>
        <w:spacing w:after="0" w:line="200" w:lineRule="exact"/>
        <w:rPr>
          <w:sz w:val="24"/>
          <w:szCs w:val="24"/>
          <w:color w:val="auto"/>
        </w:rPr>
      </w:pPr>
    </w:p>
    <w:p>
      <w:pPr>
        <w:spacing w:after="0" w:line="200" w:lineRule="exact"/>
        <w:rPr>
          <w:sz w:val="24"/>
          <w:szCs w:val="24"/>
          <w:color w:val="auto"/>
        </w:rPr>
      </w:pPr>
    </w:p>
    <w:p>
      <w:pPr>
        <w:spacing w:after="0" w:line="327"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Abstract</w:t>
      </w:r>
    </w:p>
    <w:p>
      <w:pPr>
        <w:spacing w:after="0" w:line="190" w:lineRule="exact"/>
        <w:rPr>
          <w:sz w:val="24"/>
          <w:szCs w:val="24"/>
          <w:color w:val="auto"/>
        </w:rPr>
      </w:pPr>
    </w:p>
    <w:p>
      <w:pPr>
        <w:ind w:right="80"/>
        <w:spacing w:after="0" w:line="256" w:lineRule="auto"/>
        <w:rPr>
          <w:sz w:val="20"/>
          <w:szCs w:val="20"/>
          <w:color w:val="auto"/>
        </w:rPr>
      </w:pPr>
      <w:r>
        <w:rPr>
          <w:rFonts w:ascii="Times New Roman" w:cs="Times New Roman" w:eastAsia="Times New Roman" w:hAnsi="Times New Roman"/>
          <w:sz w:val="18"/>
          <w:szCs w:val="18"/>
          <w:color w:val="auto"/>
        </w:rPr>
        <w:t>Sales forecasting plays a pivotal role in modern business operations, enabling organizations to anticipate demand, allocate resources effectively, and optimize inventory management. However, traditional forecasting methods often fall short in accuracy due to their reliance on</w:t>
      </w:r>
    </w:p>
    <w:p>
      <w:pPr>
        <w:spacing w:after="0" w:line="13" w:lineRule="exact"/>
        <w:rPr>
          <w:sz w:val="24"/>
          <w:szCs w:val="24"/>
          <w:color w:val="auto"/>
        </w:rPr>
      </w:pPr>
    </w:p>
    <w:p>
      <w:pPr>
        <w:ind w:right="160"/>
        <w:spacing w:after="0" w:line="274" w:lineRule="auto"/>
        <w:rPr>
          <w:sz w:val="20"/>
          <w:szCs w:val="20"/>
          <w:color w:val="auto"/>
        </w:rPr>
      </w:pPr>
      <w:r>
        <w:rPr>
          <w:rFonts w:ascii="Times New Roman" w:cs="Times New Roman" w:eastAsia="Times New Roman" w:hAnsi="Times New Roman"/>
          <w:sz w:val="17"/>
          <w:szCs w:val="17"/>
          <w:color w:val="auto"/>
        </w:rPr>
        <w:t>historical data and static assumptions. This paper explores the integration of SAP modules—SAP Sales and Distribution (SD), SAP Financial Accounting (FI), SAP High-Performance Analytic Appliance (HANA), and SAP Fiori—with Artificial Intelligence (AI) and Machine Learning (ML) to revolutionize the sales forecasting process.</w:t>
      </w:r>
    </w:p>
    <w:p>
      <w:pPr>
        <w:spacing w:after="0" w:line="159" w:lineRule="exact"/>
        <w:rPr>
          <w:sz w:val="24"/>
          <w:szCs w:val="24"/>
          <w:color w:val="auto"/>
        </w:rPr>
      </w:pPr>
    </w:p>
    <w:p>
      <w:pPr>
        <w:ind w:right="100"/>
        <w:spacing w:after="0" w:line="255" w:lineRule="auto"/>
        <w:rPr>
          <w:sz w:val="20"/>
          <w:szCs w:val="20"/>
          <w:color w:val="auto"/>
        </w:rPr>
      </w:pPr>
      <w:r>
        <w:rPr>
          <w:rFonts w:ascii="Times New Roman" w:cs="Times New Roman" w:eastAsia="Times New Roman" w:hAnsi="Times New Roman"/>
          <w:sz w:val="18"/>
          <w:szCs w:val="18"/>
          <w:color w:val="auto"/>
        </w:rPr>
        <w:t>The research highlights how SAP SD provides a robust framework for capturing and managing sales data, while SAP FI ensures financial alignment with strategic goals. SAP HANA's in-memory data processing capabilities enable real-time analytics and advanced data modeling,</w:t>
      </w:r>
    </w:p>
    <w:p>
      <w:pPr>
        <w:spacing w:after="0" w:line="16" w:lineRule="exact"/>
        <w:rPr>
          <w:sz w:val="24"/>
          <w:szCs w:val="24"/>
          <w:color w:val="auto"/>
        </w:rPr>
      </w:pPr>
    </w:p>
    <w:p>
      <w:pPr>
        <w:ind w:right="340"/>
        <w:spacing w:after="0" w:line="274" w:lineRule="auto"/>
        <w:rPr>
          <w:sz w:val="20"/>
          <w:szCs w:val="20"/>
          <w:color w:val="auto"/>
        </w:rPr>
      </w:pPr>
      <w:r>
        <w:rPr>
          <w:rFonts w:ascii="Times New Roman" w:cs="Times New Roman" w:eastAsia="Times New Roman" w:hAnsi="Times New Roman"/>
          <w:sz w:val="17"/>
          <w:szCs w:val="17"/>
          <w:color w:val="auto"/>
        </w:rPr>
        <w:t>facilitating predictive insights. SAP Fiori further enhances decision-making by delivering intuitive, role-based dashboards for real-time visualization of sales forecasts.</w:t>
      </w:r>
    </w:p>
    <w:p>
      <w:pPr>
        <w:spacing w:after="0" w:line="159" w:lineRule="exact"/>
        <w:rPr>
          <w:sz w:val="24"/>
          <w:szCs w:val="24"/>
          <w:color w:val="auto"/>
        </w:rPr>
      </w:pPr>
    </w:p>
    <w:p>
      <w:pPr>
        <w:ind w:right="60"/>
        <w:spacing w:after="0" w:line="257" w:lineRule="auto"/>
        <w:rPr>
          <w:sz w:val="20"/>
          <w:szCs w:val="20"/>
          <w:color w:val="auto"/>
        </w:rPr>
      </w:pPr>
      <w:r>
        <w:rPr>
          <w:rFonts w:ascii="Times New Roman" w:cs="Times New Roman" w:eastAsia="Times New Roman" w:hAnsi="Times New Roman"/>
          <w:sz w:val="18"/>
          <w:szCs w:val="18"/>
          <w:color w:val="auto"/>
        </w:rPr>
        <w:t>By incorporating AI/ML algorithms, the forecasting process is enriched with dynamic and adaptive modeling capabilities. These algorithms analyze large datasets, uncover hidden patterns, and adapt to market fluctuations, leading to more precise predictions. The integration of these SAP modules and AI/ML not only enhances</w:t>
      </w:r>
    </w:p>
    <w:p>
      <w:pPr>
        <w:spacing w:after="0" w:line="12" w:lineRule="exact"/>
        <w:rPr>
          <w:sz w:val="24"/>
          <w:szCs w:val="24"/>
          <w:color w:val="auto"/>
        </w:rPr>
      </w:pPr>
    </w:p>
    <w:p>
      <w:pPr>
        <w:ind w:right="60"/>
        <w:spacing w:after="0" w:line="247" w:lineRule="auto"/>
        <w:rPr>
          <w:sz w:val="20"/>
          <w:szCs w:val="20"/>
          <w:color w:val="auto"/>
        </w:rPr>
      </w:pPr>
      <w:r>
        <w:rPr>
          <w:rFonts w:ascii="Times New Roman" w:cs="Times New Roman" w:eastAsia="Times New Roman" w:hAnsi="Times New Roman"/>
          <w:sz w:val="18"/>
          <w:szCs w:val="18"/>
          <w:color w:val="auto"/>
        </w:rPr>
        <w:t>forecasting accuracy but also allows businesses to make agile, data-driven decisions.</w:t>
      </w:r>
    </w:p>
    <w:p>
      <w:pPr>
        <w:spacing w:after="0" w:line="176" w:lineRule="exact"/>
        <w:rPr>
          <w:sz w:val="24"/>
          <w:szCs w:val="24"/>
          <w:color w:val="auto"/>
        </w:rPr>
      </w:pPr>
    </w:p>
    <w:p>
      <w:pPr>
        <w:ind w:right="80"/>
        <w:spacing w:after="0" w:line="257" w:lineRule="auto"/>
        <w:rPr>
          <w:sz w:val="20"/>
          <w:szCs w:val="20"/>
          <w:color w:val="auto"/>
        </w:rPr>
      </w:pPr>
      <w:r>
        <w:rPr>
          <w:rFonts w:ascii="Times New Roman" w:cs="Times New Roman" w:eastAsia="Times New Roman" w:hAnsi="Times New Roman"/>
          <w:sz w:val="18"/>
          <w:szCs w:val="18"/>
          <w:color w:val="auto"/>
        </w:rPr>
        <w:t>A case study is presented to demonstrate the real-world application of this integrated approach in a manufacturing company. The results show significant improvements in operational efficiency, cost savings, and customer satisfaction. Additionally, the paper outlines the challenges, such as initial implementation costs and resistance to change, and proposes strategies to address them.</w:t>
      </w:r>
    </w:p>
    <w:p>
      <w:pPr>
        <w:spacing w:after="0" w:line="172" w:lineRule="exact"/>
        <w:rPr>
          <w:sz w:val="24"/>
          <w:szCs w:val="24"/>
          <w:color w:val="auto"/>
        </w:rPr>
      </w:pPr>
    </w:p>
    <w:p>
      <w:pPr>
        <w:ind w:right="120"/>
        <w:spacing w:after="0" w:line="247" w:lineRule="auto"/>
        <w:rPr>
          <w:sz w:val="20"/>
          <w:szCs w:val="20"/>
          <w:color w:val="auto"/>
        </w:rPr>
      </w:pPr>
      <w:r>
        <w:rPr>
          <w:rFonts w:ascii="Times New Roman" w:cs="Times New Roman" w:eastAsia="Times New Roman" w:hAnsi="Times New Roman"/>
          <w:sz w:val="18"/>
          <w:szCs w:val="18"/>
          <w:color w:val="auto"/>
        </w:rPr>
        <w:t>This study concludes that the synergy between SAP modules and AI/ML technologies is a game-changer for</w:t>
      </w:r>
    </w:p>
    <w:p>
      <w:pPr>
        <w:spacing w:after="0" w:line="20" w:lineRule="exact"/>
        <w:rPr>
          <w:sz w:val="24"/>
          <w:szCs w:val="24"/>
          <w:color w:val="auto"/>
        </w:rPr>
      </w:pPr>
    </w:p>
    <w:p>
      <w:pPr>
        <w:ind w:right="40"/>
        <w:spacing w:after="0" w:line="255" w:lineRule="auto"/>
        <w:rPr>
          <w:sz w:val="20"/>
          <w:szCs w:val="20"/>
          <w:color w:val="auto"/>
        </w:rPr>
      </w:pPr>
      <w:r>
        <w:rPr>
          <w:rFonts w:ascii="Times New Roman" w:cs="Times New Roman" w:eastAsia="Times New Roman" w:hAnsi="Times New Roman"/>
          <w:sz w:val="18"/>
          <w:szCs w:val="18"/>
          <w:color w:val="auto"/>
        </w:rPr>
        <w:t>sales forecasting, providing businesses with a competitive edge in dynamic markets. The findings emphasize the potential for further innovation and scalability in leveraging these technologies for enterprise resource planning (ERP) and beyond.</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362"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Kiran Sharma</w:t>
      </w:r>
    </w:p>
    <w:p>
      <w:pPr>
        <w:spacing w:after="0" w:line="10" w:lineRule="exact"/>
        <w:rPr>
          <w:sz w:val="24"/>
          <w:szCs w:val="24"/>
          <w:color w:val="auto"/>
        </w:rPr>
      </w:pPr>
    </w:p>
    <w:p>
      <w:pPr>
        <w:ind w:right="400"/>
        <w:spacing w:after="0" w:line="233" w:lineRule="auto"/>
        <w:rPr>
          <w:sz w:val="20"/>
          <w:szCs w:val="20"/>
          <w:color w:val="auto"/>
        </w:rPr>
      </w:pPr>
      <w:r>
        <w:rPr>
          <w:rFonts w:ascii="Times New Roman" w:cs="Times New Roman" w:eastAsia="Times New Roman" w:hAnsi="Times New Roman"/>
          <w:sz w:val="18"/>
          <w:szCs w:val="18"/>
          <w:i w:val="1"/>
          <w:iCs w:val="1"/>
          <w:color w:val="auto"/>
        </w:rPr>
        <w:t>Computer Science and Engineering, Parul Institute of Technology</w:t>
      </w:r>
    </w:p>
    <w:p>
      <w:pPr>
        <w:spacing w:after="0" w:line="3"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Vadodara , Gujarat , India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Introduction</w:t>
      </w:r>
    </w:p>
    <w:p>
      <w:pPr>
        <w:spacing w:after="0" w:line="188" w:lineRule="exact"/>
        <w:rPr>
          <w:sz w:val="24"/>
          <w:szCs w:val="24"/>
          <w:color w:val="auto"/>
        </w:rPr>
      </w:pPr>
    </w:p>
    <w:p>
      <w:pPr>
        <w:ind w:right="300"/>
        <w:spacing w:after="0" w:line="257" w:lineRule="auto"/>
        <w:rPr>
          <w:sz w:val="20"/>
          <w:szCs w:val="20"/>
          <w:color w:val="auto"/>
        </w:rPr>
      </w:pPr>
      <w:r>
        <w:rPr>
          <w:rFonts w:ascii="Times New Roman" w:cs="Times New Roman" w:eastAsia="Times New Roman" w:hAnsi="Times New Roman"/>
          <w:sz w:val="18"/>
          <w:szCs w:val="18"/>
          <w:color w:val="auto"/>
        </w:rPr>
        <w:t>Sales forecasting is a critical process for businesses, enabling accurate demand planning, efficient resource allocation, and optimized inventory management. Traditional forecasting methods often struggle with accuracy and adaptability, leading to inefficiencies and missed opportunities. Integrating advanced enterprise resource planning (ERP) tools, such as SAP modules, with Artificial Intelligence (AI) and Machine Learning (ML) offers a transformative solution to these challenges.</w:t>
      </w:r>
    </w:p>
    <w:p>
      <w:pPr>
        <w:spacing w:after="0" w:line="177" w:lineRule="exact"/>
        <w:rPr>
          <w:sz w:val="24"/>
          <w:szCs w:val="24"/>
          <w:color w:val="auto"/>
        </w:rPr>
      </w:pPr>
    </w:p>
    <w:p>
      <w:pPr>
        <w:ind w:right="340"/>
        <w:spacing w:after="0" w:line="255" w:lineRule="auto"/>
        <w:rPr>
          <w:sz w:val="20"/>
          <w:szCs w:val="20"/>
          <w:color w:val="auto"/>
        </w:rPr>
      </w:pPr>
      <w:r>
        <w:rPr>
          <w:rFonts w:ascii="Times New Roman" w:cs="Times New Roman" w:eastAsia="Times New Roman" w:hAnsi="Times New Roman"/>
          <w:sz w:val="18"/>
          <w:szCs w:val="18"/>
          <w:color w:val="auto"/>
        </w:rPr>
        <w:t>SAP modules like SAP SD (Sales and Distribution), SAP FI (Financial Accounting), SAP HANA (High-Performance Analytic Appliance), and SAP Fiori collectively streamline sales forecasting by combining historical sales data with</w:t>
      </w:r>
    </w:p>
    <w:p>
      <w:pPr>
        <w:spacing w:after="0" w:line="16" w:lineRule="exact"/>
        <w:rPr>
          <w:sz w:val="24"/>
          <w:szCs w:val="24"/>
          <w:color w:val="auto"/>
        </w:rPr>
      </w:pPr>
    </w:p>
    <w:p>
      <w:pPr>
        <w:ind w:right="180"/>
        <w:spacing w:after="0" w:line="255" w:lineRule="auto"/>
        <w:rPr>
          <w:sz w:val="20"/>
          <w:szCs w:val="20"/>
          <w:color w:val="auto"/>
        </w:rPr>
      </w:pPr>
      <w:r>
        <w:rPr>
          <w:rFonts w:ascii="Times New Roman" w:cs="Times New Roman" w:eastAsia="Times New Roman" w:hAnsi="Times New Roman"/>
          <w:sz w:val="18"/>
          <w:szCs w:val="18"/>
          <w:color w:val="auto"/>
        </w:rPr>
        <w:t>real-time insights. SAP HANA's in-memory computing enables rapid data processing, while SAP Fiori's intuitive dashboards provide decision-makers with actionable insights at their fingertips.</w:t>
      </w:r>
    </w:p>
    <w:p>
      <w:pPr>
        <w:spacing w:after="0" w:line="174" w:lineRule="exact"/>
        <w:rPr>
          <w:sz w:val="24"/>
          <w:szCs w:val="24"/>
          <w:color w:val="auto"/>
        </w:rPr>
      </w:pPr>
    </w:p>
    <w:p>
      <w:pPr>
        <w:ind w:right="220"/>
        <w:spacing w:after="0" w:line="256" w:lineRule="auto"/>
        <w:rPr>
          <w:sz w:val="20"/>
          <w:szCs w:val="20"/>
          <w:color w:val="auto"/>
        </w:rPr>
      </w:pPr>
      <w:r>
        <w:rPr>
          <w:rFonts w:ascii="Times New Roman" w:cs="Times New Roman" w:eastAsia="Times New Roman" w:hAnsi="Times New Roman"/>
          <w:sz w:val="18"/>
          <w:szCs w:val="18"/>
          <w:color w:val="auto"/>
        </w:rPr>
        <w:t>Furthermore, AI/ML integration enhances forecasting accuracy by analyzing large datasets, identifying trends, and adapting to market changes in real-time. This paper explores how the synergy of these technologies empowers businesses to make data-driven decisions, improve</w:t>
      </w:r>
    </w:p>
    <w:p>
      <w:pPr>
        <w:spacing w:after="0" w:line="17" w:lineRule="exact"/>
        <w:rPr>
          <w:sz w:val="24"/>
          <w:szCs w:val="24"/>
          <w:color w:val="auto"/>
        </w:rPr>
      </w:pPr>
    </w:p>
    <w:p>
      <w:pPr>
        <w:ind w:right="360"/>
        <w:spacing w:after="0" w:line="247" w:lineRule="auto"/>
        <w:rPr>
          <w:sz w:val="20"/>
          <w:szCs w:val="20"/>
          <w:color w:val="auto"/>
        </w:rPr>
      </w:pPr>
      <w:r>
        <w:rPr>
          <w:rFonts w:ascii="Times New Roman" w:cs="Times New Roman" w:eastAsia="Times New Roman" w:hAnsi="Times New Roman"/>
          <w:sz w:val="18"/>
          <w:szCs w:val="18"/>
          <w:color w:val="auto"/>
        </w:rPr>
        <w:t>operational efficiency, and remain agile in competitive markets.</w:t>
      </w:r>
    </w:p>
    <w:p>
      <w:pPr>
        <w:spacing w:after="0" w:line="179" w:lineRule="exact"/>
        <w:rPr>
          <w:sz w:val="24"/>
          <w:szCs w:val="24"/>
          <w:color w:val="auto"/>
        </w:rPr>
      </w:pPr>
    </w:p>
    <w:p>
      <w:pPr>
        <w:spacing w:after="0" w:line="257" w:lineRule="auto"/>
        <w:rPr>
          <w:sz w:val="20"/>
          <w:szCs w:val="20"/>
          <w:color w:val="auto"/>
        </w:rPr>
      </w:pPr>
      <w:r>
        <w:rPr>
          <w:rFonts w:ascii="Times New Roman" w:cs="Times New Roman" w:eastAsia="Times New Roman" w:hAnsi="Times New Roman"/>
          <w:sz w:val="18"/>
          <w:szCs w:val="18"/>
          <w:color w:val="auto"/>
        </w:rPr>
        <w:t>Sales forecasting is not just about predicting future sales; it is about preparing businesses to meet market demands proactively. Inaccurate forecasts can lead to issues like overstocking, understocking, and misallocation of resources, which directly impact profitability and customer satisfaction. Traditional methods rely heavily on historical data, which often fails to account for dynamic market conditions, external factors, and evolving consumer behaviors. Modern enterprises require advanced solutions capable of providing real-time, data-driven insights to make smarter and faster decisions.</w:t>
      </w:r>
    </w:p>
    <w:p>
      <w:pPr>
        <w:spacing w:after="0" w:line="174" w:lineRule="exact"/>
        <w:rPr>
          <w:sz w:val="24"/>
          <w:szCs w:val="24"/>
          <w:color w:val="auto"/>
        </w:rPr>
      </w:pPr>
    </w:p>
    <w:p>
      <w:pPr>
        <w:ind w:right="240"/>
        <w:spacing w:after="0" w:line="270" w:lineRule="auto"/>
        <w:rPr>
          <w:sz w:val="20"/>
          <w:szCs w:val="20"/>
          <w:color w:val="auto"/>
        </w:rPr>
      </w:pPr>
      <w:r>
        <w:rPr>
          <w:rFonts w:ascii="Times New Roman" w:cs="Times New Roman" w:eastAsia="Times New Roman" w:hAnsi="Times New Roman"/>
          <w:sz w:val="18"/>
          <w:szCs w:val="18"/>
          <w:color w:val="auto"/>
        </w:rPr>
        <w:t>The integration of SAP modules with AI/ML technologies addresses these limitations. SAP SD offers robust tools for managing the entire sales</w:t>
      </w:r>
      <w:r>
        <w:rPr>
          <w:rFonts w:ascii="Times New Roman" w:cs="Times New Roman" w:eastAsia="Times New Roman" w:hAnsi="Times New Roman"/>
          <w:sz w:val="19"/>
          <w:szCs w:val="19"/>
          <w:color w:val="auto"/>
        </w:rPr>
        <w:t xml:space="preserve"> lifecycle, while SAP FI ensures that financial insights align seamlessly with business goals. SAP HANA facilitates real-time analytics, processing massive datasets efficiently to identify patterns and trends. SAP Fiori enhances user experience through interactive dashboards, enabling stakeholders to visualize complex data with ease</w:t>
      </w:r>
    </w:p>
    <w:p>
      <w:pPr>
        <w:sectPr>
          <w:pgSz w:w="12240" w:h="15840" w:orient="portrait"/>
          <w:cols w:equalWidth="0" w:num="2">
            <w:col w:w="4500" w:space="720"/>
            <w:col w:w="4260"/>
          </w:cols>
          <w:pgMar w:left="1440" w:top="718" w:right="1320" w:bottom="0" w:gutter="0" w:footer="0" w:header="0"/>
          <w:type w:val="continuous"/>
        </w:sectPr>
      </w:pPr>
    </w:p>
    <w:bookmarkStart w:id="1" w:name="page2"/>
    <w:bookmarkEnd w:id="1"/>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914400</wp:posOffset>
            </wp:positionH>
            <wp:positionV relativeFrom="page">
              <wp:posOffset>1021080</wp:posOffset>
            </wp:positionV>
            <wp:extent cx="2682240" cy="22174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2682240" cy="22174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0" w:lineRule="exact"/>
        <w:rPr>
          <w:sz w:val="20"/>
          <w:szCs w:val="20"/>
          <w:color w:val="auto"/>
        </w:rPr>
      </w:pPr>
    </w:p>
    <w:p>
      <w:pPr>
        <w:jc w:val="center"/>
        <w:ind w:right="240"/>
        <w:spacing w:after="0"/>
        <w:rPr>
          <w:sz w:val="20"/>
          <w:szCs w:val="20"/>
          <w:color w:val="auto"/>
        </w:rPr>
      </w:pPr>
      <w:r>
        <w:rPr>
          <w:rFonts w:ascii="Times New Roman" w:cs="Times New Roman" w:eastAsia="Times New Roman" w:hAnsi="Times New Roman"/>
          <w:sz w:val="20"/>
          <w:szCs w:val="20"/>
          <w:color w:val="auto"/>
        </w:rPr>
        <w:t>Fig (1)</w:t>
      </w:r>
    </w:p>
    <w:p>
      <w:pPr>
        <w:spacing w:after="0" w:line="275" w:lineRule="exact"/>
        <w:rPr>
          <w:sz w:val="20"/>
          <w:szCs w:val="20"/>
          <w:color w:val="auto"/>
        </w:rPr>
      </w:pPr>
    </w:p>
    <w:p>
      <w:pPr>
        <w:ind w:right="60"/>
        <w:spacing w:after="0" w:line="273" w:lineRule="auto"/>
        <w:rPr>
          <w:sz w:val="20"/>
          <w:szCs w:val="20"/>
          <w:color w:val="auto"/>
        </w:rPr>
      </w:pPr>
      <w:r>
        <w:rPr>
          <w:rFonts w:ascii="Times New Roman" w:cs="Times New Roman" w:eastAsia="Times New Roman" w:hAnsi="Times New Roman"/>
          <w:sz w:val="19"/>
          <w:szCs w:val="19"/>
          <w:color w:val="auto"/>
        </w:rPr>
        <w:t>When combined with AI/ML, these modules create a powerful ecosystem for predictive sales forecasting, improving accuracy, responsiveness, and adaptability in dynamic business environments. This paper delves into this innovative approach, demonstrating its potential through real-world applications and case studies.</w:t>
      </w:r>
    </w:p>
    <w:p>
      <w:pPr>
        <w:spacing w:after="0" w:line="14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Objectives</w:t>
      </w:r>
    </w:p>
    <w:p>
      <w:pPr>
        <w:spacing w:after="0" w:line="188" w:lineRule="exact"/>
        <w:rPr>
          <w:sz w:val="20"/>
          <w:szCs w:val="20"/>
          <w:color w:val="auto"/>
        </w:rPr>
      </w:pPr>
    </w:p>
    <w:p>
      <w:pPr>
        <w:ind w:right="80"/>
        <w:spacing w:after="0" w:line="255" w:lineRule="auto"/>
        <w:rPr>
          <w:sz w:val="20"/>
          <w:szCs w:val="20"/>
          <w:color w:val="auto"/>
        </w:rPr>
      </w:pPr>
      <w:r>
        <w:rPr>
          <w:rFonts w:ascii="Times New Roman" w:cs="Times New Roman" w:eastAsia="Times New Roman" w:hAnsi="Times New Roman"/>
          <w:sz w:val="18"/>
          <w:szCs w:val="18"/>
          <w:color w:val="auto"/>
        </w:rPr>
        <w:t>Sales forecasting plays a pivotal role in modern business operations, enabling organizations to anticipate demand, allocate resources effectively, and optimize inventory management. However, traditional forecasting methods often fall short in accuracy due to their reliance on</w:t>
      </w:r>
    </w:p>
    <w:p>
      <w:pPr>
        <w:spacing w:after="0" w:line="19" w:lineRule="exact"/>
        <w:rPr>
          <w:sz w:val="20"/>
          <w:szCs w:val="20"/>
          <w:color w:val="auto"/>
        </w:rPr>
      </w:pPr>
    </w:p>
    <w:p>
      <w:pPr>
        <w:ind w:right="160"/>
        <w:spacing w:after="0" w:line="274" w:lineRule="auto"/>
        <w:rPr>
          <w:sz w:val="20"/>
          <w:szCs w:val="20"/>
          <w:color w:val="auto"/>
        </w:rPr>
      </w:pPr>
      <w:r>
        <w:rPr>
          <w:rFonts w:ascii="Times New Roman" w:cs="Times New Roman" w:eastAsia="Times New Roman" w:hAnsi="Times New Roman"/>
          <w:sz w:val="17"/>
          <w:szCs w:val="17"/>
          <w:color w:val="auto"/>
        </w:rPr>
        <w:t>historical data and static assumptions. This paper explores the integration of SAP modules—SAP Sales and Distribution (SD), SAP Financial Accounting (FI), SAP High-Performance Analytic Appliance (HANA), and SAP Fiori—with Artificial Intelligence (AI) and Machine Learning (ML) to revolutionize the sales forecasting process.</w:t>
      </w:r>
    </w:p>
    <w:p>
      <w:pPr>
        <w:spacing w:after="0" w:line="156" w:lineRule="exact"/>
        <w:rPr>
          <w:sz w:val="20"/>
          <w:szCs w:val="20"/>
          <w:color w:val="auto"/>
        </w:rPr>
      </w:pPr>
    </w:p>
    <w:p>
      <w:pPr>
        <w:ind w:right="100"/>
        <w:spacing w:after="0" w:line="255" w:lineRule="auto"/>
        <w:rPr>
          <w:sz w:val="20"/>
          <w:szCs w:val="20"/>
          <w:color w:val="auto"/>
        </w:rPr>
      </w:pPr>
      <w:r>
        <w:rPr>
          <w:rFonts w:ascii="Times New Roman" w:cs="Times New Roman" w:eastAsia="Times New Roman" w:hAnsi="Times New Roman"/>
          <w:sz w:val="18"/>
          <w:szCs w:val="18"/>
          <w:color w:val="auto"/>
        </w:rPr>
        <w:t>The research highlights how SAP SD provides a robust framework for capturing and managing sales data, while SAP FI ensures financial alignment with strategic goals. SAP HANA's in-memory data processing capabilities enable real-time analytics and advanced data modeling,</w:t>
      </w:r>
    </w:p>
    <w:p>
      <w:pPr>
        <w:spacing w:after="0" w:line="16" w:lineRule="exact"/>
        <w:rPr>
          <w:sz w:val="20"/>
          <w:szCs w:val="20"/>
          <w:color w:val="auto"/>
        </w:rPr>
      </w:pPr>
    </w:p>
    <w:p>
      <w:pPr>
        <w:ind w:right="340"/>
        <w:spacing w:after="0" w:line="276" w:lineRule="auto"/>
        <w:rPr>
          <w:sz w:val="20"/>
          <w:szCs w:val="20"/>
          <w:color w:val="auto"/>
        </w:rPr>
      </w:pPr>
      <w:r>
        <w:rPr>
          <w:rFonts w:ascii="Times New Roman" w:cs="Times New Roman" w:eastAsia="Times New Roman" w:hAnsi="Times New Roman"/>
          <w:sz w:val="17"/>
          <w:szCs w:val="17"/>
          <w:color w:val="auto"/>
        </w:rPr>
        <w:t>facilitating predictive insights. SAP Fiori further enhances decision-making by delivering intuitive, role-based dashboards for real-time visualization of sales forecasts.</w:t>
      </w:r>
    </w:p>
    <w:p>
      <w:pPr>
        <w:spacing w:after="0" w:line="152" w:lineRule="exact"/>
        <w:rPr>
          <w:sz w:val="20"/>
          <w:szCs w:val="20"/>
          <w:color w:val="auto"/>
        </w:rPr>
      </w:pPr>
    </w:p>
    <w:p>
      <w:pPr>
        <w:ind w:right="60"/>
        <w:spacing w:after="0" w:line="257" w:lineRule="auto"/>
        <w:rPr>
          <w:sz w:val="20"/>
          <w:szCs w:val="20"/>
          <w:color w:val="auto"/>
        </w:rPr>
      </w:pPr>
      <w:r>
        <w:rPr>
          <w:rFonts w:ascii="Times New Roman" w:cs="Times New Roman" w:eastAsia="Times New Roman" w:hAnsi="Times New Roman"/>
          <w:sz w:val="18"/>
          <w:szCs w:val="18"/>
          <w:color w:val="auto"/>
        </w:rPr>
        <w:t>By incorporating AI/ML algorithms, the forecasting process is enriched with dynamic and adaptive modeling capabilities. These algorithms analyze large datasets, uncover hidden patterns, and adapt to market fluctuations, leading to more precise predictions. The integration of these SAP modules and AI/ML not only enhances</w:t>
      </w:r>
    </w:p>
    <w:p>
      <w:pPr>
        <w:spacing w:after="0" w:line="14" w:lineRule="exact"/>
        <w:rPr>
          <w:sz w:val="20"/>
          <w:szCs w:val="20"/>
          <w:color w:val="auto"/>
        </w:rPr>
      </w:pPr>
    </w:p>
    <w:p>
      <w:pPr>
        <w:ind w:right="60"/>
        <w:spacing w:after="0" w:line="249" w:lineRule="auto"/>
        <w:rPr>
          <w:sz w:val="20"/>
          <w:szCs w:val="20"/>
          <w:color w:val="auto"/>
        </w:rPr>
      </w:pPr>
      <w:r>
        <w:rPr>
          <w:rFonts w:ascii="Times New Roman" w:cs="Times New Roman" w:eastAsia="Times New Roman" w:hAnsi="Times New Roman"/>
          <w:sz w:val="18"/>
          <w:szCs w:val="18"/>
          <w:color w:val="auto"/>
        </w:rPr>
        <w:t>forecasting accuracy but also allows businesses to make agile, data-driven decisions.</w:t>
      </w:r>
    </w:p>
    <w:p>
      <w:pPr>
        <w:spacing w:after="0" w:line="175" w:lineRule="exact"/>
        <w:rPr>
          <w:sz w:val="20"/>
          <w:szCs w:val="20"/>
          <w:color w:val="auto"/>
        </w:rPr>
      </w:pPr>
    </w:p>
    <w:p>
      <w:pPr>
        <w:ind w:right="80"/>
        <w:spacing w:after="0" w:line="257" w:lineRule="auto"/>
        <w:rPr>
          <w:sz w:val="20"/>
          <w:szCs w:val="20"/>
          <w:color w:val="auto"/>
        </w:rPr>
      </w:pPr>
      <w:r>
        <w:rPr>
          <w:rFonts w:ascii="Times New Roman" w:cs="Times New Roman" w:eastAsia="Times New Roman" w:hAnsi="Times New Roman"/>
          <w:sz w:val="18"/>
          <w:szCs w:val="18"/>
          <w:color w:val="auto"/>
        </w:rPr>
        <w:t>A case study is presented to demonstrate the real-world application of this integrated approach in a manufacturing company. The results show significant improvements in operational efficiency, cost savings, and customer satisfaction. Additionally, the paper outlines the challenges, such as initial implementation costs and resistance to change,</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18"/>
          <w:szCs w:val="18"/>
          <w:color w:val="auto"/>
        </w:rPr>
        <w:t>and proposes strategies to address them.</w:t>
      </w:r>
    </w:p>
    <w:p>
      <w:pPr>
        <w:spacing w:after="0" w:line="178" w:lineRule="exact"/>
        <w:rPr>
          <w:sz w:val="20"/>
          <w:szCs w:val="20"/>
          <w:color w:val="auto"/>
        </w:rPr>
      </w:pPr>
    </w:p>
    <w:p>
      <w:pPr>
        <w:spacing w:after="0" w:line="257" w:lineRule="auto"/>
        <w:rPr>
          <w:sz w:val="20"/>
          <w:szCs w:val="20"/>
          <w:color w:val="auto"/>
        </w:rPr>
      </w:pPr>
      <w:r>
        <w:rPr>
          <w:rFonts w:ascii="Times New Roman" w:cs="Times New Roman" w:eastAsia="Times New Roman" w:hAnsi="Times New Roman"/>
          <w:sz w:val="18"/>
          <w:szCs w:val="18"/>
          <w:color w:val="auto"/>
        </w:rPr>
        <w:t>This study concludes that the synergy between SAP modules and AI/ML technologies is a game-changer for sales forecasting, providing businesses with a competitive edge in dynamic markets. The findings emphasize the potential for further innovation scalability in leveraging these technologies for enterprise resource planning (ERP) and beyond.</w:t>
      </w:r>
    </w:p>
    <w:p>
      <w:pPr>
        <w:spacing w:after="0" w:line="200" w:lineRule="exact"/>
        <w:rPr>
          <w:sz w:val="20"/>
          <w:szCs w:val="20"/>
          <w:color w:val="auto"/>
        </w:rPr>
      </w:pPr>
    </w:p>
    <w:p>
      <w:pPr>
        <w:spacing w:after="0" w:line="200" w:lineRule="exact"/>
        <w:rPr>
          <w:sz w:val="20"/>
          <w:szCs w:val="20"/>
          <w:color w:val="auto"/>
        </w:rPr>
      </w:pP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Overview of SAP Modules</w:t>
      </w:r>
    </w:p>
    <w:p>
      <w:pPr>
        <w:spacing w:after="0" w:line="178" w:lineRule="exact"/>
        <w:rPr>
          <w:sz w:val="20"/>
          <w:szCs w:val="20"/>
          <w:color w:val="auto"/>
        </w:rPr>
      </w:pPr>
    </w:p>
    <w:p>
      <w:pPr>
        <w:ind w:left="720" w:hanging="359"/>
        <w:spacing w:after="0"/>
        <w:tabs>
          <w:tab w:leader="none" w:pos="72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SAP SD (Sales and Distribution):</w:t>
      </w:r>
    </w:p>
    <w:p>
      <w:pPr>
        <w:spacing w:after="0" w:line="189" w:lineRule="exact"/>
        <w:rPr>
          <w:sz w:val="20"/>
          <w:szCs w:val="20"/>
          <w:color w:val="auto"/>
        </w:rPr>
      </w:pPr>
    </w:p>
    <w:p>
      <w:pPr>
        <w:ind w:left="1440" w:right="1040" w:hanging="359"/>
        <w:spacing w:after="0"/>
        <w:tabs>
          <w:tab w:leader="none" w:pos="1440" w:val="left"/>
        </w:tabs>
        <w:numPr>
          <w:ilvl w:val="0"/>
          <w:numId w:val="2"/>
        </w:numPr>
        <w:rPr>
          <w:rFonts w:ascii="Courier New" w:cs="Courier New" w:eastAsia="Courier New" w:hAnsi="Courier New"/>
          <w:sz w:val="20"/>
          <w:szCs w:val="20"/>
          <w:color w:val="auto"/>
        </w:rPr>
      </w:pPr>
      <w:r>
        <w:rPr>
          <w:rFonts w:ascii="Times New Roman" w:cs="Times New Roman" w:eastAsia="Times New Roman" w:hAnsi="Times New Roman"/>
          <w:sz w:val="20"/>
          <w:szCs w:val="20"/>
          <w:color w:val="auto"/>
        </w:rPr>
        <w:t>Key features (e.g., order management, pricing, billing, customer relationships).</w:t>
      </w:r>
    </w:p>
    <w:p>
      <w:pPr>
        <w:spacing w:after="0" w:line="160" w:lineRule="exact"/>
        <w:rPr>
          <w:sz w:val="20"/>
          <w:szCs w:val="20"/>
          <w:color w:val="auto"/>
        </w:rPr>
      </w:pPr>
    </w:p>
    <w:p>
      <w:pPr>
        <w:ind w:left="1440" w:hanging="359"/>
        <w:spacing w:after="0"/>
        <w:tabs>
          <w:tab w:leader="none" w:pos="1440" w:val="left"/>
        </w:tabs>
        <w:numPr>
          <w:ilvl w:val="1"/>
          <w:numId w:val="3"/>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Role in providing historical sales data.</w:t>
      </w:r>
    </w:p>
    <w:p>
      <w:pPr>
        <w:spacing w:after="0" w:line="155" w:lineRule="exact"/>
        <w:rPr>
          <w:rFonts w:ascii="Courier New" w:cs="Courier New" w:eastAsia="Courier New" w:hAnsi="Courier New"/>
          <w:sz w:val="20"/>
          <w:szCs w:val="20"/>
          <w:color w:val="auto"/>
        </w:rPr>
      </w:pPr>
    </w:p>
    <w:p>
      <w:pPr>
        <w:ind w:left="720" w:hanging="359"/>
        <w:spacing w:after="0"/>
        <w:tabs>
          <w:tab w:leader="none" w:pos="7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SAP FI (Financial Accounting):</w:t>
      </w:r>
    </w:p>
    <w:p>
      <w:pPr>
        <w:spacing w:after="0" w:line="182" w:lineRule="exact"/>
        <w:rPr>
          <w:rFonts w:ascii="Times New Roman" w:cs="Times New Roman" w:eastAsia="Times New Roman" w:hAnsi="Times New Roman"/>
          <w:sz w:val="18"/>
          <w:szCs w:val="18"/>
          <w:color w:val="auto"/>
        </w:rPr>
      </w:pPr>
    </w:p>
    <w:p>
      <w:pPr>
        <w:ind w:left="1440" w:right="1000" w:hanging="359"/>
        <w:spacing w:after="0" w:line="222" w:lineRule="auto"/>
        <w:tabs>
          <w:tab w:leader="none" w:pos="1440" w:val="left"/>
        </w:tabs>
        <w:numPr>
          <w:ilvl w:val="1"/>
          <w:numId w:val="4"/>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Key features (e.g., general ledger, financial reporting).</w:t>
      </w:r>
    </w:p>
    <w:p>
      <w:pPr>
        <w:spacing w:after="0" w:line="183" w:lineRule="exact"/>
        <w:rPr>
          <w:sz w:val="20"/>
          <w:szCs w:val="20"/>
          <w:color w:val="auto"/>
        </w:rPr>
      </w:pPr>
    </w:p>
    <w:p>
      <w:pPr>
        <w:ind w:left="1440" w:right="980" w:hanging="359"/>
        <w:spacing w:after="0" w:line="227" w:lineRule="auto"/>
        <w:tabs>
          <w:tab w:leader="none" w:pos="1440" w:val="left"/>
        </w:tabs>
        <w:numPr>
          <w:ilvl w:val="1"/>
          <w:numId w:val="5"/>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Contribution to aligning financial insights with sales forecasts.</w:t>
      </w:r>
    </w:p>
    <w:p>
      <w:pPr>
        <w:spacing w:after="0" w:line="179" w:lineRule="exact"/>
        <w:rPr>
          <w:rFonts w:ascii="Courier New" w:cs="Courier New" w:eastAsia="Courier New" w:hAnsi="Courier New"/>
          <w:sz w:val="20"/>
          <w:szCs w:val="20"/>
          <w:color w:val="auto"/>
        </w:rPr>
      </w:pPr>
    </w:p>
    <w:p>
      <w:pPr>
        <w:ind w:left="720" w:hanging="359"/>
        <w:spacing w:after="0"/>
        <w:tabs>
          <w:tab w:leader="none" w:pos="72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SAP HANA:</w:t>
      </w:r>
    </w:p>
    <w:p>
      <w:pPr>
        <w:spacing w:after="0" w:line="182" w:lineRule="exact"/>
        <w:rPr>
          <w:rFonts w:ascii="Times New Roman" w:cs="Times New Roman" w:eastAsia="Times New Roman" w:hAnsi="Times New Roman"/>
          <w:sz w:val="18"/>
          <w:szCs w:val="18"/>
          <w:color w:val="auto"/>
        </w:rPr>
      </w:pPr>
    </w:p>
    <w:p>
      <w:pPr>
        <w:ind w:left="1440" w:right="820" w:hanging="359"/>
        <w:spacing w:after="0" w:line="221" w:lineRule="auto"/>
        <w:tabs>
          <w:tab w:leader="none" w:pos="1440" w:val="left"/>
        </w:tabs>
        <w:numPr>
          <w:ilvl w:val="1"/>
          <w:numId w:val="6"/>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High-performance real-time analytics and data processing.</w:t>
      </w:r>
    </w:p>
    <w:p>
      <w:pPr>
        <w:spacing w:after="0" w:line="183" w:lineRule="exact"/>
        <w:rPr>
          <w:sz w:val="20"/>
          <w:szCs w:val="20"/>
          <w:color w:val="auto"/>
        </w:rPr>
      </w:pPr>
    </w:p>
    <w:p>
      <w:pPr>
        <w:ind w:left="1440" w:right="740" w:hanging="359"/>
        <w:spacing w:after="0" w:line="222" w:lineRule="auto"/>
        <w:tabs>
          <w:tab w:leader="none" w:pos="1440" w:val="left"/>
        </w:tabs>
        <w:numPr>
          <w:ilvl w:val="1"/>
          <w:numId w:val="7"/>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Role in predictive analytics and trend identification.</w:t>
      </w:r>
    </w:p>
    <w:p>
      <w:pPr>
        <w:spacing w:after="0" w:line="177" w:lineRule="exact"/>
        <w:rPr>
          <w:rFonts w:ascii="Courier New" w:cs="Courier New" w:eastAsia="Courier New" w:hAnsi="Courier New"/>
          <w:sz w:val="20"/>
          <w:szCs w:val="20"/>
          <w:color w:val="auto"/>
        </w:rPr>
      </w:pPr>
    </w:p>
    <w:p>
      <w:pPr>
        <w:ind w:left="720" w:hanging="359"/>
        <w:spacing w:after="0"/>
        <w:tabs>
          <w:tab w:leader="none" w:pos="72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SAP Fiori:</w:t>
      </w:r>
    </w:p>
    <w:p>
      <w:pPr>
        <w:spacing w:after="0" w:line="182" w:lineRule="exact"/>
        <w:rPr>
          <w:rFonts w:ascii="Times New Roman" w:cs="Times New Roman" w:eastAsia="Times New Roman" w:hAnsi="Times New Roman"/>
          <w:sz w:val="18"/>
          <w:szCs w:val="18"/>
          <w:color w:val="auto"/>
        </w:rPr>
      </w:pPr>
    </w:p>
    <w:p>
      <w:pPr>
        <w:ind w:left="1440" w:right="1160" w:hanging="359"/>
        <w:spacing w:after="0" w:line="233" w:lineRule="auto"/>
        <w:tabs>
          <w:tab w:leader="none" w:pos="1440" w:val="left"/>
        </w:tabs>
        <w:numPr>
          <w:ilvl w:val="1"/>
          <w:numId w:val="8"/>
        </w:numPr>
        <w:rPr>
          <w:rFonts w:ascii="Courier New" w:cs="Courier New" w:eastAsia="Courier New" w:hAnsi="Courier New"/>
          <w:sz w:val="19"/>
          <w:szCs w:val="19"/>
          <w:color w:val="auto"/>
        </w:rPr>
      </w:pPr>
      <w:r>
        <w:rPr>
          <w:rFonts w:ascii="Times New Roman" w:cs="Times New Roman" w:eastAsia="Times New Roman" w:hAnsi="Times New Roman"/>
          <w:sz w:val="17"/>
          <w:szCs w:val="17"/>
          <w:color w:val="auto"/>
        </w:rPr>
        <w:t>User-friendly dashboards for visualizing data.</w:t>
      </w:r>
    </w:p>
    <w:p>
      <w:pPr>
        <w:spacing w:after="0" w:line="186" w:lineRule="exact"/>
        <w:rPr>
          <w:sz w:val="20"/>
          <w:szCs w:val="20"/>
          <w:color w:val="auto"/>
        </w:rPr>
      </w:pPr>
    </w:p>
    <w:p>
      <w:pPr>
        <w:ind w:left="1440" w:right="1080" w:hanging="359"/>
        <w:spacing w:after="0" w:line="221" w:lineRule="auto"/>
        <w:tabs>
          <w:tab w:leader="none" w:pos="1440" w:val="left"/>
        </w:tabs>
        <w:numPr>
          <w:ilvl w:val="0"/>
          <w:numId w:val="9"/>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Real-time data insights for decision- making.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110490</wp:posOffset>
            </wp:positionV>
            <wp:extent cx="2740660" cy="15551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740660" cy="15551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ind w:left="1980"/>
        <w:spacing w:after="0"/>
        <w:rPr>
          <w:sz w:val="20"/>
          <w:szCs w:val="20"/>
          <w:color w:val="auto"/>
        </w:rPr>
      </w:pPr>
      <w:r>
        <w:rPr>
          <w:rFonts w:ascii="Times New Roman" w:cs="Times New Roman" w:eastAsia="Times New Roman" w:hAnsi="Times New Roman"/>
          <w:sz w:val="18"/>
          <w:szCs w:val="18"/>
          <w:color w:val="auto"/>
        </w:rPr>
        <w:t>Fig (2)</w:t>
      </w:r>
    </w:p>
    <w:p>
      <w:pPr>
        <w:spacing w:after="0" w:line="200" w:lineRule="exact"/>
        <w:rPr>
          <w:sz w:val="20"/>
          <w:szCs w:val="20"/>
          <w:color w:val="auto"/>
        </w:rPr>
      </w:pP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Transformative Impact of AI/ML</w:t>
      </w:r>
    </w:p>
    <w:p>
      <w:pPr>
        <w:spacing w:after="0" w:line="190" w:lineRule="exact"/>
        <w:rPr>
          <w:sz w:val="20"/>
          <w:szCs w:val="20"/>
          <w:color w:val="auto"/>
        </w:rPr>
      </w:pPr>
    </w:p>
    <w:p>
      <w:pPr>
        <w:ind w:right="400"/>
        <w:spacing w:after="0" w:line="273" w:lineRule="auto"/>
        <w:rPr>
          <w:sz w:val="20"/>
          <w:szCs w:val="20"/>
          <w:color w:val="auto"/>
        </w:rPr>
      </w:pPr>
      <w:r>
        <w:rPr>
          <w:rFonts w:ascii="Times New Roman" w:cs="Times New Roman" w:eastAsia="Times New Roman" w:hAnsi="Times New Roman"/>
          <w:sz w:val="17"/>
          <w:szCs w:val="17"/>
          <w:color w:val="auto"/>
        </w:rPr>
        <w:t>The integration of AI/ML technologies further amplifies the forecasting capabilities of SAP systems. Unlike traditional methods, which rely on static assumptions</w:t>
      </w:r>
    </w:p>
    <w:p>
      <w:pPr>
        <w:sectPr>
          <w:pgSz w:w="12240" w:h="15840" w:orient="portrait"/>
          <w:cols w:equalWidth="0" w:num="2">
            <w:col w:w="4500" w:space="720"/>
            <w:col w:w="4420"/>
          </w:cols>
          <w:pgMar w:left="1440" w:top="1359" w:right="1160" w:bottom="0" w:gutter="0" w:footer="0" w:header="0"/>
        </w:sectPr>
      </w:pPr>
    </w:p>
    <w:bookmarkStart w:id="2" w:name="page3"/>
    <w:bookmarkEnd w:id="2"/>
    <w:p>
      <w:pPr>
        <w:spacing w:after="0" w:line="10" w:lineRule="exact"/>
        <w:rPr>
          <w:sz w:val="20"/>
          <w:szCs w:val="20"/>
          <w:color w:val="auto"/>
        </w:rPr>
      </w:pPr>
    </w:p>
    <w:p>
      <w:pPr>
        <w:jc w:val="both"/>
        <w:ind w:right="540"/>
        <w:spacing w:after="0" w:line="253" w:lineRule="auto"/>
        <w:rPr>
          <w:sz w:val="20"/>
          <w:szCs w:val="20"/>
          <w:color w:val="auto"/>
        </w:rPr>
      </w:pPr>
      <w:r>
        <w:rPr>
          <w:rFonts w:ascii="Times New Roman" w:cs="Times New Roman" w:eastAsia="Times New Roman" w:hAnsi="Times New Roman"/>
          <w:sz w:val="18"/>
          <w:szCs w:val="18"/>
          <w:color w:val="auto"/>
        </w:rPr>
        <w:t>and linear trends, AI/ML models dynamically adapt to changing market conditions by analyzing vast amounts of structured and unstructured data.</w:t>
      </w:r>
    </w:p>
    <w:p>
      <w:pPr>
        <w:spacing w:after="0" w:line="177" w:lineRule="exact"/>
        <w:rPr>
          <w:sz w:val="20"/>
          <w:szCs w:val="20"/>
          <w:color w:val="auto"/>
        </w:rPr>
      </w:pPr>
    </w:p>
    <w:p>
      <w:pPr>
        <w:ind w:left="720" w:hanging="360"/>
        <w:spacing w:after="0"/>
        <w:tabs>
          <w:tab w:leader="none" w:pos="720" w:val="left"/>
        </w:tabs>
        <w:numPr>
          <w:ilvl w:val="0"/>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Improved Accuracy:</w:t>
      </w:r>
    </w:p>
    <w:p>
      <w:pPr>
        <w:spacing w:after="0" w:line="29" w:lineRule="exact"/>
        <w:rPr>
          <w:rFonts w:ascii="Arial" w:cs="Arial" w:eastAsia="Arial" w:hAnsi="Arial"/>
          <w:sz w:val="20"/>
          <w:szCs w:val="20"/>
          <w:color w:val="auto"/>
        </w:rPr>
      </w:pPr>
    </w:p>
    <w:p>
      <w:pPr>
        <w:ind w:left="720" w:right="520"/>
        <w:spacing w:after="0" w:line="274" w:lineRule="auto"/>
        <w:rPr>
          <w:rFonts w:ascii="Arial" w:cs="Arial" w:eastAsia="Arial" w:hAnsi="Arial"/>
          <w:sz w:val="20"/>
          <w:szCs w:val="20"/>
          <w:color w:val="auto"/>
        </w:rPr>
      </w:pPr>
      <w:r>
        <w:rPr>
          <w:rFonts w:ascii="Times New Roman" w:cs="Times New Roman" w:eastAsia="Times New Roman" w:hAnsi="Times New Roman"/>
          <w:sz w:val="17"/>
          <w:szCs w:val="17"/>
          <w:color w:val="auto"/>
        </w:rPr>
        <w:t>AI/ML algorithms can process historical sales data, seasonal trends, market conditions, and external factors such as weather or economic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457200</wp:posOffset>
            </wp:positionH>
            <wp:positionV relativeFrom="paragraph">
              <wp:posOffset>160020</wp:posOffset>
            </wp:positionV>
            <wp:extent cx="2129790" cy="26898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129790" cy="26898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4" w:lineRule="exact"/>
        <w:rPr>
          <w:sz w:val="20"/>
          <w:szCs w:val="20"/>
          <w:color w:val="auto"/>
        </w:rPr>
      </w:pPr>
    </w:p>
    <w:p>
      <w:pPr>
        <w:ind w:left="2080"/>
        <w:spacing w:after="0"/>
        <w:rPr>
          <w:sz w:val="20"/>
          <w:szCs w:val="20"/>
          <w:color w:val="auto"/>
        </w:rPr>
      </w:pPr>
      <w:r>
        <w:rPr>
          <w:rFonts w:ascii="Times New Roman" w:cs="Times New Roman" w:eastAsia="Times New Roman" w:hAnsi="Times New Roman"/>
          <w:sz w:val="18"/>
          <w:szCs w:val="18"/>
          <w:color w:val="auto"/>
        </w:rPr>
        <w:t>Fig (3)</w:t>
      </w:r>
    </w:p>
    <w:p>
      <w:pPr>
        <w:spacing w:after="0" w:line="188" w:lineRule="exact"/>
        <w:rPr>
          <w:sz w:val="20"/>
          <w:szCs w:val="20"/>
          <w:color w:val="auto"/>
        </w:rPr>
      </w:pPr>
    </w:p>
    <w:p>
      <w:pPr>
        <w:ind w:left="720" w:hanging="360"/>
        <w:spacing w:after="0"/>
        <w:tabs>
          <w:tab w:leader="none" w:pos="720" w:val="left"/>
        </w:tabs>
        <w:numPr>
          <w:ilvl w:val="0"/>
          <w:numId w:val="11"/>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Real-Time Adjustments:</w:t>
      </w:r>
    </w:p>
    <w:p>
      <w:pPr>
        <w:spacing w:after="0" w:line="27" w:lineRule="exact"/>
        <w:rPr>
          <w:rFonts w:ascii="Arial" w:cs="Arial" w:eastAsia="Arial" w:hAnsi="Arial"/>
          <w:sz w:val="20"/>
          <w:szCs w:val="20"/>
          <w:color w:val="auto"/>
        </w:rPr>
      </w:pPr>
    </w:p>
    <w:p>
      <w:pPr>
        <w:ind w:left="720" w:right="60"/>
        <w:spacing w:after="0" w:line="259"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enables businesses to make real-time adjustments to forecasts as new data becomes available. For example, sudden changes in consumer demand or supply</w:t>
      </w:r>
      <w:r>
        <w:rPr>
          <w:rFonts w:ascii="Times New Roman" w:cs="Times New Roman" w:eastAsia="Times New Roman" w:hAnsi="Times New Roman"/>
          <w:sz w:val="19"/>
          <w:szCs w:val="19"/>
          <w:color w:val="auto"/>
        </w:rPr>
        <w:t xml:space="preserve"> chain disruptions</w:t>
      </w:r>
      <w:r>
        <w:rPr>
          <w:rFonts w:ascii="Times New Roman" w:cs="Times New Roman" w:eastAsia="Times New Roman" w:hAnsi="Times New Roman"/>
          <w:sz w:val="18"/>
          <w:szCs w:val="18"/>
          <w:color w:val="auto"/>
        </w:rPr>
        <w:t xml:space="preserve"> can be incorporated into the model instantly, ensuring forecasts remain relevant and</w:t>
      </w:r>
    </w:p>
    <w:p>
      <w:pPr>
        <w:spacing w:after="0" w:line="13" w:lineRule="exact"/>
        <w:rPr>
          <w:rFonts w:ascii="Arial" w:cs="Arial" w:eastAsia="Arial" w:hAnsi="Arial"/>
          <w:sz w:val="20"/>
          <w:szCs w:val="20"/>
          <w:color w:val="auto"/>
        </w:rPr>
      </w:pPr>
    </w:p>
    <w:p>
      <w:pPr>
        <w:ind w:left="720"/>
        <w:spacing w:after="0"/>
        <w:rPr>
          <w:rFonts w:ascii="Arial" w:cs="Arial" w:eastAsia="Arial" w:hAnsi="Arial"/>
          <w:sz w:val="20"/>
          <w:szCs w:val="20"/>
          <w:color w:val="auto"/>
        </w:rPr>
      </w:pPr>
      <w:r>
        <w:rPr>
          <w:rFonts w:ascii="Times New Roman" w:cs="Times New Roman" w:eastAsia="Times New Roman" w:hAnsi="Times New Roman"/>
          <w:sz w:val="18"/>
          <w:szCs w:val="18"/>
          <w:color w:val="auto"/>
        </w:rPr>
        <w:t>actionable</w:t>
      </w:r>
      <w:r>
        <w:rPr>
          <w:rFonts w:ascii="Times New Roman" w:cs="Times New Roman" w:eastAsia="Times New Roman" w:hAnsi="Times New Roman"/>
          <w:sz w:val="19"/>
          <w:szCs w:val="19"/>
          <w:color w:val="auto"/>
        </w:rPr>
        <w:t>.</w:t>
      </w:r>
    </w:p>
    <w:p>
      <w:pPr>
        <w:spacing w:after="0" w:line="194" w:lineRule="exact"/>
        <w:rPr>
          <w:rFonts w:ascii="Arial" w:cs="Arial" w:eastAsia="Arial" w:hAnsi="Arial"/>
          <w:sz w:val="20"/>
          <w:szCs w:val="20"/>
          <w:color w:val="auto"/>
        </w:rPr>
      </w:pPr>
    </w:p>
    <w:p>
      <w:pPr>
        <w:ind w:left="720" w:hanging="360"/>
        <w:spacing w:after="0"/>
        <w:tabs>
          <w:tab w:leader="none" w:pos="720" w:val="left"/>
        </w:tabs>
        <w:numPr>
          <w:ilvl w:val="0"/>
          <w:numId w:val="11"/>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Pattern Detection and Trend Analysis:</w:t>
      </w:r>
    </w:p>
    <w:p>
      <w:pPr>
        <w:spacing w:after="0" w:line="24" w:lineRule="exact"/>
        <w:rPr>
          <w:rFonts w:ascii="Arial" w:cs="Arial" w:eastAsia="Arial" w:hAnsi="Arial"/>
          <w:sz w:val="20"/>
          <w:szCs w:val="20"/>
          <w:color w:val="auto"/>
        </w:rPr>
      </w:pPr>
    </w:p>
    <w:p>
      <w:pPr>
        <w:ind w:left="720" w:right="60"/>
        <w:spacing w:after="0" w:line="257"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can identify hidden patterns in sales data that are often overlooked by traditional methods. For instance, it can detect correlations between seemingly unrelated variables, such as social media sentiment and sales performance, providing deeper insights into market behavior.</w:t>
      </w:r>
    </w:p>
    <w:p>
      <w:pPr>
        <w:spacing w:after="0" w:line="174" w:lineRule="exact"/>
        <w:rPr>
          <w:rFonts w:ascii="Arial" w:cs="Arial" w:eastAsia="Arial" w:hAnsi="Arial"/>
          <w:sz w:val="20"/>
          <w:szCs w:val="20"/>
          <w:color w:val="auto"/>
        </w:rPr>
      </w:pPr>
    </w:p>
    <w:p>
      <w:pPr>
        <w:ind w:left="720" w:hanging="360"/>
        <w:spacing w:after="0"/>
        <w:tabs>
          <w:tab w:leader="none" w:pos="720" w:val="left"/>
        </w:tabs>
        <w:numPr>
          <w:ilvl w:val="0"/>
          <w:numId w:val="11"/>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Scenario Simulations:</w:t>
      </w:r>
    </w:p>
    <w:p>
      <w:pPr>
        <w:spacing w:after="0" w:line="27" w:lineRule="exact"/>
        <w:rPr>
          <w:rFonts w:ascii="Arial" w:cs="Arial" w:eastAsia="Arial" w:hAnsi="Arial"/>
          <w:sz w:val="20"/>
          <w:szCs w:val="20"/>
          <w:color w:val="auto"/>
        </w:rPr>
      </w:pPr>
    </w:p>
    <w:p>
      <w:pPr>
        <w:ind w:left="720" w:right="20"/>
        <w:spacing w:after="0" w:line="256"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models allow businesses to simulate various market scenarios, helping them prepare for potential risks and opportunities. For example, businesses can predict the impact of promotional campaigns, new product launches, or economic downturns on sales performance.</w:t>
      </w:r>
    </w:p>
    <w:p>
      <w:pPr>
        <w:spacing w:after="0" w:line="16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Workflow for Enhanced Forecasting</w:t>
      </w:r>
    </w:p>
    <w:p>
      <w:pPr>
        <w:spacing w:after="0" w:line="188" w:lineRule="exact"/>
        <w:rPr>
          <w:sz w:val="20"/>
          <w:szCs w:val="20"/>
          <w:color w:val="auto"/>
        </w:rPr>
      </w:pPr>
    </w:p>
    <w:p>
      <w:pPr>
        <w:ind w:right="20"/>
        <w:spacing w:after="0" w:line="255" w:lineRule="auto"/>
        <w:rPr>
          <w:sz w:val="20"/>
          <w:szCs w:val="20"/>
          <w:color w:val="auto"/>
        </w:rPr>
      </w:pPr>
      <w:r>
        <w:rPr>
          <w:rFonts w:ascii="Times New Roman" w:cs="Times New Roman" w:eastAsia="Times New Roman" w:hAnsi="Times New Roman"/>
          <w:sz w:val="18"/>
          <w:szCs w:val="18"/>
          <w:color w:val="auto"/>
        </w:rPr>
        <w:t>The enhanced sales forecasting process begins with the collection of data from SAP SD (sales data), SAP FI (financial insights), and external sources such as market trends or competitor analysis. This data is cleaned, processed, and fed into AI/ML models via SAP HANA.</w:t>
      </w:r>
    </w:p>
    <w:p>
      <w:pPr>
        <w:spacing w:after="0" w:line="17" w:lineRule="exact"/>
        <w:rPr>
          <w:sz w:val="20"/>
          <w:szCs w:val="20"/>
          <w:color w:val="auto"/>
        </w:rPr>
      </w:pPr>
    </w:p>
    <w:p>
      <w:pPr>
        <w:spacing w:after="0" w:line="249" w:lineRule="auto"/>
        <w:rPr>
          <w:sz w:val="20"/>
          <w:szCs w:val="20"/>
          <w:color w:val="auto"/>
        </w:rPr>
      </w:pPr>
      <w:r>
        <w:rPr>
          <w:rFonts w:ascii="Times New Roman" w:cs="Times New Roman" w:eastAsia="Times New Roman" w:hAnsi="Times New Roman"/>
          <w:sz w:val="18"/>
          <w:szCs w:val="18"/>
          <w:color w:val="auto"/>
        </w:rPr>
        <w:t>The models run predictive algorithms to generate forecasts, which are then visualized through SAP Fiori dashboards for</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18"/>
          <w:szCs w:val="18"/>
          <w:color w:val="auto"/>
        </w:rPr>
        <w:t>decision-making.</w:t>
      </w:r>
    </w:p>
    <w:p>
      <w:pPr>
        <w:spacing w:after="0" w:line="17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This seamless integration allows businesses to:</w:t>
      </w:r>
    </w:p>
    <w:p>
      <w:pPr>
        <w:spacing w:after="0" w:line="185" w:lineRule="exact"/>
        <w:rPr>
          <w:sz w:val="20"/>
          <w:szCs w:val="20"/>
          <w:color w:val="auto"/>
        </w:rPr>
      </w:pPr>
    </w:p>
    <w:p>
      <w:pPr>
        <w:ind w:left="720" w:hanging="359"/>
        <w:spacing w:after="0"/>
        <w:tabs>
          <w:tab w:leader="none" w:pos="720" w:val="left"/>
        </w:tabs>
        <w:numPr>
          <w:ilvl w:val="0"/>
          <w:numId w:val="12"/>
        </w:numPr>
        <w:rPr>
          <w:rFonts w:ascii="Arial" w:cs="Arial" w:eastAsia="Arial" w:hAnsi="Arial"/>
          <w:sz w:val="20"/>
          <w:szCs w:val="20"/>
          <w:color w:val="auto"/>
        </w:rPr>
      </w:pPr>
      <w:r>
        <w:rPr>
          <w:rFonts w:ascii="Times New Roman" w:cs="Times New Roman" w:eastAsia="Times New Roman" w:hAnsi="Times New Roman"/>
          <w:sz w:val="18"/>
          <w:szCs w:val="18"/>
          <w:color w:val="auto"/>
        </w:rPr>
        <w:t>Generate real-time, accurate forecasts.</w:t>
      </w:r>
    </w:p>
    <w:p>
      <w:pPr>
        <w:spacing w:after="0" w:line="215" w:lineRule="exact"/>
        <w:rPr>
          <w:rFonts w:ascii="Arial" w:cs="Arial" w:eastAsia="Arial" w:hAnsi="Arial"/>
          <w:sz w:val="20"/>
          <w:szCs w:val="20"/>
          <w:color w:val="auto"/>
        </w:rPr>
      </w:pPr>
    </w:p>
    <w:p>
      <w:pPr>
        <w:ind w:left="720" w:right="920" w:hanging="359"/>
        <w:spacing w:after="0" w:line="228" w:lineRule="auto"/>
        <w:tabs>
          <w:tab w:leader="none" w:pos="720" w:val="left"/>
        </w:tabs>
        <w:numPr>
          <w:ilvl w:val="0"/>
          <w:numId w:val="12"/>
        </w:numPr>
        <w:rPr>
          <w:rFonts w:ascii="Arial" w:cs="Arial" w:eastAsia="Arial" w:hAnsi="Arial"/>
          <w:sz w:val="20"/>
          <w:szCs w:val="20"/>
          <w:color w:val="auto"/>
        </w:rPr>
      </w:pPr>
      <w:r>
        <w:rPr>
          <w:rFonts w:ascii="Times New Roman" w:cs="Times New Roman" w:eastAsia="Times New Roman" w:hAnsi="Times New Roman"/>
          <w:sz w:val="18"/>
          <w:szCs w:val="18"/>
          <w:color w:val="auto"/>
        </w:rPr>
        <w:t>Align sales forecasts with financial and operational goals.</w:t>
      </w:r>
    </w:p>
    <w:p>
      <w:pPr>
        <w:spacing w:after="0" w:line="218" w:lineRule="exact"/>
        <w:rPr>
          <w:rFonts w:ascii="Arial" w:cs="Arial" w:eastAsia="Arial" w:hAnsi="Arial"/>
          <w:sz w:val="20"/>
          <w:szCs w:val="20"/>
          <w:color w:val="auto"/>
        </w:rPr>
      </w:pPr>
    </w:p>
    <w:p>
      <w:pPr>
        <w:ind w:left="720" w:right="160" w:hanging="359"/>
        <w:spacing w:after="0" w:line="232" w:lineRule="auto"/>
        <w:tabs>
          <w:tab w:leader="none" w:pos="720" w:val="left"/>
        </w:tabs>
        <w:numPr>
          <w:ilvl w:val="0"/>
          <w:numId w:val="12"/>
        </w:numPr>
        <w:rPr>
          <w:rFonts w:ascii="Arial" w:cs="Arial" w:eastAsia="Arial" w:hAnsi="Arial"/>
          <w:sz w:val="20"/>
          <w:szCs w:val="20"/>
          <w:color w:val="auto"/>
        </w:rPr>
      </w:pPr>
      <w:r>
        <w:rPr>
          <w:rFonts w:ascii="Times New Roman" w:cs="Times New Roman" w:eastAsia="Times New Roman" w:hAnsi="Times New Roman"/>
          <w:sz w:val="18"/>
          <w:szCs w:val="18"/>
          <w:color w:val="auto"/>
        </w:rPr>
        <w:t>Empower decision-makers with intuitive tools for data-driven strategies</w:t>
      </w:r>
      <w:r>
        <w:rPr>
          <w:rFonts w:ascii="Times New Roman" w:cs="Times New Roman" w:eastAsia="Times New Roman" w:hAnsi="Times New Roman"/>
          <w:sz w:val="19"/>
          <w:szCs w:val="19"/>
          <w:color w:val="auto"/>
        </w:rPr>
        <w:t>.</w:t>
      </w:r>
    </w:p>
    <w:p>
      <w:pPr>
        <w:spacing w:after="0" w:line="200" w:lineRule="exact"/>
        <w:rPr>
          <w:sz w:val="20"/>
          <w:szCs w:val="20"/>
          <w:color w:val="auto"/>
        </w:rPr>
      </w:pPr>
    </w:p>
    <w:p>
      <w:pPr>
        <w:spacing w:after="0" w:line="38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Benefits of Integration</w:t>
      </w:r>
    </w:p>
    <w:p>
      <w:pPr>
        <w:spacing w:after="0" w:line="188" w:lineRule="exact"/>
        <w:rPr>
          <w:sz w:val="20"/>
          <w:szCs w:val="20"/>
          <w:color w:val="auto"/>
        </w:rPr>
      </w:pPr>
    </w:p>
    <w:p>
      <w:pPr>
        <w:ind w:right="400"/>
        <w:spacing w:after="0" w:line="250" w:lineRule="auto"/>
        <w:rPr>
          <w:sz w:val="20"/>
          <w:szCs w:val="20"/>
          <w:color w:val="auto"/>
        </w:rPr>
      </w:pPr>
      <w:r>
        <w:rPr>
          <w:rFonts w:ascii="Times New Roman" w:cs="Times New Roman" w:eastAsia="Times New Roman" w:hAnsi="Times New Roman"/>
          <w:sz w:val="18"/>
          <w:szCs w:val="18"/>
          <w:color w:val="auto"/>
        </w:rPr>
        <w:t>The combination of SAP and AI/ML technologies brings numerous benefits, including:</w:t>
      </w:r>
    </w:p>
    <w:p>
      <w:pPr>
        <w:spacing w:after="0" w:line="208" w:lineRule="exact"/>
        <w:rPr>
          <w:sz w:val="20"/>
          <w:szCs w:val="20"/>
          <w:color w:val="auto"/>
        </w:rPr>
      </w:pPr>
    </w:p>
    <w:p>
      <w:pPr>
        <w:ind w:left="720" w:right="180" w:hanging="359"/>
        <w:spacing w:after="0" w:line="238" w:lineRule="auto"/>
        <w:tabs>
          <w:tab w:leader="none" w:pos="720" w:val="left"/>
        </w:tabs>
        <w:numPr>
          <w:ilvl w:val="0"/>
          <w:numId w:val="13"/>
        </w:numPr>
        <w:rPr>
          <w:rFonts w:ascii="Arial" w:cs="Arial" w:eastAsia="Arial" w:hAnsi="Arial"/>
          <w:sz w:val="20"/>
          <w:szCs w:val="20"/>
          <w:color w:val="auto"/>
        </w:rPr>
      </w:pPr>
      <w:r>
        <w:rPr>
          <w:rFonts w:ascii="Times New Roman" w:cs="Times New Roman" w:eastAsia="Times New Roman" w:hAnsi="Times New Roman"/>
          <w:sz w:val="18"/>
          <w:szCs w:val="18"/>
          <w:b w:val="1"/>
          <w:bCs w:val="1"/>
          <w:color w:val="auto"/>
        </w:rPr>
        <w:t>Enhanced Accuracy:</w:t>
      </w:r>
      <w:r>
        <w:rPr>
          <w:rFonts w:ascii="Times New Roman" w:cs="Times New Roman" w:eastAsia="Times New Roman" w:hAnsi="Times New Roman"/>
          <w:sz w:val="18"/>
          <w:szCs w:val="18"/>
          <w:color w:val="auto"/>
        </w:rPr>
        <w:t xml:space="preserve"> Minimization of forecasting errors through advanced analytics and real-time adjustments.</w:t>
      </w:r>
    </w:p>
    <w:p>
      <w:pPr>
        <w:spacing w:after="0" w:line="124" w:lineRule="exact"/>
        <w:rPr>
          <w:rFonts w:ascii="Arial" w:cs="Arial" w:eastAsia="Arial" w:hAnsi="Arial"/>
          <w:sz w:val="20"/>
          <w:szCs w:val="20"/>
          <w:color w:val="auto"/>
        </w:rPr>
      </w:pPr>
    </w:p>
    <w:p>
      <w:pPr>
        <w:ind w:left="720" w:right="860" w:hanging="359"/>
        <w:spacing w:after="0" w:line="268" w:lineRule="auto"/>
        <w:tabs>
          <w:tab w:leader="none" w:pos="720" w:val="left"/>
        </w:tabs>
        <w:numPr>
          <w:ilvl w:val="0"/>
          <w:numId w:val="13"/>
        </w:numPr>
        <w:rPr>
          <w:rFonts w:ascii="Arial" w:cs="Arial" w:eastAsia="Arial" w:hAnsi="Arial"/>
          <w:sz w:val="17"/>
          <w:szCs w:val="17"/>
          <w:color w:val="auto"/>
        </w:rPr>
      </w:pPr>
      <w:r>
        <w:rPr>
          <w:rFonts w:ascii="Times New Roman" w:cs="Times New Roman" w:eastAsia="Times New Roman" w:hAnsi="Times New Roman"/>
          <w:sz w:val="17"/>
          <w:szCs w:val="17"/>
          <w:b w:val="1"/>
          <w:bCs w:val="1"/>
          <w:color w:val="auto"/>
        </w:rPr>
        <w:t>Increased Agility:</w:t>
      </w:r>
      <w:r>
        <w:rPr>
          <w:rFonts w:ascii="Times New Roman" w:cs="Times New Roman" w:eastAsia="Times New Roman" w:hAnsi="Times New Roman"/>
          <w:sz w:val="17"/>
          <w:szCs w:val="17"/>
          <w:color w:val="auto"/>
        </w:rPr>
        <w:t xml:space="preserve"> Faster responses to market changes and customer demands.</w:t>
      </w:r>
    </w:p>
    <w:p>
      <w:pPr>
        <w:spacing w:after="0" w:line="82" w:lineRule="exact"/>
        <w:rPr>
          <w:rFonts w:ascii="Arial" w:cs="Arial" w:eastAsia="Arial" w:hAnsi="Arial"/>
          <w:sz w:val="17"/>
          <w:szCs w:val="17"/>
          <w:color w:val="auto"/>
        </w:rPr>
      </w:pPr>
    </w:p>
    <w:p>
      <w:pPr>
        <w:ind w:left="720" w:hanging="359"/>
        <w:spacing w:after="0"/>
        <w:tabs>
          <w:tab w:leader="none" w:pos="720" w:val="left"/>
        </w:tabs>
        <w:numPr>
          <w:ilvl w:val="0"/>
          <w:numId w:val="13"/>
        </w:numPr>
        <w:rPr>
          <w:rFonts w:ascii="Arial" w:cs="Arial" w:eastAsia="Arial" w:hAnsi="Arial"/>
          <w:sz w:val="18"/>
          <w:szCs w:val="18"/>
          <w:color w:val="auto"/>
        </w:rPr>
      </w:pPr>
      <w:r>
        <w:rPr>
          <w:rFonts w:ascii="Times New Roman" w:cs="Times New Roman" w:eastAsia="Times New Roman" w:hAnsi="Times New Roman"/>
          <w:sz w:val="18"/>
          <w:szCs w:val="18"/>
          <w:b w:val="1"/>
          <w:bCs w:val="1"/>
          <w:color w:val="auto"/>
        </w:rPr>
        <w:t>Cost Savings:</w:t>
      </w:r>
      <w:r>
        <w:rPr>
          <w:rFonts w:ascii="Times New Roman" w:cs="Times New Roman" w:eastAsia="Times New Roman" w:hAnsi="Times New Roman"/>
          <w:sz w:val="18"/>
          <w:szCs w:val="18"/>
          <w:color w:val="auto"/>
        </w:rPr>
        <w:t xml:space="preserve"> Optimization of inventory</w:t>
      </w:r>
    </w:p>
    <w:p>
      <w:pPr>
        <w:spacing w:after="0" w:line="26" w:lineRule="exact"/>
        <w:rPr>
          <w:rFonts w:ascii="Arial" w:cs="Arial" w:eastAsia="Arial" w:hAnsi="Arial"/>
          <w:sz w:val="18"/>
          <w:szCs w:val="18"/>
          <w:color w:val="auto"/>
        </w:rPr>
      </w:pPr>
    </w:p>
    <w:p>
      <w:pPr>
        <w:ind w:left="720" w:right="40"/>
        <w:spacing w:after="0" w:line="254" w:lineRule="auto"/>
        <w:rPr>
          <w:rFonts w:ascii="Arial" w:cs="Arial" w:eastAsia="Arial" w:hAnsi="Arial"/>
          <w:sz w:val="18"/>
          <w:szCs w:val="18"/>
          <w:color w:val="auto"/>
        </w:rPr>
      </w:pPr>
      <w:r>
        <w:rPr>
          <w:rFonts w:ascii="Times New Roman" w:cs="Times New Roman" w:eastAsia="Times New Roman" w:hAnsi="Times New Roman"/>
          <w:sz w:val="18"/>
          <w:szCs w:val="18"/>
          <w:b w:val="1"/>
          <w:bCs w:val="1"/>
          <w:color w:val="auto"/>
        </w:rPr>
        <w:t>Resistance to Change</w:t>
      </w:r>
      <w:r>
        <w:rPr>
          <w:rFonts w:ascii="Times New Roman" w:cs="Times New Roman" w:eastAsia="Times New Roman" w:hAnsi="Times New Roman"/>
          <w:sz w:val="18"/>
          <w:szCs w:val="18"/>
          <w:color w:val="auto"/>
        </w:rPr>
        <w:t>: Employees may resist transitioning from traditional methods to AI-driven forecasting systems, requiring change management strategies.</w:t>
      </w:r>
    </w:p>
    <w:p>
      <w:pPr>
        <w:spacing w:after="0" w:line="189" w:lineRule="exact"/>
        <w:rPr>
          <w:rFonts w:ascii="Arial" w:cs="Arial" w:eastAsia="Arial" w:hAnsi="Arial"/>
          <w:sz w:val="18"/>
          <w:szCs w:val="18"/>
          <w:color w:val="auto"/>
        </w:rPr>
      </w:pPr>
    </w:p>
    <w:p>
      <w:pPr>
        <w:ind w:left="720" w:right="160" w:hanging="359"/>
        <w:spacing w:after="0" w:line="275" w:lineRule="auto"/>
        <w:tabs>
          <w:tab w:leader="none" w:pos="720" w:val="left"/>
        </w:tabs>
        <w:numPr>
          <w:ilvl w:val="0"/>
          <w:numId w:val="13"/>
        </w:numPr>
        <w:rPr>
          <w:rFonts w:ascii="Arial" w:cs="Arial" w:eastAsia="Arial" w:hAnsi="Arial"/>
          <w:sz w:val="17"/>
          <w:szCs w:val="17"/>
          <w:color w:val="auto"/>
        </w:rPr>
      </w:pPr>
      <w:r>
        <w:rPr>
          <w:rFonts w:ascii="Times New Roman" w:cs="Times New Roman" w:eastAsia="Times New Roman" w:hAnsi="Times New Roman"/>
          <w:sz w:val="17"/>
          <w:szCs w:val="17"/>
          <w:b w:val="1"/>
          <w:bCs w:val="1"/>
          <w:color w:val="auto"/>
        </w:rPr>
        <w:t>Complex Data Integration</w:t>
      </w:r>
      <w:r>
        <w:rPr>
          <w:rFonts w:ascii="Times New Roman" w:cs="Times New Roman" w:eastAsia="Times New Roman" w:hAnsi="Times New Roman"/>
          <w:sz w:val="17"/>
          <w:szCs w:val="17"/>
          <w:color w:val="auto"/>
        </w:rPr>
        <w:t>: Data from various sources needs to be cleaned and integrated before being used in AI/ML models, which could be a complex task depending on the data structure.</w:t>
      </w:r>
    </w:p>
    <w:p>
      <w:pPr>
        <w:spacing w:after="0" w:line="160" w:lineRule="exact"/>
        <w:rPr>
          <w:sz w:val="20"/>
          <w:szCs w:val="20"/>
          <w:color w:val="auto"/>
        </w:rPr>
      </w:pPr>
    </w:p>
    <w:p>
      <w:pPr>
        <w:spacing w:after="0" w:line="257" w:lineRule="auto"/>
        <w:rPr>
          <w:sz w:val="20"/>
          <w:szCs w:val="20"/>
          <w:color w:val="auto"/>
        </w:rPr>
      </w:pPr>
      <w:r>
        <w:rPr>
          <w:rFonts w:ascii="Times New Roman" w:cs="Times New Roman" w:eastAsia="Times New Roman" w:hAnsi="Times New Roman"/>
          <w:sz w:val="18"/>
          <w:szCs w:val="18"/>
          <w:color w:val="auto"/>
        </w:rPr>
        <w:t>Classifcation Analysis Classifcation is regarded as a supervised learning method in machine learning, referring to a problem of predictive modeling as well, where a class label is predicted for a given example . Mathematically, it maps a function (f) from input variables (X) to output variables (Y) as target, label or categories. To predict the class of given data points, it can be carried out on structured or unstructured data. For example, spam detection such as “spam” and “not spam” in email service providers can be a classifcation problem. In the following, we summarize the common classifcation problems.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106045</wp:posOffset>
            </wp:positionV>
            <wp:extent cx="2739390" cy="20910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739390" cy="20910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ind w:left="1840"/>
        <w:spacing w:after="0"/>
        <w:rPr>
          <w:sz w:val="20"/>
          <w:szCs w:val="20"/>
          <w:color w:val="auto"/>
        </w:rPr>
      </w:pPr>
      <w:r>
        <w:rPr>
          <w:rFonts w:ascii="Times New Roman" w:cs="Times New Roman" w:eastAsia="Times New Roman" w:hAnsi="Times New Roman"/>
          <w:sz w:val="18"/>
          <w:szCs w:val="18"/>
          <w:color w:val="auto"/>
        </w:rPr>
        <w:t>Fig( 4)</w:t>
      </w:r>
    </w:p>
    <w:p>
      <w:pPr>
        <w:sectPr>
          <w:pgSz w:w="12240" w:h="15840" w:orient="portrait"/>
          <w:cols w:equalWidth="0" w:num="2">
            <w:col w:w="4500" w:space="720"/>
            <w:col w:w="4440"/>
          </w:cols>
          <w:pgMar w:left="1440" w:top="1359" w:right="1140" w:bottom="0" w:gutter="0" w:footer="0" w:header="0"/>
        </w:sectPr>
      </w:pPr>
    </w:p>
    <w:bookmarkStart w:id="3" w:name="page4"/>
    <w:bookmarkEnd w:id="3"/>
    <w:p>
      <w:pPr>
        <w:spacing w:after="0" w:line="200" w:lineRule="exact"/>
        <w:rPr>
          <w:sz w:val="20"/>
          <w:szCs w:val="20"/>
          <w:color w:val="auto"/>
        </w:rPr>
      </w:pPr>
    </w:p>
    <w:p>
      <w:pPr>
        <w:spacing w:after="0" w:line="24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Conclusion</w:t>
      </w:r>
    </w:p>
    <w:p>
      <w:pPr>
        <w:spacing w:after="0" w:line="188" w:lineRule="exact"/>
        <w:rPr>
          <w:sz w:val="20"/>
          <w:szCs w:val="20"/>
          <w:color w:val="auto"/>
        </w:rPr>
      </w:pPr>
    </w:p>
    <w:p>
      <w:pPr>
        <w:ind w:right="60"/>
        <w:spacing w:after="0" w:line="252" w:lineRule="auto"/>
        <w:rPr>
          <w:sz w:val="20"/>
          <w:szCs w:val="20"/>
          <w:color w:val="auto"/>
        </w:rPr>
      </w:pPr>
      <w:r>
        <w:rPr>
          <w:rFonts w:ascii="Times New Roman" w:cs="Times New Roman" w:eastAsia="Times New Roman" w:hAnsi="Times New Roman"/>
          <w:sz w:val="18"/>
          <w:szCs w:val="18"/>
          <w:color w:val="auto"/>
        </w:rPr>
        <w:t>The integration of SAP modules with AI/ML significantly enhances the sales forecasting process, driving improvements in accuracy, operational efficiency, and</w:t>
      </w:r>
    </w:p>
    <w:p>
      <w:pPr>
        <w:spacing w:after="0" w:line="18" w:lineRule="exact"/>
        <w:rPr>
          <w:sz w:val="20"/>
          <w:szCs w:val="20"/>
          <w:color w:val="auto"/>
        </w:rPr>
      </w:pPr>
    </w:p>
    <w:p>
      <w:pPr>
        <w:ind w:right="100"/>
        <w:spacing w:after="0" w:line="247" w:lineRule="auto"/>
        <w:rPr>
          <w:sz w:val="20"/>
          <w:szCs w:val="20"/>
          <w:color w:val="auto"/>
        </w:rPr>
      </w:pPr>
      <w:r>
        <w:rPr>
          <w:rFonts w:ascii="Times New Roman" w:cs="Times New Roman" w:eastAsia="Times New Roman" w:hAnsi="Times New Roman"/>
          <w:sz w:val="18"/>
          <w:szCs w:val="18"/>
          <w:color w:val="auto"/>
        </w:rPr>
        <w:t>agility. By leveraging real-time data, predictive analytics, and scenario simulations, businesses can make smarter,</w:t>
      </w:r>
    </w:p>
    <w:p>
      <w:pPr>
        <w:spacing w:after="0" w:line="20" w:lineRule="exact"/>
        <w:rPr>
          <w:sz w:val="20"/>
          <w:szCs w:val="20"/>
          <w:color w:val="auto"/>
        </w:rPr>
      </w:pPr>
    </w:p>
    <w:p>
      <w:pPr>
        <w:ind w:right="100"/>
        <w:spacing w:after="0" w:line="254" w:lineRule="auto"/>
        <w:rPr>
          <w:sz w:val="20"/>
          <w:szCs w:val="20"/>
          <w:color w:val="auto"/>
        </w:rPr>
      </w:pPr>
      <w:r>
        <w:rPr>
          <w:rFonts w:ascii="Times New Roman" w:cs="Times New Roman" w:eastAsia="Times New Roman" w:hAnsi="Times New Roman"/>
          <w:sz w:val="18"/>
          <w:szCs w:val="18"/>
          <w:color w:val="auto"/>
        </w:rPr>
        <w:t>faster decisions, ensuring that they are always prepared for market changes. This approach ultimately enables businesses to stay competitive, reduce costs, and improve customer satisfaction in a dynamic business environment.</w:t>
      </w:r>
    </w:p>
    <w:p>
      <w:pPr>
        <w:spacing w:after="0" w:line="200" w:lineRule="exact"/>
        <w:rPr>
          <w:sz w:val="20"/>
          <w:szCs w:val="20"/>
          <w:color w:val="auto"/>
        </w:rPr>
      </w:pPr>
    </w:p>
    <w:p>
      <w:pPr>
        <w:spacing w:after="0" w:line="220" w:lineRule="exact"/>
        <w:rPr>
          <w:sz w:val="20"/>
          <w:szCs w:val="20"/>
          <w:color w:val="auto"/>
        </w:rPr>
      </w:pPr>
    </w:p>
    <w:p>
      <w:pPr>
        <w:ind w:left="720" w:right="920" w:hanging="360"/>
        <w:spacing w:after="0" w:line="228" w:lineRule="auto"/>
        <w:tabs>
          <w:tab w:leader="none" w:pos="720" w:val="left"/>
        </w:tabs>
        <w:numPr>
          <w:ilvl w:val="0"/>
          <w:numId w:val="14"/>
        </w:numPr>
        <w:rPr>
          <w:rFonts w:ascii="Arial" w:cs="Arial" w:eastAsia="Arial" w:hAnsi="Arial"/>
          <w:sz w:val="20"/>
          <w:szCs w:val="20"/>
          <w:color w:val="auto"/>
        </w:rPr>
      </w:pPr>
      <w:r>
        <w:rPr>
          <w:rFonts w:ascii="Times New Roman" w:cs="Times New Roman" w:eastAsia="Times New Roman" w:hAnsi="Times New Roman"/>
          <w:sz w:val="18"/>
          <w:szCs w:val="18"/>
          <w:color w:val="auto"/>
        </w:rPr>
        <w:t>levels and resource allocation, reducing operational costs.</w:t>
      </w:r>
    </w:p>
    <w:p>
      <w:pPr>
        <w:spacing w:after="0" w:line="219" w:lineRule="exact"/>
        <w:rPr>
          <w:rFonts w:ascii="Arial" w:cs="Arial" w:eastAsia="Arial" w:hAnsi="Arial"/>
          <w:sz w:val="20"/>
          <w:szCs w:val="20"/>
          <w:color w:val="auto"/>
        </w:rPr>
      </w:pPr>
    </w:p>
    <w:p>
      <w:pPr>
        <w:ind w:left="720" w:right="700" w:hanging="360"/>
        <w:spacing w:after="0" w:line="237" w:lineRule="auto"/>
        <w:tabs>
          <w:tab w:leader="none" w:pos="720" w:val="left"/>
        </w:tabs>
        <w:numPr>
          <w:ilvl w:val="0"/>
          <w:numId w:val="14"/>
        </w:numPr>
        <w:rPr>
          <w:rFonts w:ascii="Arial" w:cs="Arial" w:eastAsia="Arial" w:hAnsi="Arial"/>
          <w:sz w:val="20"/>
          <w:szCs w:val="20"/>
          <w:color w:val="auto"/>
        </w:rPr>
      </w:pPr>
      <w:r>
        <w:rPr>
          <w:rFonts w:ascii="Times New Roman" w:cs="Times New Roman" w:eastAsia="Times New Roman" w:hAnsi="Times New Roman"/>
          <w:sz w:val="18"/>
          <w:szCs w:val="18"/>
          <w:b w:val="1"/>
          <w:bCs w:val="1"/>
          <w:color w:val="auto"/>
        </w:rPr>
        <w:t>Better Collaboration:</w:t>
      </w:r>
      <w:r>
        <w:rPr>
          <w:rFonts w:ascii="Times New Roman" w:cs="Times New Roman" w:eastAsia="Times New Roman" w:hAnsi="Times New Roman"/>
          <w:sz w:val="18"/>
          <w:szCs w:val="18"/>
          <w:color w:val="auto"/>
        </w:rPr>
        <w:t xml:space="preserve"> Unified data across departments ensures alignment between sales, finance, and operations.</w:t>
      </w:r>
    </w:p>
    <w:p>
      <w:pPr>
        <w:spacing w:after="0" w:line="200" w:lineRule="exact"/>
        <w:rPr>
          <w:rFonts w:ascii="Arial" w:cs="Arial" w:eastAsia="Arial" w:hAnsi="Arial"/>
          <w:sz w:val="20"/>
          <w:szCs w:val="20"/>
          <w:color w:val="auto"/>
        </w:rPr>
      </w:pPr>
    </w:p>
    <w:p>
      <w:pPr>
        <w:ind w:left="720" w:right="1000" w:hanging="360"/>
        <w:spacing w:after="0" w:line="249" w:lineRule="auto"/>
        <w:tabs>
          <w:tab w:leader="none" w:pos="720" w:val="left"/>
        </w:tabs>
        <w:numPr>
          <w:ilvl w:val="0"/>
          <w:numId w:val="14"/>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Scalability:</w:t>
      </w:r>
      <w:r>
        <w:rPr>
          <w:rFonts w:ascii="Times New Roman" w:cs="Times New Roman" w:eastAsia="Times New Roman" w:hAnsi="Times New Roman"/>
          <w:sz w:val="20"/>
          <w:szCs w:val="20"/>
          <w:color w:val="auto"/>
        </w:rPr>
        <w:t xml:space="preserve"> The modular nature of SAP systems allows businesses to scale</w:t>
      </w:r>
    </w:p>
    <w:p>
      <w:pPr>
        <w:spacing w:after="0" w:line="11" w:lineRule="exact"/>
        <w:rPr>
          <w:rFonts w:ascii="Arial" w:cs="Arial" w:eastAsia="Arial" w:hAnsi="Arial"/>
          <w:sz w:val="20"/>
          <w:szCs w:val="20"/>
          <w:color w:val="auto"/>
        </w:rPr>
      </w:pPr>
    </w:p>
    <w:p>
      <w:pPr>
        <w:ind w:left="720"/>
        <w:spacing w:after="0"/>
        <w:rPr>
          <w:rFonts w:ascii="Arial" w:cs="Arial" w:eastAsia="Arial" w:hAnsi="Arial"/>
          <w:sz w:val="20"/>
          <w:szCs w:val="20"/>
          <w:color w:val="auto"/>
        </w:rPr>
      </w:pPr>
      <w:r>
        <w:rPr>
          <w:rFonts w:ascii="Times New Roman" w:cs="Times New Roman" w:eastAsia="Times New Roman" w:hAnsi="Times New Roman"/>
          <w:sz w:val="20"/>
          <w:szCs w:val="20"/>
          <w:color w:val="auto"/>
        </w:rPr>
        <w:t>forecasting capabilities as they grow.</w:t>
      </w:r>
    </w:p>
    <w:p>
      <w:pPr>
        <w:spacing w:after="0" w:line="188" w:lineRule="exact"/>
        <w:rPr>
          <w:sz w:val="20"/>
          <w:szCs w:val="20"/>
          <w:color w:val="auto"/>
        </w:rPr>
      </w:pPr>
    </w:p>
    <w:p>
      <w:pPr>
        <w:ind w:right="420"/>
        <w:spacing w:after="0" w:line="274" w:lineRule="auto"/>
        <w:rPr>
          <w:sz w:val="20"/>
          <w:szCs w:val="20"/>
          <w:color w:val="auto"/>
        </w:rPr>
      </w:pPr>
      <w:r>
        <w:rPr>
          <w:rFonts w:ascii="Times New Roman" w:cs="Times New Roman" w:eastAsia="Times New Roman" w:hAnsi="Times New Roman"/>
          <w:sz w:val="17"/>
          <w:szCs w:val="17"/>
          <w:color w:val="auto"/>
        </w:rPr>
        <w:t>By integrating SAP modules with AI/ML, businesses can transition from reactive to proactive sales forecasting, staying ahead of market trends and ensuring sustainable growth. This innovative approach not only drives operational efficiency but also enhances competitiveness in an increasingly dynamic business landscape</w:t>
      </w:r>
    </w:p>
    <w:p>
      <w:pPr>
        <w:spacing w:after="0" w:line="230" w:lineRule="auto"/>
        <w:rPr>
          <w:sz w:val="20"/>
          <w:szCs w:val="20"/>
          <w:color w:val="auto"/>
        </w:rPr>
      </w:pPr>
      <w:r>
        <w:rPr>
          <w:rFonts w:ascii="Times New Roman" w:cs="Times New Roman" w:eastAsia="Times New Roman" w:hAnsi="Times New Roman"/>
          <w:sz w:val="20"/>
          <w:szCs w:val="20"/>
          <w:color w:val="auto"/>
        </w:rPr>
        <w:t>.</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Workflow Demonstration</w:t>
      </w:r>
    </w:p>
    <w:p>
      <w:pPr>
        <w:spacing w:after="0" w:line="222" w:lineRule="exact"/>
        <w:rPr>
          <w:sz w:val="20"/>
          <w:szCs w:val="20"/>
          <w:color w:val="auto"/>
        </w:rPr>
      </w:pPr>
    </w:p>
    <w:p>
      <w:pPr>
        <w:ind w:left="720" w:right="960" w:hanging="360"/>
        <w:spacing w:after="0" w:line="241" w:lineRule="auto"/>
        <w:tabs>
          <w:tab w:leader="none" w:pos="720" w:val="left"/>
        </w:tabs>
        <w:numPr>
          <w:ilvl w:val="0"/>
          <w:numId w:val="15"/>
        </w:numPr>
        <w:rPr>
          <w:rFonts w:ascii="Arial" w:cs="Arial" w:eastAsia="Arial" w:hAnsi="Arial"/>
          <w:sz w:val="19"/>
          <w:szCs w:val="19"/>
          <w:color w:val="auto"/>
        </w:rPr>
      </w:pPr>
      <w:r>
        <w:rPr>
          <w:rFonts w:ascii="Times New Roman" w:cs="Times New Roman" w:eastAsia="Times New Roman" w:hAnsi="Times New Roman"/>
          <w:sz w:val="17"/>
          <w:szCs w:val="17"/>
          <w:color w:val="auto"/>
        </w:rPr>
        <w:t>End-to-end integration of SAP modules with AI/ML for sales forecasting.</w:t>
      </w:r>
    </w:p>
    <w:p>
      <w:pPr>
        <w:spacing w:after="0" w:line="215" w:lineRule="exact"/>
        <w:rPr>
          <w:rFonts w:ascii="Arial" w:cs="Arial" w:eastAsia="Arial" w:hAnsi="Arial"/>
          <w:sz w:val="19"/>
          <w:szCs w:val="19"/>
          <w:color w:val="auto"/>
        </w:rPr>
      </w:pPr>
    </w:p>
    <w:p>
      <w:pPr>
        <w:ind w:left="720" w:right="980" w:hanging="360"/>
        <w:spacing w:after="0" w:line="237" w:lineRule="auto"/>
        <w:tabs>
          <w:tab w:leader="none" w:pos="720" w:val="left"/>
        </w:tabs>
        <w:numPr>
          <w:ilvl w:val="0"/>
          <w:numId w:val="15"/>
        </w:numPr>
        <w:rPr>
          <w:rFonts w:ascii="Arial" w:cs="Arial" w:eastAsia="Arial" w:hAnsi="Arial"/>
          <w:sz w:val="20"/>
          <w:szCs w:val="20"/>
          <w:color w:val="auto"/>
        </w:rPr>
      </w:pPr>
      <w:r>
        <w:rPr>
          <w:rFonts w:ascii="Times New Roman" w:cs="Times New Roman" w:eastAsia="Times New Roman" w:hAnsi="Times New Roman"/>
          <w:sz w:val="18"/>
          <w:szCs w:val="18"/>
          <w:color w:val="auto"/>
        </w:rPr>
        <w:t>Process flow (data collection, cleaning, model training, and dashboard visualization).</w:t>
      </w:r>
    </w:p>
    <w:p>
      <w:pPr>
        <w:spacing w:after="0" w:line="216" w:lineRule="exact"/>
        <w:rPr>
          <w:rFonts w:ascii="Arial" w:cs="Arial" w:eastAsia="Arial" w:hAnsi="Arial"/>
          <w:sz w:val="20"/>
          <w:szCs w:val="20"/>
          <w:color w:val="auto"/>
        </w:rPr>
      </w:pPr>
    </w:p>
    <w:p>
      <w:pPr>
        <w:ind w:left="720" w:right="1120" w:hanging="360"/>
        <w:spacing w:after="0" w:line="228" w:lineRule="auto"/>
        <w:tabs>
          <w:tab w:leader="none" w:pos="720" w:val="left"/>
        </w:tabs>
        <w:numPr>
          <w:ilvl w:val="0"/>
          <w:numId w:val="15"/>
        </w:numPr>
        <w:rPr>
          <w:rFonts w:ascii="Arial" w:cs="Arial" w:eastAsia="Arial" w:hAnsi="Arial"/>
          <w:sz w:val="20"/>
          <w:szCs w:val="20"/>
          <w:color w:val="auto"/>
        </w:rPr>
      </w:pPr>
      <w:r>
        <w:rPr>
          <w:rFonts w:ascii="Times New Roman" w:cs="Times New Roman" w:eastAsia="Times New Roman" w:hAnsi="Times New Roman"/>
          <w:sz w:val="18"/>
          <w:szCs w:val="18"/>
          <w:color w:val="auto"/>
        </w:rPr>
        <w:t>Examples of actionable insights from this workflow.</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Benefits</w:t>
      </w:r>
    </w:p>
    <w:p>
      <w:pPr>
        <w:spacing w:after="0" w:line="222" w:lineRule="exact"/>
        <w:rPr>
          <w:sz w:val="20"/>
          <w:szCs w:val="20"/>
          <w:color w:val="auto"/>
        </w:rPr>
      </w:pPr>
    </w:p>
    <w:p>
      <w:pPr>
        <w:ind w:left="720" w:right="1320" w:hanging="360"/>
        <w:spacing w:after="0" w:line="228" w:lineRule="auto"/>
        <w:tabs>
          <w:tab w:leader="none" w:pos="720" w:val="left"/>
        </w:tabs>
        <w:numPr>
          <w:ilvl w:val="0"/>
          <w:numId w:val="16"/>
        </w:numPr>
        <w:rPr>
          <w:rFonts w:ascii="Arial" w:cs="Arial" w:eastAsia="Arial" w:hAnsi="Arial"/>
          <w:sz w:val="20"/>
          <w:szCs w:val="20"/>
          <w:color w:val="auto"/>
        </w:rPr>
      </w:pPr>
      <w:r>
        <w:rPr>
          <w:rFonts w:ascii="Times New Roman" w:cs="Times New Roman" w:eastAsia="Times New Roman" w:hAnsi="Times New Roman"/>
          <w:sz w:val="18"/>
          <w:szCs w:val="18"/>
          <w:color w:val="auto"/>
        </w:rPr>
        <w:t>Improved efficiency in forecasting and operations.</w:t>
      </w:r>
    </w:p>
    <w:p>
      <w:pPr>
        <w:spacing w:after="0" w:line="218" w:lineRule="exact"/>
        <w:rPr>
          <w:rFonts w:ascii="Arial" w:cs="Arial" w:eastAsia="Arial" w:hAnsi="Arial"/>
          <w:sz w:val="20"/>
          <w:szCs w:val="20"/>
          <w:color w:val="auto"/>
        </w:rPr>
      </w:pPr>
    </w:p>
    <w:p>
      <w:pPr>
        <w:ind w:left="720" w:right="880" w:hanging="360"/>
        <w:spacing w:after="0" w:line="228" w:lineRule="auto"/>
        <w:tabs>
          <w:tab w:leader="none" w:pos="720" w:val="left"/>
        </w:tabs>
        <w:numPr>
          <w:ilvl w:val="0"/>
          <w:numId w:val="16"/>
        </w:numPr>
        <w:rPr>
          <w:rFonts w:ascii="Arial" w:cs="Arial" w:eastAsia="Arial" w:hAnsi="Arial"/>
          <w:sz w:val="20"/>
          <w:szCs w:val="20"/>
          <w:color w:val="auto"/>
        </w:rPr>
      </w:pPr>
      <w:r>
        <w:rPr>
          <w:rFonts w:ascii="Times New Roman" w:cs="Times New Roman" w:eastAsia="Times New Roman" w:hAnsi="Times New Roman"/>
          <w:sz w:val="18"/>
          <w:szCs w:val="18"/>
          <w:color w:val="auto"/>
        </w:rPr>
        <w:t>Enhanced decision-making through real-time insights.</w:t>
      </w:r>
    </w:p>
    <w:p>
      <w:pPr>
        <w:spacing w:after="0" w:line="213" w:lineRule="exact"/>
        <w:rPr>
          <w:rFonts w:ascii="Arial" w:cs="Arial" w:eastAsia="Arial" w:hAnsi="Arial"/>
          <w:sz w:val="20"/>
          <w:szCs w:val="20"/>
          <w:color w:val="auto"/>
        </w:rPr>
      </w:pPr>
    </w:p>
    <w:p>
      <w:pPr>
        <w:ind w:left="720" w:right="1140" w:hanging="360"/>
        <w:spacing w:after="0" w:line="228" w:lineRule="auto"/>
        <w:tabs>
          <w:tab w:leader="none" w:pos="720" w:val="left"/>
        </w:tabs>
        <w:numPr>
          <w:ilvl w:val="0"/>
          <w:numId w:val="16"/>
        </w:numPr>
        <w:rPr>
          <w:rFonts w:ascii="Arial" w:cs="Arial" w:eastAsia="Arial" w:hAnsi="Arial"/>
          <w:sz w:val="20"/>
          <w:szCs w:val="20"/>
          <w:color w:val="auto"/>
        </w:rPr>
      </w:pPr>
      <w:r>
        <w:rPr>
          <w:rFonts w:ascii="Times New Roman" w:cs="Times New Roman" w:eastAsia="Times New Roman" w:hAnsi="Times New Roman"/>
          <w:sz w:val="18"/>
          <w:szCs w:val="18"/>
          <w:color w:val="auto"/>
        </w:rPr>
        <w:t>Cost savings, productivity gains, and better customer service.</w:t>
      </w:r>
    </w:p>
    <w:p>
      <w:pPr>
        <w:spacing w:after="0" w:line="216" w:lineRule="exact"/>
        <w:rPr>
          <w:rFonts w:ascii="Arial" w:cs="Arial" w:eastAsia="Arial" w:hAnsi="Arial"/>
          <w:sz w:val="20"/>
          <w:szCs w:val="20"/>
          <w:color w:val="auto"/>
        </w:rPr>
      </w:pPr>
    </w:p>
    <w:p>
      <w:pPr>
        <w:ind w:left="720" w:right="1500" w:hanging="360"/>
        <w:spacing w:after="0" w:line="229" w:lineRule="auto"/>
        <w:tabs>
          <w:tab w:leader="none" w:pos="720" w:val="left"/>
        </w:tabs>
        <w:numPr>
          <w:ilvl w:val="0"/>
          <w:numId w:val="16"/>
        </w:numPr>
        <w:rPr>
          <w:rFonts w:ascii="Arial" w:cs="Arial" w:eastAsia="Arial" w:hAnsi="Arial"/>
          <w:sz w:val="20"/>
          <w:szCs w:val="20"/>
          <w:color w:val="auto"/>
        </w:rPr>
      </w:pPr>
      <w:r>
        <w:rPr>
          <w:rFonts w:ascii="Times New Roman" w:cs="Times New Roman" w:eastAsia="Times New Roman" w:hAnsi="Times New Roman"/>
          <w:sz w:val="18"/>
          <w:szCs w:val="18"/>
          <w:color w:val="auto"/>
        </w:rPr>
        <w:t>Scalability and compliance with industry standards.</w:t>
      </w:r>
    </w:p>
    <w:p>
      <w:pPr>
        <w:spacing w:after="0" w:line="21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Dimensionality Reduction and Feature Learning</w:t>
      </w:r>
    </w:p>
    <w:p>
      <w:pPr>
        <w:spacing w:after="0" w:line="217" w:lineRule="exact"/>
        <w:rPr>
          <w:sz w:val="20"/>
          <w:szCs w:val="20"/>
          <w:color w:val="auto"/>
        </w:rPr>
      </w:pPr>
    </w:p>
    <w:p>
      <w:pPr>
        <w:ind w:right="140"/>
        <w:spacing w:after="0" w:line="233" w:lineRule="auto"/>
        <w:rPr>
          <w:sz w:val="20"/>
          <w:szCs w:val="20"/>
          <w:color w:val="auto"/>
        </w:rPr>
      </w:pPr>
      <w:r>
        <w:rPr>
          <w:rFonts w:ascii="Times New Roman" w:cs="Times New Roman" w:eastAsia="Times New Roman" w:hAnsi="Times New Roman"/>
          <w:sz w:val="18"/>
          <w:szCs w:val="18"/>
          <w:color w:val="auto"/>
        </w:rPr>
        <w:t>In machine learning and data science, high-dimensional data processing is a challenging task for both researchers and</w:t>
      </w:r>
    </w:p>
    <w:p>
      <w:pPr>
        <w:spacing w:after="0" w:line="20" w:lineRule="exact"/>
        <w:rPr>
          <w:sz w:val="20"/>
          <w:szCs w:val="20"/>
          <w:color w:val="auto"/>
        </w:rPr>
      </w:pPr>
      <w:r>
        <w:rPr>
          <w:sz w:val="20"/>
          <w:szCs w:val="20"/>
          <w:color w:val="auto"/>
        </w:rPr>
        <w:br w:type="column"/>
      </w:r>
    </w:p>
    <w:p>
      <w:pPr>
        <w:spacing w:after="0" w:line="239" w:lineRule="auto"/>
        <w:rPr>
          <w:sz w:val="20"/>
          <w:szCs w:val="20"/>
          <w:color w:val="auto"/>
        </w:rPr>
      </w:pPr>
      <w:r>
        <w:rPr>
          <w:rFonts w:ascii="Times New Roman" w:cs="Times New Roman" w:eastAsia="Times New Roman" w:hAnsi="Times New Roman"/>
          <w:sz w:val="18"/>
          <w:szCs w:val="18"/>
          <w:color w:val="auto"/>
        </w:rPr>
        <w:t>application developers. Thus, dimensionality reduction which is an unsupervised learning technique, is important because it leads to better human interpretations, lower computational costs, and avoids overftting and redundancy by simplifying models. Both the process of feature selection and feature extraction can be used for dimensionality reduction. The primary distinction between the selection and extraction of features is that the “feature selection” keeps a subset of the original features [97], while “feature extraction” creates brand new ones [98]. In the following, we briefy discuss these techniques. – Feature selection: The selection of features, also known as the selection of variables or attributes in the data, is the process of choosing a subset of unique features (variables, predictors) to use in building machine learning and data science model. It decreases a model’s complexity by eliminating the irrelevant or less important features and allows for faster training of machine learning algorithms. A right and optimal subset of the selected features in a problem domain is capable to minimize the overftting problem through simplifying and generalizing the model as well as increases the model’s accuracy [97]. Thus, “feature selection” [66, 99] is considered as one of the primary concepts in machine learning that greatly afects the efectiveness and efciency of the target machine learning model. Chi-squared test, Analysis of variance (ANOVA) test, Pearson’s correlation coefcient, recursive feature elimination, are some popular techniques that is used for feature learning.</w:t>
      </w:r>
    </w:p>
    <w:p>
      <w:pPr>
        <w:spacing w:after="0" w:line="229" w:lineRule="exact"/>
        <w:rPr>
          <w:sz w:val="20"/>
          <w:szCs w:val="20"/>
          <w:color w:val="auto"/>
        </w:rPr>
      </w:pPr>
    </w:p>
    <w:p>
      <w:pPr>
        <w:spacing w:after="0" w:line="239" w:lineRule="auto"/>
        <w:rPr>
          <w:sz w:val="20"/>
          <w:szCs w:val="20"/>
          <w:color w:val="auto"/>
        </w:rPr>
      </w:pPr>
      <w:r>
        <w:rPr>
          <w:rFonts w:ascii="Times New Roman" w:cs="Times New Roman" w:eastAsia="Times New Roman" w:hAnsi="Times New Roman"/>
          <w:sz w:val="18"/>
          <w:szCs w:val="18"/>
          <w:color w:val="auto"/>
        </w:rPr>
        <w:t>Many algorithms have been proposed to reduce data dimensions in the machine learning and data science literature [41, 125]. In the following, we summarize the popular methods that are used widely in various application areas. • Variance threshold: A simple basic approach to feature selection is the variance threshold [82]. This excludes all features of low variance, i.e., all features whose variance does not exceed the threshold. It eliminates all zero-variance characteristics by default, i.e., characteristics that have the same value in all samples. This feature selection algorithm looks only at the (X) features, not the (y) outputs needed, and can, therefore, be used for unsupervised learning.</w:t>
      </w:r>
    </w:p>
    <w:p>
      <w:pPr>
        <w:spacing w:after="0" w:line="165" w:lineRule="exact"/>
        <w:rPr>
          <w:sz w:val="20"/>
          <w:szCs w:val="20"/>
          <w:color w:val="auto"/>
        </w:rPr>
      </w:pPr>
    </w:p>
    <w:p>
      <w:pPr>
        <w:ind w:left="720" w:hanging="359"/>
        <w:spacing w:after="0" w:line="238" w:lineRule="auto"/>
        <w:tabs>
          <w:tab w:leader="none" w:pos="720" w:val="left"/>
        </w:tabs>
        <w:numPr>
          <w:ilvl w:val="0"/>
          <w:numId w:val="1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Pearson correlation: Pearson’s correlation is another method to understand a feature’s relation to the response variable and can be used for feature selection [99]. This method is also used for fnding the association between the features in a dataset. The resulting value is [−1, 1], where −1 means perfect negative correlation, +1 means perfect positive correlation, and 0 means that the two variables do not have a linear correlation</w:t>
      </w:r>
    </w:p>
    <w:p>
      <w:pPr>
        <w:spacing w:after="0" w:line="200" w:lineRule="exact"/>
        <w:rPr>
          <w:sz w:val="20"/>
          <w:szCs w:val="20"/>
          <w:color w:val="auto"/>
        </w:rPr>
      </w:pPr>
    </w:p>
    <w:p>
      <w:pPr>
        <w:spacing w:after="0" w:line="32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Artifcial Neural Network and LSTM</w:t>
      </w:r>
    </w:p>
    <w:p>
      <w:pPr>
        <w:spacing w:after="0" w:line="164" w:lineRule="exact"/>
        <w:rPr>
          <w:sz w:val="20"/>
          <w:szCs w:val="20"/>
          <w:color w:val="auto"/>
        </w:rPr>
      </w:pPr>
    </w:p>
    <w:p>
      <w:pPr>
        <w:ind w:firstLine="46"/>
        <w:spacing w:after="0" w:line="239" w:lineRule="auto"/>
        <w:rPr>
          <w:sz w:val="20"/>
          <w:szCs w:val="20"/>
          <w:color w:val="auto"/>
        </w:rPr>
      </w:pPr>
      <w:r>
        <w:rPr>
          <w:rFonts w:ascii="Times New Roman" w:cs="Times New Roman" w:eastAsia="Times New Roman" w:hAnsi="Times New Roman"/>
          <w:sz w:val="18"/>
          <w:szCs w:val="18"/>
          <w:color w:val="auto"/>
        </w:rPr>
        <w:t>Deep learning is part of a wider family of artifcial neural networks (ANN)-based machine learning approaches with representation learning. Deep learning provides a computational architecture by combining several processing layers, such as input, hidden, and output layers, to learn from data [41]. The main advantage of deep learning over traditional machine learning methods is its better performance in several cases, particularly learning from large datasets [105, 129]. Figure 9 shows a general performance of deep learning over machine learning considering the increasing amount of data. However, it may vary depending on the data characteristics and experimental set up. The most common deep learning algorithms are: Multilayer Perceptron (MLP), Convolutional Neural Network</w:t>
      </w:r>
    </w:p>
    <w:p>
      <w:pPr>
        <w:sectPr>
          <w:pgSz w:w="12240" w:h="15840" w:orient="portrait"/>
          <w:cols w:equalWidth="0" w:num="2">
            <w:col w:w="4500" w:space="720"/>
            <w:col w:w="4480"/>
          </w:cols>
          <w:pgMar w:left="1440" w:top="1369" w:right="1100" w:bottom="0" w:gutter="0" w:footer="0" w:header="0"/>
        </w:sectPr>
      </w:pPr>
    </w:p>
    <w:bookmarkStart w:id="4" w:name="page5"/>
    <w:bookmarkEnd w:id="4"/>
    <w:p>
      <w:pPr>
        <w:spacing w:after="0" w:line="200" w:lineRule="exact"/>
        <w:rPr>
          <w:sz w:val="20"/>
          <w:szCs w:val="20"/>
          <w:color w:val="auto"/>
        </w:rPr>
      </w:pP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Challenges and Limitations</w:t>
      </w:r>
    </w:p>
    <w:p>
      <w:pPr>
        <w:spacing w:after="0" w:line="190" w:lineRule="exact"/>
        <w:rPr>
          <w:sz w:val="20"/>
          <w:szCs w:val="20"/>
          <w:color w:val="auto"/>
        </w:rPr>
      </w:pPr>
    </w:p>
    <w:p>
      <w:pPr>
        <w:ind w:right="560" w:firstLine="50"/>
        <w:spacing w:after="0" w:line="254" w:lineRule="auto"/>
        <w:rPr>
          <w:sz w:val="20"/>
          <w:szCs w:val="20"/>
          <w:color w:val="auto"/>
        </w:rPr>
      </w:pPr>
      <w:r>
        <w:rPr>
          <w:rFonts w:ascii="Times New Roman" w:cs="Times New Roman" w:eastAsia="Times New Roman" w:hAnsi="Times New Roman"/>
          <w:sz w:val="18"/>
          <w:szCs w:val="18"/>
          <w:b w:val="1"/>
          <w:bCs w:val="1"/>
          <w:color w:val="auto"/>
        </w:rPr>
        <w:t>Initial Implementation Costs</w:t>
      </w:r>
      <w:r>
        <w:rPr>
          <w:rFonts w:ascii="Times New Roman" w:cs="Times New Roman" w:eastAsia="Times New Roman" w:hAnsi="Times New Roman"/>
          <w:sz w:val="18"/>
          <w:szCs w:val="18"/>
          <w:color w:val="auto"/>
        </w:rPr>
        <w:t>: Integrating SAP with AI/ML technologies can require significant upfront investment in technology, training, and time for system setup</w:t>
      </w:r>
    </w:p>
    <w:p>
      <w:pPr>
        <w:spacing w:after="0" w:line="200" w:lineRule="exact"/>
        <w:rPr>
          <w:sz w:val="20"/>
          <w:szCs w:val="20"/>
          <w:color w:val="auto"/>
        </w:rPr>
      </w:pPr>
    </w:p>
    <w:p>
      <w:pPr>
        <w:spacing w:after="0" w:line="299" w:lineRule="exact"/>
        <w:rPr>
          <w:sz w:val="20"/>
          <w:szCs w:val="20"/>
          <w:color w:val="auto"/>
        </w:rPr>
      </w:pPr>
    </w:p>
    <w:p>
      <w:pPr>
        <w:jc w:val="both"/>
        <w:ind w:right="260"/>
        <w:spacing w:after="0" w:line="276" w:lineRule="auto"/>
        <w:rPr>
          <w:sz w:val="20"/>
          <w:szCs w:val="20"/>
          <w:color w:val="auto"/>
        </w:rPr>
      </w:pPr>
      <w:r>
        <w:rPr>
          <w:rFonts w:ascii="Times New Roman" w:cs="Times New Roman" w:eastAsia="Times New Roman" w:hAnsi="Times New Roman"/>
          <w:sz w:val="17"/>
          <w:szCs w:val="17"/>
          <w:b w:val="1"/>
          <w:bCs w:val="1"/>
          <w:color w:val="auto"/>
        </w:rPr>
        <w:t>Resistance to Change</w:t>
      </w:r>
      <w:r>
        <w:rPr>
          <w:rFonts w:ascii="Times New Roman" w:cs="Times New Roman" w:eastAsia="Times New Roman" w:hAnsi="Times New Roman"/>
          <w:sz w:val="17"/>
          <w:szCs w:val="17"/>
          <w:color w:val="auto"/>
        </w:rPr>
        <w:t>: Employees may resist transitioning from traditional methods to AI-driven forecasting systems, requiring change management strategies.</w:t>
      </w:r>
    </w:p>
    <w:p>
      <w:pPr>
        <w:spacing w:after="0" w:line="158" w:lineRule="exact"/>
        <w:rPr>
          <w:sz w:val="20"/>
          <w:szCs w:val="20"/>
          <w:color w:val="auto"/>
        </w:rPr>
      </w:pPr>
    </w:p>
    <w:p>
      <w:pPr>
        <w:ind w:right="40"/>
        <w:spacing w:after="0" w:line="255" w:lineRule="auto"/>
        <w:rPr>
          <w:sz w:val="20"/>
          <w:szCs w:val="20"/>
          <w:color w:val="auto"/>
        </w:rPr>
      </w:pPr>
      <w:r>
        <w:rPr>
          <w:rFonts w:ascii="Times New Roman" w:cs="Times New Roman" w:eastAsia="Times New Roman" w:hAnsi="Times New Roman"/>
          <w:sz w:val="18"/>
          <w:szCs w:val="18"/>
          <w:b w:val="1"/>
          <w:bCs w:val="1"/>
          <w:color w:val="auto"/>
        </w:rPr>
        <w:t>Complex Data Integration</w:t>
      </w:r>
      <w:r>
        <w:rPr>
          <w:rFonts w:ascii="Times New Roman" w:cs="Times New Roman" w:eastAsia="Times New Roman" w:hAnsi="Times New Roman"/>
          <w:sz w:val="18"/>
          <w:szCs w:val="18"/>
          <w:color w:val="auto"/>
        </w:rPr>
        <w:t>: Data from various sources needs to be cleaned and integrated before being used in AI/ML models, which could be a complex task depending on the data structure.</w:t>
      </w: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Conclusion</w:t>
      </w:r>
    </w:p>
    <w:p>
      <w:pPr>
        <w:spacing w:after="0" w:line="188" w:lineRule="exact"/>
        <w:rPr>
          <w:sz w:val="20"/>
          <w:szCs w:val="20"/>
          <w:color w:val="auto"/>
        </w:rPr>
      </w:pPr>
    </w:p>
    <w:p>
      <w:pPr>
        <w:ind w:right="60"/>
        <w:spacing w:after="0" w:line="252" w:lineRule="auto"/>
        <w:rPr>
          <w:sz w:val="20"/>
          <w:szCs w:val="20"/>
          <w:color w:val="auto"/>
        </w:rPr>
      </w:pPr>
      <w:r>
        <w:rPr>
          <w:rFonts w:ascii="Times New Roman" w:cs="Times New Roman" w:eastAsia="Times New Roman" w:hAnsi="Times New Roman"/>
          <w:sz w:val="18"/>
          <w:szCs w:val="18"/>
          <w:color w:val="auto"/>
        </w:rPr>
        <w:t>The integration of SAP modules with AI/ML significantly enhances the sales forecasting process, driving improvements in accuracy, operational efficiency, and</w:t>
      </w:r>
    </w:p>
    <w:p>
      <w:pPr>
        <w:spacing w:after="0" w:line="18" w:lineRule="exact"/>
        <w:rPr>
          <w:sz w:val="20"/>
          <w:szCs w:val="20"/>
          <w:color w:val="auto"/>
        </w:rPr>
      </w:pPr>
    </w:p>
    <w:p>
      <w:pPr>
        <w:ind w:right="100"/>
        <w:spacing w:after="0" w:line="247" w:lineRule="auto"/>
        <w:rPr>
          <w:sz w:val="20"/>
          <w:szCs w:val="20"/>
          <w:color w:val="auto"/>
        </w:rPr>
      </w:pPr>
      <w:r>
        <w:rPr>
          <w:rFonts w:ascii="Times New Roman" w:cs="Times New Roman" w:eastAsia="Times New Roman" w:hAnsi="Times New Roman"/>
          <w:sz w:val="18"/>
          <w:szCs w:val="18"/>
          <w:color w:val="auto"/>
        </w:rPr>
        <w:t>agility. By leveraging real-time data, predictive analytics, and scenario simulations, businesses can make smarter,</w:t>
      </w:r>
    </w:p>
    <w:p>
      <w:pPr>
        <w:spacing w:after="0" w:line="23" w:lineRule="exact"/>
        <w:rPr>
          <w:sz w:val="20"/>
          <w:szCs w:val="20"/>
          <w:color w:val="auto"/>
        </w:rPr>
      </w:pPr>
    </w:p>
    <w:p>
      <w:pPr>
        <w:ind w:right="100"/>
        <w:spacing w:after="0" w:line="254" w:lineRule="auto"/>
        <w:rPr>
          <w:sz w:val="20"/>
          <w:szCs w:val="20"/>
          <w:color w:val="auto"/>
        </w:rPr>
      </w:pPr>
      <w:r>
        <w:rPr>
          <w:rFonts w:ascii="Times New Roman" w:cs="Times New Roman" w:eastAsia="Times New Roman" w:hAnsi="Times New Roman"/>
          <w:sz w:val="18"/>
          <w:szCs w:val="18"/>
          <w:color w:val="auto"/>
        </w:rPr>
        <w:t>faster decisions, ensuring that they are always prepared for market changes. This approach ultimately enables businesses to stay competitive, reduce costs, and improve customer satisfaction in a dynamic business environment.</w:t>
      </w:r>
    </w:p>
    <w:p>
      <w:pPr>
        <w:spacing w:after="0" w:line="96" w:lineRule="exact"/>
        <w:rPr>
          <w:sz w:val="20"/>
          <w:szCs w:val="20"/>
          <w:color w:val="auto"/>
        </w:rPr>
      </w:pPr>
    </w:p>
    <w:p>
      <w:pPr>
        <w:jc w:val="both"/>
        <w:ind w:right="260"/>
        <w:spacing w:after="0" w:line="274" w:lineRule="auto"/>
        <w:rPr>
          <w:sz w:val="20"/>
          <w:szCs w:val="20"/>
          <w:color w:val="auto"/>
        </w:rPr>
      </w:pPr>
      <w:r>
        <w:rPr>
          <w:rFonts w:ascii="Times New Roman" w:cs="Times New Roman" w:eastAsia="Times New Roman" w:hAnsi="Times New Roman"/>
          <w:sz w:val="17"/>
          <w:szCs w:val="17"/>
          <w:b w:val="1"/>
          <w:bCs w:val="1"/>
          <w:color w:val="auto"/>
        </w:rPr>
        <w:t>Resistance to Change</w:t>
      </w:r>
      <w:r>
        <w:rPr>
          <w:rFonts w:ascii="Times New Roman" w:cs="Times New Roman" w:eastAsia="Times New Roman" w:hAnsi="Times New Roman"/>
          <w:sz w:val="17"/>
          <w:szCs w:val="17"/>
          <w:color w:val="auto"/>
        </w:rPr>
        <w:t>: Employees may resist transitioning from traditional methods to AI-driven forecasting systems, requiring change management strategies.</w:t>
      </w:r>
    </w:p>
    <w:p>
      <w:pPr>
        <w:spacing w:after="0" w:line="161" w:lineRule="exact"/>
        <w:rPr>
          <w:sz w:val="20"/>
          <w:szCs w:val="20"/>
          <w:color w:val="auto"/>
        </w:rPr>
      </w:pPr>
    </w:p>
    <w:p>
      <w:pPr>
        <w:ind w:right="40"/>
        <w:spacing w:after="0" w:line="254" w:lineRule="auto"/>
        <w:rPr>
          <w:sz w:val="20"/>
          <w:szCs w:val="20"/>
          <w:color w:val="auto"/>
        </w:rPr>
      </w:pPr>
      <w:r>
        <w:rPr>
          <w:rFonts w:ascii="Times New Roman" w:cs="Times New Roman" w:eastAsia="Times New Roman" w:hAnsi="Times New Roman"/>
          <w:sz w:val="18"/>
          <w:szCs w:val="18"/>
          <w:b w:val="1"/>
          <w:bCs w:val="1"/>
          <w:color w:val="auto"/>
        </w:rPr>
        <w:t>Complex Data Integration</w:t>
      </w:r>
      <w:r>
        <w:rPr>
          <w:rFonts w:ascii="Times New Roman" w:cs="Times New Roman" w:eastAsia="Times New Roman" w:hAnsi="Times New Roman"/>
          <w:sz w:val="18"/>
          <w:szCs w:val="18"/>
          <w:color w:val="auto"/>
        </w:rPr>
        <w:t>: Data from various sources needs to be cleaned and integrated before being used in AI/ML models, which could be a complex task depending on the data structure.</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References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323215</wp:posOffset>
            </wp:positionV>
            <wp:extent cx="197485" cy="139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197485" cy="139700"/>
                    </a:xfrm>
                    <a:prstGeom prst="rect">
                      <a:avLst/>
                    </a:prstGeom>
                    <a:noFill/>
                  </pic:spPr>
                </pic:pic>
              </a:graphicData>
            </a:graphic>
          </wp:anchor>
        </w:drawing>
      </w:r>
    </w:p>
    <w:p>
      <w:pPr>
        <w:spacing w:after="0" w:line="200" w:lineRule="exact"/>
        <w:rPr>
          <w:sz w:val="20"/>
          <w:szCs w:val="20"/>
          <w:color w:val="auto"/>
        </w:rPr>
      </w:pPr>
    </w:p>
    <w:p>
      <w:pPr>
        <w:spacing w:after="0" w:line="290" w:lineRule="exact"/>
        <w:rPr>
          <w:sz w:val="20"/>
          <w:szCs w:val="20"/>
          <w:color w:val="auto"/>
        </w:rPr>
      </w:pPr>
    </w:p>
    <w:p>
      <w:pPr>
        <w:ind w:right="380"/>
        <w:spacing w:after="0" w:line="244" w:lineRule="auto"/>
        <w:tabs>
          <w:tab w:leader="none" w:pos="202" w:val="left"/>
        </w:tabs>
        <w:numPr>
          <w:ilvl w:val="0"/>
          <w:numId w:val="1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Ahmad, I &amp; Schreiner, T. (2019). </w:t>
      </w:r>
      <w:r>
        <w:rPr>
          <w:rFonts w:ascii="Times New Roman" w:cs="Times New Roman" w:eastAsia="Times New Roman" w:hAnsi="Times New Roman"/>
          <w:sz w:val="20"/>
          <w:szCs w:val="20"/>
          <w:i w:val="1"/>
          <w:iCs w:val="1"/>
          <w:color w:val="auto"/>
        </w:rPr>
        <w:t>SAP HANA: An Introduction</w:t>
      </w:r>
      <w:r>
        <w:rPr>
          <w:rFonts w:ascii="Times New Roman" w:cs="Times New Roman" w:eastAsia="Times New Roman" w:hAnsi="Times New Roman"/>
          <w:sz w:val="20"/>
          <w:szCs w:val="20"/>
          <w:color w:val="auto"/>
        </w:rPr>
        <w:t>.SAP Press.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117475</wp:posOffset>
            </wp:positionV>
            <wp:extent cx="197485" cy="139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extLst>
                    </a:blip>
                    <a:srcRect/>
                    <a:stretch>
                      <a:fillRect/>
                    </a:stretch>
                  </pic:blipFill>
                  <pic:spPr bwMode="auto">
                    <a:xfrm>
                      <a:off x="0" y="0"/>
                      <a:ext cx="197485" cy="139700"/>
                    </a:xfrm>
                    <a:prstGeom prst="rect">
                      <a:avLst/>
                    </a:prstGeom>
                    <a:noFill/>
                  </pic:spPr>
                </pic:pic>
              </a:graphicData>
            </a:graphic>
          </wp:anchor>
        </w:drawing>
      </w:r>
    </w:p>
    <w:p>
      <w:pPr>
        <w:spacing w:after="0" w:line="168" w:lineRule="exact"/>
        <w:rPr>
          <w:sz w:val="20"/>
          <w:szCs w:val="20"/>
          <w:color w:val="auto"/>
        </w:rPr>
      </w:pPr>
    </w:p>
    <w:p>
      <w:pPr>
        <w:ind w:right="220"/>
        <w:spacing w:after="0" w:line="255" w:lineRule="auto"/>
        <w:rPr>
          <w:sz w:val="20"/>
          <w:szCs w:val="20"/>
          <w:color w:val="auto"/>
        </w:rPr>
      </w:pPr>
      <w:r>
        <w:rPr>
          <w:rFonts w:ascii="Times New Roman" w:cs="Times New Roman" w:eastAsia="Times New Roman" w:hAnsi="Times New Roman"/>
          <w:sz w:val="20"/>
          <w:szCs w:val="20"/>
          <w:color w:val="auto"/>
        </w:rPr>
        <w:t xml:space="preserve">2.Bansal, A., &amp; Negi, S. (2021). Enhancing forecasting accuracy with AI and machine learning: A case study. </w:t>
      </w:r>
      <w:r>
        <w:rPr>
          <w:rFonts w:ascii="Times New Roman" w:cs="Times New Roman" w:eastAsia="Times New Roman" w:hAnsi="Times New Roman"/>
          <w:sz w:val="20"/>
          <w:szCs w:val="20"/>
          <w:i w:val="1"/>
          <w:iCs w:val="1"/>
          <w:color w:val="auto"/>
        </w:rPr>
        <w:t>Journal of Data Analytics and Business Intelligence, 7</w:t>
      </w:r>
      <w:r>
        <w:rPr>
          <w:rFonts w:ascii="Times New Roman" w:cs="Times New Roman" w:eastAsia="Times New Roman" w:hAnsi="Times New Roman"/>
          <w:sz w:val="20"/>
          <w:szCs w:val="20"/>
          <w:color w:val="auto"/>
        </w:rPr>
        <w:t>(4), 234-245.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109855</wp:posOffset>
            </wp:positionV>
            <wp:extent cx="197485" cy="139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extLst>
                    </a:blip>
                    <a:srcRect/>
                    <a:stretch>
                      <a:fillRect/>
                    </a:stretch>
                  </pic:blipFill>
                  <pic:spPr bwMode="auto">
                    <a:xfrm>
                      <a:off x="0" y="0"/>
                      <a:ext cx="197485" cy="139700"/>
                    </a:xfrm>
                    <a:prstGeom prst="rect">
                      <a:avLst/>
                    </a:prstGeom>
                    <a:noFill/>
                  </pic:spPr>
                </pic:pic>
              </a:graphicData>
            </a:graphic>
          </wp:anchor>
        </w:drawing>
      </w:r>
    </w:p>
    <w:p>
      <w:pPr>
        <w:spacing w:after="0" w:line="157" w:lineRule="exact"/>
        <w:rPr>
          <w:sz w:val="20"/>
          <w:szCs w:val="20"/>
          <w:color w:val="auto"/>
        </w:rPr>
      </w:pPr>
    </w:p>
    <w:p>
      <w:pPr>
        <w:ind w:right="280"/>
        <w:spacing w:after="0" w:line="244" w:lineRule="auto"/>
        <w:rPr>
          <w:sz w:val="20"/>
          <w:szCs w:val="20"/>
          <w:color w:val="auto"/>
        </w:rPr>
      </w:pPr>
      <w:r>
        <w:rPr>
          <w:rFonts w:ascii="Times New Roman" w:cs="Times New Roman" w:eastAsia="Times New Roman" w:hAnsi="Times New Roman"/>
          <w:sz w:val="20"/>
          <w:szCs w:val="20"/>
          <w:color w:val="auto"/>
        </w:rPr>
        <w:t xml:space="preserve">3.Gupta, R., &amp; Sharma, P. (2020). </w:t>
      </w:r>
      <w:r>
        <w:rPr>
          <w:rFonts w:ascii="Times New Roman" w:cs="Times New Roman" w:eastAsia="Times New Roman" w:hAnsi="Times New Roman"/>
          <w:sz w:val="20"/>
          <w:szCs w:val="20"/>
          <w:i w:val="1"/>
          <w:iCs w:val="1"/>
          <w:color w:val="auto"/>
        </w:rPr>
        <w:t>Practical Guide to SAP SD (Sales and Distribution)</w:t>
      </w:r>
      <w:r>
        <w:rPr>
          <w:rFonts w:ascii="Times New Roman" w:cs="Times New Roman" w:eastAsia="Times New Roman" w:hAnsi="Times New Roman"/>
          <w:sz w:val="20"/>
          <w:szCs w:val="20"/>
          <w:color w:val="auto"/>
        </w:rPr>
        <w:t>. SAP Press.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115570</wp:posOffset>
            </wp:positionV>
            <wp:extent cx="197485" cy="13970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extLst>
                    </a:blip>
                    <a:srcRect/>
                    <a:stretch>
                      <a:fillRect/>
                    </a:stretch>
                  </pic:blipFill>
                  <pic:spPr bwMode="auto">
                    <a:xfrm>
                      <a:off x="0" y="0"/>
                      <a:ext cx="197485" cy="139700"/>
                    </a:xfrm>
                    <a:prstGeom prst="rect">
                      <a:avLst/>
                    </a:prstGeom>
                    <a:noFill/>
                  </pic:spPr>
                </pic:pic>
              </a:graphicData>
            </a:graphic>
          </wp:anchor>
        </w:drawing>
      </w:r>
    </w:p>
    <w:p>
      <w:pPr>
        <w:spacing w:after="0" w:line="165" w:lineRule="exact"/>
        <w:rPr>
          <w:sz w:val="20"/>
          <w:szCs w:val="20"/>
          <w:color w:val="auto"/>
        </w:rPr>
      </w:pPr>
    </w:p>
    <w:p>
      <w:pPr>
        <w:ind w:right="440"/>
        <w:spacing w:after="0" w:line="253" w:lineRule="auto"/>
        <w:rPr>
          <w:rFonts w:ascii="Times New Roman" w:cs="Times New Roman" w:eastAsia="Times New Roman" w:hAnsi="Times New Roman"/>
          <w:sz w:val="20"/>
          <w:szCs w:val="20"/>
          <w:u w:val="single" w:color="auto"/>
          <w:color w:val="0462C1"/>
        </w:rPr>
      </w:pPr>
      <w:r>
        <w:rPr>
          <w:rFonts w:ascii="Times New Roman" w:cs="Times New Roman" w:eastAsia="Times New Roman" w:hAnsi="Times New Roman"/>
          <w:sz w:val="20"/>
          <w:szCs w:val="20"/>
          <w:color w:val="auto"/>
        </w:rPr>
        <w:t xml:space="preserve">4.SAP SE. (n.d.). </w:t>
      </w:r>
      <w:r>
        <w:rPr>
          <w:rFonts w:ascii="Times New Roman" w:cs="Times New Roman" w:eastAsia="Times New Roman" w:hAnsi="Times New Roman"/>
          <w:sz w:val="20"/>
          <w:szCs w:val="20"/>
          <w:i w:val="1"/>
          <w:iCs w:val="1"/>
          <w:color w:val="auto"/>
        </w:rPr>
        <w:t>SAP Fiori: Design Guidelines for Modern Business Applications</w:t>
      </w:r>
      <w:r>
        <w:rPr>
          <w:rFonts w:ascii="Times New Roman" w:cs="Times New Roman" w:eastAsia="Times New Roman" w:hAnsi="Times New Roman"/>
          <w:sz w:val="20"/>
          <w:szCs w:val="20"/>
          <w:color w:val="auto"/>
        </w:rPr>
        <w:t>. Retrieved from</w:t>
      </w:r>
      <w:r>
        <w:rPr>
          <w:rFonts w:ascii="Times New Roman" w:cs="Times New Roman" w:eastAsia="Times New Roman" w:hAnsi="Times New Roman"/>
          <w:sz w:val="20"/>
          <w:szCs w:val="20"/>
          <w:i w:val="1"/>
          <w:iCs w:val="1"/>
          <w:color w:val="auto"/>
        </w:rPr>
        <w:t xml:space="preserve"> </w:t>
      </w:r>
      <w:hyperlink r:id="rId20">
        <w:r>
          <w:rPr>
            <w:rFonts w:ascii="Times New Roman" w:cs="Times New Roman" w:eastAsia="Times New Roman" w:hAnsi="Times New Roman"/>
            <w:sz w:val="20"/>
            <w:szCs w:val="20"/>
            <w:u w:val="single" w:color="auto"/>
            <w:color w:val="0462C1"/>
          </w:rPr>
          <w:t>https://www.sap.com</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110490</wp:posOffset>
            </wp:positionV>
            <wp:extent cx="197485" cy="139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extLst>
                    </a:blip>
                    <a:srcRect/>
                    <a:stretch>
                      <a:fillRect/>
                    </a:stretch>
                  </pic:blipFill>
                  <pic:spPr bwMode="auto">
                    <a:xfrm>
                      <a:off x="0" y="0"/>
                      <a:ext cx="197485" cy="139700"/>
                    </a:xfrm>
                    <a:prstGeom prst="rect">
                      <a:avLst/>
                    </a:prstGeom>
                    <a:noFill/>
                  </pic:spPr>
                </pic:pic>
              </a:graphicData>
            </a:graphic>
          </wp:anchor>
        </w:drawing>
      </w:r>
    </w:p>
    <w:p>
      <w:pPr>
        <w:spacing w:after="0" w:line="157" w:lineRule="exact"/>
        <w:rPr>
          <w:sz w:val="20"/>
          <w:szCs w:val="20"/>
          <w:color w:val="auto"/>
        </w:rPr>
      </w:pPr>
    </w:p>
    <w:p>
      <w:pPr>
        <w:ind w:right="440"/>
        <w:spacing w:after="0" w:line="254" w:lineRule="auto"/>
        <w:rPr>
          <w:sz w:val="20"/>
          <w:szCs w:val="20"/>
          <w:color w:val="auto"/>
        </w:rPr>
      </w:pPr>
      <w:r>
        <w:rPr>
          <w:rFonts w:ascii="Times New Roman" w:cs="Times New Roman" w:eastAsia="Times New Roman" w:hAnsi="Times New Roman"/>
          <w:sz w:val="20"/>
          <w:szCs w:val="20"/>
          <w:color w:val="auto"/>
        </w:rPr>
        <w:t xml:space="preserve">5.Johnson, D., &amp; Kramer, P. (2020). Leveraging AI and SAP for predictive analytics in sales. </w:t>
      </w:r>
      <w:r>
        <w:rPr>
          <w:rFonts w:ascii="Times New Roman" w:cs="Times New Roman" w:eastAsia="Times New Roman" w:hAnsi="Times New Roman"/>
          <w:sz w:val="20"/>
          <w:szCs w:val="20"/>
          <w:i w:val="1"/>
          <w:iCs w:val="1"/>
          <w:color w:val="auto"/>
        </w:rPr>
        <w:t>International Journal of Enterprise Systems, 12</w:t>
      </w:r>
      <w:r>
        <w:rPr>
          <w:rFonts w:ascii="Times New Roman" w:cs="Times New Roman" w:eastAsia="Times New Roman" w:hAnsi="Times New Roman"/>
          <w:sz w:val="20"/>
          <w:szCs w:val="20"/>
          <w:color w:val="auto"/>
        </w:rPr>
        <w:t>(3),</w:t>
      </w:r>
      <w:r>
        <w:rPr>
          <w:rFonts w:ascii="Times New Roman" w:cs="Times New Roman" w:eastAsia="Times New Roman" w:hAnsi="Times New Roman"/>
          <w:sz w:val="20"/>
          <w:szCs w:val="20"/>
          <w:i w:val="1"/>
          <w:iCs w:val="1"/>
          <w:color w:val="auto"/>
        </w:rPr>
        <w:t xml:space="preserve"> </w:t>
      </w:r>
      <w:r>
        <w:rPr>
          <w:rFonts w:ascii="Times New Roman" w:cs="Times New Roman" w:eastAsia="Times New Roman" w:hAnsi="Times New Roman"/>
          <w:sz w:val="20"/>
          <w:szCs w:val="20"/>
          <w:color w:val="auto"/>
        </w:rPr>
        <w:t>145-162.</w:t>
      </w:r>
    </w:p>
    <w:p>
      <w:pPr>
        <w:spacing w:after="0" w:line="20" w:lineRule="exact"/>
        <w:rPr>
          <w:sz w:val="20"/>
          <w:szCs w:val="20"/>
          <w:color w:val="auto"/>
        </w:rPr>
      </w:pPr>
      <w:r>
        <w:rPr>
          <w:sz w:val="20"/>
          <w:szCs w:val="20"/>
          <w:color w:val="auto"/>
        </w:rPr>
        <w:br w:type="column"/>
      </w:r>
    </w:p>
    <w:p>
      <w:pPr>
        <w:ind w:right="80" w:firstLine="1"/>
        <w:spacing w:after="0" w:line="250" w:lineRule="auto"/>
        <w:tabs>
          <w:tab w:leader="none" w:pos="221" w:val="left"/>
        </w:tabs>
        <w:numPr>
          <w:ilvl w:val="0"/>
          <w:numId w:val="19"/>
        </w:numPr>
        <w:rPr>
          <w:rFonts w:ascii="Times New Roman" w:cs="Times New Roman" w:eastAsia="Times New Roman" w:hAnsi="Times New Roman"/>
          <w:sz w:val="19"/>
          <w:szCs w:val="19"/>
          <w:i w:val="1"/>
          <w:iCs w:val="1"/>
          <w:color w:val="auto"/>
        </w:rPr>
      </w:pPr>
      <w:r>
        <w:rPr>
          <w:rFonts w:ascii="Times New Roman" w:cs="Times New Roman" w:eastAsia="Times New Roman" w:hAnsi="Times New Roman"/>
          <w:sz w:val="19"/>
          <w:szCs w:val="19"/>
          <w:color w:val="auto"/>
        </w:rPr>
        <w:t xml:space="preserve">SAP SE. (2023). </w:t>
      </w:r>
      <w:r>
        <w:rPr>
          <w:rFonts w:ascii="Times New Roman" w:cs="Times New Roman" w:eastAsia="Times New Roman" w:hAnsi="Times New Roman"/>
          <w:sz w:val="19"/>
          <w:szCs w:val="19"/>
          <w:i w:val="1"/>
          <w:iCs w:val="1"/>
          <w:color w:val="auto"/>
        </w:rPr>
        <w:t>SAP Financial Accounting (FI) Overview</w:t>
      </w:r>
      <w:r>
        <w:rPr>
          <w:rFonts w:ascii="Times New Roman" w:cs="Times New Roman" w:eastAsia="Times New Roman" w:hAnsi="Times New Roman"/>
          <w:sz w:val="19"/>
          <w:szCs w:val="19"/>
          <w:color w:val="auto"/>
        </w:rPr>
        <w:t>. Retrieved from</w:t>
      </w:r>
      <w:r>
        <w:rPr>
          <w:rFonts w:ascii="Times New Roman" w:cs="Times New Roman" w:eastAsia="Times New Roman" w:hAnsi="Times New Roman"/>
          <w:sz w:val="19"/>
          <w:szCs w:val="19"/>
          <w:color w:val="0462C1"/>
        </w:rPr>
        <w:t xml:space="preserve"> </w:t>
      </w:r>
      <w:hyperlink r:id="rId20">
        <w:r>
          <w:rPr>
            <w:rFonts w:ascii="Times New Roman" w:cs="Times New Roman" w:eastAsia="Times New Roman" w:hAnsi="Times New Roman"/>
            <w:sz w:val="19"/>
            <w:szCs w:val="19"/>
            <w:u w:val="single" w:color="auto"/>
            <w:color w:val="0462C1"/>
          </w:rPr>
          <w:t>https://www.sap.com</w:t>
        </w:r>
      </w:hyperlink>
    </w:p>
    <w:p>
      <w:pPr>
        <w:spacing w:after="0" w:line="178" w:lineRule="exact"/>
        <w:rPr>
          <w:rFonts w:ascii="Times New Roman" w:cs="Times New Roman" w:eastAsia="Times New Roman" w:hAnsi="Times New Roman"/>
          <w:sz w:val="19"/>
          <w:szCs w:val="19"/>
          <w:i w:val="1"/>
          <w:iCs w:val="1"/>
          <w:color w:val="auto"/>
        </w:rPr>
      </w:pPr>
    </w:p>
    <w:p>
      <w:pPr>
        <w:jc w:val="both"/>
        <w:ind w:right="260" w:firstLine="1"/>
        <w:spacing w:after="0" w:line="270" w:lineRule="auto"/>
        <w:tabs>
          <w:tab w:leader="none" w:pos="202" w:val="left"/>
        </w:tabs>
        <w:numPr>
          <w:ilvl w:val="0"/>
          <w:numId w:val="19"/>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 xml:space="preserve">Smith, J., &amp; Yang, L. (2022). Integrating SAP and AI for dynamic sales forecasting. </w:t>
      </w:r>
      <w:r>
        <w:rPr>
          <w:rFonts w:ascii="Times New Roman" w:cs="Times New Roman" w:eastAsia="Times New Roman" w:hAnsi="Times New Roman"/>
          <w:sz w:val="19"/>
          <w:szCs w:val="19"/>
          <w:i w:val="1"/>
          <w:iCs w:val="1"/>
          <w:color w:val="auto"/>
        </w:rPr>
        <w:t>Journal of Advanced Business Strategies, 18</w:t>
      </w:r>
      <w:r>
        <w:rPr>
          <w:rFonts w:ascii="Times New Roman" w:cs="Times New Roman" w:eastAsia="Times New Roman" w:hAnsi="Times New Roman"/>
          <w:sz w:val="19"/>
          <w:szCs w:val="19"/>
          <w:color w:val="auto"/>
        </w:rPr>
        <w:t>(2), 123-139.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-113030</wp:posOffset>
            </wp:positionH>
            <wp:positionV relativeFrom="paragraph">
              <wp:posOffset>-883920</wp:posOffset>
            </wp:positionV>
            <wp:extent cx="197485" cy="139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extLst>
                    </a:blip>
                    <a:srcRect/>
                    <a:stretch>
                      <a:fillRect/>
                    </a:stretch>
                  </pic:blipFill>
                  <pic:spPr bwMode="auto">
                    <a:xfrm>
                      <a:off x="0" y="0"/>
                      <a:ext cx="197485" cy="139700"/>
                    </a:xfrm>
                    <a:prstGeom prst="rect">
                      <a:avLst/>
                    </a:prstGeom>
                    <a:noFill/>
                  </pic:spPr>
                </pic:pic>
              </a:graphicData>
            </a:graphic>
          </wp:anchor>
        </w:drawing>
        <w:drawing>
          <wp:anchor simplePos="0" relativeHeight="251657728" behindDoc="1" locked="0" layoutInCell="0" allowOverlap="1">
            <wp:simplePos x="0" y="0"/>
            <wp:positionH relativeFrom="column">
              <wp:posOffset>-113030</wp:posOffset>
            </wp:positionH>
            <wp:positionV relativeFrom="paragraph">
              <wp:posOffset>-467995</wp:posOffset>
            </wp:positionV>
            <wp:extent cx="197485" cy="139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extLst>
                    </a:blip>
                    <a:srcRect/>
                    <a:stretch>
                      <a:fillRect/>
                    </a:stretch>
                  </pic:blipFill>
                  <pic:spPr bwMode="auto">
                    <a:xfrm>
                      <a:off x="0" y="0"/>
                      <a:ext cx="197485" cy="139700"/>
                    </a:xfrm>
                    <a:prstGeom prst="rect">
                      <a:avLst/>
                    </a:prstGeom>
                    <a:noFill/>
                  </pic:spPr>
                </pic:pic>
              </a:graphicData>
            </a:graphic>
          </wp:anchor>
        </w:drawing>
        <w:drawing>
          <wp:anchor simplePos="0" relativeHeight="251657728" behindDoc="1" locked="0" layoutInCell="0" allowOverlap="1">
            <wp:simplePos x="0" y="0"/>
            <wp:positionH relativeFrom="column">
              <wp:posOffset>-113030</wp:posOffset>
            </wp:positionH>
            <wp:positionV relativeFrom="paragraph">
              <wp:posOffset>104775</wp:posOffset>
            </wp:positionV>
            <wp:extent cx="197485" cy="13970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extLst>
                    </a:blip>
                    <a:srcRect/>
                    <a:stretch>
                      <a:fillRect/>
                    </a:stretch>
                  </pic:blipFill>
                  <pic:spPr bwMode="auto">
                    <a:xfrm>
                      <a:off x="0" y="0"/>
                      <a:ext cx="197485" cy="139700"/>
                    </a:xfrm>
                    <a:prstGeom prst="rect">
                      <a:avLst/>
                    </a:prstGeom>
                    <a:noFill/>
                  </pic:spPr>
                </pic:pic>
              </a:graphicData>
            </a:graphic>
          </wp:anchor>
        </w:drawing>
      </w:r>
    </w:p>
    <w:p>
      <w:pPr>
        <w:spacing w:after="0" w:line="145" w:lineRule="exact"/>
        <w:rPr>
          <w:sz w:val="20"/>
          <w:szCs w:val="20"/>
          <w:color w:val="auto"/>
        </w:rPr>
      </w:pPr>
    </w:p>
    <w:p>
      <w:pPr>
        <w:ind w:right="60"/>
        <w:spacing w:after="0" w:line="255" w:lineRule="auto"/>
        <w:rPr>
          <w:sz w:val="20"/>
          <w:szCs w:val="20"/>
          <w:color w:val="auto"/>
        </w:rPr>
      </w:pPr>
      <w:r>
        <w:rPr>
          <w:rFonts w:ascii="Times New Roman" w:cs="Times New Roman" w:eastAsia="Times New Roman" w:hAnsi="Times New Roman"/>
          <w:sz w:val="20"/>
          <w:szCs w:val="20"/>
          <w:color w:val="auto"/>
        </w:rPr>
        <w:t xml:space="preserve">8.Venkatesh, R., &amp; Kumar, A. (2022). How SAP HANA enhances predictive analytics for modern enterprises. </w:t>
      </w:r>
      <w:r>
        <w:rPr>
          <w:rFonts w:ascii="Times New Roman" w:cs="Times New Roman" w:eastAsia="Times New Roman" w:hAnsi="Times New Roman"/>
          <w:sz w:val="20"/>
          <w:szCs w:val="20"/>
          <w:i w:val="1"/>
          <w:iCs w:val="1"/>
          <w:color w:val="auto"/>
        </w:rPr>
        <w:t>Enterprise Analytics Review, 8</w:t>
      </w:r>
      <w:r>
        <w:rPr>
          <w:rFonts w:ascii="Times New Roman" w:cs="Times New Roman" w:eastAsia="Times New Roman" w:hAnsi="Times New Roman"/>
          <w:sz w:val="20"/>
          <w:szCs w:val="20"/>
          <w:color w:val="auto"/>
        </w:rPr>
        <w:t>(5), 201-2</w:t>
      </w:r>
    </w:p>
    <w:sectPr>
      <w:pgSz w:w="12240" w:h="15840" w:orient="portrait"/>
      <w:cols w:equalWidth="0" w:num="2">
        <w:col w:w="4500" w:space="720"/>
        <w:col w:w="4140"/>
      </w:cols>
      <w:pgMar w:left="1440" w:top="1390" w:right="1440"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fixed"/>
    <w:sig w:usb0="E0002EFF" w:usb1="C0007843" w:usb2="00000009" w:usb3="00000000" w:csb0="400001FF" w:csb1="FFFF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4DB127F8"/>
    <w:multiLevelType w:val="hybridMultilevel"/>
    <w:lvl w:ilvl="0">
      <w:lvlJc w:val="left"/>
      <w:lvlText w:val="%1."/>
      <w:numFmt w:val="decimal"/>
      <w:start w:val="1"/>
    </w:lvl>
  </w:abstractNum>
  <w:abstractNum w:abstractNumId="1">
    <w:nsid w:val="216231B"/>
    <w:multiLevelType w:val="hybridMultilevel"/>
    <w:lvl w:ilvl="0">
      <w:lvlJc w:val="left"/>
      <w:lvlText w:val="%1"/>
      <w:numFmt w:val="lowerLetter"/>
      <w:start w:val="15"/>
    </w:lvl>
  </w:abstractNum>
  <w:abstractNum w:abstractNumId="2">
    <w:nsid w:val="1F16E9E8"/>
    <w:multiLevelType w:val="hybridMultilevel"/>
    <w:lvl w:ilvl="0">
      <w:lvlJc w:val="left"/>
      <w:lvlText w:val="%1"/>
      <w:numFmt w:val="decimal"/>
      <w:start w:val="1"/>
    </w:lvl>
    <w:lvl w:ilvl="1">
      <w:lvlJc w:val="left"/>
      <w:lvlText w:val="%2"/>
      <w:numFmt w:val="lowerLetter"/>
      <w:start w:val="15"/>
    </w:lvl>
  </w:abstractNum>
  <w:abstractNum w:abstractNumId="3">
    <w:nsid w:val="1190CDE7"/>
    <w:multiLevelType w:val="hybridMultilevel"/>
    <w:lvl w:ilvl="0">
      <w:lvlJc w:val="left"/>
      <w:lvlText w:val="%1."/>
      <w:numFmt w:val="decimal"/>
      <w:start w:val="2"/>
    </w:lvl>
    <w:lvl w:ilvl="1">
      <w:lvlJc w:val="left"/>
      <w:lvlText w:val="%2"/>
      <w:numFmt w:val="lowerLetter"/>
      <w:start w:val="15"/>
    </w:lvl>
  </w:abstractNum>
  <w:abstractNum w:abstractNumId="4">
    <w:nsid w:val="66EF438D"/>
    <w:multiLevelType w:val="hybridMultilevel"/>
    <w:lvl w:ilvl="0">
      <w:lvlJc w:val="left"/>
      <w:lvlText w:val="%1"/>
      <w:numFmt w:val="decimal"/>
      <w:start w:val="1"/>
    </w:lvl>
    <w:lvl w:ilvl="1">
      <w:lvlJc w:val="left"/>
      <w:lvlText w:val="%2"/>
      <w:numFmt w:val="lowerLetter"/>
      <w:start w:val="15"/>
    </w:lvl>
  </w:abstractNum>
  <w:abstractNum w:abstractNumId="5">
    <w:nsid w:val="140E0F76"/>
    <w:multiLevelType w:val="hybridMultilevel"/>
    <w:lvl w:ilvl="0">
      <w:lvlJc w:val="left"/>
      <w:lvlText w:val="%1."/>
      <w:numFmt w:val="decimal"/>
      <w:start w:val="3"/>
    </w:lvl>
    <w:lvl w:ilvl="1">
      <w:lvlJc w:val="left"/>
      <w:lvlText w:val="%2"/>
      <w:numFmt w:val="lowerLetter"/>
      <w:start w:val="15"/>
    </w:lvl>
  </w:abstractNum>
  <w:abstractNum w:abstractNumId="6">
    <w:nsid w:val="3352255A"/>
    <w:multiLevelType w:val="hybridMultilevel"/>
    <w:lvl w:ilvl="0">
      <w:lvlJc w:val="left"/>
      <w:lvlText w:val="%1"/>
      <w:numFmt w:val="decimal"/>
      <w:start w:val="1"/>
    </w:lvl>
    <w:lvl w:ilvl="1">
      <w:lvlJc w:val="left"/>
      <w:lvlText w:val="%2"/>
      <w:numFmt w:val="lowerLetter"/>
      <w:start w:val="15"/>
    </w:lvl>
  </w:abstractNum>
  <w:abstractNum w:abstractNumId="7">
    <w:nsid w:val="109CF92E"/>
    <w:multiLevelType w:val="hybridMultilevel"/>
    <w:lvl w:ilvl="0">
      <w:lvlJc w:val="left"/>
      <w:lvlText w:val="%1."/>
      <w:numFmt w:val="decimal"/>
      <w:start w:val="4"/>
    </w:lvl>
    <w:lvl w:ilvl="1">
      <w:lvlJc w:val="left"/>
      <w:lvlText w:val="%2"/>
      <w:numFmt w:val="lowerLetter"/>
      <w:start w:val="15"/>
    </w:lvl>
  </w:abstractNum>
  <w:abstractNum w:abstractNumId="8">
    <w:nsid w:val="DED7263"/>
    <w:multiLevelType w:val="hybridMultilevel"/>
    <w:lvl w:ilvl="0">
      <w:lvlJc w:val="left"/>
      <w:lvlText w:val="%1"/>
      <w:numFmt w:val="lowerLetter"/>
      <w:start w:val="15"/>
    </w:lvl>
  </w:abstractNum>
  <w:abstractNum w:abstractNumId="9">
    <w:nsid w:val="7FDCC233"/>
    <w:multiLevelType w:val="hybridMultilevel"/>
    <w:lvl w:ilvl="0">
      <w:lvlJc w:val="left"/>
      <w:lvlText w:val="•"/>
      <w:numFmt w:val="bullet"/>
      <w:start w:val="1"/>
    </w:lvl>
  </w:abstractNum>
  <w:abstractNum w:abstractNumId="10">
    <w:nsid w:val="1BEFD79F"/>
    <w:multiLevelType w:val="hybridMultilevel"/>
    <w:lvl w:ilvl="0">
      <w:lvlJc w:val="left"/>
      <w:lvlText w:val="•"/>
      <w:numFmt w:val="bullet"/>
      <w:start w:val="1"/>
    </w:lvl>
  </w:abstractNum>
  <w:abstractNum w:abstractNumId="11">
    <w:nsid w:val="41A7C4C9"/>
    <w:multiLevelType w:val="hybridMultilevel"/>
    <w:lvl w:ilvl="0">
      <w:lvlJc w:val="left"/>
      <w:lvlText w:val="•"/>
      <w:numFmt w:val="bullet"/>
      <w:start w:val="1"/>
    </w:lvl>
  </w:abstractNum>
  <w:abstractNum w:abstractNumId="12">
    <w:nsid w:val="6B68079A"/>
    <w:multiLevelType w:val="hybridMultilevel"/>
    <w:lvl w:ilvl="0">
      <w:lvlJc w:val="left"/>
      <w:lvlText w:val="•"/>
      <w:numFmt w:val="bullet"/>
      <w:start w:val="1"/>
    </w:lvl>
  </w:abstractNum>
  <w:abstractNum w:abstractNumId="13">
    <w:nsid w:val="4E6AFB66"/>
    <w:multiLevelType w:val="hybridMultilevel"/>
    <w:lvl w:ilvl="0">
      <w:lvlJc w:val="left"/>
      <w:lvlText w:val="•"/>
      <w:numFmt w:val="bullet"/>
      <w:start w:val="1"/>
    </w:lvl>
  </w:abstractNum>
  <w:abstractNum w:abstractNumId="14">
    <w:nsid w:val="25E45D32"/>
    <w:multiLevelType w:val="hybridMultilevel"/>
    <w:lvl w:ilvl="0">
      <w:lvlJc w:val="left"/>
      <w:lvlText w:val="•"/>
      <w:numFmt w:val="bullet"/>
      <w:start w:val="1"/>
    </w:lvl>
  </w:abstractNum>
  <w:abstractNum w:abstractNumId="15">
    <w:nsid w:val="519B500D"/>
    <w:multiLevelType w:val="hybridMultilevel"/>
    <w:lvl w:ilvl="0">
      <w:lvlJc w:val="left"/>
      <w:lvlText w:val="•"/>
      <w:numFmt w:val="bullet"/>
      <w:start w:val="1"/>
    </w:lvl>
  </w:abstractNum>
  <w:abstractNum w:abstractNumId="16">
    <w:nsid w:val="431BD7B7"/>
    <w:multiLevelType w:val="hybridMultilevel"/>
    <w:lvl w:ilvl="0">
      <w:lvlJc w:val="left"/>
      <w:lvlText w:val="•"/>
      <w:numFmt w:val="bullet"/>
      <w:start w:val="1"/>
    </w:lvl>
  </w:abstractNum>
  <w:abstractNum w:abstractNumId="17">
    <w:nsid w:val="3F2DBA31"/>
    <w:multiLevelType w:val="hybridMultilevel"/>
    <w:lvl w:ilvl="0">
      <w:lvlJc w:val="left"/>
      <w:lvlText w:val="%1."/>
      <w:numFmt w:val="decimal"/>
      <w:start w:val="1"/>
    </w:lvl>
  </w:abstractNum>
  <w:abstractNum w:abstractNumId="18">
    <w:nsid w:val="7C83E458"/>
    <w:multiLevelType w:val="hybridMultilevel"/>
    <w:lvl w:ilvl="0">
      <w:lvlJc w:val="left"/>
      <w:lvlText w:val="%1."/>
      <w:numFmt w:val="decimal"/>
      <w:start w:val="6"/>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0" Type="http://schemas.openxmlformats.org/officeDocument/2006/relationships/hyperlink" Target="https://www.sap.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2025-04-01T06:05:07Z</dcterms:created>
  <dcterms:modified xsi:type="dcterms:W3CDTF">2025-04-01T06:05:07Z</dcterms:modified>
</cp:coreProperties>
</file>