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745" w:rsidRDefault="00766745" w:rsidP="00E86DA3">
      <w:pPr>
        <w:spacing w:line="360" w:lineRule="auto"/>
        <w:jc w:val="center"/>
        <w:rPr>
          <w:rStyle w:val="Strong"/>
          <w:rFonts w:ascii="Times New Roman" w:hAnsi="Times New Roman" w:cs="Times New Roman"/>
          <w:bCs w:val="0"/>
          <w:sz w:val="32"/>
          <w:szCs w:val="32"/>
        </w:rPr>
      </w:pPr>
    </w:p>
    <w:p w:rsidR="00607761" w:rsidRPr="00607761" w:rsidRDefault="00607761" w:rsidP="00E86DA3">
      <w:pPr>
        <w:spacing w:line="360" w:lineRule="auto"/>
        <w:jc w:val="center"/>
        <w:rPr>
          <w:rFonts w:ascii="Times New Roman" w:hAnsi="Times New Roman" w:cs="Times New Roman"/>
          <w:sz w:val="32"/>
          <w:szCs w:val="32"/>
        </w:rPr>
      </w:pPr>
      <w:r w:rsidRPr="00607761">
        <w:rPr>
          <w:rStyle w:val="Strong"/>
          <w:rFonts w:ascii="Times New Roman" w:hAnsi="Times New Roman" w:cs="Times New Roman"/>
          <w:bCs w:val="0"/>
          <w:sz w:val="32"/>
          <w:szCs w:val="32"/>
        </w:rPr>
        <w:t>A STUDY ON THE IMPACT OF FINA</w:t>
      </w:r>
      <w:r w:rsidR="00844B93">
        <w:rPr>
          <w:rStyle w:val="Strong"/>
          <w:rFonts w:ascii="Times New Roman" w:hAnsi="Times New Roman" w:cs="Times New Roman"/>
          <w:bCs w:val="0"/>
          <w:sz w:val="32"/>
          <w:szCs w:val="32"/>
        </w:rPr>
        <w:t>NCIAL LITERACY ON FINANCIAL WELL-</w:t>
      </w:r>
      <w:r w:rsidRPr="00607761">
        <w:rPr>
          <w:rStyle w:val="Strong"/>
          <w:rFonts w:ascii="Times New Roman" w:hAnsi="Times New Roman" w:cs="Times New Roman"/>
          <w:bCs w:val="0"/>
          <w:sz w:val="32"/>
          <w:szCs w:val="32"/>
        </w:rPr>
        <w:t>BEING AMONG MUTUAL FUND INVESTORS</w:t>
      </w:r>
    </w:p>
    <w:p w:rsidR="003B56C9" w:rsidRPr="003B56C9" w:rsidRDefault="003B56C9" w:rsidP="00E86DA3">
      <w:pPr>
        <w:pStyle w:val="Heading4"/>
        <w:spacing w:line="360" w:lineRule="auto"/>
        <w:rPr>
          <w:rFonts w:ascii="Times New Roman" w:hAnsi="Times New Roman" w:cs="Times New Roman"/>
          <w:i w:val="0"/>
          <w:color w:val="000000" w:themeColor="text1"/>
          <w:sz w:val="24"/>
          <w:szCs w:val="24"/>
        </w:rPr>
      </w:pPr>
      <w:r w:rsidRPr="003B56C9">
        <w:rPr>
          <w:rStyle w:val="Emphasis"/>
          <w:rFonts w:ascii="Times New Roman" w:hAnsi="Times New Roman" w:cs="Times New Roman"/>
          <w:i/>
          <w:color w:val="000000" w:themeColor="text1"/>
          <w:sz w:val="24"/>
          <w:szCs w:val="24"/>
        </w:rPr>
        <w:t>Authors:</w:t>
      </w:r>
    </w:p>
    <w:p w:rsidR="003B56C9" w:rsidRPr="003B56C9" w:rsidRDefault="00881DA7" w:rsidP="00E86DA3">
      <w:pPr>
        <w:spacing w:before="100" w:beforeAutospacing="1" w:after="100" w:afterAutospacing="1" w:line="360" w:lineRule="auto"/>
        <w:rPr>
          <w:rFonts w:ascii="Times New Roman" w:hAnsi="Times New Roman" w:cs="Times New Roman"/>
          <w:color w:val="000000" w:themeColor="text1"/>
          <w:sz w:val="24"/>
          <w:szCs w:val="24"/>
        </w:rPr>
      </w:pPr>
      <w:proofErr w:type="spellStart"/>
      <w:r>
        <w:rPr>
          <w:rStyle w:val="Strong"/>
          <w:rFonts w:ascii="Times New Roman" w:hAnsi="Times New Roman" w:cs="Times New Roman"/>
          <w:color w:val="000000" w:themeColor="text1"/>
          <w:sz w:val="24"/>
          <w:szCs w:val="24"/>
        </w:rPr>
        <w:t>Kriti</w:t>
      </w:r>
      <w:proofErr w:type="spellEnd"/>
      <w:r>
        <w:rPr>
          <w:rStyle w:val="Strong"/>
          <w:rFonts w:ascii="Times New Roman" w:hAnsi="Times New Roman" w:cs="Times New Roman"/>
          <w:color w:val="000000" w:themeColor="text1"/>
          <w:sz w:val="24"/>
          <w:szCs w:val="24"/>
        </w:rPr>
        <w:t xml:space="preserve"> </w:t>
      </w:r>
      <w:proofErr w:type="spellStart"/>
      <w:r w:rsidR="004C4E8D">
        <w:rPr>
          <w:rStyle w:val="Strong"/>
          <w:rFonts w:ascii="Times New Roman" w:hAnsi="Times New Roman" w:cs="Times New Roman"/>
          <w:color w:val="000000" w:themeColor="text1"/>
          <w:sz w:val="24"/>
          <w:szCs w:val="24"/>
        </w:rPr>
        <w:t>Kumari</w:t>
      </w:r>
      <w:proofErr w:type="spellEnd"/>
      <w:r w:rsidRPr="00881DA7">
        <w:rPr>
          <w:rStyle w:val="Strong"/>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br/>
        <w:t xml:space="preserve">MCOM (FA), </w:t>
      </w:r>
      <w:proofErr w:type="spellStart"/>
      <w:r>
        <w:rPr>
          <w:rFonts w:ascii="Times New Roman" w:hAnsi="Times New Roman" w:cs="Times New Roman"/>
          <w:color w:val="000000" w:themeColor="text1"/>
          <w:sz w:val="24"/>
          <w:szCs w:val="24"/>
        </w:rPr>
        <w:t>Kristu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Jayanti</w:t>
      </w:r>
      <w:proofErr w:type="spellEnd"/>
      <w:r>
        <w:rPr>
          <w:rFonts w:ascii="Times New Roman" w:hAnsi="Times New Roman" w:cs="Times New Roman"/>
          <w:color w:val="000000" w:themeColor="text1"/>
          <w:sz w:val="24"/>
          <w:szCs w:val="24"/>
        </w:rPr>
        <w:t xml:space="preserve"> College (Autonomous), </w:t>
      </w:r>
      <w:proofErr w:type="spellStart"/>
      <w:r>
        <w:rPr>
          <w:rFonts w:ascii="Times New Roman" w:hAnsi="Times New Roman" w:cs="Times New Roman"/>
          <w:color w:val="000000" w:themeColor="text1"/>
          <w:sz w:val="24"/>
          <w:szCs w:val="24"/>
        </w:rPr>
        <w:t>Bengaluru</w:t>
      </w:r>
      <w:proofErr w:type="spellEnd"/>
      <w:r>
        <w:rPr>
          <w:rFonts w:ascii="Times New Roman" w:hAnsi="Times New Roman" w:cs="Times New Roman"/>
          <w:color w:val="000000" w:themeColor="text1"/>
          <w:sz w:val="24"/>
          <w:szCs w:val="24"/>
        </w:rPr>
        <w:br/>
        <w:t>Email: 23mcfa17@kristujayanti.com</w:t>
      </w:r>
    </w:p>
    <w:p w:rsidR="003B56C9" w:rsidRDefault="00881DA7" w:rsidP="00E86DA3">
      <w:pPr>
        <w:spacing w:before="100" w:beforeAutospacing="1" w:after="100" w:afterAutospacing="1" w:line="360" w:lineRule="auto"/>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 xml:space="preserve">Dr </w:t>
      </w:r>
      <w:proofErr w:type="spellStart"/>
      <w:r>
        <w:rPr>
          <w:rStyle w:val="Strong"/>
          <w:rFonts w:ascii="Times New Roman" w:hAnsi="Times New Roman" w:cs="Times New Roman"/>
          <w:color w:val="000000" w:themeColor="text1"/>
          <w:sz w:val="24"/>
          <w:szCs w:val="24"/>
        </w:rPr>
        <w:t>Pushpa</w:t>
      </w:r>
      <w:proofErr w:type="spellEnd"/>
      <w:r>
        <w:rPr>
          <w:rStyle w:val="Strong"/>
          <w:rFonts w:ascii="Times New Roman" w:hAnsi="Times New Roman" w:cs="Times New Roman"/>
          <w:color w:val="000000" w:themeColor="text1"/>
          <w:sz w:val="24"/>
          <w:szCs w:val="24"/>
        </w:rPr>
        <w:t xml:space="preserve"> A.</w:t>
      </w:r>
      <w:r w:rsidRPr="00881DA7">
        <w:rPr>
          <w:rStyle w:val="Strong"/>
          <w:rFonts w:ascii="Times New Roman" w:hAnsi="Times New Roman" w:cs="Times New Roman"/>
          <w:color w:val="000000" w:themeColor="text1"/>
          <w:sz w:val="24"/>
          <w:szCs w:val="24"/>
          <w:vertAlign w:val="superscript"/>
        </w:rPr>
        <w:t>*2</w:t>
      </w:r>
      <w:r w:rsidR="003B56C9" w:rsidRPr="003B56C9">
        <w:rPr>
          <w:rFonts w:ascii="Times New Roman" w:hAnsi="Times New Roman" w:cs="Times New Roman"/>
          <w:color w:val="000000" w:themeColor="text1"/>
          <w:sz w:val="24"/>
          <w:szCs w:val="24"/>
        </w:rPr>
        <w:br/>
      </w:r>
      <w:r>
        <w:rPr>
          <w:rFonts w:ascii="Times New Roman" w:hAnsi="Times New Roman" w:cs="Times New Roman"/>
          <w:color w:val="000000" w:themeColor="text1"/>
          <w:sz w:val="24"/>
          <w:szCs w:val="24"/>
        </w:rPr>
        <w:t>Associate Professor</w:t>
      </w:r>
      <w:r w:rsidR="003B56C9" w:rsidRPr="003B56C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Department of Commerce (PG), </w:t>
      </w:r>
      <w:proofErr w:type="spellStart"/>
      <w:r>
        <w:rPr>
          <w:rFonts w:ascii="Times New Roman" w:hAnsi="Times New Roman" w:cs="Times New Roman"/>
          <w:color w:val="000000" w:themeColor="text1"/>
          <w:sz w:val="24"/>
          <w:szCs w:val="24"/>
        </w:rPr>
        <w:t>Kristu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Jayanti</w:t>
      </w:r>
      <w:proofErr w:type="spellEnd"/>
      <w:r>
        <w:rPr>
          <w:rFonts w:ascii="Times New Roman" w:hAnsi="Times New Roman" w:cs="Times New Roman"/>
          <w:color w:val="000000" w:themeColor="text1"/>
          <w:sz w:val="24"/>
          <w:szCs w:val="24"/>
        </w:rPr>
        <w:t xml:space="preserve"> College (Autonomous), </w:t>
      </w:r>
      <w:proofErr w:type="spellStart"/>
      <w:r>
        <w:rPr>
          <w:rFonts w:ascii="Times New Roman" w:hAnsi="Times New Roman" w:cs="Times New Roman"/>
          <w:color w:val="000000" w:themeColor="text1"/>
          <w:sz w:val="24"/>
          <w:szCs w:val="24"/>
        </w:rPr>
        <w:t>Bengaluru</w:t>
      </w:r>
      <w:proofErr w:type="spellEnd"/>
    </w:p>
    <w:p w:rsidR="006773A1" w:rsidRPr="006773A1" w:rsidRDefault="006773A1" w:rsidP="00E86DA3">
      <w:pPr>
        <w:spacing w:before="100" w:beforeAutospacing="1" w:after="100" w:afterAutospacing="1" w:line="360" w:lineRule="auto"/>
        <w:rPr>
          <w:rFonts w:ascii="Times New Roman" w:hAnsi="Times New Roman" w:cs="Times New Roman"/>
          <w:b/>
          <w:bCs/>
          <w:color w:val="000000" w:themeColor="text1"/>
          <w:sz w:val="24"/>
          <w:szCs w:val="24"/>
        </w:rPr>
      </w:pPr>
      <w:r w:rsidRPr="006773A1">
        <w:rPr>
          <w:rFonts w:ascii="Times New Roman" w:hAnsi="Times New Roman" w:cs="Times New Roman"/>
          <w:b/>
          <w:bCs/>
          <w:color w:val="000000" w:themeColor="text1"/>
          <w:sz w:val="24"/>
          <w:szCs w:val="24"/>
        </w:rPr>
        <w:t>Abstract</w:t>
      </w:r>
    </w:p>
    <w:p w:rsidR="006773A1" w:rsidRPr="006773A1" w:rsidRDefault="006773A1" w:rsidP="00E86DA3">
      <w:pPr>
        <w:spacing w:before="100" w:beforeAutospacing="1" w:after="100" w:afterAutospacing="1" w:line="360" w:lineRule="auto"/>
        <w:jc w:val="both"/>
        <w:rPr>
          <w:rFonts w:ascii="Times New Roman" w:hAnsi="Times New Roman" w:cs="Times New Roman"/>
          <w:color w:val="000000" w:themeColor="text1"/>
          <w:sz w:val="24"/>
          <w:szCs w:val="24"/>
        </w:rPr>
      </w:pPr>
      <w:r w:rsidRPr="006773A1">
        <w:rPr>
          <w:rFonts w:ascii="Times New Roman" w:hAnsi="Times New Roman" w:cs="Times New Roman"/>
          <w:color w:val="000000" w:themeColor="text1"/>
          <w:sz w:val="24"/>
          <w:szCs w:val="24"/>
        </w:rPr>
        <w:t xml:space="preserve">Financial literacy plays a critical role in determining financial well-being by influencing investment behavior, risk management, and wealth accumulation strategies. This study investigates the relationship between financial literacy and financial well-being among mutual fund investors in India. The research utilizes </w:t>
      </w:r>
      <w:r w:rsidRPr="006773A1">
        <w:rPr>
          <w:rFonts w:ascii="Times New Roman" w:hAnsi="Times New Roman" w:cs="Times New Roman"/>
          <w:bCs/>
          <w:color w:val="000000" w:themeColor="text1"/>
          <w:sz w:val="24"/>
          <w:szCs w:val="24"/>
        </w:rPr>
        <w:t>primary data collected thr</w:t>
      </w:r>
      <w:r w:rsidR="00C23149">
        <w:rPr>
          <w:rFonts w:ascii="Times New Roman" w:hAnsi="Times New Roman" w:cs="Times New Roman"/>
          <w:bCs/>
          <w:color w:val="000000" w:themeColor="text1"/>
          <w:sz w:val="24"/>
          <w:szCs w:val="24"/>
        </w:rPr>
        <w:t>ough structured surveys from 62</w:t>
      </w:r>
      <w:r w:rsidRPr="006773A1">
        <w:rPr>
          <w:rFonts w:ascii="Times New Roman" w:hAnsi="Times New Roman" w:cs="Times New Roman"/>
          <w:bCs/>
          <w:color w:val="000000" w:themeColor="text1"/>
          <w:sz w:val="24"/>
          <w:szCs w:val="24"/>
        </w:rPr>
        <w:t xml:space="preserve"> mutual fund investors</w:t>
      </w:r>
      <w:r w:rsidRPr="006773A1">
        <w:rPr>
          <w:rFonts w:ascii="Times New Roman" w:hAnsi="Times New Roman" w:cs="Times New Roman"/>
          <w:color w:val="000000" w:themeColor="text1"/>
          <w:sz w:val="24"/>
          <w:szCs w:val="24"/>
        </w:rPr>
        <w:t>, along with secondary data from existing financial reports and literature.</w:t>
      </w:r>
    </w:p>
    <w:p w:rsidR="006773A1" w:rsidRPr="006773A1" w:rsidRDefault="006773A1" w:rsidP="00E86DA3">
      <w:pPr>
        <w:spacing w:before="100" w:beforeAutospacing="1" w:after="100" w:afterAutospacing="1" w:line="360" w:lineRule="auto"/>
        <w:jc w:val="both"/>
        <w:rPr>
          <w:rFonts w:ascii="Times New Roman" w:hAnsi="Times New Roman" w:cs="Times New Roman"/>
          <w:color w:val="000000" w:themeColor="text1"/>
          <w:sz w:val="24"/>
          <w:szCs w:val="24"/>
        </w:rPr>
      </w:pPr>
      <w:r w:rsidRPr="006773A1">
        <w:rPr>
          <w:rFonts w:ascii="Times New Roman" w:hAnsi="Times New Roman" w:cs="Times New Roman"/>
          <w:color w:val="000000" w:themeColor="text1"/>
          <w:sz w:val="24"/>
          <w:szCs w:val="24"/>
        </w:rPr>
        <w:t xml:space="preserve">The study employs </w:t>
      </w:r>
      <w:r w:rsidRPr="006773A1">
        <w:rPr>
          <w:rFonts w:ascii="Times New Roman" w:hAnsi="Times New Roman" w:cs="Times New Roman"/>
          <w:bCs/>
          <w:color w:val="000000" w:themeColor="text1"/>
          <w:sz w:val="24"/>
          <w:szCs w:val="24"/>
        </w:rPr>
        <w:t>correla</w:t>
      </w:r>
      <w:r w:rsidR="00605B09">
        <w:rPr>
          <w:rFonts w:ascii="Times New Roman" w:hAnsi="Times New Roman" w:cs="Times New Roman"/>
          <w:bCs/>
          <w:color w:val="000000" w:themeColor="text1"/>
          <w:sz w:val="24"/>
          <w:szCs w:val="24"/>
        </w:rPr>
        <w:t>tion analysis, regression model</w:t>
      </w:r>
      <w:r w:rsidRPr="006773A1">
        <w:rPr>
          <w:rFonts w:ascii="Times New Roman" w:hAnsi="Times New Roman" w:cs="Times New Roman"/>
          <w:bCs/>
          <w:color w:val="000000" w:themeColor="text1"/>
          <w:sz w:val="24"/>
          <w:szCs w:val="24"/>
        </w:rPr>
        <w:t>, and hypothesis testing</w:t>
      </w:r>
      <w:r w:rsidRPr="006773A1">
        <w:rPr>
          <w:rFonts w:ascii="Times New Roman" w:hAnsi="Times New Roman" w:cs="Times New Roman"/>
          <w:color w:val="000000" w:themeColor="text1"/>
          <w:sz w:val="24"/>
          <w:szCs w:val="24"/>
        </w:rPr>
        <w:t xml:space="preserve"> to evaluate the impact of financial literacy on financial well-being. The findings suggest that </w:t>
      </w:r>
      <w:r w:rsidRPr="006773A1">
        <w:rPr>
          <w:rFonts w:ascii="Times New Roman" w:hAnsi="Times New Roman" w:cs="Times New Roman"/>
          <w:bCs/>
          <w:color w:val="000000" w:themeColor="text1"/>
          <w:sz w:val="24"/>
          <w:szCs w:val="24"/>
        </w:rPr>
        <w:t>financially literate investors exhibit higher financial security, better portfolio diversification, and a greater ability to manage financial risks effectively</w:t>
      </w:r>
      <w:r w:rsidRPr="006773A1">
        <w:rPr>
          <w:rFonts w:ascii="Times New Roman" w:hAnsi="Times New Roman" w:cs="Times New Roman"/>
          <w:color w:val="000000" w:themeColor="text1"/>
          <w:sz w:val="24"/>
          <w:szCs w:val="24"/>
        </w:rPr>
        <w:t>. The paper concludes by emphasizing the need for financial education programs to enhance investor decision-making and long-term economic stability.</w:t>
      </w:r>
    </w:p>
    <w:p w:rsidR="006773A1" w:rsidRPr="006773A1" w:rsidRDefault="006773A1" w:rsidP="00E86DA3">
      <w:pPr>
        <w:spacing w:before="100" w:beforeAutospacing="1" w:after="100" w:afterAutospacing="1" w:line="360" w:lineRule="auto"/>
        <w:jc w:val="both"/>
        <w:rPr>
          <w:rFonts w:ascii="Times New Roman" w:hAnsi="Times New Roman" w:cs="Times New Roman"/>
          <w:color w:val="000000" w:themeColor="text1"/>
          <w:sz w:val="24"/>
          <w:szCs w:val="24"/>
        </w:rPr>
      </w:pPr>
      <w:r w:rsidRPr="00B2279C">
        <w:rPr>
          <w:rFonts w:ascii="Times New Roman" w:hAnsi="Times New Roman" w:cs="Times New Roman"/>
          <w:b/>
          <w:bCs/>
          <w:color w:val="000000" w:themeColor="text1"/>
          <w:sz w:val="24"/>
          <w:szCs w:val="24"/>
        </w:rPr>
        <w:t>Keywords:</w:t>
      </w:r>
      <w:r w:rsidRPr="006773A1">
        <w:rPr>
          <w:rFonts w:ascii="Times New Roman" w:hAnsi="Times New Roman" w:cs="Times New Roman"/>
          <w:color w:val="000000" w:themeColor="text1"/>
          <w:sz w:val="24"/>
          <w:szCs w:val="24"/>
        </w:rPr>
        <w:t xml:space="preserve"> Financial Literacy, Financial Well-Being, Mutual Funds, Investment Behavior, Risk Management, Financial Planning.</w:t>
      </w:r>
    </w:p>
    <w:p w:rsidR="00607761" w:rsidRDefault="00607761" w:rsidP="00E86DA3">
      <w:pPr>
        <w:pStyle w:val="Heading4"/>
        <w:spacing w:line="360" w:lineRule="auto"/>
      </w:pPr>
    </w:p>
    <w:p w:rsidR="00FB343A" w:rsidRPr="00363019" w:rsidRDefault="00FB343A" w:rsidP="00E86DA3">
      <w:pPr>
        <w:spacing w:line="360" w:lineRule="auto"/>
        <w:jc w:val="both"/>
        <w:rPr>
          <w:rFonts w:ascii="Times New Roman" w:hAnsi="Times New Roman" w:cs="Times New Roman"/>
          <w:sz w:val="24"/>
          <w:szCs w:val="24"/>
        </w:rPr>
      </w:pPr>
    </w:p>
    <w:p w:rsidR="00363019" w:rsidRPr="00723C37" w:rsidRDefault="00363019" w:rsidP="00E86DA3">
      <w:pPr>
        <w:spacing w:line="360" w:lineRule="auto"/>
        <w:jc w:val="both"/>
        <w:rPr>
          <w:rFonts w:ascii="Times New Roman" w:hAnsi="Times New Roman" w:cs="Times New Roman"/>
          <w:b/>
          <w:bCs/>
          <w:sz w:val="24"/>
          <w:szCs w:val="24"/>
        </w:rPr>
      </w:pPr>
      <w:r w:rsidRPr="00723C37">
        <w:rPr>
          <w:rFonts w:ascii="Times New Roman" w:hAnsi="Times New Roman" w:cs="Times New Roman"/>
          <w:b/>
          <w:bCs/>
          <w:sz w:val="24"/>
          <w:szCs w:val="24"/>
        </w:rPr>
        <w:t>1. Introduction</w:t>
      </w:r>
    </w:p>
    <w:p w:rsidR="00363019" w:rsidRPr="00723C37" w:rsidRDefault="00363019" w:rsidP="00E86DA3">
      <w:pPr>
        <w:spacing w:line="360" w:lineRule="auto"/>
        <w:jc w:val="both"/>
        <w:rPr>
          <w:rFonts w:ascii="Times New Roman" w:hAnsi="Times New Roman" w:cs="Times New Roman"/>
          <w:b/>
          <w:bCs/>
          <w:sz w:val="24"/>
          <w:szCs w:val="24"/>
        </w:rPr>
      </w:pPr>
      <w:r w:rsidRPr="00723C37">
        <w:rPr>
          <w:rFonts w:ascii="Times New Roman" w:hAnsi="Times New Roman" w:cs="Times New Roman"/>
          <w:b/>
          <w:bCs/>
          <w:sz w:val="24"/>
          <w:szCs w:val="24"/>
        </w:rPr>
        <w:t>1.1 Background of the Study</w:t>
      </w:r>
    </w:p>
    <w:p w:rsidR="00363019" w:rsidRPr="00363019" w:rsidRDefault="00363019" w:rsidP="00E86DA3">
      <w:pPr>
        <w:spacing w:line="360" w:lineRule="auto"/>
        <w:jc w:val="both"/>
        <w:rPr>
          <w:rFonts w:ascii="Times New Roman" w:hAnsi="Times New Roman" w:cs="Times New Roman"/>
          <w:sz w:val="24"/>
          <w:szCs w:val="24"/>
        </w:rPr>
      </w:pPr>
      <w:r w:rsidRPr="00363019">
        <w:rPr>
          <w:rFonts w:ascii="Times New Roman" w:hAnsi="Times New Roman" w:cs="Times New Roman"/>
          <w:sz w:val="24"/>
          <w:szCs w:val="24"/>
        </w:rPr>
        <w:t xml:space="preserve">In an era of financial complexity, individuals must make well-informed investment decisions to secure their economic future. </w:t>
      </w:r>
      <w:r w:rsidRPr="00363019">
        <w:rPr>
          <w:rFonts w:ascii="Times New Roman" w:hAnsi="Times New Roman" w:cs="Times New Roman"/>
          <w:bCs/>
          <w:sz w:val="24"/>
          <w:szCs w:val="24"/>
        </w:rPr>
        <w:t>Mutual funds have emerged as a preferred investment option due to their diversification benefits and professional management</w:t>
      </w:r>
      <w:r w:rsidRPr="00363019">
        <w:rPr>
          <w:rFonts w:ascii="Times New Roman" w:hAnsi="Times New Roman" w:cs="Times New Roman"/>
          <w:sz w:val="24"/>
          <w:szCs w:val="24"/>
        </w:rPr>
        <w:t>. However, despite the growing popularity of mutual funds in India, financial literacy levels remain low, leading to poor investment choices and financial instability.</w:t>
      </w:r>
    </w:p>
    <w:p w:rsidR="00363019" w:rsidRPr="00363019" w:rsidRDefault="00363019" w:rsidP="00E86DA3">
      <w:pPr>
        <w:spacing w:line="360" w:lineRule="auto"/>
        <w:jc w:val="both"/>
        <w:rPr>
          <w:rFonts w:ascii="Times New Roman" w:hAnsi="Times New Roman" w:cs="Times New Roman"/>
          <w:sz w:val="24"/>
          <w:szCs w:val="24"/>
        </w:rPr>
      </w:pPr>
      <w:r w:rsidRPr="00363019">
        <w:rPr>
          <w:rFonts w:ascii="Times New Roman" w:hAnsi="Times New Roman" w:cs="Times New Roman"/>
          <w:sz w:val="24"/>
          <w:szCs w:val="24"/>
        </w:rPr>
        <w:t xml:space="preserve">Financial literacy involves an individual's ability to understand financial concepts such as </w:t>
      </w:r>
      <w:r w:rsidRPr="00363019">
        <w:rPr>
          <w:rFonts w:ascii="Times New Roman" w:hAnsi="Times New Roman" w:cs="Times New Roman"/>
          <w:bCs/>
          <w:sz w:val="24"/>
          <w:szCs w:val="24"/>
        </w:rPr>
        <w:t>budgeting, risk assessment, savings, and investment strategies</w:t>
      </w:r>
      <w:r w:rsidRPr="00363019">
        <w:rPr>
          <w:rFonts w:ascii="Times New Roman" w:hAnsi="Times New Roman" w:cs="Times New Roman"/>
          <w:sz w:val="24"/>
          <w:szCs w:val="24"/>
        </w:rPr>
        <w:t xml:space="preserve">. Studies indicate that </w:t>
      </w:r>
      <w:r w:rsidRPr="00363019">
        <w:rPr>
          <w:rFonts w:ascii="Times New Roman" w:hAnsi="Times New Roman" w:cs="Times New Roman"/>
          <w:bCs/>
          <w:sz w:val="24"/>
          <w:szCs w:val="24"/>
        </w:rPr>
        <w:t>a lack of financial knowledge often results in excessive debt, underutilization of investment opportunities, and financial stress</w:t>
      </w:r>
      <w:r w:rsidRPr="00363019">
        <w:rPr>
          <w:rFonts w:ascii="Times New Roman" w:hAnsi="Times New Roman" w:cs="Times New Roman"/>
          <w:sz w:val="24"/>
          <w:szCs w:val="24"/>
        </w:rPr>
        <w:t>. This study examines the extent to which financial literacy impacts financial well-being among mutual fund investors.</w:t>
      </w:r>
    </w:p>
    <w:p w:rsidR="002A7634" w:rsidRPr="00E964D1" w:rsidRDefault="002A7634" w:rsidP="00E86DA3">
      <w:pPr>
        <w:spacing w:line="360" w:lineRule="auto"/>
        <w:jc w:val="both"/>
        <w:rPr>
          <w:rFonts w:ascii="Times New Roman" w:hAnsi="Times New Roman" w:cs="Times New Roman"/>
          <w:b/>
          <w:bCs/>
          <w:sz w:val="24"/>
          <w:szCs w:val="24"/>
        </w:rPr>
      </w:pPr>
      <w:r w:rsidRPr="00E964D1">
        <w:rPr>
          <w:rFonts w:ascii="Times New Roman" w:hAnsi="Times New Roman" w:cs="Times New Roman"/>
          <w:b/>
          <w:bCs/>
          <w:sz w:val="24"/>
          <w:szCs w:val="24"/>
        </w:rPr>
        <w:t>1.2 Research Problem</w:t>
      </w:r>
    </w:p>
    <w:p w:rsidR="002A7634" w:rsidRDefault="002A7634" w:rsidP="00E86DA3">
      <w:pPr>
        <w:spacing w:line="360" w:lineRule="auto"/>
        <w:jc w:val="both"/>
        <w:rPr>
          <w:rFonts w:ascii="Times New Roman" w:hAnsi="Times New Roman" w:cs="Times New Roman"/>
          <w:bCs/>
          <w:sz w:val="24"/>
          <w:szCs w:val="24"/>
        </w:rPr>
      </w:pPr>
      <w:r w:rsidRPr="00E964D1">
        <w:rPr>
          <w:rFonts w:ascii="Times New Roman" w:hAnsi="Times New Roman" w:cs="Times New Roman"/>
          <w:sz w:val="24"/>
          <w:szCs w:val="24"/>
        </w:rPr>
        <w:t xml:space="preserve">Many mutual fund investors </w:t>
      </w:r>
      <w:r w:rsidRPr="00E964D1">
        <w:rPr>
          <w:rFonts w:ascii="Times New Roman" w:hAnsi="Times New Roman" w:cs="Times New Roman"/>
          <w:bCs/>
          <w:sz w:val="24"/>
          <w:szCs w:val="24"/>
        </w:rPr>
        <w:t>fail to maximize their financial potential due to inadequate financial knowledge</w:t>
      </w:r>
      <w:r w:rsidRPr="00E964D1">
        <w:rPr>
          <w:rFonts w:ascii="Times New Roman" w:hAnsi="Times New Roman" w:cs="Times New Roman"/>
          <w:sz w:val="24"/>
          <w:szCs w:val="24"/>
        </w:rPr>
        <w:t xml:space="preserve">. Issues such as </w:t>
      </w:r>
      <w:r w:rsidRPr="00E964D1">
        <w:rPr>
          <w:rFonts w:ascii="Times New Roman" w:hAnsi="Times New Roman" w:cs="Times New Roman"/>
          <w:bCs/>
          <w:sz w:val="24"/>
          <w:szCs w:val="24"/>
        </w:rPr>
        <w:t>poor portfolio allocation, lack of diversification, and mismanagement of risks</w:t>
      </w:r>
      <w:r w:rsidRPr="00E964D1">
        <w:rPr>
          <w:rFonts w:ascii="Times New Roman" w:hAnsi="Times New Roman" w:cs="Times New Roman"/>
          <w:sz w:val="24"/>
          <w:szCs w:val="24"/>
        </w:rPr>
        <w:t xml:space="preserve"> can negatively impact their financial well-being.</w:t>
      </w:r>
      <w:r w:rsidR="00144DF4">
        <w:rPr>
          <w:rFonts w:ascii="Times New Roman" w:hAnsi="Times New Roman" w:cs="Times New Roman"/>
          <w:sz w:val="24"/>
          <w:szCs w:val="24"/>
        </w:rPr>
        <w:t xml:space="preserve"> </w:t>
      </w:r>
      <w:r w:rsidRPr="00E964D1">
        <w:rPr>
          <w:rFonts w:ascii="Times New Roman" w:hAnsi="Times New Roman" w:cs="Times New Roman"/>
          <w:sz w:val="24"/>
          <w:szCs w:val="24"/>
        </w:rPr>
        <w:t>This study aims to address the following question</w:t>
      </w:r>
      <w:r w:rsidR="00144DF4">
        <w:rPr>
          <w:rFonts w:ascii="Times New Roman" w:hAnsi="Times New Roman" w:cs="Times New Roman"/>
          <w:sz w:val="24"/>
          <w:szCs w:val="24"/>
        </w:rPr>
        <w:t xml:space="preserve">: </w:t>
      </w:r>
      <w:r w:rsidRPr="00E964D1">
        <w:rPr>
          <w:rFonts w:ascii="Times New Roman" w:hAnsi="Times New Roman" w:cs="Times New Roman"/>
          <w:bCs/>
          <w:sz w:val="24"/>
          <w:szCs w:val="24"/>
        </w:rPr>
        <w:t>Does financial literacy positively influence financial well-being among mutual fund investors?</w:t>
      </w:r>
    </w:p>
    <w:p w:rsidR="0021121D" w:rsidRPr="0021121D" w:rsidRDefault="0021121D" w:rsidP="00E86DA3">
      <w:pPr>
        <w:spacing w:line="360" w:lineRule="auto"/>
        <w:jc w:val="both"/>
        <w:rPr>
          <w:rFonts w:ascii="Times New Roman" w:hAnsi="Times New Roman" w:cs="Times New Roman"/>
          <w:b/>
          <w:bCs/>
          <w:sz w:val="24"/>
          <w:szCs w:val="24"/>
        </w:rPr>
      </w:pPr>
      <w:r w:rsidRPr="0021121D">
        <w:rPr>
          <w:rFonts w:ascii="Times New Roman" w:hAnsi="Times New Roman" w:cs="Times New Roman"/>
          <w:b/>
          <w:bCs/>
          <w:sz w:val="24"/>
          <w:szCs w:val="24"/>
        </w:rPr>
        <w:t>1.3 Objectives of the Study</w:t>
      </w:r>
    </w:p>
    <w:p w:rsidR="0021121D" w:rsidRDefault="0021121D" w:rsidP="00E86DA3">
      <w:pPr>
        <w:spacing w:line="360" w:lineRule="auto"/>
        <w:jc w:val="both"/>
        <w:rPr>
          <w:rFonts w:ascii="Times New Roman" w:hAnsi="Times New Roman" w:cs="Times New Roman"/>
          <w:sz w:val="24"/>
          <w:szCs w:val="24"/>
        </w:rPr>
      </w:pPr>
      <w:proofErr w:type="gramStart"/>
      <w:r w:rsidRPr="0021121D">
        <w:rPr>
          <w:rFonts w:ascii="Times New Roman" w:hAnsi="Times New Roman" w:cs="Times New Roman"/>
          <w:sz w:val="24"/>
          <w:szCs w:val="24"/>
        </w:rPr>
        <w:t>To assess the impact of financial literacy on financial well-be</w:t>
      </w:r>
      <w:r w:rsidR="00783264">
        <w:rPr>
          <w:rFonts w:ascii="Times New Roman" w:hAnsi="Times New Roman" w:cs="Times New Roman"/>
          <w:sz w:val="24"/>
          <w:szCs w:val="24"/>
        </w:rPr>
        <w:t>ing among mutual fund investors.</w:t>
      </w:r>
      <w:proofErr w:type="gramEnd"/>
    </w:p>
    <w:p w:rsidR="00E86DA3" w:rsidRPr="0021121D" w:rsidRDefault="00E86DA3" w:rsidP="0021121D">
      <w:pPr>
        <w:spacing w:line="360" w:lineRule="auto"/>
        <w:jc w:val="both"/>
        <w:rPr>
          <w:rFonts w:ascii="Times New Roman" w:hAnsi="Times New Roman" w:cs="Times New Roman"/>
          <w:sz w:val="24"/>
          <w:szCs w:val="24"/>
        </w:rPr>
      </w:pPr>
    </w:p>
    <w:p w:rsidR="0021121D" w:rsidRDefault="0021121D" w:rsidP="00E964D1">
      <w:pPr>
        <w:spacing w:line="360" w:lineRule="auto"/>
        <w:jc w:val="both"/>
        <w:rPr>
          <w:rFonts w:ascii="Times New Roman" w:hAnsi="Times New Roman" w:cs="Times New Roman"/>
          <w:sz w:val="24"/>
          <w:szCs w:val="24"/>
        </w:rPr>
      </w:pPr>
    </w:p>
    <w:p w:rsidR="00E86DA3" w:rsidRDefault="00E86DA3" w:rsidP="00E964D1">
      <w:pPr>
        <w:spacing w:line="360" w:lineRule="auto"/>
        <w:jc w:val="both"/>
        <w:rPr>
          <w:rFonts w:ascii="Times New Roman" w:hAnsi="Times New Roman" w:cs="Times New Roman"/>
          <w:sz w:val="24"/>
          <w:szCs w:val="24"/>
        </w:rPr>
      </w:pPr>
    </w:p>
    <w:p w:rsidR="00E86DA3" w:rsidRDefault="00E86DA3" w:rsidP="00E964D1">
      <w:pPr>
        <w:spacing w:line="360" w:lineRule="auto"/>
        <w:jc w:val="both"/>
        <w:rPr>
          <w:rFonts w:ascii="Times New Roman" w:hAnsi="Times New Roman" w:cs="Times New Roman"/>
          <w:sz w:val="24"/>
          <w:szCs w:val="24"/>
        </w:rPr>
      </w:pPr>
    </w:p>
    <w:p w:rsidR="00E86DA3" w:rsidRPr="00E86DA3" w:rsidRDefault="00E86DA3" w:rsidP="00E86DA3">
      <w:pPr>
        <w:spacing w:line="360" w:lineRule="auto"/>
        <w:jc w:val="both"/>
        <w:rPr>
          <w:rFonts w:ascii="Times New Roman" w:hAnsi="Times New Roman" w:cs="Times New Roman"/>
          <w:b/>
          <w:bCs/>
          <w:sz w:val="24"/>
          <w:szCs w:val="24"/>
        </w:rPr>
      </w:pPr>
      <w:r w:rsidRPr="00E86DA3">
        <w:rPr>
          <w:rFonts w:ascii="Times New Roman" w:hAnsi="Times New Roman" w:cs="Times New Roman"/>
          <w:b/>
          <w:bCs/>
          <w:sz w:val="24"/>
          <w:szCs w:val="24"/>
        </w:rPr>
        <w:t>1.4 Scope of the Study</w:t>
      </w:r>
    </w:p>
    <w:p w:rsidR="00881DA7" w:rsidRDefault="00881DA7" w:rsidP="00AA767C">
      <w:pPr>
        <w:spacing w:line="360" w:lineRule="auto"/>
        <w:jc w:val="both"/>
        <w:rPr>
          <w:rFonts w:ascii="Times New Roman" w:hAnsi="Times New Roman" w:cs="Times New Roman"/>
          <w:sz w:val="24"/>
          <w:szCs w:val="24"/>
        </w:rPr>
      </w:pPr>
      <w:r w:rsidRPr="00881DA7">
        <w:rPr>
          <w:rFonts w:ascii="Times New Roman" w:hAnsi="Times New Roman" w:cs="Times New Roman"/>
          <w:sz w:val="24"/>
          <w:szCs w:val="24"/>
        </w:rPr>
        <w:t>This study focuses on millennial mutual fund investors in India, analyzing the impact of financial literacy on their financial well-being. Millennials, defined as individuals born between 1981 and 1996, are a crucial demographic in the investment landscape due to their growing participation in financial markets and their unique approach to wealth creation. The research examines investors from diverse income groups, ranging from entry-level professionals to high-earning individuals, to assess how financial knowledge influences investment behavior and long-term financial stability.</w:t>
      </w:r>
    </w:p>
    <w:p w:rsidR="00AA767C" w:rsidRDefault="00AA767C" w:rsidP="00AA767C">
      <w:pPr>
        <w:spacing w:line="360" w:lineRule="auto"/>
        <w:jc w:val="both"/>
        <w:rPr>
          <w:rFonts w:ascii="Times New Roman" w:hAnsi="Times New Roman" w:cs="Times New Roman"/>
          <w:b/>
          <w:sz w:val="24"/>
          <w:szCs w:val="24"/>
        </w:rPr>
      </w:pPr>
      <w:r w:rsidRPr="00AA767C">
        <w:rPr>
          <w:rFonts w:ascii="Times New Roman" w:hAnsi="Times New Roman" w:cs="Times New Roman"/>
          <w:b/>
          <w:sz w:val="24"/>
          <w:szCs w:val="24"/>
        </w:rPr>
        <w:t>2. Literature Review</w:t>
      </w:r>
    </w:p>
    <w:p w:rsidR="00980760" w:rsidRPr="00980760" w:rsidRDefault="00980760" w:rsidP="007D422E">
      <w:pPr>
        <w:spacing w:line="360" w:lineRule="auto"/>
        <w:jc w:val="both"/>
        <w:rPr>
          <w:rFonts w:ascii="Times New Roman" w:hAnsi="Times New Roman" w:cs="Times New Roman"/>
          <w:sz w:val="24"/>
          <w:szCs w:val="24"/>
        </w:rPr>
      </w:pPr>
      <w:r w:rsidRPr="00980760">
        <w:rPr>
          <w:rFonts w:ascii="Times New Roman" w:hAnsi="Times New Roman" w:cs="Times New Roman"/>
          <w:sz w:val="24"/>
          <w:szCs w:val="24"/>
        </w:rPr>
        <w:t xml:space="preserve">A comprehensive review of existing literature highlights the role of </w:t>
      </w:r>
      <w:r w:rsidRPr="00980760">
        <w:rPr>
          <w:rFonts w:ascii="Times New Roman" w:hAnsi="Times New Roman" w:cs="Times New Roman"/>
          <w:bCs/>
          <w:sz w:val="24"/>
          <w:szCs w:val="24"/>
        </w:rPr>
        <w:t>financial literacy in shaping investment decisions and financial well-being</w:t>
      </w:r>
      <w:r w:rsidRPr="00980760">
        <w:rPr>
          <w:rFonts w:ascii="Times New Roman" w:hAnsi="Times New Roman" w:cs="Times New Roman"/>
          <w:sz w:val="24"/>
          <w:szCs w:val="24"/>
        </w:rPr>
        <w:t>. Several studies have established a positive relationship between financial knowledge and improved financial security, risk management, and wealth accumulation.</w:t>
      </w:r>
    </w:p>
    <w:p w:rsidR="00980760" w:rsidRPr="00980760" w:rsidRDefault="00980760" w:rsidP="007D422E">
      <w:pPr>
        <w:spacing w:line="360" w:lineRule="auto"/>
        <w:jc w:val="both"/>
        <w:rPr>
          <w:rFonts w:ascii="Times New Roman" w:hAnsi="Times New Roman" w:cs="Times New Roman"/>
          <w:sz w:val="24"/>
          <w:szCs w:val="24"/>
        </w:rPr>
      </w:pPr>
      <w:proofErr w:type="spellStart"/>
      <w:r w:rsidRPr="007D422E">
        <w:rPr>
          <w:rFonts w:ascii="Times New Roman" w:hAnsi="Times New Roman" w:cs="Times New Roman"/>
          <w:b/>
          <w:sz w:val="24"/>
          <w:szCs w:val="24"/>
        </w:rPr>
        <w:t>Lusardi</w:t>
      </w:r>
      <w:proofErr w:type="spellEnd"/>
      <w:r w:rsidRPr="007D422E">
        <w:rPr>
          <w:rFonts w:ascii="Times New Roman" w:hAnsi="Times New Roman" w:cs="Times New Roman"/>
          <w:b/>
          <w:sz w:val="24"/>
          <w:szCs w:val="24"/>
        </w:rPr>
        <w:t xml:space="preserve"> and Mitchell (2014)</w:t>
      </w:r>
      <w:r w:rsidRPr="00980760">
        <w:rPr>
          <w:rFonts w:ascii="Times New Roman" w:hAnsi="Times New Roman" w:cs="Times New Roman"/>
          <w:sz w:val="24"/>
          <w:szCs w:val="24"/>
        </w:rPr>
        <w:t xml:space="preserve"> conducted a global study on financial literacy and its impact on financial decision-making. Their research found that individuals with </w:t>
      </w:r>
      <w:r w:rsidRPr="00980760">
        <w:rPr>
          <w:rFonts w:ascii="Times New Roman" w:hAnsi="Times New Roman" w:cs="Times New Roman"/>
          <w:bCs/>
          <w:sz w:val="24"/>
          <w:szCs w:val="24"/>
        </w:rPr>
        <w:t>higher financial literacy were more likely to engage in systematic investment planning, maintain diversified portfolios, and make long-term financial decisions</w:t>
      </w:r>
      <w:r w:rsidRPr="00980760">
        <w:rPr>
          <w:rFonts w:ascii="Times New Roman" w:hAnsi="Times New Roman" w:cs="Times New Roman"/>
          <w:sz w:val="24"/>
          <w:szCs w:val="24"/>
        </w:rPr>
        <w:t xml:space="preserve">. The study also emphasized that </w:t>
      </w:r>
      <w:r w:rsidRPr="00980760">
        <w:rPr>
          <w:rFonts w:ascii="Times New Roman" w:hAnsi="Times New Roman" w:cs="Times New Roman"/>
          <w:bCs/>
          <w:sz w:val="24"/>
          <w:szCs w:val="24"/>
        </w:rPr>
        <w:t>financially literate investors exhibited greater financial security and lower financial distress</w:t>
      </w:r>
      <w:r w:rsidRPr="00980760">
        <w:rPr>
          <w:rFonts w:ascii="Times New Roman" w:hAnsi="Times New Roman" w:cs="Times New Roman"/>
          <w:sz w:val="24"/>
          <w:szCs w:val="24"/>
        </w:rPr>
        <w:t>.</w:t>
      </w:r>
    </w:p>
    <w:p w:rsidR="00980760" w:rsidRPr="00980760" w:rsidRDefault="00980760" w:rsidP="007D422E">
      <w:pPr>
        <w:spacing w:line="360" w:lineRule="auto"/>
        <w:jc w:val="both"/>
        <w:rPr>
          <w:rFonts w:ascii="Times New Roman" w:hAnsi="Times New Roman" w:cs="Times New Roman"/>
          <w:sz w:val="24"/>
          <w:szCs w:val="24"/>
        </w:rPr>
      </w:pPr>
      <w:proofErr w:type="spellStart"/>
      <w:r w:rsidRPr="007D422E">
        <w:rPr>
          <w:rFonts w:ascii="Times New Roman" w:hAnsi="Times New Roman" w:cs="Times New Roman"/>
          <w:b/>
          <w:sz w:val="24"/>
          <w:szCs w:val="24"/>
        </w:rPr>
        <w:t>Dhaliwal</w:t>
      </w:r>
      <w:proofErr w:type="spellEnd"/>
      <w:r w:rsidRPr="007D422E">
        <w:rPr>
          <w:rFonts w:ascii="Times New Roman" w:hAnsi="Times New Roman" w:cs="Times New Roman"/>
          <w:b/>
          <w:sz w:val="24"/>
          <w:szCs w:val="24"/>
        </w:rPr>
        <w:t xml:space="preserve"> et al. (2024)</w:t>
      </w:r>
      <w:r w:rsidRPr="00980760">
        <w:rPr>
          <w:rFonts w:ascii="Times New Roman" w:hAnsi="Times New Roman" w:cs="Times New Roman"/>
          <w:sz w:val="24"/>
          <w:szCs w:val="24"/>
        </w:rPr>
        <w:t xml:space="preserve"> explored the relationship between </w:t>
      </w:r>
      <w:r w:rsidRPr="00980760">
        <w:rPr>
          <w:rFonts w:ascii="Times New Roman" w:hAnsi="Times New Roman" w:cs="Times New Roman"/>
          <w:bCs/>
          <w:sz w:val="24"/>
          <w:szCs w:val="24"/>
        </w:rPr>
        <w:t>financial literacy and investment behavior, specifically among young investors</w:t>
      </w:r>
      <w:r w:rsidRPr="00980760">
        <w:rPr>
          <w:rFonts w:ascii="Times New Roman" w:hAnsi="Times New Roman" w:cs="Times New Roman"/>
          <w:sz w:val="24"/>
          <w:szCs w:val="24"/>
        </w:rPr>
        <w:t xml:space="preserve">. The study highlighted that </w:t>
      </w:r>
      <w:r w:rsidRPr="00980760">
        <w:rPr>
          <w:rFonts w:ascii="Times New Roman" w:hAnsi="Times New Roman" w:cs="Times New Roman"/>
          <w:bCs/>
          <w:sz w:val="24"/>
          <w:szCs w:val="24"/>
        </w:rPr>
        <w:t>millennials with strong financial literacy were more likely to invest in diversified mutual funds, demonstrating better risk management skills</w:t>
      </w:r>
      <w:r w:rsidRPr="00980760">
        <w:rPr>
          <w:rFonts w:ascii="Times New Roman" w:hAnsi="Times New Roman" w:cs="Times New Roman"/>
          <w:sz w:val="24"/>
          <w:szCs w:val="24"/>
        </w:rPr>
        <w:t xml:space="preserve">. It also found that </w:t>
      </w:r>
      <w:r w:rsidRPr="00980760">
        <w:rPr>
          <w:rFonts w:ascii="Times New Roman" w:hAnsi="Times New Roman" w:cs="Times New Roman"/>
          <w:bCs/>
          <w:sz w:val="24"/>
          <w:szCs w:val="24"/>
        </w:rPr>
        <w:t>financial literacy reduced impulsive investment decisions and increased financial planning awareness</w:t>
      </w:r>
      <w:r w:rsidRPr="00980760">
        <w:rPr>
          <w:rFonts w:ascii="Times New Roman" w:hAnsi="Times New Roman" w:cs="Times New Roman"/>
          <w:sz w:val="24"/>
          <w:szCs w:val="24"/>
        </w:rPr>
        <w:t>, leading to better long-term financial outcomes.</w:t>
      </w:r>
    </w:p>
    <w:p w:rsidR="00980760" w:rsidRPr="00980760" w:rsidRDefault="00980760" w:rsidP="007D422E">
      <w:pPr>
        <w:spacing w:line="360" w:lineRule="auto"/>
        <w:jc w:val="both"/>
        <w:rPr>
          <w:rFonts w:ascii="Times New Roman" w:hAnsi="Times New Roman" w:cs="Times New Roman"/>
          <w:sz w:val="24"/>
          <w:szCs w:val="24"/>
        </w:rPr>
      </w:pPr>
      <w:proofErr w:type="spellStart"/>
      <w:r w:rsidRPr="007D422E">
        <w:rPr>
          <w:rFonts w:ascii="Times New Roman" w:hAnsi="Times New Roman" w:cs="Times New Roman"/>
          <w:b/>
          <w:sz w:val="24"/>
          <w:szCs w:val="24"/>
        </w:rPr>
        <w:t>Mohta</w:t>
      </w:r>
      <w:proofErr w:type="spellEnd"/>
      <w:r w:rsidRPr="007D422E">
        <w:rPr>
          <w:rFonts w:ascii="Times New Roman" w:hAnsi="Times New Roman" w:cs="Times New Roman"/>
          <w:b/>
          <w:sz w:val="24"/>
          <w:szCs w:val="24"/>
        </w:rPr>
        <w:t xml:space="preserve"> et al. (2022)</w:t>
      </w:r>
      <w:r w:rsidRPr="00980760">
        <w:rPr>
          <w:rFonts w:ascii="Times New Roman" w:hAnsi="Times New Roman" w:cs="Times New Roman"/>
          <w:sz w:val="24"/>
          <w:szCs w:val="24"/>
        </w:rPr>
        <w:t xml:space="preserve"> investigated how </w:t>
      </w:r>
      <w:r w:rsidRPr="00980760">
        <w:rPr>
          <w:rFonts w:ascii="Times New Roman" w:hAnsi="Times New Roman" w:cs="Times New Roman"/>
          <w:bCs/>
          <w:sz w:val="24"/>
          <w:szCs w:val="24"/>
        </w:rPr>
        <w:t>financial literacy contributes to long-term wealth accumulation and retirement planning</w:t>
      </w:r>
      <w:r w:rsidRPr="00980760">
        <w:rPr>
          <w:rFonts w:ascii="Times New Roman" w:hAnsi="Times New Roman" w:cs="Times New Roman"/>
          <w:sz w:val="24"/>
          <w:szCs w:val="24"/>
        </w:rPr>
        <w:t xml:space="preserve">. The study revealed that </w:t>
      </w:r>
      <w:r w:rsidRPr="00980760">
        <w:rPr>
          <w:rFonts w:ascii="Times New Roman" w:hAnsi="Times New Roman" w:cs="Times New Roman"/>
          <w:bCs/>
          <w:sz w:val="24"/>
          <w:szCs w:val="24"/>
        </w:rPr>
        <w:t xml:space="preserve">individuals with high financial literacy were better at assessing market risks, allocating funds strategically, and maximizing </w:t>
      </w:r>
      <w:r w:rsidRPr="00980760">
        <w:rPr>
          <w:rFonts w:ascii="Times New Roman" w:hAnsi="Times New Roman" w:cs="Times New Roman"/>
          <w:bCs/>
          <w:sz w:val="24"/>
          <w:szCs w:val="24"/>
        </w:rPr>
        <w:lastRenderedPageBreak/>
        <w:t>investment returns</w:t>
      </w:r>
      <w:r w:rsidRPr="00980760">
        <w:rPr>
          <w:rFonts w:ascii="Times New Roman" w:hAnsi="Times New Roman" w:cs="Times New Roman"/>
          <w:sz w:val="24"/>
          <w:szCs w:val="24"/>
        </w:rPr>
        <w:t xml:space="preserve">. The research concluded that </w:t>
      </w:r>
      <w:r w:rsidRPr="00980760">
        <w:rPr>
          <w:rFonts w:ascii="Times New Roman" w:hAnsi="Times New Roman" w:cs="Times New Roman"/>
          <w:bCs/>
          <w:sz w:val="24"/>
          <w:szCs w:val="24"/>
        </w:rPr>
        <w:t>financial education significantly enhances an investor's ability to build long-term wealth and financial resilience</w:t>
      </w:r>
      <w:r w:rsidRPr="00980760">
        <w:rPr>
          <w:rFonts w:ascii="Times New Roman" w:hAnsi="Times New Roman" w:cs="Times New Roman"/>
          <w:sz w:val="24"/>
          <w:szCs w:val="24"/>
        </w:rPr>
        <w:t>.</w:t>
      </w:r>
    </w:p>
    <w:p w:rsidR="00980760" w:rsidRPr="00980760" w:rsidRDefault="00980760" w:rsidP="007D422E">
      <w:pPr>
        <w:spacing w:line="360" w:lineRule="auto"/>
        <w:jc w:val="both"/>
        <w:rPr>
          <w:rFonts w:ascii="Times New Roman" w:hAnsi="Times New Roman" w:cs="Times New Roman"/>
          <w:sz w:val="24"/>
          <w:szCs w:val="24"/>
        </w:rPr>
      </w:pPr>
      <w:proofErr w:type="spellStart"/>
      <w:r w:rsidRPr="007D422E">
        <w:rPr>
          <w:rFonts w:ascii="Times New Roman" w:hAnsi="Times New Roman" w:cs="Times New Roman"/>
          <w:b/>
          <w:sz w:val="24"/>
          <w:szCs w:val="24"/>
        </w:rPr>
        <w:t>Kumari</w:t>
      </w:r>
      <w:proofErr w:type="spellEnd"/>
      <w:r w:rsidRPr="007D422E">
        <w:rPr>
          <w:rFonts w:ascii="Times New Roman" w:hAnsi="Times New Roman" w:cs="Times New Roman"/>
          <w:b/>
          <w:sz w:val="24"/>
          <w:szCs w:val="24"/>
        </w:rPr>
        <w:t xml:space="preserve"> et al. (2024)</w:t>
      </w:r>
      <w:r w:rsidRPr="00980760">
        <w:rPr>
          <w:rFonts w:ascii="Times New Roman" w:hAnsi="Times New Roman" w:cs="Times New Roman"/>
          <w:sz w:val="24"/>
          <w:szCs w:val="24"/>
        </w:rPr>
        <w:t xml:space="preserve"> analyzed the impact of </w:t>
      </w:r>
      <w:r w:rsidRPr="00980760">
        <w:rPr>
          <w:rFonts w:ascii="Times New Roman" w:hAnsi="Times New Roman" w:cs="Times New Roman"/>
          <w:bCs/>
          <w:sz w:val="24"/>
          <w:szCs w:val="24"/>
        </w:rPr>
        <w:t>financial literacy on financial well-being in emerging economies, including India</w:t>
      </w:r>
      <w:r w:rsidRPr="00980760">
        <w:rPr>
          <w:rFonts w:ascii="Times New Roman" w:hAnsi="Times New Roman" w:cs="Times New Roman"/>
          <w:sz w:val="24"/>
          <w:szCs w:val="24"/>
        </w:rPr>
        <w:t xml:space="preserve">. Their study found that </w:t>
      </w:r>
      <w:r w:rsidRPr="00980760">
        <w:rPr>
          <w:rFonts w:ascii="Times New Roman" w:hAnsi="Times New Roman" w:cs="Times New Roman"/>
          <w:bCs/>
          <w:sz w:val="24"/>
          <w:szCs w:val="24"/>
        </w:rPr>
        <w:t>financially literate individuals were more likely to experience financial stability, lower financial stress, and improved financial decision-making capabilities</w:t>
      </w:r>
      <w:r w:rsidRPr="00980760">
        <w:rPr>
          <w:rFonts w:ascii="Times New Roman" w:hAnsi="Times New Roman" w:cs="Times New Roman"/>
          <w:sz w:val="24"/>
          <w:szCs w:val="24"/>
        </w:rPr>
        <w:t xml:space="preserve">. It also emphasized the role of </w:t>
      </w:r>
      <w:r w:rsidRPr="00980760">
        <w:rPr>
          <w:rFonts w:ascii="Times New Roman" w:hAnsi="Times New Roman" w:cs="Times New Roman"/>
          <w:bCs/>
          <w:sz w:val="24"/>
          <w:szCs w:val="24"/>
        </w:rPr>
        <w:t>government initiatives in bridging the financial literacy gap to improve overall economic resilience</w:t>
      </w:r>
      <w:r w:rsidRPr="00980760">
        <w:rPr>
          <w:rFonts w:ascii="Times New Roman" w:hAnsi="Times New Roman" w:cs="Times New Roman"/>
          <w:sz w:val="24"/>
          <w:szCs w:val="24"/>
        </w:rPr>
        <w:t>.</w:t>
      </w:r>
    </w:p>
    <w:p w:rsidR="002811F9" w:rsidRPr="002811F9" w:rsidRDefault="002811F9" w:rsidP="002811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2811F9">
        <w:rPr>
          <w:rFonts w:ascii="Times New Roman" w:hAnsi="Times New Roman" w:cs="Times New Roman"/>
          <w:b/>
          <w:bCs/>
          <w:sz w:val="24"/>
          <w:szCs w:val="24"/>
        </w:rPr>
        <w:t>Research Methodology</w:t>
      </w:r>
    </w:p>
    <w:p w:rsidR="002811F9" w:rsidRPr="00AF04B1" w:rsidRDefault="002811F9" w:rsidP="002811F9">
      <w:pPr>
        <w:spacing w:line="360" w:lineRule="auto"/>
        <w:jc w:val="both"/>
        <w:rPr>
          <w:rFonts w:ascii="Times New Roman" w:hAnsi="Times New Roman" w:cs="Times New Roman"/>
          <w:sz w:val="24"/>
          <w:szCs w:val="24"/>
        </w:rPr>
      </w:pPr>
      <w:r w:rsidRPr="00AF04B1">
        <w:rPr>
          <w:rFonts w:ascii="Times New Roman" w:hAnsi="Times New Roman" w:cs="Times New Roman"/>
          <w:sz w:val="24"/>
          <w:szCs w:val="24"/>
        </w:rPr>
        <w:t xml:space="preserve">The research methodology outlines the </w:t>
      </w:r>
      <w:r w:rsidRPr="00AF04B1">
        <w:rPr>
          <w:rFonts w:ascii="Times New Roman" w:hAnsi="Times New Roman" w:cs="Times New Roman"/>
          <w:bCs/>
          <w:sz w:val="24"/>
          <w:szCs w:val="24"/>
        </w:rPr>
        <w:t>approach, techniques, and tools</w:t>
      </w:r>
      <w:r w:rsidRPr="00AF04B1">
        <w:rPr>
          <w:rFonts w:ascii="Times New Roman" w:hAnsi="Times New Roman" w:cs="Times New Roman"/>
          <w:sz w:val="24"/>
          <w:szCs w:val="24"/>
        </w:rPr>
        <w:t xml:space="preserve"> used to investigate the relationship between </w:t>
      </w:r>
      <w:r w:rsidRPr="00AF04B1">
        <w:rPr>
          <w:rFonts w:ascii="Times New Roman" w:hAnsi="Times New Roman" w:cs="Times New Roman"/>
          <w:bCs/>
          <w:sz w:val="24"/>
          <w:szCs w:val="24"/>
        </w:rPr>
        <w:t>financial literacy and financial well-being among mutual fund investors</w:t>
      </w:r>
      <w:r w:rsidRPr="00AF04B1">
        <w:rPr>
          <w:rFonts w:ascii="Times New Roman" w:hAnsi="Times New Roman" w:cs="Times New Roman"/>
          <w:sz w:val="24"/>
          <w:szCs w:val="24"/>
        </w:rPr>
        <w:t xml:space="preserve">. This study adopts a </w:t>
      </w:r>
      <w:r w:rsidRPr="00AF04B1">
        <w:rPr>
          <w:rFonts w:ascii="Times New Roman" w:hAnsi="Times New Roman" w:cs="Times New Roman"/>
          <w:bCs/>
          <w:sz w:val="24"/>
          <w:szCs w:val="24"/>
        </w:rPr>
        <w:t>quantitative approach</w:t>
      </w:r>
      <w:r w:rsidRPr="00AF04B1">
        <w:rPr>
          <w:rFonts w:ascii="Times New Roman" w:hAnsi="Times New Roman" w:cs="Times New Roman"/>
          <w:sz w:val="24"/>
          <w:szCs w:val="24"/>
        </w:rPr>
        <w:t xml:space="preserve">, relying on primary data collection through </w:t>
      </w:r>
      <w:r w:rsidRPr="00AF04B1">
        <w:rPr>
          <w:rFonts w:ascii="Times New Roman" w:hAnsi="Times New Roman" w:cs="Times New Roman"/>
          <w:bCs/>
          <w:sz w:val="24"/>
          <w:szCs w:val="24"/>
        </w:rPr>
        <w:t>surveys and statistical analysis</w:t>
      </w:r>
      <w:r w:rsidRPr="00AF04B1">
        <w:rPr>
          <w:rFonts w:ascii="Times New Roman" w:hAnsi="Times New Roman" w:cs="Times New Roman"/>
          <w:sz w:val="24"/>
          <w:szCs w:val="24"/>
        </w:rPr>
        <w:t xml:space="preserve"> to derive meaningful conclusions.</w:t>
      </w:r>
    </w:p>
    <w:p w:rsidR="002811F9" w:rsidRPr="002811F9" w:rsidRDefault="00595ABD" w:rsidP="002811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2811F9" w:rsidRPr="002811F9">
        <w:rPr>
          <w:rFonts w:ascii="Times New Roman" w:hAnsi="Times New Roman" w:cs="Times New Roman"/>
          <w:b/>
          <w:bCs/>
          <w:sz w:val="24"/>
          <w:szCs w:val="24"/>
        </w:rPr>
        <w:t>Research Design</w:t>
      </w:r>
    </w:p>
    <w:p w:rsidR="002811F9" w:rsidRPr="00060848" w:rsidRDefault="002811F9" w:rsidP="002811F9">
      <w:pPr>
        <w:spacing w:line="360" w:lineRule="auto"/>
        <w:jc w:val="both"/>
        <w:rPr>
          <w:rFonts w:ascii="Times New Roman" w:hAnsi="Times New Roman" w:cs="Times New Roman"/>
          <w:sz w:val="24"/>
          <w:szCs w:val="24"/>
        </w:rPr>
      </w:pPr>
      <w:r w:rsidRPr="00060848">
        <w:rPr>
          <w:rFonts w:ascii="Times New Roman" w:hAnsi="Times New Roman" w:cs="Times New Roman"/>
          <w:sz w:val="24"/>
          <w:szCs w:val="24"/>
        </w:rPr>
        <w:t xml:space="preserve">This study employs a </w:t>
      </w:r>
      <w:r w:rsidRPr="00060848">
        <w:rPr>
          <w:rFonts w:ascii="Times New Roman" w:hAnsi="Times New Roman" w:cs="Times New Roman"/>
          <w:bCs/>
          <w:sz w:val="24"/>
          <w:szCs w:val="24"/>
        </w:rPr>
        <w:t>quantitative research approach</w:t>
      </w:r>
      <w:r w:rsidRPr="00060848">
        <w:rPr>
          <w:rFonts w:ascii="Times New Roman" w:hAnsi="Times New Roman" w:cs="Times New Roman"/>
          <w:sz w:val="24"/>
          <w:szCs w:val="24"/>
        </w:rPr>
        <w:t xml:space="preserve">, as it enables the systematic examination of </w:t>
      </w:r>
      <w:r w:rsidRPr="00060848">
        <w:rPr>
          <w:rFonts w:ascii="Times New Roman" w:hAnsi="Times New Roman" w:cs="Times New Roman"/>
          <w:bCs/>
          <w:sz w:val="24"/>
          <w:szCs w:val="24"/>
        </w:rPr>
        <w:t>financial literacy levels and their impact on financial well-being</w:t>
      </w:r>
      <w:r w:rsidRPr="00060848">
        <w:rPr>
          <w:rFonts w:ascii="Times New Roman" w:hAnsi="Times New Roman" w:cs="Times New Roman"/>
          <w:sz w:val="24"/>
          <w:szCs w:val="24"/>
        </w:rPr>
        <w:t xml:space="preserve">. A </w:t>
      </w:r>
      <w:r w:rsidRPr="00060848">
        <w:rPr>
          <w:rFonts w:ascii="Times New Roman" w:hAnsi="Times New Roman" w:cs="Times New Roman"/>
          <w:bCs/>
          <w:sz w:val="24"/>
          <w:szCs w:val="24"/>
        </w:rPr>
        <w:t>survey-based methodology</w:t>
      </w:r>
      <w:r w:rsidRPr="00060848">
        <w:rPr>
          <w:rFonts w:ascii="Times New Roman" w:hAnsi="Times New Roman" w:cs="Times New Roman"/>
          <w:sz w:val="24"/>
          <w:szCs w:val="24"/>
        </w:rPr>
        <w:t xml:space="preserve"> was chosen to gather numerical data from mutual fund investors, ensuring an objective assessment of </w:t>
      </w:r>
      <w:r w:rsidRPr="00060848">
        <w:rPr>
          <w:rFonts w:ascii="Times New Roman" w:hAnsi="Times New Roman" w:cs="Times New Roman"/>
          <w:bCs/>
          <w:sz w:val="24"/>
          <w:szCs w:val="24"/>
        </w:rPr>
        <w:t>investment behavior, financial stability, and risk management strategies</w:t>
      </w:r>
      <w:r w:rsidRPr="00060848">
        <w:rPr>
          <w:rFonts w:ascii="Times New Roman" w:hAnsi="Times New Roman" w:cs="Times New Roman"/>
          <w:sz w:val="24"/>
          <w:szCs w:val="24"/>
        </w:rPr>
        <w:t xml:space="preserve">. The structured survey allowed for </w:t>
      </w:r>
      <w:r w:rsidRPr="00060848">
        <w:rPr>
          <w:rFonts w:ascii="Times New Roman" w:hAnsi="Times New Roman" w:cs="Times New Roman"/>
          <w:bCs/>
          <w:sz w:val="24"/>
          <w:szCs w:val="24"/>
        </w:rPr>
        <w:t>measurable comparisons between financially literate and less literate investors</w:t>
      </w:r>
      <w:r w:rsidRPr="00060848">
        <w:rPr>
          <w:rFonts w:ascii="Times New Roman" w:hAnsi="Times New Roman" w:cs="Times New Roman"/>
          <w:sz w:val="24"/>
          <w:szCs w:val="24"/>
        </w:rPr>
        <w:t>, providing deeper insights into their financial decision-making processes.</w:t>
      </w:r>
    </w:p>
    <w:p w:rsidR="002811F9" w:rsidRPr="00060848" w:rsidRDefault="002811F9" w:rsidP="002811F9">
      <w:pPr>
        <w:spacing w:line="360" w:lineRule="auto"/>
        <w:jc w:val="both"/>
        <w:rPr>
          <w:rFonts w:ascii="Times New Roman" w:hAnsi="Times New Roman" w:cs="Times New Roman"/>
          <w:sz w:val="24"/>
          <w:szCs w:val="24"/>
        </w:rPr>
      </w:pPr>
      <w:r w:rsidRPr="00060848">
        <w:rPr>
          <w:rFonts w:ascii="Times New Roman" w:hAnsi="Times New Roman" w:cs="Times New Roman"/>
          <w:sz w:val="24"/>
          <w:szCs w:val="24"/>
        </w:rPr>
        <w:t xml:space="preserve">To establish validity and reliability, the survey questions were designed based on </w:t>
      </w:r>
      <w:r w:rsidRPr="00060848">
        <w:rPr>
          <w:rFonts w:ascii="Times New Roman" w:hAnsi="Times New Roman" w:cs="Times New Roman"/>
          <w:bCs/>
          <w:sz w:val="24"/>
          <w:szCs w:val="24"/>
        </w:rPr>
        <w:t>established financial literacy assessment frameworks and prior academic research</w:t>
      </w:r>
      <w:r w:rsidRPr="00060848">
        <w:rPr>
          <w:rFonts w:ascii="Times New Roman" w:hAnsi="Times New Roman" w:cs="Times New Roman"/>
          <w:sz w:val="24"/>
          <w:szCs w:val="24"/>
        </w:rPr>
        <w:t xml:space="preserve">. Statistical tools, including </w:t>
      </w:r>
      <w:r w:rsidRPr="00060848">
        <w:rPr>
          <w:rFonts w:ascii="Times New Roman" w:hAnsi="Times New Roman" w:cs="Times New Roman"/>
          <w:bCs/>
          <w:sz w:val="24"/>
          <w:szCs w:val="24"/>
        </w:rPr>
        <w:t>correlation analysis and regression models</w:t>
      </w:r>
      <w:r w:rsidRPr="00060848">
        <w:rPr>
          <w:rFonts w:ascii="Times New Roman" w:hAnsi="Times New Roman" w:cs="Times New Roman"/>
          <w:sz w:val="24"/>
          <w:szCs w:val="24"/>
        </w:rPr>
        <w:t>, were employed to measure the strength of the relationship between financial literacy and financial well-being.</w:t>
      </w:r>
    </w:p>
    <w:p w:rsidR="002811F9" w:rsidRPr="002811F9" w:rsidRDefault="00355911" w:rsidP="002811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2811F9" w:rsidRPr="002811F9">
        <w:rPr>
          <w:rFonts w:ascii="Times New Roman" w:hAnsi="Times New Roman" w:cs="Times New Roman"/>
          <w:b/>
          <w:bCs/>
          <w:sz w:val="24"/>
          <w:szCs w:val="24"/>
        </w:rPr>
        <w:t>Data Collection</w:t>
      </w:r>
    </w:p>
    <w:p w:rsidR="002811F9" w:rsidRPr="001D3B8E" w:rsidRDefault="002811F9" w:rsidP="002811F9">
      <w:pPr>
        <w:spacing w:line="360" w:lineRule="auto"/>
        <w:jc w:val="both"/>
        <w:rPr>
          <w:rFonts w:ascii="Times New Roman" w:hAnsi="Times New Roman" w:cs="Times New Roman"/>
          <w:sz w:val="24"/>
          <w:szCs w:val="24"/>
        </w:rPr>
      </w:pPr>
      <w:r w:rsidRPr="001D3B8E">
        <w:rPr>
          <w:rFonts w:ascii="Times New Roman" w:hAnsi="Times New Roman" w:cs="Times New Roman"/>
          <w:sz w:val="24"/>
          <w:szCs w:val="24"/>
        </w:rPr>
        <w:t xml:space="preserve">Data was collected from </w:t>
      </w:r>
      <w:r w:rsidRPr="001D3B8E">
        <w:rPr>
          <w:rFonts w:ascii="Times New Roman" w:hAnsi="Times New Roman" w:cs="Times New Roman"/>
          <w:bCs/>
          <w:sz w:val="24"/>
          <w:szCs w:val="24"/>
        </w:rPr>
        <w:t>both primary and secondary sources</w:t>
      </w:r>
      <w:r w:rsidRPr="001D3B8E">
        <w:rPr>
          <w:rFonts w:ascii="Times New Roman" w:hAnsi="Times New Roman" w:cs="Times New Roman"/>
          <w:sz w:val="24"/>
          <w:szCs w:val="24"/>
        </w:rPr>
        <w:t xml:space="preserve"> to ensure a </w:t>
      </w:r>
      <w:r w:rsidRPr="001D3B8E">
        <w:rPr>
          <w:rFonts w:ascii="Times New Roman" w:hAnsi="Times New Roman" w:cs="Times New Roman"/>
          <w:bCs/>
          <w:sz w:val="24"/>
          <w:szCs w:val="24"/>
        </w:rPr>
        <w:t>comprehensive and well-rounded analysis</w:t>
      </w:r>
      <w:r w:rsidRPr="001D3B8E">
        <w:rPr>
          <w:rFonts w:ascii="Times New Roman" w:hAnsi="Times New Roman" w:cs="Times New Roman"/>
          <w:sz w:val="24"/>
          <w:szCs w:val="24"/>
        </w:rPr>
        <w:t>.</w:t>
      </w:r>
    </w:p>
    <w:p w:rsidR="002811F9" w:rsidRPr="00743A0D" w:rsidRDefault="002811F9" w:rsidP="00D96B42">
      <w:pPr>
        <w:pStyle w:val="ListParagraph"/>
        <w:numPr>
          <w:ilvl w:val="0"/>
          <w:numId w:val="4"/>
        </w:numPr>
        <w:spacing w:line="360" w:lineRule="auto"/>
        <w:jc w:val="both"/>
        <w:rPr>
          <w:rFonts w:ascii="Times New Roman" w:hAnsi="Times New Roman" w:cs="Times New Roman"/>
          <w:sz w:val="24"/>
          <w:szCs w:val="24"/>
        </w:rPr>
      </w:pPr>
      <w:r w:rsidRPr="00743A0D">
        <w:rPr>
          <w:rFonts w:ascii="Times New Roman" w:hAnsi="Times New Roman" w:cs="Times New Roman"/>
          <w:b/>
          <w:bCs/>
          <w:sz w:val="24"/>
          <w:szCs w:val="24"/>
        </w:rPr>
        <w:lastRenderedPageBreak/>
        <w:t>Primary Data:</w:t>
      </w:r>
      <w:r w:rsidRPr="00743A0D">
        <w:rPr>
          <w:rFonts w:ascii="Times New Roman" w:hAnsi="Times New Roman" w:cs="Times New Roman"/>
          <w:sz w:val="24"/>
          <w:szCs w:val="24"/>
        </w:rPr>
        <w:t xml:space="preserve"> The study utilized </w:t>
      </w:r>
      <w:r w:rsidRPr="00743A0D">
        <w:rPr>
          <w:rFonts w:ascii="Times New Roman" w:hAnsi="Times New Roman" w:cs="Times New Roman"/>
          <w:bCs/>
          <w:sz w:val="24"/>
          <w:szCs w:val="24"/>
        </w:rPr>
        <w:t>structured questionnaires</w:t>
      </w:r>
      <w:r w:rsidRPr="00743A0D">
        <w:rPr>
          <w:rFonts w:ascii="Times New Roman" w:hAnsi="Times New Roman" w:cs="Times New Roman"/>
          <w:sz w:val="24"/>
          <w:szCs w:val="24"/>
        </w:rPr>
        <w:t xml:space="preserve"> to gather first-hand responses from </w:t>
      </w:r>
      <w:r w:rsidR="007D55C9" w:rsidRPr="00743A0D">
        <w:rPr>
          <w:rFonts w:ascii="Times New Roman" w:hAnsi="Times New Roman" w:cs="Times New Roman"/>
          <w:bCs/>
          <w:sz w:val="24"/>
          <w:szCs w:val="24"/>
        </w:rPr>
        <w:t>62</w:t>
      </w:r>
      <w:r w:rsidRPr="00743A0D">
        <w:rPr>
          <w:rFonts w:ascii="Times New Roman" w:hAnsi="Times New Roman" w:cs="Times New Roman"/>
          <w:bCs/>
          <w:sz w:val="24"/>
          <w:szCs w:val="24"/>
        </w:rPr>
        <w:t xml:space="preserve"> mutual fund investors</w:t>
      </w:r>
      <w:r w:rsidRPr="00743A0D">
        <w:rPr>
          <w:rFonts w:ascii="Times New Roman" w:hAnsi="Times New Roman" w:cs="Times New Roman"/>
          <w:sz w:val="24"/>
          <w:szCs w:val="24"/>
        </w:rPr>
        <w:t xml:space="preserve">. The questionnaire focused on </w:t>
      </w:r>
      <w:r w:rsidRPr="00743A0D">
        <w:rPr>
          <w:rFonts w:ascii="Times New Roman" w:hAnsi="Times New Roman" w:cs="Times New Roman"/>
          <w:bCs/>
          <w:sz w:val="24"/>
          <w:szCs w:val="24"/>
        </w:rPr>
        <w:t>financial literacy levels, investment preferences, risk tolerance, and financial well-being indicators</w:t>
      </w:r>
      <w:r w:rsidRPr="00743A0D">
        <w:rPr>
          <w:rFonts w:ascii="Times New Roman" w:hAnsi="Times New Roman" w:cs="Times New Roman"/>
          <w:sz w:val="24"/>
          <w:szCs w:val="24"/>
        </w:rPr>
        <w:t xml:space="preserve">. Respondents were selected based on their </w:t>
      </w:r>
      <w:r w:rsidRPr="00743A0D">
        <w:rPr>
          <w:rFonts w:ascii="Times New Roman" w:hAnsi="Times New Roman" w:cs="Times New Roman"/>
          <w:bCs/>
          <w:sz w:val="24"/>
          <w:szCs w:val="24"/>
        </w:rPr>
        <w:t>active participation in mutual fund investments</w:t>
      </w:r>
      <w:r w:rsidRPr="00743A0D">
        <w:rPr>
          <w:rFonts w:ascii="Times New Roman" w:hAnsi="Times New Roman" w:cs="Times New Roman"/>
          <w:sz w:val="24"/>
          <w:szCs w:val="24"/>
        </w:rPr>
        <w:t>, ensuring that the collected data reflected real-world investor experiences.</w:t>
      </w:r>
    </w:p>
    <w:p w:rsidR="002811F9" w:rsidRPr="00743A0D" w:rsidRDefault="002811F9" w:rsidP="00D96B42">
      <w:pPr>
        <w:pStyle w:val="ListParagraph"/>
        <w:numPr>
          <w:ilvl w:val="0"/>
          <w:numId w:val="4"/>
        </w:numPr>
        <w:spacing w:line="360" w:lineRule="auto"/>
        <w:jc w:val="both"/>
        <w:rPr>
          <w:rFonts w:ascii="Times New Roman" w:hAnsi="Times New Roman" w:cs="Times New Roman"/>
          <w:sz w:val="24"/>
          <w:szCs w:val="24"/>
        </w:rPr>
      </w:pPr>
      <w:r w:rsidRPr="00743A0D">
        <w:rPr>
          <w:rFonts w:ascii="Times New Roman" w:hAnsi="Times New Roman" w:cs="Times New Roman"/>
          <w:b/>
          <w:bCs/>
          <w:sz w:val="24"/>
          <w:szCs w:val="24"/>
        </w:rPr>
        <w:t>Secondary Data:</w:t>
      </w:r>
      <w:r w:rsidRPr="00743A0D">
        <w:rPr>
          <w:rFonts w:ascii="Times New Roman" w:hAnsi="Times New Roman" w:cs="Times New Roman"/>
          <w:sz w:val="24"/>
          <w:szCs w:val="24"/>
        </w:rPr>
        <w:t xml:space="preserve"> To support the primary research, secondary data was sourced from </w:t>
      </w:r>
      <w:r w:rsidRPr="00743A0D">
        <w:rPr>
          <w:rFonts w:ascii="Times New Roman" w:hAnsi="Times New Roman" w:cs="Times New Roman"/>
          <w:bCs/>
          <w:sz w:val="24"/>
          <w:szCs w:val="24"/>
        </w:rPr>
        <w:t>peer-reviewed journal articles, financial reports, industry publications, and government documents</w:t>
      </w:r>
      <w:r w:rsidRPr="00743A0D">
        <w:rPr>
          <w:rFonts w:ascii="Times New Roman" w:hAnsi="Times New Roman" w:cs="Times New Roman"/>
          <w:sz w:val="24"/>
          <w:szCs w:val="24"/>
        </w:rPr>
        <w:t xml:space="preserve">. This helped in </w:t>
      </w:r>
      <w:r w:rsidRPr="00743A0D">
        <w:rPr>
          <w:rFonts w:ascii="Times New Roman" w:hAnsi="Times New Roman" w:cs="Times New Roman"/>
          <w:bCs/>
          <w:sz w:val="24"/>
          <w:szCs w:val="24"/>
        </w:rPr>
        <w:t>benchmarking findings against existing studies</w:t>
      </w:r>
      <w:r w:rsidRPr="00743A0D">
        <w:rPr>
          <w:rFonts w:ascii="Times New Roman" w:hAnsi="Times New Roman" w:cs="Times New Roman"/>
          <w:sz w:val="24"/>
          <w:szCs w:val="24"/>
        </w:rPr>
        <w:t xml:space="preserve"> and provided a </w:t>
      </w:r>
      <w:r w:rsidRPr="00743A0D">
        <w:rPr>
          <w:rFonts w:ascii="Times New Roman" w:hAnsi="Times New Roman" w:cs="Times New Roman"/>
          <w:bCs/>
          <w:sz w:val="24"/>
          <w:szCs w:val="24"/>
        </w:rPr>
        <w:t>contextual understanding</w:t>
      </w:r>
      <w:r w:rsidRPr="00743A0D">
        <w:rPr>
          <w:rFonts w:ascii="Times New Roman" w:hAnsi="Times New Roman" w:cs="Times New Roman"/>
          <w:sz w:val="24"/>
          <w:szCs w:val="24"/>
        </w:rPr>
        <w:t xml:space="preserve"> of financial literacy trends in India.</w:t>
      </w:r>
    </w:p>
    <w:p w:rsidR="002811F9" w:rsidRPr="002811F9" w:rsidRDefault="00000A22" w:rsidP="002811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2811F9" w:rsidRPr="002811F9">
        <w:rPr>
          <w:rFonts w:ascii="Times New Roman" w:hAnsi="Times New Roman" w:cs="Times New Roman"/>
          <w:b/>
          <w:bCs/>
          <w:sz w:val="24"/>
          <w:szCs w:val="24"/>
        </w:rPr>
        <w:t>Sampling Technique</w:t>
      </w:r>
    </w:p>
    <w:p w:rsidR="002811F9" w:rsidRPr="00903C68" w:rsidRDefault="002811F9" w:rsidP="002811F9">
      <w:pPr>
        <w:spacing w:line="360" w:lineRule="auto"/>
        <w:jc w:val="both"/>
        <w:rPr>
          <w:rFonts w:ascii="Times New Roman" w:hAnsi="Times New Roman" w:cs="Times New Roman"/>
          <w:sz w:val="24"/>
          <w:szCs w:val="24"/>
        </w:rPr>
      </w:pPr>
      <w:r w:rsidRPr="00903C68">
        <w:rPr>
          <w:rFonts w:ascii="Times New Roman" w:hAnsi="Times New Roman" w:cs="Times New Roman"/>
          <w:sz w:val="24"/>
          <w:szCs w:val="24"/>
        </w:rPr>
        <w:t xml:space="preserve">A </w:t>
      </w:r>
      <w:r w:rsidRPr="00903C68">
        <w:rPr>
          <w:rFonts w:ascii="Times New Roman" w:hAnsi="Times New Roman" w:cs="Times New Roman"/>
          <w:bCs/>
          <w:sz w:val="24"/>
          <w:szCs w:val="24"/>
        </w:rPr>
        <w:t>purposive sampling technique</w:t>
      </w:r>
      <w:r w:rsidRPr="00903C68">
        <w:rPr>
          <w:rFonts w:ascii="Times New Roman" w:hAnsi="Times New Roman" w:cs="Times New Roman"/>
          <w:sz w:val="24"/>
          <w:szCs w:val="24"/>
        </w:rPr>
        <w:t xml:space="preserve"> was adopted to select participants who were </w:t>
      </w:r>
      <w:r w:rsidRPr="00903C68">
        <w:rPr>
          <w:rFonts w:ascii="Times New Roman" w:hAnsi="Times New Roman" w:cs="Times New Roman"/>
          <w:bCs/>
          <w:sz w:val="24"/>
          <w:szCs w:val="24"/>
        </w:rPr>
        <w:t>actively investing in mutual funds</w:t>
      </w:r>
      <w:r w:rsidRPr="00903C68">
        <w:rPr>
          <w:rFonts w:ascii="Times New Roman" w:hAnsi="Times New Roman" w:cs="Times New Roman"/>
          <w:sz w:val="24"/>
          <w:szCs w:val="24"/>
        </w:rPr>
        <w:t xml:space="preserve">. This method ensured that the study included individuals with </w:t>
      </w:r>
      <w:r w:rsidRPr="00903C68">
        <w:rPr>
          <w:rFonts w:ascii="Times New Roman" w:hAnsi="Times New Roman" w:cs="Times New Roman"/>
          <w:bCs/>
          <w:sz w:val="24"/>
          <w:szCs w:val="24"/>
        </w:rPr>
        <w:t>varied levels of financial literacy</w:t>
      </w:r>
      <w:r w:rsidRPr="00903C68">
        <w:rPr>
          <w:rFonts w:ascii="Times New Roman" w:hAnsi="Times New Roman" w:cs="Times New Roman"/>
          <w:sz w:val="24"/>
          <w:szCs w:val="24"/>
        </w:rPr>
        <w:t>, allowing for a comparative analysis. The selection criteria included:</w:t>
      </w:r>
    </w:p>
    <w:p w:rsidR="002811F9" w:rsidRPr="0062658F" w:rsidRDefault="002811F9" w:rsidP="00D96B42">
      <w:pPr>
        <w:numPr>
          <w:ilvl w:val="0"/>
          <w:numId w:val="2"/>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Age group:</w:t>
      </w:r>
      <w:r w:rsidRPr="002811F9">
        <w:rPr>
          <w:rFonts w:ascii="Times New Roman" w:hAnsi="Times New Roman" w:cs="Times New Roman"/>
          <w:sz w:val="24"/>
          <w:szCs w:val="24"/>
        </w:rPr>
        <w:t xml:space="preserve"> </w:t>
      </w:r>
      <w:r w:rsidRPr="0062658F">
        <w:rPr>
          <w:rFonts w:ascii="Times New Roman" w:hAnsi="Times New Roman" w:cs="Times New Roman"/>
          <w:sz w:val="24"/>
          <w:szCs w:val="24"/>
        </w:rPr>
        <w:t xml:space="preserve">Investors aged </w:t>
      </w:r>
      <w:r w:rsidRPr="0062658F">
        <w:rPr>
          <w:rFonts w:ascii="Times New Roman" w:hAnsi="Times New Roman" w:cs="Times New Roman"/>
          <w:bCs/>
          <w:sz w:val="24"/>
          <w:szCs w:val="24"/>
        </w:rPr>
        <w:t>25 and above</w:t>
      </w:r>
      <w:r w:rsidRPr="0062658F">
        <w:rPr>
          <w:rFonts w:ascii="Times New Roman" w:hAnsi="Times New Roman" w:cs="Times New Roman"/>
          <w:sz w:val="24"/>
          <w:szCs w:val="24"/>
        </w:rPr>
        <w:t xml:space="preserve"> who have </w:t>
      </w:r>
      <w:r w:rsidRPr="0062658F">
        <w:rPr>
          <w:rFonts w:ascii="Times New Roman" w:hAnsi="Times New Roman" w:cs="Times New Roman"/>
          <w:bCs/>
          <w:sz w:val="24"/>
          <w:szCs w:val="24"/>
        </w:rPr>
        <w:t>experience in mutual fund investments</w:t>
      </w:r>
      <w:r w:rsidRPr="0062658F">
        <w:rPr>
          <w:rFonts w:ascii="Times New Roman" w:hAnsi="Times New Roman" w:cs="Times New Roman"/>
          <w:sz w:val="24"/>
          <w:szCs w:val="24"/>
        </w:rPr>
        <w:t>.</w:t>
      </w:r>
    </w:p>
    <w:p w:rsidR="002811F9" w:rsidRPr="002811F9" w:rsidRDefault="002811F9" w:rsidP="00D96B42">
      <w:pPr>
        <w:numPr>
          <w:ilvl w:val="0"/>
          <w:numId w:val="2"/>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Investment activity:</w:t>
      </w:r>
      <w:r w:rsidRPr="002811F9">
        <w:rPr>
          <w:rFonts w:ascii="Times New Roman" w:hAnsi="Times New Roman" w:cs="Times New Roman"/>
          <w:sz w:val="24"/>
          <w:szCs w:val="24"/>
        </w:rPr>
        <w:t xml:space="preserve"> Individuals </w:t>
      </w:r>
      <w:r w:rsidRPr="0062658F">
        <w:rPr>
          <w:rFonts w:ascii="Times New Roman" w:hAnsi="Times New Roman" w:cs="Times New Roman"/>
          <w:sz w:val="24"/>
          <w:szCs w:val="24"/>
        </w:rPr>
        <w:t xml:space="preserve">who have been investing for at least </w:t>
      </w:r>
      <w:r w:rsidRPr="0062658F">
        <w:rPr>
          <w:rFonts w:ascii="Times New Roman" w:hAnsi="Times New Roman" w:cs="Times New Roman"/>
          <w:bCs/>
          <w:sz w:val="24"/>
          <w:szCs w:val="24"/>
        </w:rPr>
        <w:t>one year</w:t>
      </w:r>
      <w:r w:rsidRPr="0062658F">
        <w:rPr>
          <w:rFonts w:ascii="Times New Roman" w:hAnsi="Times New Roman" w:cs="Times New Roman"/>
          <w:sz w:val="24"/>
          <w:szCs w:val="24"/>
        </w:rPr>
        <w:t>.</w:t>
      </w:r>
    </w:p>
    <w:p w:rsidR="002811F9" w:rsidRPr="001A6BE9" w:rsidRDefault="002811F9" w:rsidP="00D96B42">
      <w:pPr>
        <w:numPr>
          <w:ilvl w:val="0"/>
          <w:numId w:val="2"/>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Financial knowledge levels:</w:t>
      </w:r>
      <w:r w:rsidRPr="002811F9">
        <w:rPr>
          <w:rFonts w:ascii="Times New Roman" w:hAnsi="Times New Roman" w:cs="Times New Roman"/>
          <w:sz w:val="24"/>
          <w:szCs w:val="24"/>
        </w:rPr>
        <w:t xml:space="preserve"> </w:t>
      </w:r>
      <w:r w:rsidRPr="001A6BE9">
        <w:rPr>
          <w:rFonts w:ascii="Times New Roman" w:hAnsi="Times New Roman" w:cs="Times New Roman"/>
          <w:sz w:val="24"/>
          <w:szCs w:val="24"/>
        </w:rPr>
        <w:t xml:space="preserve">Respondents with </w:t>
      </w:r>
      <w:r w:rsidRPr="001A6BE9">
        <w:rPr>
          <w:rFonts w:ascii="Times New Roman" w:hAnsi="Times New Roman" w:cs="Times New Roman"/>
          <w:bCs/>
          <w:sz w:val="24"/>
          <w:szCs w:val="24"/>
        </w:rPr>
        <w:t>diverse educational and financial literacy backgrounds</w:t>
      </w:r>
      <w:r w:rsidRPr="001A6BE9">
        <w:rPr>
          <w:rFonts w:ascii="Times New Roman" w:hAnsi="Times New Roman" w:cs="Times New Roman"/>
          <w:sz w:val="24"/>
          <w:szCs w:val="24"/>
        </w:rPr>
        <w:t>.</w:t>
      </w:r>
    </w:p>
    <w:p w:rsidR="002811F9" w:rsidRPr="00C146F6" w:rsidRDefault="002811F9" w:rsidP="002811F9">
      <w:pPr>
        <w:spacing w:line="360" w:lineRule="auto"/>
        <w:jc w:val="both"/>
        <w:rPr>
          <w:rFonts w:ascii="Times New Roman" w:hAnsi="Times New Roman" w:cs="Times New Roman"/>
          <w:sz w:val="24"/>
          <w:szCs w:val="24"/>
        </w:rPr>
      </w:pPr>
      <w:r w:rsidRPr="00C146F6">
        <w:rPr>
          <w:rFonts w:ascii="Times New Roman" w:hAnsi="Times New Roman" w:cs="Times New Roman"/>
          <w:sz w:val="24"/>
          <w:szCs w:val="24"/>
        </w:rPr>
        <w:t xml:space="preserve">Purposive sampling was chosen because </w:t>
      </w:r>
      <w:r w:rsidRPr="00C146F6">
        <w:rPr>
          <w:rFonts w:ascii="Times New Roman" w:hAnsi="Times New Roman" w:cs="Times New Roman"/>
          <w:bCs/>
          <w:sz w:val="24"/>
          <w:szCs w:val="24"/>
        </w:rPr>
        <w:t>it ensures that the selected respondents have relevant exposure to financial decision-making</w:t>
      </w:r>
      <w:r w:rsidRPr="00C146F6">
        <w:rPr>
          <w:rFonts w:ascii="Times New Roman" w:hAnsi="Times New Roman" w:cs="Times New Roman"/>
          <w:sz w:val="24"/>
          <w:szCs w:val="24"/>
        </w:rPr>
        <w:t>, making their inputs valuable for the research objectives.</w:t>
      </w:r>
    </w:p>
    <w:p w:rsidR="002811F9" w:rsidRPr="002811F9" w:rsidRDefault="005905DE" w:rsidP="002811F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2811F9" w:rsidRPr="002811F9">
        <w:rPr>
          <w:rFonts w:ascii="Times New Roman" w:hAnsi="Times New Roman" w:cs="Times New Roman"/>
          <w:b/>
          <w:bCs/>
          <w:sz w:val="24"/>
          <w:szCs w:val="24"/>
        </w:rPr>
        <w:t>Research Instrument</w:t>
      </w:r>
    </w:p>
    <w:p w:rsidR="002811F9" w:rsidRPr="005D05FE" w:rsidRDefault="002811F9" w:rsidP="002811F9">
      <w:pPr>
        <w:spacing w:line="360" w:lineRule="auto"/>
        <w:jc w:val="both"/>
        <w:rPr>
          <w:rFonts w:ascii="Times New Roman" w:hAnsi="Times New Roman" w:cs="Times New Roman"/>
          <w:sz w:val="24"/>
          <w:szCs w:val="24"/>
        </w:rPr>
      </w:pPr>
      <w:r w:rsidRPr="005D05FE">
        <w:rPr>
          <w:rFonts w:ascii="Times New Roman" w:hAnsi="Times New Roman" w:cs="Times New Roman"/>
          <w:sz w:val="24"/>
          <w:szCs w:val="24"/>
        </w:rPr>
        <w:t xml:space="preserve">The primary research instrument was a </w:t>
      </w:r>
      <w:r w:rsidRPr="005D05FE">
        <w:rPr>
          <w:rFonts w:ascii="Times New Roman" w:hAnsi="Times New Roman" w:cs="Times New Roman"/>
          <w:bCs/>
          <w:sz w:val="24"/>
          <w:szCs w:val="24"/>
        </w:rPr>
        <w:t>structured questionnaire</w:t>
      </w:r>
      <w:r w:rsidRPr="005D05FE">
        <w:rPr>
          <w:rFonts w:ascii="Times New Roman" w:hAnsi="Times New Roman" w:cs="Times New Roman"/>
          <w:sz w:val="24"/>
          <w:szCs w:val="24"/>
        </w:rPr>
        <w:t>, designed to measure key aspects of financial literacy and financial well-being. The questionnaire was divided into the following sections:</w:t>
      </w:r>
    </w:p>
    <w:p w:rsidR="002811F9" w:rsidRPr="002811F9" w:rsidRDefault="002811F9" w:rsidP="00D96B42">
      <w:pPr>
        <w:numPr>
          <w:ilvl w:val="0"/>
          <w:numId w:val="3"/>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Financial Literacy Assessment:</w:t>
      </w:r>
    </w:p>
    <w:p w:rsidR="002811F9" w:rsidRPr="00EE5A2E" w:rsidRDefault="002811F9" w:rsidP="00D96B42">
      <w:pPr>
        <w:pStyle w:val="ListParagraph"/>
        <w:numPr>
          <w:ilvl w:val="0"/>
          <w:numId w:val="5"/>
        </w:numPr>
        <w:spacing w:line="360" w:lineRule="auto"/>
        <w:jc w:val="both"/>
        <w:rPr>
          <w:rFonts w:ascii="Times New Roman" w:hAnsi="Times New Roman" w:cs="Times New Roman"/>
          <w:sz w:val="24"/>
          <w:szCs w:val="24"/>
        </w:rPr>
      </w:pPr>
      <w:r w:rsidRPr="00EE5A2E">
        <w:rPr>
          <w:rFonts w:ascii="Times New Roman" w:hAnsi="Times New Roman" w:cs="Times New Roman"/>
          <w:sz w:val="24"/>
          <w:szCs w:val="24"/>
        </w:rPr>
        <w:t xml:space="preserve">Knowledge of </w:t>
      </w:r>
      <w:r w:rsidRPr="00EE5A2E">
        <w:rPr>
          <w:rFonts w:ascii="Times New Roman" w:hAnsi="Times New Roman" w:cs="Times New Roman"/>
          <w:bCs/>
          <w:sz w:val="24"/>
          <w:szCs w:val="24"/>
        </w:rPr>
        <w:t>basic financial concepts</w:t>
      </w:r>
      <w:r w:rsidRPr="00EE5A2E">
        <w:rPr>
          <w:rFonts w:ascii="Times New Roman" w:hAnsi="Times New Roman" w:cs="Times New Roman"/>
          <w:sz w:val="24"/>
          <w:szCs w:val="24"/>
        </w:rPr>
        <w:t xml:space="preserve"> (e.g., inflation, interest rates, compounding).</w:t>
      </w:r>
    </w:p>
    <w:p w:rsidR="002811F9" w:rsidRPr="00EE5A2E" w:rsidRDefault="002811F9" w:rsidP="00D96B42">
      <w:pPr>
        <w:numPr>
          <w:ilvl w:val="0"/>
          <w:numId w:val="5"/>
        </w:numPr>
        <w:spacing w:line="360" w:lineRule="auto"/>
        <w:jc w:val="both"/>
        <w:rPr>
          <w:rFonts w:ascii="Times New Roman" w:hAnsi="Times New Roman" w:cs="Times New Roman"/>
          <w:sz w:val="24"/>
          <w:szCs w:val="24"/>
        </w:rPr>
      </w:pPr>
      <w:r w:rsidRPr="00EE5A2E">
        <w:rPr>
          <w:rFonts w:ascii="Times New Roman" w:hAnsi="Times New Roman" w:cs="Times New Roman"/>
          <w:sz w:val="24"/>
          <w:szCs w:val="24"/>
        </w:rPr>
        <w:t xml:space="preserve">Awareness of </w:t>
      </w:r>
      <w:r w:rsidRPr="00EE5A2E">
        <w:rPr>
          <w:rFonts w:ascii="Times New Roman" w:hAnsi="Times New Roman" w:cs="Times New Roman"/>
          <w:bCs/>
          <w:sz w:val="24"/>
          <w:szCs w:val="24"/>
        </w:rPr>
        <w:t>mutual fund investment strategies</w:t>
      </w:r>
      <w:r w:rsidRPr="00EE5A2E">
        <w:rPr>
          <w:rFonts w:ascii="Times New Roman" w:hAnsi="Times New Roman" w:cs="Times New Roman"/>
          <w:sz w:val="24"/>
          <w:szCs w:val="24"/>
        </w:rPr>
        <w:t>.</w:t>
      </w:r>
    </w:p>
    <w:p w:rsidR="002811F9" w:rsidRPr="00EE5A2E" w:rsidRDefault="002811F9" w:rsidP="00D96B42">
      <w:pPr>
        <w:numPr>
          <w:ilvl w:val="0"/>
          <w:numId w:val="5"/>
        </w:numPr>
        <w:spacing w:line="360" w:lineRule="auto"/>
        <w:jc w:val="both"/>
        <w:rPr>
          <w:rFonts w:ascii="Times New Roman" w:hAnsi="Times New Roman" w:cs="Times New Roman"/>
          <w:sz w:val="24"/>
          <w:szCs w:val="24"/>
        </w:rPr>
      </w:pPr>
      <w:r w:rsidRPr="00EE5A2E">
        <w:rPr>
          <w:rFonts w:ascii="Times New Roman" w:hAnsi="Times New Roman" w:cs="Times New Roman"/>
          <w:sz w:val="24"/>
          <w:szCs w:val="24"/>
        </w:rPr>
        <w:lastRenderedPageBreak/>
        <w:t xml:space="preserve">Understanding of </w:t>
      </w:r>
      <w:r w:rsidRPr="00EE5A2E">
        <w:rPr>
          <w:rFonts w:ascii="Times New Roman" w:hAnsi="Times New Roman" w:cs="Times New Roman"/>
          <w:bCs/>
          <w:sz w:val="24"/>
          <w:szCs w:val="24"/>
        </w:rPr>
        <w:t>risk-return trade-offs</w:t>
      </w:r>
      <w:r w:rsidRPr="00EE5A2E">
        <w:rPr>
          <w:rFonts w:ascii="Times New Roman" w:hAnsi="Times New Roman" w:cs="Times New Roman"/>
          <w:sz w:val="24"/>
          <w:szCs w:val="24"/>
        </w:rPr>
        <w:t>.</w:t>
      </w:r>
    </w:p>
    <w:p w:rsidR="002811F9" w:rsidRPr="002811F9" w:rsidRDefault="002811F9" w:rsidP="00D96B42">
      <w:pPr>
        <w:numPr>
          <w:ilvl w:val="0"/>
          <w:numId w:val="3"/>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Investment Behavior and Decision-Making:</w:t>
      </w:r>
    </w:p>
    <w:p w:rsidR="002811F9" w:rsidRPr="00A16836" w:rsidRDefault="002811F9" w:rsidP="00D96B42">
      <w:pPr>
        <w:numPr>
          <w:ilvl w:val="0"/>
          <w:numId w:val="6"/>
        </w:numPr>
        <w:spacing w:line="360" w:lineRule="auto"/>
        <w:jc w:val="both"/>
        <w:rPr>
          <w:rFonts w:ascii="Times New Roman" w:hAnsi="Times New Roman" w:cs="Times New Roman"/>
          <w:sz w:val="24"/>
          <w:szCs w:val="24"/>
        </w:rPr>
      </w:pPr>
      <w:r w:rsidRPr="00A16836">
        <w:rPr>
          <w:rFonts w:ascii="Times New Roman" w:hAnsi="Times New Roman" w:cs="Times New Roman"/>
          <w:sz w:val="24"/>
          <w:szCs w:val="24"/>
        </w:rPr>
        <w:t xml:space="preserve">Factors influencing </w:t>
      </w:r>
      <w:r w:rsidRPr="00A16836">
        <w:rPr>
          <w:rFonts w:ascii="Times New Roman" w:hAnsi="Times New Roman" w:cs="Times New Roman"/>
          <w:bCs/>
          <w:sz w:val="24"/>
          <w:szCs w:val="24"/>
        </w:rPr>
        <w:t>investment choices</w:t>
      </w:r>
      <w:r w:rsidRPr="00A16836">
        <w:rPr>
          <w:rFonts w:ascii="Times New Roman" w:hAnsi="Times New Roman" w:cs="Times New Roman"/>
          <w:sz w:val="24"/>
          <w:szCs w:val="24"/>
        </w:rPr>
        <w:t>.</w:t>
      </w:r>
    </w:p>
    <w:p w:rsidR="002811F9" w:rsidRPr="00A16836" w:rsidRDefault="002811F9" w:rsidP="00D96B42">
      <w:pPr>
        <w:numPr>
          <w:ilvl w:val="0"/>
          <w:numId w:val="6"/>
        </w:numPr>
        <w:spacing w:line="360" w:lineRule="auto"/>
        <w:jc w:val="both"/>
        <w:rPr>
          <w:rFonts w:ascii="Times New Roman" w:hAnsi="Times New Roman" w:cs="Times New Roman"/>
          <w:sz w:val="24"/>
          <w:szCs w:val="24"/>
        </w:rPr>
      </w:pPr>
      <w:r w:rsidRPr="00A16836">
        <w:rPr>
          <w:rFonts w:ascii="Times New Roman" w:hAnsi="Times New Roman" w:cs="Times New Roman"/>
          <w:sz w:val="24"/>
          <w:szCs w:val="24"/>
        </w:rPr>
        <w:t xml:space="preserve">Preference for </w:t>
      </w:r>
      <w:r w:rsidRPr="00A16836">
        <w:rPr>
          <w:rFonts w:ascii="Times New Roman" w:hAnsi="Times New Roman" w:cs="Times New Roman"/>
          <w:bCs/>
          <w:sz w:val="24"/>
          <w:szCs w:val="24"/>
        </w:rPr>
        <w:t>low-risk vs. high-risk investment instruments</w:t>
      </w:r>
      <w:r w:rsidRPr="00A16836">
        <w:rPr>
          <w:rFonts w:ascii="Times New Roman" w:hAnsi="Times New Roman" w:cs="Times New Roman"/>
          <w:sz w:val="24"/>
          <w:szCs w:val="24"/>
        </w:rPr>
        <w:t>.</w:t>
      </w:r>
    </w:p>
    <w:p w:rsidR="002811F9" w:rsidRPr="00A16836" w:rsidRDefault="002811F9" w:rsidP="00D96B42">
      <w:pPr>
        <w:numPr>
          <w:ilvl w:val="0"/>
          <w:numId w:val="6"/>
        </w:numPr>
        <w:spacing w:line="360" w:lineRule="auto"/>
        <w:jc w:val="both"/>
        <w:rPr>
          <w:rFonts w:ascii="Times New Roman" w:hAnsi="Times New Roman" w:cs="Times New Roman"/>
          <w:sz w:val="24"/>
          <w:szCs w:val="24"/>
        </w:rPr>
      </w:pPr>
      <w:r w:rsidRPr="00A16836">
        <w:rPr>
          <w:rFonts w:ascii="Times New Roman" w:hAnsi="Times New Roman" w:cs="Times New Roman"/>
          <w:sz w:val="24"/>
          <w:szCs w:val="24"/>
        </w:rPr>
        <w:t xml:space="preserve">Frequency of </w:t>
      </w:r>
      <w:r w:rsidRPr="00A16836">
        <w:rPr>
          <w:rFonts w:ascii="Times New Roman" w:hAnsi="Times New Roman" w:cs="Times New Roman"/>
          <w:bCs/>
          <w:sz w:val="24"/>
          <w:szCs w:val="24"/>
        </w:rPr>
        <w:t>investment portfolio review and adjustments</w:t>
      </w:r>
      <w:r w:rsidRPr="00A16836">
        <w:rPr>
          <w:rFonts w:ascii="Times New Roman" w:hAnsi="Times New Roman" w:cs="Times New Roman"/>
          <w:sz w:val="24"/>
          <w:szCs w:val="24"/>
        </w:rPr>
        <w:t>.</w:t>
      </w:r>
    </w:p>
    <w:p w:rsidR="002811F9" w:rsidRPr="002811F9" w:rsidRDefault="002811F9" w:rsidP="00D96B42">
      <w:pPr>
        <w:numPr>
          <w:ilvl w:val="0"/>
          <w:numId w:val="3"/>
        </w:numPr>
        <w:spacing w:line="360" w:lineRule="auto"/>
        <w:jc w:val="both"/>
        <w:rPr>
          <w:rFonts w:ascii="Times New Roman" w:hAnsi="Times New Roman" w:cs="Times New Roman"/>
          <w:sz w:val="24"/>
          <w:szCs w:val="24"/>
        </w:rPr>
      </w:pPr>
      <w:r w:rsidRPr="002811F9">
        <w:rPr>
          <w:rFonts w:ascii="Times New Roman" w:hAnsi="Times New Roman" w:cs="Times New Roman"/>
          <w:b/>
          <w:bCs/>
          <w:sz w:val="24"/>
          <w:szCs w:val="24"/>
        </w:rPr>
        <w:t>Financial Well-Being Indicators:</w:t>
      </w:r>
    </w:p>
    <w:p w:rsidR="002811F9" w:rsidRPr="007324DF" w:rsidRDefault="002811F9" w:rsidP="00D96B42">
      <w:pPr>
        <w:numPr>
          <w:ilvl w:val="0"/>
          <w:numId w:val="7"/>
        </w:numPr>
        <w:spacing w:line="360" w:lineRule="auto"/>
        <w:jc w:val="both"/>
        <w:rPr>
          <w:rFonts w:ascii="Times New Roman" w:hAnsi="Times New Roman" w:cs="Times New Roman"/>
          <w:sz w:val="24"/>
          <w:szCs w:val="24"/>
        </w:rPr>
      </w:pPr>
      <w:r w:rsidRPr="007324DF">
        <w:rPr>
          <w:rFonts w:ascii="Times New Roman" w:hAnsi="Times New Roman" w:cs="Times New Roman"/>
          <w:sz w:val="24"/>
          <w:szCs w:val="24"/>
        </w:rPr>
        <w:t xml:space="preserve">Ability to </w:t>
      </w:r>
      <w:r w:rsidRPr="007324DF">
        <w:rPr>
          <w:rFonts w:ascii="Times New Roman" w:hAnsi="Times New Roman" w:cs="Times New Roman"/>
          <w:bCs/>
          <w:sz w:val="24"/>
          <w:szCs w:val="24"/>
        </w:rPr>
        <w:t>manage financial obligations</w:t>
      </w:r>
      <w:r w:rsidRPr="007324DF">
        <w:rPr>
          <w:rFonts w:ascii="Times New Roman" w:hAnsi="Times New Roman" w:cs="Times New Roman"/>
          <w:sz w:val="24"/>
          <w:szCs w:val="24"/>
        </w:rPr>
        <w:t xml:space="preserve"> without stress.</w:t>
      </w:r>
    </w:p>
    <w:p w:rsidR="002811F9" w:rsidRPr="007324DF" w:rsidRDefault="002811F9" w:rsidP="00D96B42">
      <w:pPr>
        <w:numPr>
          <w:ilvl w:val="0"/>
          <w:numId w:val="7"/>
        </w:numPr>
        <w:spacing w:line="360" w:lineRule="auto"/>
        <w:jc w:val="both"/>
        <w:rPr>
          <w:rFonts w:ascii="Times New Roman" w:hAnsi="Times New Roman" w:cs="Times New Roman"/>
          <w:sz w:val="24"/>
          <w:szCs w:val="24"/>
        </w:rPr>
      </w:pPr>
      <w:r w:rsidRPr="007324DF">
        <w:rPr>
          <w:rFonts w:ascii="Times New Roman" w:hAnsi="Times New Roman" w:cs="Times New Roman"/>
          <w:sz w:val="24"/>
          <w:szCs w:val="24"/>
        </w:rPr>
        <w:t xml:space="preserve">Level of </w:t>
      </w:r>
      <w:r w:rsidRPr="007324DF">
        <w:rPr>
          <w:rFonts w:ascii="Times New Roman" w:hAnsi="Times New Roman" w:cs="Times New Roman"/>
          <w:bCs/>
          <w:sz w:val="24"/>
          <w:szCs w:val="24"/>
        </w:rPr>
        <w:t>savings and emergency funds</w:t>
      </w:r>
      <w:r w:rsidRPr="007324DF">
        <w:rPr>
          <w:rFonts w:ascii="Times New Roman" w:hAnsi="Times New Roman" w:cs="Times New Roman"/>
          <w:sz w:val="24"/>
          <w:szCs w:val="24"/>
        </w:rPr>
        <w:t>.</w:t>
      </w:r>
    </w:p>
    <w:p w:rsidR="002811F9" w:rsidRPr="007324DF" w:rsidRDefault="002811F9" w:rsidP="00D96B42">
      <w:pPr>
        <w:numPr>
          <w:ilvl w:val="0"/>
          <w:numId w:val="7"/>
        </w:numPr>
        <w:spacing w:line="360" w:lineRule="auto"/>
        <w:jc w:val="both"/>
        <w:rPr>
          <w:rFonts w:ascii="Times New Roman" w:hAnsi="Times New Roman" w:cs="Times New Roman"/>
          <w:sz w:val="24"/>
          <w:szCs w:val="24"/>
        </w:rPr>
      </w:pPr>
      <w:r w:rsidRPr="007324DF">
        <w:rPr>
          <w:rFonts w:ascii="Times New Roman" w:hAnsi="Times New Roman" w:cs="Times New Roman"/>
          <w:sz w:val="24"/>
          <w:szCs w:val="24"/>
        </w:rPr>
        <w:t xml:space="preserve">Perception of </w:t>
      </w:r>
      <w:r w:rsidRPr="007324DF">
        <w:rPr>
          <w:rFonts w:ascii="Times New Roman" w:hAnsi="Times New Roman" w:cs="Times New Roman"/>
          <w:bCs/>
          <w:sz w:val="24"/>
          <w:szCs w:val="24"/>
        </w:rPr>
        <w:t>financial security and future preparedness</w:t>
      </w:r>
      <w:r w:rsidRPr="007324DF">
        <w:rPr>
          <w:rFonts w:ascii="Times New Roman" w:hAnsi="Times New Roman" w:cs="Times New Roman"/>
          <w:sz w:val="24"/>
          <w:szCs w:val="24"/>
        </w:rPr>
        <w:t>.</w:t>
      </w:r>
    </w:p>
    <w:p w:rsidR="00D57493" w:rsidRPr="00D57493" w:rsidRDefault="00D57493" w:rsidP="00D57493">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D57493">
        <w:rPr>
          <w:rFonts w:ascii="Times New Roman" w:eastAsia="Times New Roman" w:hAnsi="Times New Roman" w:cs="Times New Roman"/>
          <w:b/>
          <w:bCs/>
          <w:kern w:val="36"/>
          <w:sz w:val="24"/>
          <w:szCs w:val="24"/>
        </w:rPr>
        <w:t>4. Data Analysis &amp; Findings</w:t>
      </w:r>
    </w:p>
    <w:p w:rsidR="00980760" w:rsidRPr="00172BA3" w:rsidRDefault="00D57493" w:rsidP="00172BA3">
      <w:pPr>
        <w:spacing w:before="100" w:beforeAutospacing="1" w:after="100" w:afterAutospacing="1" w:line="360" w:lineRule="auto"/>
        <w:jc w:val="both"/>
        <w:rPr>
          <w:rFonts w:ascii="Times New Roman" w:eastAsia="Times New Roman" w:hAnsi="Times New Roman" w:cs="Times New Roman"/>
          <w:sz w:val="24"/>
          <w:szCs w:val="24"/>
        </w:rPr>
      </w:pPr>
      <w:r w:rsidRPr="00D57493">
        <w:rPr>
          <w:rFonts w:ascii="Times New Roman" w:eastAsia="Times New Roman" w:hAnsi="Times New Roman" w:cs="Times New Roman"/>
          <w:sz w:val="24"/>
          <w:szCs w:val="24"/>
        </w:rPr>
        <w:t xml:space="preserve">This section presents a detailed statistical analysis of the data collected from </w:t>
      </w:r>
      <w:r w:rsidRPr="00D57493">
        <w:rPr>
          <w:rFonts w:ascii="Times New Roman" w:eastAsia="Times New Roman" w:hAnsi="Times New Roman" w:cs="Times New Roman"/>
          <w:bCs/>
          <w:sz w:val="24"/>
          <w:szCs w:val="24"/>
        </w:rPr>
        <w:t>62 mutual fund investors</w:t>
      </w:r>
      <w:r w:rsidRPr="00D57493">
        <w:rPr>
          <w:rFonts w:ascii="Times New Roman" w:eastAsia="Times New Roman" w:hAnsi="Times New Roman" w:cs="Times New Roman"/>
          <w:sz w:val="24"/>
          <w:szCs w:val="24"/>
        </w:rPr>
        <w:t xml:space="preserve">. The findings are categorized into </w:t>
      </w:r>
      <w:r w:rsidRPr="00D57493">
        <w:rPr>
          <w:rFonts w:ascii="Times New Roman" w:eastAsia="Times New Roman" w:hAnsi="Times New Roman" w:cs="Times New Roman"/>
          <w:bCs/>
          <w:sz w:val="24"/>
          <w:szCs w:val="24"/>
        </w:rPr>
        <w:t>demographic distribution, correlation analysis, hypothesis testing, and regression analysis</w:t>
      </w:r>
      <w:r w:rsidRPr="00D57493">
        <w:rPr>
          <w:rFonts w:ascii="Times New Roman" w:eastAsia="Times New Roman" w:hAnsi="Times New Roman" w:cs="Times New Roman"/>
          <w:sz w:val="24"/>
          <w:szCs w:val="24"/>
        </w:rPr>
        <w:t xml:space="preserve">, providing a comprehensive understanding of the </w:t>
      </w:r>
      <w:r w:rsidRPr="00D57493">
        <w:rPr>
          <w:rFonts w:ascii="Times New Roman" w:eastAsia="Times New Roman" w:hAnsi="Times New Roman" w:cs="Times New Roman"/>
          <w:bCs/>
          <w:sz w:val="24"/>
          <w:szCs w:val="24"/>
        </w:rPr>
        <w:t>relationship between financial literacy and financial well-being</w:t>
      </w:r>
      <w:r w:rsidRPr="00D57493">
        <w:rPr>
          <w:rFonts w:ascii="Times New Roman" w:eastAsia="Times New Roman" w:hAnsi="Times New Roman" w:cs="Times New Roman"/>
          <w:sz w:val="24"/>
          <w:szCs w:val="24"/>
        </w:rPr>
        <w:t>.</w:t>
      </w:r>
    </w:p>
    <w:p w:rsidR="00172BA3" w:rsidRPr="00172BA3" w:rsidRDefault="00172BA3" w:rsidP="00172BA3">
      <w:pPr>
        <w:spacing w:line="360" w:lineRule="auto"/>
        <w:jc w:val="both"/>
        <w:rPr>
          <w:rFonts w:ascii="Times New Roman" w:hAnsi="Times New Roman" w:cs="Times New Roman"/>
          <w:b/>
          <w:bCs/>
          <w:sz w:val="24"/>
          <w:szCs w:val="24"/>
        </w:rPr>
      </w:pPr>
      <w:r w:rsidRPr="00172BA3">
        <w:rPr>
          <w:rFonts w:ascii="Times New Roman" w:hAnsi="Times New Roman" w:cs="Times New Roman"/>
          <w:b/>
          <w:bCs/>
          <w:sz w:val="24"/>
          <w:szCs w:val="24"/>
        </w:rPr>
        <w:t>4.1 Demographic Profile of Respondents</w:t>
      </w:r>
    </w:p>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 xml:space="preserve">The demographic characteristics of the respondents were analyzed based on </w:t>
      </w:r>
      <w:r w:rsidRPr="00172BA3">
        <w:rPr>
          <w:rFonts w:ascii="Times New Roman" w:hAnsi="Times New Roman" w:cs="Times New Roman"/>
          <w:bCs/>
          <w:sz w:val="24"/>
          <w:szCs w:val="24"/>
        </w:rPr>
        <w:t>age, gender, and income levels</w:t>
      </w:r>
      <w:r w:rsidRPr="00172BA3">
        <w:rPr>
          <w:rFonts w:ascii="Times New Roman" w:hAnsi="Times New Roman" w:cs="Times New Roman"/>
          <w:sz w:val="24"/>
          <w:szCs w:val="24"/>
        </w:rPr>
        <w:t xml:space="preserve"> to determine their influence on financial literacy and investment behavior.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591"/>
        <w:gridCol w:w="4820"/>
      </w:tblGrid>
      <w:tr w:rsidR="00172BA3" w:rsidRPr="00172BA3" w:rsidTr="00987A33">
        <w:trPr>
          <w:tblHeader/>
          <w:tblCellSpacing w:w="15" w:type="dxa"/>
        </w:trPr>
        <w:tc>
          <w:tcPr>
            <w:tcW w:w="4546" w:type="dxa"/>
            <w:vAlign w:val="center"/>
            <w:hideMark/>
          </w:tcPr>
          <w:p w:rsidR="00172BA3" w:rsidRPr="00172BA3" w:rsidRDefault="00172BA3" w:rsidP="00172BA3">
            <w:pPr>
              <w:spacing w:line="360" w:lineRule="auto"/>
              <w:jc w:val="both"/>
              <w:rPr>
                <w:rFonts w:ascii="Times New Roman" w:hAnsi="Times New Roman" w:cs="Times New Roman"/>
                <w:b/>
                <w:bCs/>
                <w:sz w:val="24"/>
                <w:szCs w:val="24"/>
              </w:rPr>
            </w:pPr>
            <w:r w:rsidRPr="00172BA3">
              <w:rPr>
                <w:rFonts w:ascii="Times New Roman" w:hAnsi="Times New Roman" w:cs="Times New Roman"/>
                <w:b/>
                <w:bCs/>
                <w:sz w:val="24"/>
                <w:szCs w:val="24"/>
              </w:rPr>
              <w:t>Factor</w:t>
            </w:r>
          </w:p>
        </w:tc>
        <w:tc>
          <w:tcPr>
            <w:tcW w:w="4775" w:type="dxa"/>
            <w:vAlign w:val="center"/>
            <w:hideMark/>
          </w:tcPr>
          <w:p w:rsidR="00172BA3" w:rsidRPr="00172BA3" w:rsidRDefault="00172BA3" w:rsidP="00172BA3">
            <w:pPr>
              <w:spacing w:line="360" w:lineRule="auto"/>
              <w:jc w:val="both"/>
              <w:rPr>
                <w:rFonts w:ascii="Times New Roman" w:hAnsi="Times New Roman" w:cs="Times New Roman"/>
                <w:b/>
                <w:bCs/>
                <w:sz w:val="24"/>
                <w:szCs w:val="24"/>
              </w:rPr>
            </w:pPr>
            <w:r w:rsidRPr="00172BA3">
              <w:rPr>
                <w:rFonts w:ascii="Times New Roman" w:hAnsi="Times New Roman" w:cs="Times New Roman"/>
                <w:b/>
                <w:bCs/>
                <w:sz w:val="24"/>
                <w:szCs w:val="24"/>
              </w:rPr>
              <w:t>Percentage (%)</w:t>
            </w:r>
          </w:p>
        </w:tc>
      </w:tr>
      <w:tr w:rsidR="00172BA3" w:rsidRPr="00172BA3" w:rsidTr="00987A33">
        <w:trPr>
          <w:tblCellSpacing w:w="15" w:type="dxa"/>
        </w:trPr>
        <w:tc>
          <w:tcPr>
            <w:tcW w:w="4546" w:type="dxa"/>
            <w:vAlign w:val="center"/>
            <w:hideMark/>
          </w:tcPr>
          <w:p w:rsidR="00172BA3" w:rsidRPr="008F760A" w:rsidRDefault="00172BA3" w:rsidP="00172BA3">
            <w:pPr>
              <w:spacing w:line="360" w:lineRule="auto"/>
              <w:jc w:val="both"/>
              <w:rPr>
                <w:rFonts w:ascii="Times New Roman" w:hAnsi="Times New Roman" w:cs="Times New Roman"/>
                <w:sz w:val="24"/>
                <w:szCs w:val="24"/>
              </w:rPr>
            </w:pPr>
            <w:r w:rsidRPr="008F760A">
              <w:rPr>
                <w:rFonts w:ascii="Times New Roman" w:hAnsi="Times New Roman" w:cs="Times New Roman"/>
                <w:bCs/>
                <w:sz w:val="24"/>
                <w:szCs w:val="24"/>
              </w:rPr>
              <w:t>Age (25-35)</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45%</w:t>
            </w:r>
          </w:p>
        </w:tc>
      </w:tr>
      <w:tr w:rsidR="00172BA3" w:rsidRPr="00172BA3" w:rsidTr="00987A33">
        <w:trPr>
          <w:tblCellSpacing w:w="15" w:type="dxa"/>
        </w:trPr>
        <w:tc>
          <w:tcPr>
            <w:tcW w:w="4546" w:type="dxa"/>
            <w:vAlign w:val="center"/>
            <w:hideMark/>
          </w:tcPr>
          <w:p w:rsidR="00172BA3" w:rsidRPr="008F760A" w:rsidRDefault="00172BA3" w:rsidP="00172BA3">
            <w:pPr>
              <w:spacing w:line="360" w:lineRule="auto"/>
              <w:jc w:val="both"/>
              <w:rPr>
                <w:rFonts w:ascii="Times New Roman" w:hAnsi="Times New Roman" w:cs="Times New Roman"/>
                <w:sz w:val="24"/>
                <w:szCs w:val="24"/>
              </w:rPr>
            </w:pPr>
            <w:r w:rsidRPr="008F760A">
              <w:rPr>
                <w:rFonts w:ascii="Times New Roman" w:hAnsi="Times New Roman" w:cs="Times New Roman"/>
                <w:bCs/>
                <w:sz w:val="24"/>
                <w:szCs w:val="24"/>
              </w:rPr>
              <w:t>Age (36-50)</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35%</w:t>
            </w:r>
          </w:p>
        </w:tc>
      </w:tr>
      <w:tr w:rsidR="00172BA3" w:rsidRPr="00172BA3" w:rsidTr="00987A33">
        <w:trPr>
          <w:tblCellSpacing w:w="15" w:type="dxa"/>
        </w:trPr>
        <w:tc>
          <w:tcPr>
            <w:tcW w:w="4546" w:type="dxa"/>
            <w:vAlign w:val="center"/>
            <w:hideMark/>
          </w:tcPr>
          <w:p w:rsidR="00172BA3" w:rsidRPr="008F760A" w:rsidRDefault="00172BA3" w:rsidP="00172BA3">
            <w:pPr>
              <w:spacing w:line="360" w:lineRule="auto"/>
              <w:jc w:val="both"/>
              <w:rPr>
                <w:rFonts w:ascii="Times New Roman" w:hAnsi="Times New Roman" w:cs="Times New Roman"/>
                <w:sz w:val="24"/>
                <w:szCs w:val="24"/>
              </w:rPr>
            </w:pPr>
            <w:r w:rsidRPr="008F760A">
              <w:rPr>
                <w:rFonts w:ascii="Times New Roman" w:hAnsi="Times New Roman" w:cs="Times New Roman"/>
                <w:bCs/>
                <w:sz w:val="24"/>
                <w:szCs w:val="24"/>
              </w:rPr>
              <w:t>Age (50+)</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20%</w:t>
            </w:r>
          </w:p>
        </w:tc>
      </w:tr>
      <w:tr w:rsidR="00172BA3" w:rsidRPr="00172BA3" w:rsidTr="00987A33">
        <w:trPr>
          <w:tblCellSpacing w:w="15" w:type="dxa"/>
        </w:trPr>
        <w:tc>
          <w:tcPr>
            <w:tcW w:w="4546" w:type="dxa"/>
            <w:vAlign w:val="center"/>
            <w:hideMark/>
          </w:tcPr>
          <w:p w:rsidR="00172BA3" w:rsidRPr="00F27DE0" w:rsidRDefault="00172BA3" w:rsidP="00172BA3">
            <w:pPr>
              <w:spacing w:line="360" w:lineRule="auto"/>
              <w:jc w:val="both"/>
              <w:rPr>
                <w:rFonts w:ascii="Times New Roman" w:hAnsi="Times New Roman" w:cs="Times New Roman"/>
                <w:sz w:val="24"/>
                <w:szCs w:val="24"/>
              </w:rPr>
            </w:pPr>
            <w:r w:rsidRPr="00F27DE0">
              <w:rPr>
                <w:rFonts w:ascii="Times New Roman" w:hAnsi="Times New Roman" w:cs="Times New Roman"/>
                <w:bCs/>
                <w:sz w:val="24"/>
                <w:szCs w:val="24"/>
              </w:rPr>
              <w:lastRenderedPageBreak/>
              <w:t>Male</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60%</w:t>
            </w:r>
          </w:p>
        </w:tc>
      </w:tr>
      <w:tr w:rsidR="00172BA3" w:rsidRPr="00172BA3" w:rsidTr="00987A33">
        <w:trPr>
          <w:tblCellSpacing w:w="15" w:type="dxa"/>
        </w:trPr>
        <w:tc>
          <w:tcPr>
            <w:tcW w:w="4546" w:type="dxa"/>
            <w:vAlign w:val="center"/>
            <w:hideMark/>
          </w:tcPr>
          <w:p w:rsidR="00172BA3" w:rsidRPr="00F27DE0" w:rsidRDefault="00172BA3" w:rsidP="00172BA3">
            <w:pPr>
              <w:spacing w:line="360" w:lineRule="auto"/>
              <w:jc w:val="both"/>
              <w:rPr>
                <w:rFonts w:ascii="Times New Roman" w:hAnsi="Times New Roman" w:cs="Times New Roman"/>
                <w:sz w:val="24"/>
                <w:szCs w:val="24"/>
              </w:rPr>
            </w:pPr>
            <w:r w:rsidRPr="00F27DE0">
              <w:rPr>
                <w:rFonts w:ascii="Times New Roman" w:hAnsi="Times New Roman" w:cs="Times New Roman"/>
                <w:bCs/>
                <w:sz w:val="24"/>
                <w:szCs w:val="24"/>
              </w:rPr>
              <w:t>Female</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40%</w:t>
            </w:r>
          </w:p>
        </w:tc>
      </w:tr>
      <w:tr w:rsidR="00172BA3" w:rsidRPr="00172BA3" w:rsidTr="00987A33">
        <w:trPr>
          <w:tblCellSpacing w:w="15" w:type="dxa"/>
        </w:trPr>
        <w:tc>
          <w:tcPr>
            <w:tcW w:w="4546" w:type="dxa"/>
            <w:vAlign w:val="center"/>
            <w:hideMark/>
          </w:tcPr>
          <w:p w:rsidR="00172BA3" w:rsidRPr="00F27DE0" w:rsidRDefault="00172BA3" w:rsidP="00172BA3">
            <w:pPr>
              <w:spacing w:line="360" w:lineRule="auto"/>
              <w:jc w:val="both"/>
              <w:rPr>
                <w:rFonts w:ascii="Times New Roman" w:hAnsi="Times New Roman" w:cs="Times New Roman"/>
                <w:sz w:val="24"/>
                <w:szCs w:val="24"/>
              </w:rPr>
            </w:pPr>
            <w:r w:rsidRPr="00F27DE0">
              <w:rPr>
                <w:rFonts w:ascii="Times New Roman" w:hAnsi="Times New Roman" w:cs="Times New Roman"/>
                <w:bCs/>
                <w:sz w:val="24"/>
                <w:szCs w:val="24"/>
              </w:rPr>
              <w:t>Income Below ₹5,00,000</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30%</w:t>
            </w:r>
          </w:p>
        </w:tc>
      </w:tr>
      <w:tr w:rsidR="00172BA3" w:rsidRPr="00172BA3" w:rsidTr="00987A33">
        <w:trPr>
          <w:tblCellSpacing w:w="15" w:type="dxa"/>
        </w:trPr>
        <w:tc>
          <w:tcPr>
            <w:tcW w:w="4546" w:type="dxa"/>
            <w:vAlign w:val="center"/>
            <w:hideMark/>
          </w:tcPr>
          <w:p w:rsidR="00172BA3" w:rsidRPr="00F27DE0" w:rsidRDefault="00172BA3" w:rsidP="00172BA3">
            <w:pPr>
              <w:spacing w:line="360" w:lineRule="auto"/>
              <w:jc w:val="both"/>
              <w:rPr>
                <w:rFonts w:ascii="Times New Roman" w:hAnsi="Times New Roman" w:cs="Times New Roman"/>
                <w:sz w:val="24"/>
                <w:szCs w:val="24"/>
              </w:rPr>
            </w:pPr>
            <w:r w:rsidRPr="00F27DE0">
              <w:rPr>
                <w:rFonts w:ascii="Times New Roman" w:hAnsi="Times New Roman" w:cs="Times New Roman"/>
                <w:bCs/>
                <w:sz w:val="24"/>
                <w:szCs w:val="24"/>
              </w:rPr>
              <w:t>Income ₹5,00,000-₹10,00,000</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50%</w:t>
            </w:r>
          </w:p>
        </w:tc>
      </w:tr>
      <w:tr w:rsidR="00172BA3" w:rsidRPr="00172BA3" w:rsidTr="00987A33">
        <w:trPr>
          <w:tblCellSpacing w:w="15" w:type="dxa"/>
        </w:trPr>
        <w:tc>
          <w:tcPr>
            <w:tcW w:w="4546" w:type="dxa"/>
            <w:vAlign w:val="center"/>
            <w:hideMark/>
          </w:tcPr>
          <w:p w:rsidR="00172BA3" w:rsidRPr="00F27DE0" w:rsidRDefault="00172BA3" w:rsidP="00172BA3">
            <w:pPr>
              <w:spacing w:line="360" w:lineRule="auto"/>
              <w:jc w:val="both"/>
              <w:rPr>
                <w:rFonts w:ascii="Times New Roman" w:hAnsi="Times New Roman" w:cs="Times New Roman"/>
                <w:sz w:val="24"/>
                <w:szCs w:val="24"/>
              </w:rPr>
            </w:pPr>
            <w:r w:rsidRPr="00F27DE0">
              <w:rPr>
                <w:rFonts w:ascii="Times New Roman" w:hAnsi="Times New Roman" w:cs="Times New Roman"/>
                <w:bCs/>
                <w:sz w:val="24"/>
                <w:szCs w:val="24"/>
              </w:rPr>
              <w:t>Income Above ₹10,00,000</w:t>
            </w:r>
          </w:p>
        </w:tc>
        <w:tc>
          <w:tcPr>
            <w:tcW w:w="4775" w:type="dxa"/>
            <w:vAlign w:val="center"/>
            <w:hideMark/>
          </w:tcPr>
          <w:p w:rsidR="00172BA3" w:rsidRPr="00172BA3" w:rsidRDefault="00172BA3" w:rsidP="00172BA3">
            <w:pPr>
              <w:spacing w:line="360" w:lineRule="auto"/>
              <w:jc w:val="both"/>
              <w:rPr>
                <w:rFonts w:ascii="Times New Roman" w:hAnsi="Times New Roman" w:cs="Times New Roman"/>
                <w:sz w:val="24"/>
                <w:szCs w:val="24"/>
              </w:rPr>
            </w:pPr>
            <w:r w:rsidRPr="00172BA3">
              <w:rPr>
                <w:rFonts w:ascii="Times New Roman" w:hAnsi="Times New Roman" w:cs="Times New Roman"/>
                <w:sz w:val="24"/>
                <w:szCs w:val="24"/>
              </w:rPr>
              <w:t>20%</w:t>
            </w:r>
          </w:p>
        </w:tc>
      </w:tr>
    </w:tbl>
    <w:p w:rsidR="003F7100" w:rsidRDefault="003F7100" w:rsidP="00172BA3">
      <w:pPr>
        <w:spacing w:line="360" w:lineRule="auto"/>
        <w:jc w:val="both"/>
        <w:rPr>
          <w:rFonts w:ascii="Times New Roman" w:hAnsi="Times New Roman" w:cs="Times New Roman"/>
          <w:b/>
          <w:bCs/>
          <w:sz w:val="24"/>
          <w:szCs w:val="24"/>
        </w:rPr>
      </w:pPr>
    </w:p>
    <w:p w:rsidR="00172BA3" w:rsidRPr="00172BA3" w:rsidRDefault="00172BA3" w:rsidP="00172BA3">
      <w:pPr>
        <w:spacing w:line="360" w:lineRule="auto"/>
        <w:jc w:val="both"/>
        <w:rPr>
          <w:rFonts w:ascii="Times New Roman" w:hAnsi="Times New Roman" w:cs="Times New Roman"/>
          <w:b/>
          <w:bCs/>
          <w:sz w:val="24"/>
          <w:szCs w:val="24"/>
        </w:rPr>
      </w:pPr>
      <w:r w:rsidRPr="00172BA3">
        <w:rPr>
          <w:rFonts w:ascii="Times New Roman" w:hAnsi="Times New Roman" w:cs="Times New Roman"/>
          <w:b/>
          <w:bCs/>
          <w:sz w:val="24"/>
          <w:szCs w:val="24"/>
        </w:rPr>
        <w:t>4.1.1 Interpretation of Demographic Data</w:t>
      </w:r>
    </w:p>
    <w:p w:rsidR="00172BA3" w:rsidRPr="00055313" w:rsidRDefault="00172BA3" w:rsidP="00D96B42">
      <w:pPr>
        <w:pStyle w:val="ListParagraph"/>
        <w:numPr>
          <w:ilvl w:val="0"/>
          <w:numId w:val="8"/>
        </w:numPr>
        <w:spacing w:line="360" w:lineRule="auto"/>
        <w:jc w:val="both"/>
        <w:rPr>
          <w:rFonts w:ascii="Times New Roman" w:hAnsi="Times New Roman" w:cs="Times New Roman"/>
          <w:sz w:val="24"/>
          <w:szCs w:val="24"/>
        </w:rPr>
      </w:pPr>
      <w:r w:rsidRPr="00055313">
        <w:rPr>
          <w:rFonts w:ascii="Times New Roman" w:hAnsi="Times New Roman" w:cs="Times New Roman"/>
          <w:bCs/>
          <w:sz w:val="24"/>
          <w:szCs w:val="24"/>
        </w:rPr>
        <w:t>Age Distribution:</w:t>
      </w:r>
      <w:r w:rsidRPr="00055313">
        <w:rPr>
          <w:rFonts w:ascii="Times New Roman" w:hAnsi="Times New Roman" w:cs="Times New Roman"/>
          <w:sz w:val="24"/>
          <w:szCs w:val="24"/>
        </w:rPr>
        <w:t xml:space="preserve"> The </w:t>
      </w:r>
      <w:r w:rsidRPr="00055313">
        <w:rPr>
          <w:rFonts w:ascii="Times New Roman" w:hAnsi="Times New Roman" w:cs="Times New Roman"/>
          <w:bCs/>
          <w:sz w:val="24"/>
          <w:szCs w:val="24"/>
        </w:rPr>
        <w:t xml:space="preserve">25-35 age </w:t>
      </w:r>
      <w:proofErr w:type="gramStart"/>
      <w:r w:rsidRPr="00055313">
        <w:rPr>
          <w:rFonts w:ascii="Times New Roman" w:hAnsi="Times New Roman" w:cs="Times New Roman"/>
          <w:bCs/>
          <w:sz w:val="24"/>
          <w:szCs w:val="24"/>
        </w:rPr>
        <w:t>group</w:t>
      </w:r>
      <w:proofErr w:type="gramEnd"/>
      <w:r w:rsidRPr="00055313">
        <w:rPr>
          <w:rFonts w:ascii="Times New Roman" w:hAnsi="Times New Roman" w:cs="Times New Roman"/>
          <w:bCs/>
          <w:sz w:val="24"/>
          <w:szCs w:val="24"/>
        </w:rPr>
        <w:t xml:space="preserve"> (45%)</w:t>
      </w:r>
      <w:r w:rsidRPr="00055313">
        <w:rPr>
          <w:rFonts w:ascii="Times New Roman" w:hAnsi="Times New Roman" w:cs="Times New Roman"/>
          <w:sz w:val="24"/>
          <w:szCs w:val="24"/>
        </w:rPr>
        <w:t xml:space="preserve"> represents the largest segment of mutual fund investors, suggesting that </w:t>
      </w:r>
      <w:r w:rsidRPr="00055313">
        <w:rPr>
          <w:rFonts w:ascii="Times New Roman" w:hAnsi="Times New Roman" w:cs="Times New Roman"/>
          <w:bCs/>
          <w:sz w:val="24"/>
          <w:szCs w:val="24"/>
        </w:rPr>
        <w:t>young professionals are actively engaging in financial planning</w:t>
      </w:r>
      <w:r w:rsidRPr="00055313">
        <w:rPr>
          <w:rFonts w:ascii="Times New Roman" w:hAnsi="Times New Roman" w:cs="Times New Roman"/>
          <w:sz w:val="24"/>
          <w:szCs w:val="24"/>
        </w:rPr>
        <w:t xml:space="preserve">. The </w:t>
      </w:r>
      <w:r w:rsidRPr="00055313">
        <w:rPr>
          <w:rFonts w:ascii="Times New Roman" w:hAnsi="Times New Roman" w:cs="Times New Roman"/>
          <w:bCs/>
          <w:sz w:val="24"/>
          <w:szCs w:val="24"/>
        </w:rPr>
        <w:t>36-50 age group (35%)</w:t>
      </w:r>
      <w:r w:rsidRPr="00055313">
        <w:rPr>
          <w:rFonts w:ascii="Times New Roman" w:hAnsi="Times New Roman" w:cs="Times New Roman"/>
          <w:sz w:val="24"/>
          <w:szCs w:val="24"/>
        </w:rPr>
        <w:t xml:space="preserve"> consists of </w:t>
      </w:r>
      <w:r w:rsidRPr="00055313">
        <w:rPr>
          <w:rFonts w:ascii="Times New Roman" w:hAnsi="Times New Roman" w:cs="Times New Roman"/>
          <w:bCs/>
          <w:sz w:val="24"/>
          <w:szCs w:val="24"/>
        </w:rPr>
        <w:t>mid-career professionals</w:t>
      </w:r>
      <w:r w:rsidRPr="00055313">
        <w:rPr>
          <w:rFonts w:ascii="Times New Roman" w:hAnsi="Times New Roman" w:cs="Times New Roman"/>
          <w:sz w:val="24"/>
          <w:szCs w:val="24"/>
        </w:rPr>
        <w:t xml:space="preserve">, while </w:t>
      </w:r>
      <w:r w:rsidRPr="00055313">
        <w:rPr>
          <w:rFonts w:ascii="Times New Roman" w:hAnsi="Times New Roman" w:cs="Times New Roman"/>
          <w:bCs/>
          <w:sz w:val="24"/>
          <w:szCs w:val="24"/>
        </w:rPr>
        <w:t>20% of investors are above 50 years</w:t>
      </w:r>
      <w:r w:rsidRPr="00055313">
        <w:rPr>
          <w:rFonts w:ascii="Times New Roman" w:hAnsi="Times New Roman" w:cs="Times New Roman"/>
          <w:sz w:val="24"/>
          <w:szCs w:val="24"/>
        </w:rPr>
        <w:t xml:space="preserve">, indicating an increase in </w:t>
      </w:r>
      <w:r w:rsidRPr="00055313">
        <w:rPr>
          <w:rFonts w:ascii="Times New Roman" w:hAnsi="Times New Roman" w:cs="Times New Roman"/>
          <w:bCs/>
          <w:sz w:val="24"/>
          <w:szCs w:val="24"/>
        </w:rPr>
        <w:t>retirement-focused investments</w:t>
      </w:r>
      <w:r w:rsidRPr="00055313">
        <w:rPr>
          <w:rFonts w:ascii="Times New Roman" w:hAnsi="Times New Roman" w:cs="Times New Roman"/>
          <w:sz w:val="24"/>
          <w:szCs w:val="24"/>
        </w:rPr>
        <w:t>.</w:t>
      </w:r>
    </w:p>
    <w:p w:rsidR="00172BA3" w:rsidRPr="00055313" w:rsidRDefault="00172BA3" w:rsidP="00D96B42">
      <w:pPr>
        <w:pStyle w:val="ListParagraph"/>
        <w:numPr>
          <w:ilvl w:val="0"/>
          <w:numId w:val="8"/>
        </w:numPr>
        <w:spacing w:line="360" w:lineRule="auto"/>
        <w:jc w:val="both"/>
        <w:rPr>
          <w:rFonts w:ascii="Times New Roman" w:hAnsi="Times New Roman" w:cs="Times New Roman"/>
          <w:sz w:val="24"/>
          <w:szCs w:val="24"/>
        </w:rPr>
      </w:pPr>
      <w:r w:rsidRPr="00055313">
        <w:rPr>
          <w:rFonts w:ascii="Times New Roman" w:hAnsi="Times New Roman" w:cs="Times New Roman"/>
          <w:bCs/>
          <w:sz w:val="24"/>
          <w:szCs w:val="24"/>
        </w:rPr>
        <w:t>Gender Distribution:</w:t>
      </w:r>
      <w:r w:rsidRPr="00055313">
        <w:rPr>
          <w:rFonts w:ascii="Times New Roman" w:hAnsi="Times New Roman" w:cs="Times New Roman"/>
          <w:sz w:val="24"/>
          <w:szCs w:val="24"/>
        </w:rPr>
        <w:t xml:space="preserve"> The sample includes </w:t>
      </w:r>
      <w:r w:rsidRPr="00055313">
        <w:rPr>
          <w:rFonts w:ascii="Times New Roman" w:hAnsi="Times New Roman" w:cs="Times New Roman"/>
          <w:bCs/>
          <w:sz w:val="24"/>
          <w:szCs w:val="24"/>
        </w:rPr>
        <w:t>60% male and 40% female investors</w:t>
      </w:r>
      <w:r w:rsidRPr="00055313">
        <w:rPr>
          <w:rFonts w:ascii="Times New Roman" w:hAnsi="Times New Roman" w:cs="Times New Roman"/>
          <w:sz w:val="24"/>
          <w:szCs w:val="24"/>
        </w:rPr>
        <w:t xml:space="preserve">, reflecting a growing </w:t>
      </w:r>
      <w:r w:rsidRPr="00055313">
        <w:rPr>
          <w:rFonts w:ascii="Times New Roman" w:hAnsi="Times New Roman" w:cs="Times New Roman"/>
          <w:bCs/>
          <w:sz w:val="24"/>
          <w:szCs w:val="24"/>
        </w:rPr>
        <w:t>female participation in financial markets</w:t>
      </w:r>
      <w:r w:rsidRPr="00055313">
        <w:rPr>
          <w:rFonts w:ascii="Times New Roman" w:hAnsi="Times New Roman" w:cs="Times New Roman"/>
          <w:sz w:val="24"/>
          <w:szCs w:val="24"/>
        </w:rPr>
        <w:t>, although men continue to have higher investment activity.</w:t>
      </w:r>
    </w:p>
    <w:p w:rsidR="00172BA3" w:rsidRDefault="00172BA3" w:rsidP="00D96B42">
      <w:pPr>
        <w:pStyle w:val="ListParagraph"/>
        <w:numPr>
          <w:ilvl w:val="0"/>
          <w:numId w:val="8"/>
        </w:numPr>
        <w:spacing w:line="360" w:lineRule="auto"/>
        <w:jc w:val="both"/>
        <w:rPr>
          <w:rFonts w:ascii="Times New Roman" w:hAnsi="Times New Roman" w:cs="Times New Roman"/>
          <w:sz w:val="24"/>
          <w:szCs w:val="24"/>
        </w:rPr>
      </w:pPr>
      <w:r w:rsidRPr="00055313">
        <w:rPr>
          <w:rFonts w:ascii="Times New Roman" w:hAnsi="Times New Roman" w:cs="Times New Roman"/>
          <w:bCs/>
          <w:sz w:val="24"/>
          <w:szCs w:val="24"/>
        </w:rPr>
        <w:t>Income Levels:</w:t>
      </w:r>
      <w:r w:rsidRPr="00055313">
        <w:rPr>
          <w:rFonts w:ascii="Times New Roman" w:hAnsi="Times New Roman" w:cs="Times New Roman"/>
          <w:sz w:val="24"/>
          <w:szCs w:val="24"/>
        </w:rPr>
        <w:t xml:space="preserve"> The majority of respondents (</w:t>
      </w:r>
      <w:r w:rsidRPr="00055313">
        <w:rPr>
          <w:rFonts w:ascii="Times New Roman" w:hAnsi="Times New Roman" w:cs="Times New Roman"/>
          <w:bCs/>
          <w:sz w:val="24"/>
          <w:szCs w:val="24"/>
        </w:rPr>
        <w:t>50%</w:t>
      </w:r>
      <w:r w:rsidRPr="00055313">
        <w:rPr>
          <w:rFonts w:ascii="Times New Roman" w:hAnsi="Times New Roman" w:cs="Times New Roman"/>
          <w:sz w:val="24"/>
          <w:szCs w:val="24"/>
        </w:rPr>
        <w:t xml:space="preserve">) fall within the </w:t>
      </w:r>
      <w:r w:rsidRPr="00055313">
        <w:rPr>
          <w:rFonts w:ascii="Times New Roman" w:hAnsi="Times New Roman" w:cs="Times New Roman"/>
          <w:bCs/>
          <w:sz w:val="24"/>
          <w:szCs w:val="24"/>
        </w:rPr>
        <w:t>₹5,00,000 - ₹10,00,000 income bracket</w:t>
      </w:r>
      <w:r w:rsidRPr="00055313">
        <w:rPr>
          <w:rFonts w:ascii="Times New Roman" w:hAnsi="Times New Roman" w:cs="Times New Roman"/>
          <w:sz w:val="24"/>
          <w:szCs w:val="24"/>
        </w:rPr>
        <w:t xml:space="preserve">, indicating that </w:t>
      </w:r>
      <w:r w:rsidRPr="00055313">
        <w:rPr>
          <w:rFonts w:ascii="Times New Roman" w:hAnsi="Times New Roman" w:cs="Times New Roman"/>
          <w:bCs/>
          <w:sz w:val="24"/>
          <w:szCs w:val="24"/>
        </w:rPr>
        <w:t>middle-income individuals are the most engaged in mutual fund investments</w:t>
      </w:r>
      <w:r w:rsidRPr="00055313">
        <w:rPr>
          <w:rFonts w:ascii="Times New Roman" w:hAnsi="Times New Roman" w:cs="Times New Roman"/>
          <w:sz w:val="24"/>
          <w:szCs w:val="24"/>
        </w:rPr>
        <w:t>. Lower-income individuals (</w:t>
      </w:r>
      <w:r w:rsidRPr="00055313">
        <w:rPr>
          <w:rFonts w:ascii="Times New Roman" w:hAnsi="Times New Roman" w:cs="Times New Roman"/>
          <w:bCs/>
          <w:sz w:val="24"/>
          <w:szCs w:val="24"/>
        </w:rPr>
        <w:t>30%</w:t>
      </w:r>
      <w:r w:rsidRPr="00055313">
        <w:rPr>
          <w:rFonts w:ascii="Times New Roman" w:hAnsi="Times New Roman" w:cs="Times New Roman"/>
          <w:sz w:val="24"/>
          <w:szCs w:val="24"/>
        </w:rPr>
        <w:t xml:space="preserve">) may face </w:t>
      </w:r>
      <w:r w:rsidRPr="00055313">
        <w:rPr>
          <w:rFonts w:ascii="Times New Roman" w:hAnsi="Times New Roman" w:cs="Times New Roman"/>
          <w:bCs/>
          <w:sz w:val="24"/>
          <w:szCs w:val="24"/>
        </w:rPr>
        <w:t>barriers in accessing financial education and investment opportunities</w:t>
      </w:r>
      <w:r w:rsidRPr="00055313">
        <w:rPr>
          <w:rFonts w:ascii="Times New Roman" w:hAnsi="Times New Roman" w:cs="Times New Roman"/>
          <w:sz w:val="24"/>
          <w:szCs w:val="24"/>
        </w:rPr>
        <w:t>.</w:t>
      </w:r>
    </w:p>
    <w:p w:rsidR="00F8733F" w:rsidRPr="00F8733F" w:rsidRDefault="00F8733F" w:rsidP="00F8733F">
      <w:pPr>
        <w:spacing w:line="360" w:lineRule="auto"/>
        <w:jc w:val="both"/>
        <w:rPr>
          <w:rFonts w:ascii="Times New Roman" w:hAnsi="Times New Roman" w:cs="Times New Roman"/>
          <w:b/>
          <w:bCs/>
          <w:sz w:val="24"/>
          <w:szCs w:val="24"/>
        </w:rPr>
      </w:pPr>
      <w:r w:rsidRPr="00F8733F">
        <w:rPr>
          <w:rFonts w:ascii="Times New Roman" w:hAnsi="Times New Roman" w:cs="Times New Roman"/>
          <w:b/>
          <w:bCs/>
          <w:sz w:val="24"/>
          <w:szCs w:val="24"/>
        </w:rPr>
        <w:t>4.2 Correlation Analysis</w:t>
      </w:r>
    </w:p>
    <w:p w:rsidR="00F8733F" w:rsidRPr="00F8733F" w:rsidRDefault="00F8733F" w:rsidP="00F8733F">
      <w:pPr>
        <w:spacing w:line="360" w:lineRule="auto"/>
        <w:jc w:val="both"/>
        <w:rPr>
          <w:rFonts w:ascii="Times New Roman" w:hAnsi="Times New Roman" w:cs="Times New Roman"/>
          <w:sz w:val="24"/>
          <w:szCs w:val="24"/>
        </w:rPr>
      </w:pPr>
      <w:r w:rsidRPr="00F8733F">
        <w:rPr>
          <w:rFonts w:ascii="Times New Roman" w:hAnsi="Times New Roman" w:cs="Times New Roman"/>
          <w:sz w:val="24"/>
          <w:szCs w:val="24"/>
        </w:rPr>
        <w:t xml:space="preserve">To evaluate the strength and direction of the relationship between </w:t>
      </w:r>
      <w:r w:rsidRPr="00F8733F">
        <w:rPr>
          <w:rFonts w:ascii="Times New Roman" w:hAnsi="Times New Roman" w:cs="Times New Roman"/>
          <w:bCs/>
          <w:sz w:val="24"/>
          <w:szCs w:val="24"/>
        </w:rPr>
        <w:t>financial literacy and financial well-being</w:t>
      </w:r>
      <w:r w:rsidRPr="00F8733F">
        <w:rPr>
          <w:rFonts w:ascii="Times New Roman" w:hAnsi="Times New Roman" w:cs="Times New Roman"/>
          <w:sz w:val="24"/>
          <w:szCs w:val="24"/>
        </w:rPr>
        <w:t xml:space="preserve">, a </w:t>
      </w:r>
      <w:r w:rsidRPr="00F8733F">
        <w:rPr>
          <w:rFonts w:ascii="Times New Roman" w:hAnsi="Times New Roman" w:cs="Times New Roman"/>
          <w:bCs/>
          <w:sz w:val="24"/>
          <w:szCs w:val="24"/>
        </w:rPr>
        <w:t>Pearson correlation test</w:t>
      </w:r>
      <w:r w:rsidRPr="00F8733F">
        <w:rPr>
          <w:rFonts w:ascii="Times New Roman" w:hAnsi="Times New Roman" w:cs="Times New Roman"/>
          <w:sz w:val="24"/>
          <w:szCs w:val="24"/>
        </w:rPr>
        <w:t xml:space="preserve"> was conducted.</w:t>
      </w:r>
    </w:p>
    <w:p w:rsidR="00F8733F" w:rsidRPr="00F8733F" w:rsidRDefault="00F8733F" w:rsidP="00F8733F">
      <w:pPr>
        <w:spacing w:line="360" w:lineRule="auto"/>
        <w:jc w:val="both"/>
        <w:rPr>
          <w:rFonts w:ascii="Times New Roman" w:hAnsi="Times New Roman" w:cs="Times New Roman"/>
          <w:sz w:val="24"/>
          <w:szCs w:val="24"/>
        </w:rPr>
      </w:pPr>
      <w:r w:rsidRPr="00B243D3">
        <w:rPr>
          <w:rFonts w:ascii="Times New Roman" w:hAnsi="Times New Roman" w:cs="Times New Roman"/>
          <w:sz w:val="24"/>
          <w:szCs w:val="24"/>
        </w:rPr>
        <w:t xml:space="preserve">The Pearson correlation coefficient was </w:t>
      </w:r>
      <w:r w:rsidRPr="00B243D3">
        <w:rPr>
          <w:rFonts w:ascii="Times New Roman" w:hAnsi="Times New Roman" w:cs="Times New Roman"/>
          <w:bCs/>
          <w:sz w:val="24"/>
          <w:szCs w:val="24"/>
        </w:rPr>
        <w:t>r = 0.68</w:t>
      </w:r>
      <w:r w:rsidRPr="00B243D3">
        <w:rPr>
          <w:rFonts w:ascii="Times New Roman" w:hAnsi="Times New Roman" w:cs="Times New Roman"/>
          <w:sz w:val="24"/>
          <w:szCs w:val="24"/>
        </w:rPr>
        <w:t xml:space="preserve">, indicating a </w:t>
      </w:r>
      <w:r w:rsidRPr="00B243D3">
        <w:rPr>
          <w:rFonts w:ascii="Times New Roman" w:hAnsi="Times New Roman" w:cs="Times New Roman"/>
          <w:bCs/>
          <w:sz w:val="24"/>
          <w:szCs w:val="24"/>
        </w:rPr>
        <w:t>strong positive correlation between financial literacy and financial well-being</w:t>
      </w:r>
      <w:r w:rsidRPr="00B243D3">
        <w:rPr>
          <w:rFonts w:ascii="Times New Roman" w:hAnsi="Times New Roman" w:cs="Times New Roman"/>
          <w:sz w:val="24"/>
          <w:szCs w:val="24"/>
        </w:rPr>
        <w:t>.</w:t>
      </w:r>
    </w:p>
    <w:p w:rsidR="00F8733F" w:rsidRPr="00F8733F" w:rsidRDefault="00F8733F" w:rsidP="00F8733F">
      <w:pPr>
        <w:spacing w:line="360" w:lineRule="auto"/>
        <w:jc w:val="both"/>
        <w:rPr>
          <w:rFonts w:ascii="Times New Roman" w:hAnsi="Times New Roman" w:cs="Times New Roman"/>
          <w:b/>
          <w:bCs/>
          <w:sz w:val="24"/>
          <w:szCs w:val="24"/>
        </w:rPr>
      </w:pPr>
      <w:r w:rsidRPr="00F8733F">
        <w:rPr>
          <w:rFonts w:ascii="Times New Roman" w:hAnsi="Times New Roman" w:cs="Times New Roman"/>
          <w:b/>
          <w:bCs/>
          <w:sz w:val="24"/>
          <w:szCs w:val="24"/>
        </w:rPr>
        <w:lastRenderedPageBreak/>
        <w:t>4.2.1 Interpretation of Correlation Results</w:t>
      </w:r>
    </w:p>
    <w:p w:rsidR="00F8733F" w:rsidRPr="00DF6A7A" w:rsidRDefault="00F8733F" w:rsidP="00D96B42">
      <w:pPr>
        <w:numPr>
          <w:ilvl w:val="0"/>
          <w:numId w:val="9"/>
        </w:numPr>
        <w:spacing w:line="360" w:lineRule="auto"/>
        <w:jc w:val="both"/>
        <w:rPr>
          <w:rFonts w:ascii="Times New Roman" w:hAnsi="Times New Roman" w:cs="Times New Roman"/>
          <w:sz w:val="24"/>
          <w:szCs w:val="24"/>
        </w:rPr>
      </w:pPr>
      <w:r w:rsidRPr="00DF6A7A">
        <w:rPr>
          <w:rFonts w:ascii="Times New Roman" w:hAnsi="Times New Roman" w:cs="Times New Roman"/>
          <w:sz w:val="24"/>
          <w:szCs w:val="24"/>
        </w:rPr>
        <w:t xml:space="preserve">The </w:t>
      </w:r>
      <w:r w:rsidRPr="00DF6A7A">
        <w:rPr>
          <w:rFonts w:ascii="Times New Roman" w:hAnsi="Times New Roman" w:cs="Times New Roman"/>
          <w:bCs/>
          <w:sz w:val="24"/>
          <w:szCs w:val="24"/>
        </w:rPr>
        <w:t>positive correlation (0.68)</w:t>
      </w:r>
      <w:r w:rsidRPr="00DF6A7A">
        <w:rPr>
          <w:rFonts w:ascii="Times New Roman" w:hAnsi="Times New Roman" w:cs="Times New Roman"/>
          <w:sz w:val="24"/>
          <w:szCs w:val="24"/>
        </w:rPr>
        <w:t xml:space="preserve"> suggests that </w:t>
      </w:r>
      <w:r w:rsidRPr="00DF6A7A">
        <w:rPr>
          <w:rFonts w:ascii="Times New Roman" w:hAnsi="Times New Roman" w:cs="Times New Roman"/>
          <w:bCs/>
          <w:sz w:val="24"/>
          <w:szCs w:val="24"/>
        </w:rPr>
        <w:t>as financial literacy increases, financial well-being also improves</w:t>
      </w:r>
      <w:r w:rsidRPr="00DF6A7A">
        <w:rPr>
          <w:rFonts w:ascii="Times New Roman" w:hAnsi="Times New Roman" w:cs="Times New Roman"/>
          <w:sz w:val="24"/>
          <w:szCs w:val="24"/>
        </w:rPr>
        <w:t>.</w:t>
      </w:r>
    </w:p>
    <w:p w:rsidR="00F8733F" w:rsidRPr="00DF6A7A" w:rsidRDefault="00F8733F" w:rsidP="00D96B42">
      <w:pPr>
        <w:numPr>
          <w:ilvl w:val="0"/>
          <w:numId w:val="9"/>
        </w:numPr>
        <w:spacing w:line="360" w:lineRule="auto"/>
        <w:jc w:val="both"/>
        <w:rPr>
          <w:rFonts w:ascii="Times New Roman" w:hAnsi="Times New Roman" w:cs="Times New Roman"/>
          <w:sz w:val="24"/>
          <w:szCs w:val="24"/>
        </w:rPr>
      </w:pPr>
      <w:r w:rsidRPr="00DF6A7A">
        <w:rPr>
          <w:rFonts w:ascii="Times New Roman" w:hAnsi="Times New Roman" w:cs="Times New Roman"/>
          <w:sz w:val="24"/>
          <w:szCs w:val="24"/>
        </w:rPr>
        <w:t xml:space="preserve">Respondents with </w:t>
      </w:r>
      <w:r w:rsidRPr="00DF6A7A">
        <w:rPr>
          <w:rFonts w:ascii="Times New Roman" w:hAnsi="Times New Roman" w:cs="Times New Roman"/>
          <w:bCs/>
          <w:sz w:val="24"/>
          <w:szCs w:val="24"/>
        </w:rPr>
        <w:t>higher financial literacy demonstrated better financial security, investment planning, and risk management strategies</w:t>
      </w:r>
      <w:r w:rsidRPr="00DF6A7A">
        <w:rPr>
          <w:rFonts w:ascii="Times New Roman" w:hAnsi="Times New Roman" w:cs="Times New Roman"/>
          <w:sz w:val="24"/>
          <w:szCs w:val="24"/>
        </w:rPr>
        <w:t>.</w:t>
      </w:r>
    </w:p>
    <w:p w:rsidR="00F8733F" w:rsidRPr="00DF6A7A" w:rsidRDefault="00F8733F" w:rsidP="00D96B42">
      <w:pPr>
        <w:numPr>
          <w:ilvl w:val="0"/>
          <w:numId w:val="9"/>
        </w:numPr>
        <w:spacing w:line="360" w:lineRule="auto"/>
        <w:jc w:val="both"/>
        <w:rPr>
          <w:rFonts w:ascii="Times New Roman" w:hAnsi="Times New Roman" w:cs="Times New Roman"/>
          <w:sz w:val="24"/>
          <w:szCs w:val="24"/>
        </w:rPr>
      </w:pPr>
      <w:r w:rsidRPr="00DF6A7A">
        <w:rPr>
          <w:rFonts w:ascii="Times New Roman" w:hAnsi="Times New Roman" w:cs="Times New Roman"/>
          <w:sz w:val="24"/>
          <w:szCs w:val="24"/>
        </w:rPr>
        <w:t xml:space="preserve">Conversely, individuals with </w:t>
      </w:r>
      <w:r w:rsidRPr="00DF6A7A">
        <w:rPr>
          <w:rFonts w:ascii="Times New Roman" w:hAnsi="Times New Roman" w:cs="Times New Roman"/>
          <w:bCs/>
          <w:sz w:val="24"/>
          <w:szCs w:val="24"/>
        </w:rPr>
        <w:t>lower financial literacy exhibited financial stress, inadequate savings, and suboptimal investment choices</w:t>
      </w:r>
      <w:r w:rsidRPr="00DF6A7A">
        <w:rPr>
          <w:rFonts w:ascii="Times New Roman" w:hAnsi="Times New Roman" w:cs="Times New Roman"/>
          <w:sz w:val="24"/>
          <w:szCs w:val="24"/>
        </w:rPr>
        <w:t>.</w:t>
      </w:r>
    </w:p>
    <w:p w:rsidR="00987A33" w:rsidRPr="00987A33" w:rsidRDefault="00987A33" w:rsidP="00987A33">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987A33">
        <w:rPr>
          <w:rFonts w:ascii="Times New Roman" w:eastAsia="Times New Roman" w:hAnsi="Times New Roman" w:cs="Times New Roman"/>
          <w:b/>
          <w:bCs/>
          <w:sz w:val="24"/>
          <w:szCs w:val="24"/>
        </w:rPr>
        <w:t>4.3 Hypothesis Testing</w:t>
      </w:r>
    </w:p>
    <w:p w:rsidR="00987A33" w:rsidRPr="00987A33" w:rsidRDefault="00987A33" w:rsidP="00291E8B">
      <w:pPr>
        <w:spacing w:before="100" w:beforeAutospacing="1" w:after="100" w:afterAutospacing="1" w:line="360" w:lineRule="auto"/>
        <w:jc w:val="both"/>
        <w:rPr>
          <w:rFonts w:ascii="Times New Roman" w:eastAsia="Times New Roman" w:hAnsi="Times New Roman" w:cs="Times New Roman"/>
          <w:sz w:val="24"/>
          <w:szCs w:val="24"/>
        </w:rPr>
      </w:pPr>
      <w:r w:rsidRPr="00987A33">
        <w:rPr>
          <w:rFonts w:ascii="Times New Roman" w:eastAsia="Times New Roman" w:hAnsi="Times New Roman" w:cs="Times New Roman"/>
          <w:sz w:val="24"/>
          <w:szCs w:val="24"/>
        </w:rPr>
        <w:t>To examine whether financial literacy significantly impacts financial well-being, the following hypotheses were tested:</w:t>
      </w:r>
    </w:p>
    <w:p w:rsidR="00987A33" w:rsidRPr="00987A33" w:rsidRDefault="00987A33" w:rsidP="00291E8B">
      <w:pPr>
        <w:spacing w:before="100" w:beforeAutospacing="1" w:after="100" w:afterAutospacing="1" w:line="360" w:lineRule="auto"/>
        <w:jc w:val="both"/>
        <w:rPr>
          <w:rFonts w:ascii="Times New Roman" w:eastAsia="Times New Roman" w:hAnsi="Times New Roman" w:cs="Times New Roman"/>
          <w:sz w:val="24"/>
          <w:szCs w:val="24"/>
        </w:rPr>
      </w:pPr>
      <w:r w:rsidRPr="00987A33">
        <w:rPr>
          <w:rFonts w:ascii="Times New Roman" w:eastAsia="Times New Roman" w:hAnsi="Times New Roman" w:cs="Times New Roman"/>
          <w:b/>
          <w:bCs/>
          <w:sz w:val="24"/>
          <w:szCs w:val="24"/>
        </w:rPr>
        <w:t>H₀ (Null Hypothesis):</w:t>
      </w:r>
      <w:r w:rsidRPr="00987A33">
        <w:rPr>
          <w:rFonts w:ascii="Times New Roman" w:eastAsia="Times New Roman" w:hAnsi="Times New Roman" w:cs="Times New Roman"/>
          <w:sz w:val="24"/>
          <w:szCs w:val="24"/>
        </w:rPr>
        <w:t xml:space="preserve"> Financial literacy has no significant impact on financial well-being.</w:t>
      </w:r>
      <w:r w:rsidRPr="00987A33">
        <w:rPr>
          <w:rFonts w:ascii="Times New Roman" w:eastAsia="Times New Roman" w:hAnsi="Times New Roman" w:cs="Times New Roman"/>
          <w:sz w:val="24"/>
          <w:szCs w:val="24"/>
        </w:rPr>
        <w:br/>
      </w:r>
      <w:r w:rsidRPr="00987A33">
        <w:rPr>
          <w:rFonts w:ascii="Times New Roman" w:eastAsia="Times New Roman" w:hAnsi="Times New Roman" w:cs="Times New Roman"/>
          <w:b/>
          <w:bCs/>
          <w:sz w:val="24"/>
          <w:szCs w:val="24"/>
        </w:rPr>
        <w:t>H₁ (Alternative Hypothesis):</w:t>
      </w:r>
      <w:r w:rsidRPr="00987A33">
        <w:rPr>
          <w:rFonts w:ascii="Times New Roman" w:eastAsia="Times New Roman" w:hAnsi="Times New Roman" w:cs="Times New Roman"/>
          <w:sz w:val="24"/>
          <w:szCs w:val="24"/>
        </w:rPr>
        <w:t xml:space="preserve"> Financial literacy has a positive impact on financial well-being.</w:t>
      </w:r>
    </w:p>
    <w:p w:rsidR="00987A33" w:rsidRDefault="00987A33" w:rsidP="00291E8B">
      <w:pPr>
        <w:spacing w:before="100" w:beforeAutospacing="1" w:after="100" w:afterAutospacing="1" w:line="360" w:lineRule="auto"/>
        <w:jc w:val="both"/>
        <w:rPr>
          <w:rFonts w:ascii="Times New Roman" w:eastAsia="Times New Roman" w:hAnsi="Times New Roman" w:cs="Times New Roman"/>
          <w:sz w:val="24"/>
          <w:szCs w:val="24"/>
        </w:rPr>
      </w:pPr>
      <w:r w:rsidRPr="00987A33">
        <w:rPr>
          <w:rFonts w:ascii="Times New Roman" w:eastAsia="Times New Roman" w:hAnsi="Times New Roman" w:cs="Times New Roman"/>
          <w:sz w:val="24"/>
          <w:szCs w:val="24"/>
        </w:rPr>
        <w:t xml:space="preserve">A </w:t>
      </w:r>
      <w:r w:rsidRPr="00987A33">
        <w:rPr>
          <w:rFonts w:ascii="Times New Roman" w:eastAsia="Times New Roman" w:hAnsi="Times New Roman" w:cs="Times New Roman"/>
          <w:b/>
          <w:bCs/>
          <w:sz w:val="24"/>
          <w:szCs w:val="24"/>
        </w:rPr>
        <w:t>linear regression analysis</w:t>
      </w:r>
      <w:r w:rsidRPr="00987A33">
        <w:rPr>
          <w:rFonts w:ascii="Times New Roman" w:eastAsia="Times New Roman" w:hAnsi="Times New Roman" w:cs="Times New Roman"/>
          <w:sz w:val="24"/>
          <w:szCs w:val="24"/>
        </w:rPr>
        <w:t xml:space="preserve"> was conducted to determine whether financial literacy is a significant predictor of financial well-being.</w:t>
      </w:r>
    </w:p>
    <w:p w:rsidR="00E0070D" w:rsidRPr="00E0070D" w:rsidRDefault="00E0070D" w:rsidP="00E0070D">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E0070D">
        <w:rPr>
          <w:rFonts w:ascii="Times New Roman" w:eastAsia="Times New Roman" w:hAnsi="Times New Roman" w:cs="Times New Roman"/>
          <w:b/>
          <w:bCs/>
          <w:sz w:val="24"/>
          <w:szCs w:val="24"/>
        </w:rPr>
        <w:t>4.4 Regression Analysis: Impact of Financial Literacy on Financial Well-Being</w:t>
      </w:r>
    </w:p>
    <w:p w:rsidR="00E0070D" w:rsidRPr="00E0070D" w:rsidRDefault="00E0070D" w:rsidP="00E0070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0070D">
        <w:rPr>
          <w:rFonts w:ascii="Times New Roman" w:eastAsia="Times New Roman" w:hAnsi="Times New Roman" w:cs="Times New Roman"/>
          <w:b/>
          <w:bCs/>
          <w:sz w:val="24"/>
          <w:szCs w:val="24"/>
        </w:rPr>
        <w:t>4.4.1 Model Summary</w:t>
      </w:r>
    </w:p>
    <w:tbl>
      <w:tblPr>
        <w:tblW w:w="0" w:type="auto"/>
        <w:tblCellSpacing w:w="15"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851"/>
        <w:gridCol w:w="850"/>
        <w:gridCol w:w="1276"/>
        <w:gridCol w:w="2591"/>
        <w:gridCol w:w="2937"/>
      </w:tblGrid>
      <w:tr w:rsidR="003106C9" w:rsidRPr="00E0070D" w:rsidTr="003106C9">
        <w:trPr>
          <w:tblHeader/>
          <w:tblCellSpacing w:w="15" w:type="dxa"/>
        </w:trPr>
        <w:tc>
          <w:tcPr>
            <w:tcW w:w="806" w:type="dxa"/>
            <w:vAlign w:val="center"/>
            <w:hideMark/>
          </w:tcPr>
          <w:p w:rsidR="00E0070D" w:rsidRPr="00E0070D" w:rsidRDefault="00E0070D" w:rsidP="00AB010B">
            <w:pPr>
              <w:spacing w:after="0" w:line="360" w:lineRule="auto"/>
              <w:jc w:val="center"/>
              <w:rPr>
                <w:rFonts w:ascii="Times New Roman" w:eastAsia="Times New Roman" w:hAnsi="Times New Roman" w:cs="Times New Roman"/>
                <w:b/>
                <w:bCs/>
                <w:sz w:val="24"/>
                <w:szCs w:val="24"/>
              </w:rPr>
            </w:pPr>
            <w:r w:rsidRPr="003F20B7">
              <w:rPr>
                <w:rFonts w:ascii="Times New Roman" w:eastAsia="Times New Roman" w:hAnsi="Times New Roman" w:cs="Times New Roman"/>
                <w:b/>
                <w:bCs/>
                <w:sz w:val="24"/>
                <w:szCs w:val="24"/>
              </w:rPr>
              <w:t>Model</w:t>
            </w:r>
          </w:p>
        </w:tc>
        <w:tc>
          <w:tcPr>
            <w:tcW w:w="820" w:type="dxa"/>
            <w:vAlign w:val="center"/>
            <w:hideMark/>
          </w:tcPr>
          <w:p w:rsidR="00E0070D" w:rsidRPr="00E0070D" w:rsidRDefault="00E0070D" w:rsidP="00AB010B">
            <w:pPr>
              <w:spacing w:after="0" w:line="360" w:lineRule="auto"/>
              <w:jc w:val="center"/>
              <w:rPr>
                <w:rFonts w:ascii="Times New Roman" w:eastAsia="Times New Roman" w:hAnsi="Times New Roman" w:cs="Times New Roman"/>
                <w:b/>
                <w:bCs/>
                <w:sz w:val="24"/>
                <w:szCs w:val="24"/>
              </w:rPr>
            </w:pPr>
            <w:r w:rsidRPr="003F20B7">
              <w:rPr>
                <w:rFonts w:ascii="Times New Roman" w:eastAsia="Times New Roman" w:hAnsi="Times New Roman" w:cs="Times New Roman"/>
                <w:b/>
                <w:bCs/>
                <w:sz w:val="24"/>
                <w:szCs w:val="24"/>
              </w:rPr>
              <w:t>R</w:t>
            </w:r>
          </w:p>
        </w:tc>
        <w:tc>
          <w:tcPr>
            <w:tcW w:w="1246" w:type="dxa"/>
            <w:vAlign w:val="center"/>
            <w:hideMark/>
          </w:tcPr>
          <w:p w:rsidR="00E0070D" w:rsidRPr="00E0070D" w:rsidRDefault="00E0070D" w:rsidP="00AB010B">
            <w:pPr>
              <w:spacing w:after="0" w:line="360" w:lineRule="auto"/>
              <w:jc w:val="center"/>
              <w:rPr>
                <w:rFonts w:ascii="Times New Roman" w:eastAsia="Times New Roman" w:hAnsi="Times New Roman" w:cs="Times New Roman"/>
                <w:b/>
                <w:bCs/>
                <w:sz w:val="24"/>
                <w:szCs w:val="24"/>
              </w:rPr>
            </w:pPr>
            <w:r w:rsidRPr="003F20B7">
              <w:rPr>
                <w:rFonts w:ascii="Times New Roman" w:eastAsia="Times New Roman" w:hAnsi="Times New Roman" w:cs="Times New Roman"/>
                <w:b/>
                <w:bCs/>
                <w:sz w:val="24"/>
                <w:szCs w:val="24"/>
              </w:rPr>
              <w:t>R Square</w:t>
            </w:r>
          </w:p>
        </w:tc>
        <w:tc>
          <w:tcPr>
            <w:tcW w:w="2561" w:type="dxa"/>
            <w:vAlign w:val="center"/>
            <w:hideMark/>
          </w:tcPr>
          <w:p w:rsidR="00E0070D" w:rsidRPr="00E0070D" w:rsidRDefault="00E0070D" w:rsidP="00AB010B">
            <w:pPr>
              <w:spacing w:after="0" w:line="360" w:lineRule="auto"/>
              <w:jc w:val="center"/>
              <w:rPr>
                <w:rFonts w:ascii="Times New Roman" w:eastAsia="Times New Roman" w:hAnsi="Times New Roman" w:cs="Times New Roman"/>
                <w:b/>
                <w:bCs/>
                <w:sz w:val="24"/>
                <w:szCs w:val="24"/>
              </w:rPr>
            </w:pPr>
            <w:r w:rsidRPr="003F20B7">
              <w:rPr>
                <w:rFonts w:ascii="Times New Roman" w:eastAsia="Times New Roman" w:hAnsi="Times New Roman" w:cs="Times New Roman"/>
                <w:b/>
                <w:bCs/>
                <w:sz w:val="24"/>
                <w:szCs w:val="24"/>
              </w:rPr>
              <w:t>Adjusted R Square</w:t>
            </w:r>
          </w:p>
        </w:tc>
        <w:tc>
          <w:tcPr>
            <w:tcW w:w="2892" w:type="dxa"/>
            <w:vAlign w:val="center"/>
            <w:hideMark/>
          </w:tcPr>
          <w:p w:rsidR="00E0070D" w:rsidRPr="00E0070D" w:rsidRDefault="00E0070D" w:rsidP="00AB010B">
            <w:pPr>
              <w:spacing w:after="0" w:line="360" w:lineRule="auto"/>
              <w:jc w:val="center"/>
              <w:rPr>
                <w:rFonts w:ascii="Times New Roman" w:eastAsia="Times New Roman" w:hAnsi="Times New Roman" w:cs="Times New Roman"/>
                <w:b/>
                <w:bCs/>
                <w:sz w:val="24"/>
                <w:szCs w:val="24"/>
              </w:rPr>
            </w:pPr>
            <w:r w:rsidRPr="003F20B7">
              <w:rPr>
                <w:rFonts w:ascii="Times New Roman" w:eastAsia="Times New Roman" w:hAnsi="Times New Roman" w:cs="Times New Roman"/>
                <w:b/>
                <w:bCs/>
                <w:sz w:val="24"/>
                <w:szCs w:val="24"/>
              </w:rPr>
              <w:t>Std. Error of the Estimate</w:t>
            </w:r>
          </w:p>
        </w:tc>
      </w:tr>
      <w:tr w:rsidR="003106C9" w:rsidRPr="00E0070D" w:rsidTr="003106C9">
        <w:trPr>
          <w:tblCellSpacing w:w="15" w:type="dxa"/>
        </w:trPr>
        <w:tc>
          <w:tcPr>
            <w:tcW w:w="806" w:type="dxa"/>
            <w:vAlign w:val="center"/>
            <w:hideMark/>
          </w:tcPr>
          <w:p w:rsidR="00E0070D" w:rsidRPr="00E0070D" w:rsidRDefault="00E0070D" w:rsidP="00AB010B">
            <w:pPr>
              <w:spacing w:after="0" w:line="360" w:lineRule="auto"/>
              <w:jc w:val="center"/>
              <w:rPr>
                <w:rFonts w:ascii="Times New Roman" w:eastAsia="Times New Roman" w:hAnsi="Times New Roman" w:cs="Times New Roman"/>
                <w:sz w:val="24"/>
                <w:szCs w:val="24"/>
              </w:rPr>
            </w:pPr>
            <w:r w:rsidRPr="00E0070D">
              <w:rPr>
                <w:rFonts w:ascii="Times New Roman" w:eastAsia="Times New Roman" w:hAnsi="Times New Roman" w:cs="Times New Roman"/>
                <w:sz w:val="24"/>
                <w:szCs w:val="24"/>
              </w:rPr>
              <w:t>1</w:t>
            </w:r>
          </w:p>
        </w:tc>
        <w:tc>
          <w:tcPr>
            <w:tcW w:w="820" w:type="dxa"/>
            <w:vAlign w:val="center"/>
            <w:hideMark/>
          </w:tcPr>
          <w:p w:rsidR="00E0070D" w:rsidRPr="00E0070D" w:rsidRDefault="00E0070D" w:rsidP="00AB010B">
            <w:pPr>
              <w:spacing w:after="0" w:line="360" w:lineRule="auto"/>
              <w:jc w:val="center"/>
              <w:rPr>
                <w:rFonts w:ascii="Times New Roman" w:eastAsia="Times New Roman" w:hAnsi="Times New Roman" w:cs="Times New Roman"/>
                <w:sz w:val="24"/>
                <w:szCs w:val="24"/>
              </w:rPr>
            </w:pPr>
            <w:r w:rsidRPr="00E0070D">
              <w:rPr>
                <w:rFonts w:ascii="Times New Roman" w:eastAsia="Times New Roman" w:hAnsi="Times New Roman" w:cs="Times New Roman"/>
                <w:sz w:val="24"/>
                <w:szCs w:val="24"/>
              </w:rPr>
              <w:t>0.544</w:t>
            </w:r>
          </w:p>
        </w:tc>
        <w:tc>
          <w:tcPr>
            <w:tcW w:w="1246" w:type="dxa"/>
            <w:vAlign w:val="center"/>
            <w:hideMark/>
          </w:tcPr>
          <w:p w:rsidR="00E0070D" w:rsidRPr="00E0070D" w:rsidRDefault="00E0070D" w:rsidP="00AB010B">
            <w:pPr>
              <w:spacing w:after="0" w:line="360" w:lineRule="auto"/>
              <w:jc w:val="center"/>
              <w:rPr>
                <w:rFonts w:ascii="Times New Roman" w:eastAsia="Times New Roman" w:hAnsi="Times New Roman" w:cs="Times New Roman"/>
                <w:sz w:val="24"/>
                <w:szCs w:val="24"/>
              </w:rPr>
            </w:pPr>
            <w:r w:rsidRPr="00E0070D">
              <w:rPr>
                <w:rFonts w:ascii="Times New Roman" w:eastAsia="Times New Roman" w:hAnsi="Times New Roman" w:cs="Times New Roman"/>
                <w:sz w:val="24"/>
                <w:szCs w:val="24"/>
              </w:rPr>
              <w:t>0.296</w:t>
            </w:r>
          </w:p>
        </w:tc>
        <w:tc>
          <w:tcPr>
            <w:tcW w:w="2561" w:type="dxa"/>
            <w:vAlign w:val="center"/>
            <w:hideMark/>
          </w:tcPr>
          <w:p w:rsidR="00E0070D" w:rsidRPr="00E0070D" w:rsidRDefault="00E0070D" w:rsidP="00AB010B">
            <w:pPr>
              <w:spacing w:after="0" w:line="360" w:lineRule="auto"/>
              <w:jc w:val="center"/>
              <w:rPr>
                <w:rFonts w:ascii="Times New Roman" w:eastAsia="Times New Roman" w:hAnsi="Times New Roman" w:cs="Times New Roman"/>
                <w:sz w:val="24"/>
                <w:szCs w:val="24"/>
              </w:rPr>
            </w:pPr>
            <w:r w:rsidRPr="00E0070D">
              <w:rPr>
                <w:rFonts w:ascii="Times New Roman" w:eastAsia="Times New Roman" w:hAnsi="Times New Roman" w:cs="Times New Roman"/>
                <w:sz w:val="24"/>
                <w:szCs w:val="24"/>
              </w:rPr>
              <w:t>0.284</w:t>
            </w:r>
          </w:p>
        </w:tc>
        <w:tc>
          <w:tcPr>
            <w:tcW w:w="2892" w:type="dxa"/>
            <w:vAlign w:val="center"/>
            <w:hideMark/>
          </w:tcPr>
          <w:p w:rsidR="00E0070D" w:rsidRPr="00E0070D" w:rsidRDefault="00E0070D" w:rsidP="00AB010B">
            <w:pPr>
              <w:spacing w:after="0" w:line="360" w:lineRule="auto"/>
              <w:jc w:val="center"/>
              <w:rPr>
                <w:rFonts w:ascii="Times New Roman" w:eastAsia="Times New Roman" w:hAnsi="Times New Roman" w:cs="Times New Roman"/>
                <w:sz w:val="24"/>
                <w:szCs w:val="24"/>
              </w:rPr>
            </w:pPr>
            <w:r w:rsidRPr="00E0070D">
              <w:rPr>
                <w:rFonts w:ascii="Times New Roman" w:eastAsia="Times New Roman" w:hAnsi="Times New Roman" w:cs="Times New Roman"/>
                <w:sz w:val="24"/>
                <w:szCs w:val="24"/>
              </w:rPr>
              <w:t>0.832</w:t>
            </w:r>
          </w:p>
        </w:tc>
      </w:tr>
    </w:tbl>
    <w:p w:rsidR="00E0070D" w:rsidRPr="00E0070D" w:rsidRDefault="00E0070D" w:rsidP="003106C9">
      <w:pPr>
        <w:spacing w:before="100" w:beforeAutospacing="1" w:after="100" w:afterAutospacing="1" w:line="360" w:lineRule="auto"/>
        <w:jc w:val="both"/>
        <w:rPr>
          <w:rFonts w:ascii="Times New Roman" w:eastAsia="Times New Roman" w:hAnsi="Times New Roman" w:cs="Times New Roman"/>
          <w:sz w:val="24"/>
          <w:szCs w:val="24"/>
        </w:rPr>
      </w:pPr>
      <w:r w:rsidRPr="00E0070D">
        <w:rPr>
          <w:rFonts w:ascii="Times New Roman" w:eastAsia="Times New Roman" w:hAnsi="Times New Roman" w:cs="Times New Roman"/>
          <w:b/>
          <w:bCs/>
          <w:sz w:val="24"/>
          <w:szCs w:val="24"/>
        </w:rPr>
        <w:t>Interpretation:</w:t>
      </w:r>
      <w:r w:rsidRPr="00E0070D">
        <w:rPr>
          <w:rFonts w:ascii="Times New Roman" w:eastAsia="Times New Roman" w:hAnsi="Times New Roman" w:cs="Times New Roman"/>
          <w:sz w:val="24"/>
          <w:szCs w:val="24"/>
        </w:rPr>
        <w:t xml:space="preserve"> The R-value (</w:t>
      </w:r>
      <w:r w:rsidRPr="003106C9">
        <w:rPr>
          <w:rFonts w:ascii="Times New Roman" w:eastAsia="Times New Roman" w:hAnsi="Times New Roman" w:cs="Times New Roman"/>
          <w:bCs/>
          <w:sz w:val="24"/>
          <w:szCs w:val="24"/>
        </w:rPr>
        <w:t>0.544</w:t>
      </w:r>
      <w:r w:rsidRPr="00E0070D">
        <w:rPr>
          <w:rFonts w:ascii="Times New Roman" w:eastAsia="Times New Roman" w:hAnsi="Times New Roman" w:cs="Times New Roman"/>
          <w:sz w:val="24"/>
          <w:szCs w:val="24"/>
        </w:rPr>
        <w:t xml:space="preserve">) indicates a </w:t>
      </w:r>
      <w:r w:rsidRPr="003106C9">
        <w:rPr>
          <w:rFonts w:ascii="Times New Roman" w:eastAsia="Times New Roman" w:hAnsi="Times New Roman" w:cs="Times New Roman"/>
          <w:bCs/>
          <w:sz w:val="24"/>
          <w:szCs w:val="24"/>
        </w:rPr>
        <w:t>moderate positive relationship</w:t>
      </w:r>
      <w:r w:rsidRPr="00E0070D">
        <w:rPr>
          <w:rFonts w:ascii="Times New Roman" w:eastAsia="Times New Roman" w:hAnsi="Times New Roman" w:cs="Times New Roman"/>
          <w:sz w:val="24"/>
          <w:szCs w:val="24"/>
        </w:rPr>
        <w:t xml:space="preserve"> between </w:t>
      </w:r>
      <w:r w:rsidRPr="003106C9">
        <w:rPr>
          <w:rFonts w:ascii="Times New Roman" w:eastAsia="Times New Roman" w:hAnsi="Times New Roman" w:cs="Times New Roman"/>
          <w:bCs/>
          <w:sz w:val="24"/>
          <w:szCs w:val="24"/>
        </w:rPr>
        <w:t>financial literacy and financial well-being</w:t>
      </w:r>
      <w:r w:rsidRPr="00E0070D">
        <w:rPr>
          <w:rFonts w:ascii="Times New Roman" w:eastAsia="Times New Roman" w:hAnsi="Times New Roman" w:cs="Times New Roman"/>
          <w:sz w:val="24"/>
          <w:szCs w:val="24"/>
        </w:rPr>
        <w:t xml:space="preserve">. The </w:t>
      </w:r>
      <w:r w:rsidRPr="003106C9">
        <w:rPr>
          <w:rFonts w:ascii="Times New Roman" w:eastAsia="Times New Roman" w:hAnsi="Times New Roman" w:cs="Times New Roman"/>
          <w:bCs/>
          <w:sz w:val="24"/>
          <w:szCs w:val="24"/>
        </w:rPr>
        <w:t>R² value (0.296)</w:t>
      </w:r>
      <w:r w:rsidRPr="00E0070D">
        <w:rPr>
          <w:rFonts w:ascii="Times New Roman" w:eastAsia="Times New Roman" w:hAnsi="Times New Roman" w:cs="Times New Roman"/>
          <w:sz w:val="24"/>
          <w:szCs w:val="24"/>
        </w:rPr>
        <w:t xml:space="preserve"> shows that </w:t>
      </w:r>
      <w:r w:rsidRPr="003106C9">
        <w:rPr>
          <w:rFonts w:ascii="Times New Roman" w:eastAsia="Times New Roman" w:hAnsi="Times New Roman" w:cs="Times New Roman"/>
          <w:bCs/>
          <w:sz w:val="24"/>
          <w:szCs w:val="24"/>
        </w:rPr>
        <w:t>financial literacy explains 29.6% of the variation in financial well-being</w:t>
      </w:r>
      <w:r w:rsidRPr="00E0070D">
        <w:rPr>
          <w:rFonts w:ascii="Times New Roman" w:eastAsia="Times New Roman" w:hAnsi="Times New Roman" w:cs="Times New Roman"/>
          <w:sz w:val="24"/>
          <w:szCs w:val="24"/>
        </w:rPr>
        <w:t xml:space="preserve">, suggesting that </w:t>
      </w:r>
      <w:r w:rsidRPr="003106C9">
        <w:rPr>
          <w:rFonts w:ascii="Times New Roman" w:eastAsia="Times New Roman" w:hAnsi="Times New Roman" w:cs="Times New Roman"/>
          <w:bCs/>
          <w:sz w:val="24"/>
          <w:szCs w:val="24"/>
        </w:rPr>
        <w:t>other factors also influence financial stability</w:t>
      </w:r>
      <w:r w:rsidRPr="00E0070D">
        <w:rPr>
          <w:rFonts w:ascii="Times New Roman" w:eastAsia="Times New Roman" w:hAnsi="Times New Roman" w:cs="Times New Roman"/>
          <w:sz w:val="24"/>
          <w:szCs w:val="24"/>
        </w:rPr>
        <w:t>.</w:t>
      </w:r>
    </w:p>
    <w:p w:rsidR="00E0070D" w:rsidRPr="00987A33" w:rsidRDefault="00E0070D" w:rsidP="00291E8B">
      <w:pPr>
        <w:spacing w:before="100" w:beforeAutospacing="1" w:after="100" w:afterAutospacing="1" w:line="360" w:lineRule="auto"/>
        <w:jc w:val="both"/>
        <w:rPr>
          <w:rFonts w:ascii="Times New Roman" w:eastAsia="Times New Roman" w:hAnsi="Times New Roman" w:cs="Times New Roman"/>
          <w:sz w:val="24"/>
          <w:szCs w:val="24"/>
        </w:rPr>
      </w:pPr>
    </w:p>
    <w:p w:rsidR="00140C12" w:rsidRPr="00140C12" w:rsidRDefault="00140C12" w:rsidP="00140C12">
      <w:pPr>
        <w:spacing w:before="100" w:beforeAutospacing="1" w:after="100" w:afterAutospacing="1" w:line="240" w:lineRule="auto"/>
        <w:outlineLvl w:val="2"/>
        <w:rPr>
          <w:rFonts w:ascii="Times New Roman" w:eastAsia="Times New Roman" w:hAnsi="Times New Roman" w:cs="Times New Roman"/>
          <w:b/>
          <w:bCs/>
          <w:sz w:val="27"/>
          <w:szCs w:val="27"/>
        </w:rPr>
      </w:pPr>
      <w:r w:rsidRPr="00140C12">
        <w:rPr>
          <w:rFonts w:ascii="Times New Roman" w:eastAsia="Times New Roman" w:hAnsi="Times New Roman" w:cs="Times New Roman"/>
          <w:b/>
          <w:bCs/>
          <w:sz w:val="27"/>
          <w:szCs w:val="27"/>
        </w:rPr>
        <w:lastRenderedPageBreak/>
        <w:t>4.4.2 ANOVA Table</w:t>
      </w:r>
    </w:p>
    <w:tbl>
      <w:tblPr>
        <w:tblW w:w="0" w:type="auto"/>
        <w:jc w:val="center"/>
        <w:tblCellSpacing w:w="15" w:type="dxa"/>
        <w:tblInd w:w="-2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762"/>
        <w:gridCol w:w="2126"/>
        <w:gridCol w:w="1418"/>
        <w:gridCol w:w="1701"/>
        <w:gridCol w:w="850"/>
        <w:gridCol w:w="635"/>
      </w:tblGrid>
      <w:tr w:rsidR="00140C12" w:rsidRPr="00140C12" w:rsidTr="00C2515A">
        <w:trPr>
          <w:tblHeader/>
          <w:tblCellSpacing w:w="15" w:type="dxa"/>
          <w:jc w:val="center"/>
        </w:trPr>
        <w:tc>
          <w:tcPr>
            <w:tcW w:w="1717"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r w:rsidRPr="00140C12">
              <w:rPr>
                <w:rFonts w:ascii="Times New Roman" w:eastAsia="Times New Roman" w:hAnsi="Times New Roman" w:cs="Times New Roman"/>
                <w:b/>
                <w:bCs/>
                <w:sz w:val="24"/>
                <w:szCs w:val="24"/>
              </w:rPr>
              <w:t>Model</w:t>
            </w:r>
          </w:p>
        </w:tc>
        <w:tc>
          <w:tcPr>
            <w:tcW w:w="2096"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r w:rsidRPr="00140C12">
              <w:rPr>
                <w:rFonts w:ascii="Times New Roman" w:eastAsia="Times New Roman" w:hAnsi="Times New Roman" w:cs="Times New Roman"/>
                <w:b/>
                <w:bCs/>
                <w:sz w:val="24"/>
                <w:szCs w:val="24"/>
              </w:rPr>
              <w:t>Sum of Squares</w:t>
            </w:r>
          </w:p>
        </w:tc>
        <w:tc>
          <w:tcPr>
            <w:tcW w:w="1388"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proofErr w:type="spellStart"/>
            <w:r w:rsidRPr="00140C12">
              <w:rPr>
                <w:rFonts w:ascii="Times New Roman" w:eastAsia="Times New Roman" w:hAnsi="Times New Roman" w:cs="Times New Roman"/>
                <w:b/>
                <w:bCs/>
                <w:sz w:val="24"/>
                <w:szCs w:val="24"/>
              </w:rPr>
              <w:t>df</w:t>
            </w:r>
            <w:proofErr w:type="spellEnd"/>
          </w:p>
        </w:tc>
        <w:tc>
          <w:tcPr>
            <w:tcW w:w="1671"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r w:rsidRPr="00140C12">
              <w:rPr>
                <w:rFonts w:ascii="Times New Roman" w:eastAsia="Times New Roman" w:hAnsi="Times New Roman" w:cs="Times New Roman"/>
                <w:b/>
                <w:bCs/>
                <w:sz w:val="24"/>
                <w:szCs w:val="24"/>
              </w:rPr>
              <w:t>Mean Square</w:t>
            </w:r>
          </w:p>
        </w:tc>
        <w:tc>
          <w:tcPr>
            <w:tcW w:w="820"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r w:rsidRPr="00140C12">
              <w:rPr>
                <w:rFonts w:ascii="Times New Roman" w:eastAsia="Times New Roman" w:hAnsi="Times New Roman" w:cs="Times New Roman"/>
                <w:b/>
                <w:bCs/>
                <w:sz w:val="24"/>
                <w:szCs w:val="24"/>
              </w:rPr>
              <w:t>F</w:t>
            </w:r>
          </w:p>
        </w:tc>
        <w:tc>
          <w:tcPr>
            <w:tcW w:w="522" w:type="dxa"/>
            <w:vAlign w:val="center"/>
            <w:hideMark/>
          </w:tcPr>
          <w:p w:rsidR="00140C12" w:rsidRPr="00140C12" w:rsidRDefault="00140C12" w:rsidP="00C2515A">
            <w:pPr>
              <w:spacing w:after="0" w:line="360" w:lineRule="auto"/>
              <w:jc w:val="center"/>
              <w:rPr>
                <w:rFonts w:ascii="Times New Roman" w:eastAsia="Times New Roman" w:hAnsi="Times New Roman" w:cs="Times New Roman"/>
                <w:b/>
                <w:bCs/>
                <w:sz w:val="24"/>
                <w:szCs w:val="24"/>
              </w:rPr>
            </w:pPr>
            <w:r w:rsidRPr="00140C12">
              <w:rPr>
                <w:rFonts w:ascii="Times New Roman" w:eastAsia="Times New Roman" w:hAnsi="Times New Roman" w:cs="Times New Roman"/>
                <w:b/>
                <w:bCs/>
                <w:sz w:val="24"/>
                <w:szCs w:val="24"/>
              </w:rPr>
              <w:t>Sig.</w:t>
            </w:r>
          </w:p>
        </w:tc>
      </w:tr>
      <w:tr w:rsidR="00140C12" w:rsidRPr="00140C12" w:rsidTr="00C2515A">
        <w:trPr>
          <w:tblCellSpacing w:w="15" w:type="dxa"/>
          <w:jc w:val="center"/>
        </w:trPr>
        <w:tc>
          <w:tcPr>
            <w:tcW w:w="1717"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b/>
                <w:bCs/>
                <w:sz w:val="24"/>
                <w:szCs w:val="24"/>
              </w:rPr>
              <w:t>Regression</w:t>
            </w:r>
          </w:p>
        </w:tc>
        <w:tc>
          <w:tcPr>
            <w:tcW w:w="2096"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17.435</w:t>
            </w:r>
          </w:p>
        </w:tc>
        <w:tc>
          <w:tcPr>
            <w:tcW w:w="1388"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1</w:t>
            </w:r>
          </w:p>
        </w:tc>
        <w:tc>
          <w:tcPr>
            <w:tcW w:w="1671"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17.435</w:t>
            </w:r>
          </w:p>
        </w:tc>
        <w:tc>
          <w:tcPr>
            <w:tcW w:w="820"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25.217</w:t>
            </w:r>
          </w:p>
        </w:tc>
        <w:tc>
          <w:tcPr>
            <w:tcW w:w="522"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0.000</w:t>
            </w:r>
          </w:p>
        </w:tc>
      </w:tr>
      <w:tr w:rsidR="00140C12" w:rsidRPr="00140C12" w:rsidTr="00C2515A">
        <w:trPr>
          <w:tblCellSpacing w:w="15" w:type="dxa"/>
          <w:jc w:val="center"/>
        </w:trPr>
        <w:tc>
          <w:tcPr>
            <w:tcW w:w="1717"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b/>
                <w:bCs/>
                <w:sz w:val="24"/>
                <w:szCs w:val="24"/>
              </w:rPr>
              <w:t>Residual</w:t>
            </w:r>
          </w:p>
        </w:tc>
        <w:tc>
          <w:tcPr>
            <w:tcW w:w="2096"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41.484</w:t>
            </w:r>
          </w:p>
        </w:tc>
        <w:tc>
          <w:tcPr>
            <w:tcW w:w="1388"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60</w:t>
            </w:r>
          </w:p>
        </w:tc>
        <w:tc>
          <w:tcPr>
            <w:tcW w:w="1671"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0.691</w:t>
            </w:r>
          </w:p>
        </w:tc>
        <w:tc>
          <w:tcPr>
            <w:tcW w:w="820"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p>
        </w:tc>
        <w:tc>
          <w:tcPr>
            <w:tcW w:w="522"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p>
        </w:tc>
      </w:tr>
      <w:tr w:rsidR="00140C12" w:rsidRPr="00140C12" w:rsidTr="00C2515A">
        <w:trPr>
          <w:tblCellSpacing w:w="15" w:type="dxa"/>
          <w:jc w:val="center"/>
        </w:trPr>
        <w:tc>
          <w:tcPr>
            <w:tcW w:w="1717"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b/>
                <w:bCs/>
                <w:sz w:val="24"/>
                <w:szCs w:val="24"/>
              </w:rPr>
              <w:t>Total</w:t>
            </w:r>
          </w:p>
        </w:tc>
        <w:tc>
          <w:tcPr>
            <w:tcW w:w="2096"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58.919</w:t>
            </w:r>
          </w:p>
        </w:tc>
        <w:tc>
          <w:tcPr>
            <w:tcW w:w="1388"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r w:rsidRPr="00140C12">
              <w:rPr>
                <w:rFonts w:ascii="Times New Roman" w:eastAsia="Times New Roman" w:hAnsi="Times New Roman" w:cs="Times New Roman"/>
                <w:sz w:val="24"/>
                <w:szCs w:val="24"/>
              </w:rPr>
              <w:t>61</w:t>
            </w:r>
          </w:p>
        </w:tc>
        <w:tc>
          <w:tcPr>
            <w:tcW w:w="1671"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p>
        </w:tc>
        <w:tc>
          <w:tcPr>
            <w:tcW w:w="820"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p>
        </w:tc>
        <w:tc>
          <w:tcPr>
            <w:tcW w:w="522" w:type="dxa"/>
            <w:vAlign w:val="center"/>
            <w:hideMark/>
          </w:tcPr>
          <w:p w:rsidR="00140C12" w:rsidRPr="00140C12" w:rsidRDefault="00140C12" w:rsidP="00C2515A">
            <w:pPr>
              <w:spacing w:after="0" w:line="360" w:lineRule="auto"/>
              <w:jc w:val="center"/>
              <w:rPr>
                <w:rFonts w:ascii="Times New Roman" w:eastAsia="Times New Roman" w:hAnsi="Times New Roman" w:cs="Times New Roman"/>
                <w:sz w:val="24"/>
                <w:szCs w:val="24"/>
              </w:rPr>
            </w:pPr>
          </w:p>
        </w:tc>
      </w:tr>
    </w:tbl>
    <w:p w:rsidR="00140C12" w:rsidRPr="00140C12" w:rsidRDefault="00140C12" w:rsidP="005B198D">
      <w:pPr>
        <w:spacing w:before="100" w:beforeAutospacing="1" w:after="100" w:afterAutospacing="1" w:line="360" w:lineRule="auto"/>
        <w:jc w:val="both"/>
        <w:rPr>
          <w:rFonts w:ascii="Times New Roman" w:eastAsia="Times New Roman" w:hAnsi="Times New Roman" w:cs="Times New Roman"/>
          <w:sz w:val="24"/>
          <w:szCs w:val="24"/>
        </w:rPr>
      </w:pPr>
      <w:r w:rsidRPr="00140C12">
        <w:rPr>
          <w:rFonts w:ascii="Times New Roman" w:eastAsia="Times New Roman" w:hAnsi="Times New Roman" w:cs="Times New Roman"/>
          <w:b/>
          <w:bCs/>
          <w:sz w:val="24"/>
          <w:szCs w:val="24"/>
        </w:rPr>
        <w:t>Interpretation:</w:t>
      </w:r>
      <w:r w:rsidRPr="00140C12">
        <w:rPr>
          <w:rFonts w:ascii="Times New Roman" w:eastAsia="Times New Roman" w:hAnsi="Times New Roman" w:cs="Times New Roman"/>
          <w:sz w:val="24"/>
          <w:szCs w:val="24"/>
        </w:rPr>
        <w:t xml:space="preserve"> The </w:t>
      </w:r>
      <w:r w:rsidRPr="005B198D">
        <w:rPr>
          <w:rFonts w:ascii="Times New Roman" w:eastAsia="Times New Roman" w:hAnsi="Times New Roman" w:cs="Times New Roman"/>
          <w:bCs/>
          <w:sz w:val="24"/>
          <w:szCs w:val="24"/>
        </w:rPr>
        <w:t>F-statistic (25.217) and significance level (p = 0.000)</w:t>
      </w:r>
      <w:r w:rsidRPr="00140C12">
        <w:rPr>
          <w:rFonts w:ascii="Times New Roman" w:eastAsia="Times New Roman" w:hAnsi="Times New Roman" w:cs="Times New Roman"/>
          <w:sz w:val="24"/>
          <w:szCs w:val="24"/>
        </w:rPr>
        <w:t xml:space="preserve"> confirm that the regression model is </w:t>
      </w:r>
      <w:r w:rsidRPr="005B198D">
        <w:rPr>
          <w:rFonts w:ascii="Times New Roman" w:eastAsia="Times New Roman" w:hAnsi="Times New Roman" w:cs="Times New Roman"/>
          <w:bCs/>
          <w:sz w:val="24"/>
          <w:szCs w:val="24"/>
        </w:rPr>
        <w:t>statistically significant</w:t>
      </w:r>
      <w:r w:rsidRPr="00140C12">
        <w:rPr>
          <w:rFonts w:ascii="Times New Roman" w:eastAsia="Times New Roman" w:hAnsi="Times New Roman" w:cs="Times New Roman"/>
          <w:sz w:val="24"/>
          <w:szCs w:val="24"/>
        </w:rPr>
        <w:t xml:space="preserve">, leading to the </w:t>
      </w:r>
      <w:r w:rsidRPr="005B198D">
        <w:rPr>
          <w:rFonts w:ascii="Times New Roman" w:eastAsia="Times New Roman" w:hAnsi="Times New Roman" w:cs="Times New Roman"/>
          <w:bCs/>
          <w:sz w:val="24"/>
          <w:szCs w:val="24"/>
        </w:rPr>
        <w:t>rejection of the null hypothesis (H₀)</w:t>
      </w:r>
      <w:r w:rsidRPr="00140C12">
        <w:rPr>
          <w:rFonts w:ascii="Times New Roman" w:eastAsia="Times New Roman" w:hAnsi="Times New Roman" w:cs="Times New Roman"/>
          <w:sz w:val="24"/>
          <w:szCs w:val="24"/>
        </w:rPr>
        <w:t xml:space="preserve">. This establishes that </w:t>
      </w:r>
      <w:r w:rsidRPr="005B198D">
        <w:rPr>
          <w:rFonts w:ascii="Times New Roman" w:eastAsia="Times New Roman" w:hAnsi="Times New Roman" w:cs="Times New Roman"/>
          <w:bCs/>
          <w:sz w:val="24"/>
          <w:szCs w:val="24"/>
        </w:rPr>
        <w:t>financial literacy has a meaningful impact on financial well-being</w:t>
      </w:r>
      <w:r w:rsidRPr="00140C12">
        <w:rPr>
          <w:rFonts w:ascii="Times New Roman" w:eastAsia="Times New Roman" w:hAnsi="Times New Roman" w:cs="Times New Roman"/>
          <w:sz w:val="24"/>
          <w:szCs w:val="24"/>
        </w:rPr>
        <w:t>.</w:t>
      </w:r>
    </w:p>
    <w:p w:rsidR="00C2515A" w:rsidRPr="00C2515A" w:rsidRDefault="00C2515A" w:rsidP="00C2515A">
      <w:pPr>
        <w:spacing w:before="100" w:beforeAutospacing="1" w:after="100" w:afterAutospacing="1" w:line="240" w:lineRule="auto"/>
        <w:outlineLvl w:val="2"/>
        <w:rPr>
          <w:rFonts w:ascii="Times New Roman" w:eastAsia="Times New Roman" w:hAnsi="Times New Roman" w:cs="Times New Roman"/>
          <w:b/>
          <w:bCs/>
          <w:sz w:val="27"/>
          <w:szCs w:val="27"/>
        </w:rPr>
      </w:pPr>
      <w:r w:rsidRPr="00C2515A">
        <w:rPr>
          <w:rFonts w:ascii="Times New Roman" w:eastAsia="Times New Roman" w:hAnsi="Times New Roman" w:cs="Times New Roman"/>
          <w:b/>
          <w:bCs/>
          <w:sz w:val="27"/>
          <w:szCs w:val="27"/>
        </w:rPr>
        <w:t>4.4.3 Coefficients Table</w:t>
      </w:r>
    </w:p>
    <w:tbl>
      <w:tblPr>
        <w:tblW w:w="0" w:type="auto"/>
        <w:tblCellSpacing w:w="15"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559"/>
        <w:gridCol w:w="1783"/>
        <w:gridCol w:w="1147"/>
        <w:gridCol w:w="1668"/>
        <w:gridCol w:w="918"/>
        <w:gridCol w:w="620"/>
        <w:gridCol w:w="1297"/>
      </w:tblGrid>
      <w:tr w:rsidR="00C2515A" w:rsidRPr="00C2515A" w:rsidTr="00C2515A">
        <w:trPr>
          <w:tblHeader/>
          <w:tblCellSpacing w:w="15" w:type="dxa"/>
        </w:trPr>
        <w:tc>
          <w:tcPr>
            <w:tcW w:w="1514"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Model</w:t>
            </w:r>
          </w:p>
        </w:tc>
        <w:tc>
          <w:tcPr>
            <w:tcW w:w="1753"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proofErr w:type="spellStart"/>
            <w:r w:rsidRPr="00C2515A">
              <w:rPr>
                <w:rFonts w:ascii="Times New Roman" w:eastAsia="Times New Roman" w:hAnsi="Times New Roman" w:cs="Times New Roman"/>
                <w:b/>
                <w:bCs/>
                <w:sz w:val="24"/>
                <w:szCs w:val="24"/>
              </w:rPr>
              <w:t>Unstandardized</w:t>
            </w:r>
            <w:proofErr w:type="spellEnd"/>
            <w:r w:rsidRPr="00C2515A">
              <w:rPr>
                <w:rFonts w:ascii="Times New Roman" w:eastAsia="Times New Roman" w:hAnsi="Times New Roman" w:cs="Times New Roman"/>
                <w:b/>
                <w:bCs/>
                <w:sz w:val="24"/>
                <w:szCs w:val="24"/>
              </w:rPr>
              <w:t xml:space="preserve"> Coefficients (B)</w:t>
            </w:r>
          </w:p>
        </w:tc>
        <w:tc>
          <w:tcPr>
            <w:tcW w:w="0" w:type="auto"/>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Std. Error</w:t>
            </w:r>
          </w:p>
        </w:tc>
        <w:tc>
          <w:tcPr>
            <w:tcW w:w="163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Standardized Coefficients (Beta)</w:t>
            </w:r>
          </w:p>
        </w:tc>
        <w:tc>
          <w:tcPr>
            <w:tcW w:w="88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t</w:t>
            </w:r>
          </w:p>
        </w:tc>
        <w:tc>
          <w:tcPr>
            <w:tcW w:w="590"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Sig.</w:t>
            </w:r>
          </w:p>
        </w:tc>
        <w:tc>
          <w:tcPr>
            <w:tcW w:w="1252" w:type="dxa"/>
            <w:vAlign w:val="center"/>
            <w:hideMark/>
          </w:tcPr>
          <w:p w:rsidR="00C2515A" w:rsidRPr="00C2515A" w:rsidRDefault="00C2515A" w:rsidP="00C2515A">
            <w:pPr>
              <w:spacing w:after="0" w:line="360" w:lineRule="auto"/>
              <w:jc w:val="center"/>
              <w:rPr>
                <w:rFonts w:ascii="Times New Roman" w:eastAsia="Times New Roman" w:hAnsi="Times New Roman" w:cs="Times New Roman"/>
                <w:b/>
                <w:bCs/>
                <w:sz w:val="24"/>
                <w:szCs w:val="24"/>
              </w:rPr>
            </w:pPr>
            <w:r w:rsidRPr="00C2515A">
              <w:rPr>
                <w:rFonts w:ascii="Times New Roman" w:eastAsia="Times New Roman" w:hAnsi="Times New Roman" w:cs="Times New Roman"/>
                <w:b/>
                <w:bCs/>
                <w:sz w:val="24"/>
                <w:szCs w:val="24"/>
              </w:rPr>
              <w:t>95% Confidence Interval for B</w:t>
            </w:r>
          </w:p>
        </w:tc>
      </w:tr>
      <w:tr w:rsidR="00C2515A" w:rsidRPr="00C2515A" w:rsidTr="00C2515A">
        <w:trPr>
          <w:tblCellSpacing w:w="15" w:type="dxa"/>
        </w:trPr>
        <w:tc>
          <w:tcPr>
            <w:tcW w:w="1514"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b/>
                <w:bCs/>
                <w:sz w:val="24"/>
                <w:szCs w:val="24"/>
              </w:rPr>
              <w:t>(Constant)</w:t>
            </w:r>
          </w:p>
        </w:tc>
        <w:tc>
          <w:tcPr>
            <w:tcW w:w="1753"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1.792</w:t>
            </w:r>
          </w:p>
        </w:tc>
        <w:tc>
          <w:tcPr>
            <w:tcW w:w="0" w:type="auto"/>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0.338</w:t>
            </w:r>
          </w:p>
        </w:tc>
        <w:tc>
          <w:tcPr>
            <w:tcW w:w="163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p>
        </w:tc>
        <w:tc>
          <w:tcPr>
            <w:tcW w:w="88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5.306</w:t>
            </w:r>
          </w:p>
        </w:tc>
        <w:tc>
          <w:tcPr>
            <w:tcW w:w="590"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p>
        </w:tc>
        <w:tc>
          <w:tcPr>
            <w:tcW w:w="1252"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p>
        </w:tc>
      </w:tr>
      <w:tr w:rsidR="00C2515A" w:rsidRPr="00C2515A" w:rsidTr="00C2515A">
        <w:trPr>
          <w:tblCellSpacing w:w="15" w:type="dxa"/>
        </w:trPr>
        <w:tc>
          <w:tcPr>
            <w:tcW w:w="1514"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b/>
                <w:bCs/>
                <w:sz w:val="24"/>
                <w:szCs w:val="24"/>
              </w:rPr>
              <w:t>Financial Literacy</w:t>
            </w:r>
          </w:p>
        </w:tc>
        <w:tc>
          <w:tcPr>
            <w:tcW w:w="1753"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0.444</w:t>
            </w:r>
          </w:p>
        </w:tc>
        <w:tc>
          <w:tcPr>
            <w:tcW w:w="0" w:type="auto"/>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0.088</w:t>
            </w:r>
          </w:p>
        </w:tc>
        <w:tc>
          <w:tcPr>
            <w:tcW w:w="163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0.544</w:t>
            </w:r>
          </w:p>
        </w:tc>
        <w:tc>
          <w:tcPr>
            <w:tcW w:w="888"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5.022</w:t>
            </w:r>
          </w:p>
        </w:tc>
        <w:tc>
          <w:tcPr>
            <w:tcW w:w="590"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0.000</w:t>
            </w:r>
          </w:p>
        </w:tc>
        <w:tc>
          <w:tcPr>
            <w:tcW w:w="1252" w:type="dxa"/>
            <w:vAlign w:val="center"/>
            <w:hideMark/>
          </w:tcPr>
          <w:p w:rsidR="00C2515A" w:rsidRPr="00C2515A" w:rsidRDefault="00C2515A" w:rsidP="00C2515A">
            <w:pPr>
              <w:spacing w:after="0" w:line="360" w:lineRule="auto"/>
              <w:jc w:val="center"/>
              <w:rPr>
                <w:rFonts w:ascii="Times New Roman" w:eastAsia="Times New Roman" w:hAnsi="Times New Roman" w:cs="Times New Roman"/>
                <w:sz w:val="24"/>
                <w:szCs w:val="24"/>
              </w:rPr>
            </w:pPr>
            <w:r w:rsidRPr="00C2515A">
              <w:rPr>
                <w:rFonts w:ascii="Times New Roman" w:eastAsia="Times New Roman" w:hAnsi="Times New Roman" w:cs="Times New Roman"/>
                <w:sz w:val="24"/>
                <w:szCs w:val="24"/>
              </w:rPr>
              <w:t>(0.267 to 0.621)</w:t>
            </w:r>
          </w:p>
        </w:tc>
      </w:tr>
    </w:tbl>
    <w:p w:rsidR="00C2515A" w:rsidRPr="00C2515A" w:rsidRDefault="00C2515A" w:rsidP="00C2515A">
      <w:pPr>
        <w:spacing w:before="100" w:beforeAutospacing="1" w:after="100" w:afterAutospacing="1" w:line="360" w:lineRule="auto"/>
        <w:jc w:val="both"/>
        <w:rPr>
          <w:rFonts w:ascii="Times New Roman" w:eastAsia="Times New Roman" w:hAnsi="Times New Roman" w:cs="Times New Roman"/>
          <w:sz w:val="24"/>
          <w:szCs w:val="24"/>
        </w:rPr>
      </w:pPr>
      <w:r w:rsidRPr="00C2515A">
        <w:rPr>
          <w:rFonts w:ascii="Times New Roman" w:eastAsia="Times New Roman" w:hAnsi="Times New Roman" w:cs="Times New Roman"/>
          <w:b/>
          <w:bCs/>
          <w:sz w:val="24"/>
          <w:szCs w:val="24"/>
        </w:rPr>
        <w:t>Interpretation:</w:t>
      </w:r>
      <w:r w:rsidRPr="00C2515A">
        <w:rPr>
          <w:rFonts w:ascii="Times New Roman" w:eastAsia="Times New Roman" w:hAnsi="Times New Roman" w:cs="Times New Roman"/>
          <w:sz w:val="24"/>
          <w:szCs w:val="24"/>
        </w:rPr>
        <w:t xml:space="preserve"> The </w:t>
      </w:r>
      <w:r w:rsidRPr="00C2515A">
        <w:rPr>
          <w:rFonts w:ascii="Times New Roman" w:eastAsia="Times New Roman" w:hAnsi="Times New Roman" w:cs="Times New Roman"/>
          <w:bCs/>
          <w:sz w:val="24"/>
          <w:szCs w:val="24"/>
        </w:rPr>
        <w:t>regression coefficient (B = 0.444, p = 0.000)</w:t>
      </w:r>
      <w:r w:rsidRPr="00C2515A">
        <w:rPr>
          <w:rFonts w:ascii="Times New Roman" w:eastAsia="Times New Roman" w:hAnsi="Times New Roman" w:cs="Times New Roman"/>
          <w:sz w:val="24"/>
          <w:szCs w:val="24"/>
        </w:rPr>
        <w:t xml:space="preserve"> indicates that for every </w:t>
      </w:r>
      <w:r w:rsidRPr="00C2515A">
        <w:rPr>
          <w:rFonts w:ascii="Times New Roman" w:eastAsia="Times New Roman" w:hAnsi="Times New Roman" w:cs="Times New Roman"/>
          <w:bCs/>
          <w:sz w:val="24"/>
          <w:szCs w:val="24"/>
        </w:rPr>
        <w:t>one-unit increase in financial literacy, financial well-being improves by 0.444 units</w:t>
      </w:r>
      <w:r w:rsidRPr="00C2515A">
        <w:rPr>
          <w:rFonts w:ascii="Times New Roman" w:eastAsia="Times New Roman" w:hAnsi="Times New Roman" w:cs="Times New Roman"/>
          <w:sz w:val="24"/>
          <w:szCs w:val="24"/>
        </w:rPr>
        <w:t xml:space="preserve">. Since the </w:t>
      </w:r>
      <w:r w:rsidRPr="00C2515A">
        <w:rPr>
          <w:rFonts w:ascii="Times New Roman" w:eastAsia="Times New Roman" w:hAnsi="Times New Roman" w:cs="Times New Roman"/>
          <w:bCs/>
          <w:sz w:val="24"/>
          <w:szCs w:val="24"/>
        </w:rPr>
        <w:t>95% confidence interval (0.267 to 0.621) does not include zero</w:t>
      </w:r>
      <w:r w:rsidRPr="00C2515A">
        <w:rPr>
          <w:rFonts w:ascii="Times New Roman" w:eastAsia="Times New Roman" w:hAnsi="Times New Roman" w:cs="Times New Roman"/>
          <w:sz w:val="24"/>
          <w:szCs w:val="24"/>
        </w:rPr>
        <w:t xml:space="preserve">, financial literacy is confirmed as a </w:t>
      </w:r>
      <w:r w:rsidRPr="00C2515A">
        <w:rPr>
          <w:rFonts w:ascii="Times New Roman" w:eastAsia="Times New Roman" w:hAnsi="Times New Roman" w:cs="Times New Roman"/>
          <w:bCs/>
          <w:sz w:val="24"/>
          <w:szCs w:val="24"/>
        </w:rPr>
        <w:t>significant predictor of financial well-being</w:t>
      </w:r>
      <w:r w:rsidRPr="00C2515A">
        <w:rPr>
          <w:rFonts w:ascii="Times New Roman" w:eastAsia="Times New Roman" w:hAnsi="Times New Roman" w:cs="Times New Roman"/>
          <w:sz w:val="24"/>
          <w:szCs w:val="24"/>
        </w:rPr>
        <w:t>.</w:t>
      </w:r>
    </w:p>
    <w:p w:rsidR="00DA0130" w:rsidRPr="00DA0130" w:rsidRDefault="00DA0130" w:rsidP="00DA0130">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A0130">
        <w:rPr>
          <w:rFonts w:ascii="Times New Roman" w:eastAsia="Times New Roman" w:hAnsi="Times New Roman" w:cs="Times New Roman"/>
          <w:b/>
          <w:bCs/>
          <w:sz w:val="27"/>
          <w:szCs w:val="27"/>
        </w:rPr>
        <w:t>4.5 Inference</w:t>
      </w:r>
    </w:p>
    <w:p w:rsidR="00DA0130" w:rsidRPr="00DA0130" w:rsidRDefault="00DA0130" w:rsidP="00DA0130">
      <w:pPr>
        <w:spacing w:before="100" w:beforeAutospacing="1" w:after="100" w:afterAutospacing="1" w:line="360" w:lineRule="auto"/>
        <w:jc w:val="both"/>
        <w:rPr>
          <w:rFonts w:ascii="Times New Roman" w:eastAsia="Times New Roman" w:hAnsi="Times New Roman" w:cs="Times New Roman"/>
          <w:sz w:val="24"/>
          <w:szCs w:val="24"/>
        </w:rPr>
      </w:pPr>
      <w:r w:rsidRPr="00DA0130">
        <w:rPr>
          <w:rFonts w:ascii="Times New Roman" w:eastAsia="Times New Roman" w:hAnsi="Times New Roman" w:cs="Times New Roman"/>
          <w:sz w:val="24"/>
          <w:szCs w:val="24"/>
        </w:rPr>
        <w:t xml:space="preserve">The results of the analysis indicate a </w:t>
      </w:r>
      <w:r w:rsidRPr="00DA0130">
        <w:rPr>
          <w:rFonts w:ascii="Times New Roman" w:eastAsia="Times New Roman" w:hAnsi="Times New Roman" w:cs="Times New Roman"/>
          <w:bCs/>
          <w:sz w:val="24"/>
          <w:szCs w:val="24"/>
        </w:rPr>
        <w:t>moderate positive correlation (r = 0.544) and an R² value of 0.296</w:t>
      </w:r>
      <w:r w:rsidRPr="00DA0130">
        <w:rPr>
          <w:rFonts w:ascii="Times New Roman" w:eastAsia="Times New Roman" w:hAnsi="Times New Roman" w:cs="Times New Roman"/>
          <w:sz w:val="24"/>
          <w:szCs w:val="24"/>
        </w:rPr>
        <w:t xml:space="preserve">, suggesting that </w:t>
      </w:r>
      <w:r w:rsidRPr="00DA0130">
        <w:rPr>
          <w:rFonts w:ascii="Times New Roman" w:eastAsia="Times New Roman" w:hAnsi="Times New Roman" w:cs="Times New Roman"/>
          <w:bCs/>
          <w:sz w:val="24"/>
          <w:szCs w:val="24"/>
        </w:rPr>
        <w:t>financial literacy plays a significant role in determining financial well-being</w:t>
      </w:r>
      <w:r w:rsidRPr="00DA0130">
        <w:rPr>
          <w:rFonts w:ascii="Times New Roman" w:eastAsia="Times New Roman" w:hAnsi="Times New Roman" w:cs="Times New Roman"/>
          <w:sz w:val="24"/>
          <w:szCs w:val="24"/>
        </w:rPr>
        <w:t xml:space="preserve">, though other factors may also contribute. The </w:t>
      </w:r>
      <w:r w:rsidRPr="00DA0130">
        <w:rPr>
          <w:rFonts w:ascii="Times New Roman" w:eastAsia="Times New Roman" w:hAnsi="Times New Roman" w:cs="Times New Roman"/>
          <w:bCs/>
          <w:sz w:val="24"/>
          <w:szCs w:val="24"/>
        </w:rPr>
        <w:t>ANOVA results (F = 25.217, p = 0.000)</w:t>
      </w:r>
      <w:r w:rsidRPr="00DA0130">
        <w:rPr>
          <w:rFonts w:ascii="Times New Roman" w:eastAsia="Times New Roman" w:hAnsi="Times New Roman" w:cs="Times New Roman"/>
          <w:sz w:val="24"/>
          <w:szCs w:val="24"/>
        </w:rPr>
        <w:t xml:space="preserve"> confirm the statistical significance of the regression model, leading to the </w:t>
      </w:r>
      <w:r w:rsidRPr="00DA0130">
        <w:rPr>
          <w:rFonts w:ascii="Times New Roman" w:eastAsia="Times New Roman" w:hAnsi="Times New Roman" w:cs="Times New Roman"/>
          <w:bCs/>
          <w:sz w:val="24"/>
          <w:szCs w:val="24"/>
        </w:rPr>
        <w:t xml:space="preserve">rejection of the null </w:t>
      </w:r>
      <w:r w:rsidRPr="00DA0130">
        <w:rPr>
          <w:rFonts w:ascii="Times New Roman" w:eastAsia="Times New Roman" w:hAnsi="Times New Roman" w:cs="Times New Roman"/>
          <w:bCs/>
          <w:sz w:val="24"/>
          <w:szCs w:val="24"/>
        </w:rPr>
        <w:lastRenderedPageBreak/>
        <w:t>hypothesis (H₀)</w:t>
      </w:r>
      <w:r w:rsidRPr="00DA0130">
        <w:rPr>
          <w:rFonts w:ascii="Times New Roman" w:eastAsia="Times New Roman" w:hAnsi="Times New Roman" w:cs="Times New Roman"/>
          <w:sz w:val="24"/>
          <w:szCs w:val="24"/>
        </w:rPr>
        <w:t xml:space="preserve"> and establishing that </w:t>
      </w:r>
      <w:r w:rsidRPr="00DA0130">
        <w:rPr>
          <w:rFonts w:ascii="Times New Roman" w:eastAsia="Times New Roman" w:hAnsi="Times New Roman" w:cs="Times New Roman"/>
          <w:bCs/>
          <w:sz w:val="24"/>
          <w:szCs w:val="24"/>
        </w:rPr>
        <w:t>financial literacy has a direct and positive impact on financial well-being</w:t>
      </w:r>
      <w:r w:rsidRPr="00DA0130">
        <w:rPr>
          <w:rFonts w:ascii="Times New Roman" w:eastAsia="Times New Roman" w:hAnsi="Times New Roman" w:cs="Times New Roman"/>
          <w:sz w:val="24"/>
          <w:szCs w:val="24"/>
        </w:rPr>
        <w:t xml:space="preserve">. Furthermore, the </w:t>
      </w:r>
      <w:r w:rsidRPr="00DA0130">
        <w:rPr>
          <w:rFonts w:ascii="Times New Roman" w:eastAsia="Times New Roman" w:hAnsi="Times New Roman" w:cs="Times New Roman"/>
          <w:bCs/>
          <w:sz w:val="24"/>
          <w:szCs w:val="24"/>
        </w:rPr>
        <w:t>regression coefficient (B = 0.444, p = 0.000)</w:t>
      </w:r>
      <w:r w:rsidRPr="00DA0130">
        <w:rPr>
          <w:rFonts w:ascii="Times New Roman" w:eastAsia="Times New Roman" w:hAnsi="Times New Roman" w:cs="Times New Roman"/>
          <w:sz w:val="24"/>
          <w:szCs w:val="24"/>
        </w:rPr>
        <w:t xml:space="preserve"> reinforces the idea that an </w:t>
      </w:r>
      <w:r w:rsidRPr="00DA0130">
        <w:rPr>
          <w:rFonts w:ascii="Times New Roman" w:eastAsia="Times New Roman" w:hAnsi="Times New Roman" w:cs="Times New Roman"/>
          <w:bCs/>
          <w:sz w:val="24"/>
          <w:szCs w:val="24"/>
        </w:rPr>
        <w:t>increase in financial literacy leads to better financial decision-making, improved financial stability, and enhanced investment confidence</w:t>
      </w:r>
      <w:r w:rsidRPr="00DA0130">
        <w:rPr>
          <w:rFonts w:ascii="Times New Roman" w:eastAsia="Times New Roman" w:hAnsi="Times New Roman" w:cs="Times New Roman"/>
          <w:sz w:val="24"/>
          <w:szCs w:val="24"/>
        </w:rPr>
        <w:t xml:space="preserve">. These findings emphasize the </w:t>
      </w:r>
      <w:r w:rsidRPr="00DA0130">
        <w:rPr>
          <w:rFonts w:ascii="Times New Roman" w:eastAsia="Times New Roman" w:hAnsi="Times New Roman" w:cs="Times New Roman"/>
          <w:bCs/>
          <w:sz w:val="24"/>
          <w:szCs w:val="24"/>
        </w:rPr>
        <w:t>importance of financial education programs</w:t>
      </w:r>
      <w:r w:rsidRPr="00DA0130">
        <w:rPr>
          <w:rFonts w:ascii="Times New Roman" w:eastAsia="Times New Roman" w:hAnsi="Times New Roman" w:cs="Times New Roman"/>
          <w:sz w:val="24"/>
          <w:szCs w:val="24"/>
        </w:rPr>
        <w:t xml:space="preserve"> in equipping individuals with the necessary knowledge and skills to </w:t>
      </w:r>
      <w:r w:rsidRPr="00DA0130">
        <w:rPr>
          <w:rFonts w:ascii="Times New Roman" w:eastAsia="Times New Roman" w:hAnsi="Times New Roman" w:cs="Times New Roman"/>
          <w:bCs/>
          <w:sz w:val="24"/>
          <w:szCs w:val="24"/>
        </w:rPr>
        <w:t>make informed financial choices, optimize investment portfolios, and secure long-term financial well-being</w:t>
      </w:r>
      <w:r w:rsidRPr="00DA0130">
        <w:rPr>
          <w:rFonts w:ascii="Times New Roman" w:eastAsia="Times New Roman" w:hAnsi="Times New Roman" w:cs="Times New Roman"/>
          <w:sz w:val="24"/>
          <w:szCs w:val="24"/>
        </w:rPr>
        <w:t>.</w:t>
      </w:r>
    </w:p>
    <w:p w:rsidR="007D5BF3" w:rsidRPr="007D5BF3" w:rsidRDefault="007D5BF3" w:rsidP="007D5BF3">
      <w:pPr>
        <w:spacing w:line="360" w:lineRule="auto"/>
        <w:jc w:val="both"/>
        <w:rPr>
          <w:rFonts w:ascii="Times New Roman" w:hAnsi="Times New Roman" w:cs="Times New Roman"/>
          <w:b/>
          <w:bCs/>
          <w:sz w:val="24"/>
          <w:szCs w:val="24"/>
        </w:rPr>
      </w:pPr>
      <w:r w:rsidRPr="007D5BF3">
        <w:rPr>
          <w:rFonts w:ascii="Times New Roman" w:hAnsi="Times New Roman" w:cs="Times New Roman"/>
          <w:b/>
          <w:bCs/>
          <w:sz w:val="24"/>
          <w:szCs w:val="24"/>
        </w:rPr>
        <w:t>4.6 Key Findings</w:t>
      </w:r>
    </w:p>
    <w:p w:rsidR="007D5BF3" w:rsidRPr="007D5BF3" w:rsidRDefault="007D5BF3" w:rsidP="00D96B42">
      <w:pPr>
        <w:numPr>
          <w:ilvl w:val="0"/>
          <w:numId w:val="10"/>
        </w:numPr>
        <w:spacing w:line="360" w:lineRule="auto"/>
        <w:jc w:val="both"/>
        <w:rPr>
          <w:rFonts w:ascii="Times New Roman" w:hAnsi="Times New Roman" w:cs="Times New Roman"/>
          <w:sz w:val="24"/>
          <w:szCs w:val="24"/>
        </w:rPr>
      </w:pPr>
      <w:r w:rsidRPr="007D5BF3">
        <w:rPr>
          <w:rFonts w:ascii="Times New Roman" w:hAnsi="Times New Roman" w:cs="Times New Roman"/>
          <w:bCs/>
          <w:sz w:val="24"/>
          <w:szCs w:val="24"/>
        </w:rPr>
        <w:t>Financial literacy significantly enhances financial well-being</w:t>
      </w:r>
      <w:r w:rsidRPr="007D5BF3">
        <w:rPr>
          <w:rFonts w:ascii="Times New Roman" w:hAnsi="Times New Roman" w:cs="Times New Roman"/>
          <w:sz w:val="24"/>
          <w:szCs w:val="24"/>
        </w:rPr>
        <w:t xml:space="preserve">, leading to </w:t>
      </w:r>
      <w:r w:rsidRPr="007D5BF3">
        <w:rPr>
          <w:rFonts w:ascii="Times New Roman" w:hAnsi="Times New Roman" w:cs="Times New Roman"/>
          <w:bCs/>
          <w:sz w:val="24"/>
          <w:szCs w:val="24"/>
        </w:rPr>
        <w:t>better financial planning, risk management, and investment decision-making</w:t>
      </w:r>
      <w:r w:rsidRPr="007D5BF3">
        <w:rPr>
          <w:rFonts w:ascii="Times New Roman" w:hAnsi="Times New Roman" w:cs="Times New Roman"/>
          <w:sz w:val="24"/>
          <w:szCs w:val="24"/>
        </w:rPr>
        <w:t>.</w:t>
      </w:r>
    </w:p>
    <w:p w:rsidR="007D5BF3" w:rsidRPr="007D5BF3" w:rsidRDefault="007D5BF3" w:rsidP="00D96B42">
      <w:pPr>
        <w:numPr>
          <w:ilvl w:val="0"/>
          <w:numId w:val="10"/>
        </w:numPr>
        <w:spacing w:line="360" w:lineRule="auto"/>
        <w:jc w:val="both"/>
        <w:rPr>
          <w:rFonts w:ascii="Times New Roman" w:hAnsi="Times New Roman" w:cs="Times New Roman"/>
          <w:sz w:val="24"/>
          <w:szCs w:val="24"/>
        </w:rPr>
      </w:pPr>
      <w:r w:rsidRPr="007D5BF3">
        <w:rPr>
          <w:rFonts w:ascii="Times New Roman" w:hAnsi="Times New Roman" w:cs="Times New Roman"/>
          <w:bCs/>
          <w:sz w:val="24"/>
          <w:szCs w:val="24"/>
        </w:rPr>
        <w:t>Higher financial literacy is linked to lower financial stress</w:t>
      </w:r>
      <w:r w:rsidRPr="007D5BF3">
        <w:rPr>
          <w:rFonts w:ascii="Times New Roman" w:hAnsi="Times New Roman" w:cs="Times New Roman"/>
          <w:sz w:val="24"/>
          <w:szCs w:val="24"/>
        </w:rPr>
        <w:t xml:space="preserve">, increased savings, and </w:t>
      </w:r>
      <w:r w:rsidRPr="007D5BF3">
        <w:rPr>
          <w:rFonts w:ascii="Times New Roman" w:hAnsi="Times New Roman" w:cs="Times New Roman"/>
          <w:bCs/>
          <w:sz w:val="24"/>
          <w:szCs w:val="24"/>
        </w:rPr>
        <w:t>more strategic investment behavior</w:t>
      </w:r>
      <w:r w:rsidRPr="007D5BF3">
        <w:rPr>
          <w:rFonts w:ascii="Times New Roman" w:hAnsi="Times New Roman" w:cs="Times New Roman"/>
          <w:sz w:val="24"/>
          <w:szCs w:val="24"/>
        </w:rPr>
        <w:t>.</w:t>
      </w:r>
    </w:p>
    <w:p w:rsidR="007D5BF3" w:rsidRPr="007D5BF3" w:rsidRDefault="007D5BF3" w:rsidP="00D96B42">
      <w:pPr>
        <w:numPr>
          <w:ilvl w:val="0"/>
          <w:numId w:val="10"/>
        </w:numPr>
        <w:spacing w:line="360" w:lineRule="auto"/>
        <w:jc w:val="both"/>
        <w:rPr>
          <w:rFonts w:ascii="Times New Roman" w:hAnsi="Times New Roman" w:cs="Times New Roman"/>
          <w:sz w:val="24"/>
          <w:szCs w:val="24"/>
        </w:rPr>
      </w:pPr>
      <w:r w:rsidRPr="007D5BF3">
        <w:rPr>
          <w:rFonts w:ascii="Times New Roman" w:hAnsi="Times New Roman" w:cs="Times New Roman"/>
          <w:bCs/>
          <w:sz w:val="24"/>
          <w:szCs w:val="24"/>
        </w:rPr>
        <w:t>Young professionals (25-35 years) are increasingly investing in mutual funds</w:t>
      </w:r>
      <w:r w:rsidRPr="007D5BF3">
        <w:rPr>
          <w:rFonts w:ascii="Times New Roman" w:hAnsi="Times New Roman" w:cs="Times New Roman"/>
          <w:sz w:val="24"/>
          <w:szCs w:val="24"/>
        </w:rPr>
        <w:t xml:space="preserve">, highlighting the need for </w:t>
      </w:r>
      <w:r w:rsidRPr="007D5BF3">
        <w:rPr>
          <w:rFonts w:ascii="Times New Roman" w:hAnsi="Times New Roman" w:cs="Times New Roman"/>
          <w:bCs/>
          <w:sz w:val="24"/>
          <w:szCs w:val="24"/>
        </w:rPr>
        <w:t>early financial literacy programs</w:t>
      </w:r>
      <w:r w:rsidRPr="007D5BF3">
        <w:rPr>
          <w:rFonts w:ascii="Times New Roman" w:hAnsi="Times New Roman" w:cs="Times New Roman"/>
          <w:sz w:val="24"/>
          <w:szCs w:val="24"/>
        </w:rPr>
        <w:t>.</w:t>
      </w:r>
    </w:p>
    <w:p w:rsidR="007D5BF3" w:rsidRPr="007D5BF3" w:rsidRDefault="007D5BF3" w:rsidP="00D96B42">
      <w:pPr>
        <w:numPr>
          <w:ilvl w:val="0"/>
          <w:numId w:val="10"/>
        </w:numPr>
        <w:spacing w:line="360" w:lineRule="auto"/>
        <w:jc w:val="both"/>
        <w:rPr>
          <w:rFonts w:ascii="Times New Roman" w:hAnsi="Times New Roman" w:cs="Times New Roman"/>
          <w:sz w:val="24"/>
          <w:szCs w:val="24"/>
        </w:rPr>
      </w:pPr>
      <w:r w:rsidRPr="007D5BF3">
        <w:rPr>
          <w:rFonts w:ascii="Times New Roman" w:hAnsi="Times New Roman" w:cs="Times New Roman"/>
          <w:bCs/>
          <w:sz w:val="24"/>
          <w:szCs w:val="24"/>
        </w:rPr>
        <w:t>Financial literacy disparities exist among income groups</w:t>
      </w:r>
      <w:r w:rsidRPr="007D5BF3">
        <w:rPr>
          <w:rFonts w:ascii="Times New Roman" w:hAnsi="Times New Roman" w:cs="Times New Roman"/>
          <w:sz w:val="24"/>
          <w:szCs w:val="24"/>
        </w:rPr>
        <w:t xml:space="preserve">, with </w:t>
      </w:r>
      <w:r w:rsidRPr="007D5BF3">
        <w:rPr>
          <w:rFonts w:ascii="Times New Roman" w:hAnsi="Times New Roman" w:cs="Times New Roman"/>
          <w:bCs/>
          <w:sz w:val="24"/>
          <w:szCs w:val="24"/>
        </w:rPr>
        <w:t>middle-income investors exhibiting higher financial awareness</w:t>
      </w:r>
      <w:r w:rsidRPr="007D5BF3">
        <w:rPr>
          <w:rFonts w:ascii="Times New Roman" w:hAnsi="Times New Roman" w:cs="Times New Roman"/>
          <w:sz w:val="24"/>
          <w:szCs w:val="24"/>
        </w:rPr>
        <w:t xml:space="preserve"> than lower-income groups.</w:t>
      </w:r>
    </w:p>
    <w:p w:rsidR="007D5BF3" w:rsidRPr="007D5BF3" w:rsidRDefault="007D5BF3" w:rsidP="00D96B42">
      <w:pPr>
        <w:numPr>
          <w:ilvl w:val="0"/>
          <w:numId w:val="10"/>
        </w:numPr>
        <w:spacing w:line="360" w:lineRule="auto"/>
        <w:jc w:val="both"/>
        <w:rPr>
          <w:rFonts w:ascii="Times New Roman" w:hAnsi="Times New Roman" w:cs="Times New Roman"/>
          <w:sz w:val="24"/>
          <w:szCs w:val="24"/>
        </w:rPr>
      </w:pPr>
      <w:r w:rsidRPr="007D5BF3">
        <w:rPr>
          <w:rFonts w:ascii="Times New Roman" w:hAnsi="Times New Roman" w:cs="Times New Roman"/>
          <w:bCs/>
          <w:sz w:val="24"/>
          <w:szCs w:val="24"/>
        </w:rPr>
        <w:t>Women’s participation in mutual fund investments is rising</w:t>
      </w:r>
      <w:r w:rsidRPr="007D5BF3">
        <w:rPr>
          <w:rFonts w:ascii="Times New Roman" w:hAnsi="Times New Roman" w:cs="Times New Roman"/>
          <w:sz w:val="24"/>
          <w:szCs w:val="24"/>
        </w:rPr>
        <w:t xml:space="preserve">, indicating that </w:t>
      </w:r>
      <w:r w:rsidRPr="007D5BF3">
        <w:rPr>
          <w:rFonts w:ascii="Times New Roman" w:hAnsi="Times New Roman" w:cs="Times New Roman"/>
          <w:bCs/>
          <w:sz w:val="24"/>
          <w:szCs w:val="24"/>
        </w:rPr>
        <w:t>targeted financial education initiatives can further strengthen their financial confidence and decision-making skills</w:t>
      </w:r>
      <w:r w:rsidRPr="007D5BF3">
        <w:rPr>
          <w:rFonts w:ascii="Times New Roman" w:hAnsi="Times New Roman" w:cs="Times New Roman"/>
          <w:sz w:val="24"/>
          <w:szCs w:val="24"/>
        </w:rPr>
        <w:t>.</w:t>
      </w:r>
    </w:p>
    <w:p w:rsidR="00E86DA3" w:rsidRPr="002E060C" w:rsidRDefault="002E060C" w:rsidP="007D422E">
      <w:pPr>
        <w:spacing w:line="360" w:lineRule="auto"/>
        <w:jc w:val="both"/>
        <w:rPr>
          <w:rFonts w:ascii="Times New Roman" w:hAnsi="Times New Roman" w:cs="Times New Roman"/>
          <w:b/>
          <w:sz w:val="24"/>
          <w:szCs w:val="24"/>
        </w:rPr>
      </w:pPr>
      <w:r w:rsidRPr="002E060C">
        <w:rPr>
          <w:rFonts w:ascii="Times New Roman" w:hAnsi="Times New Roman" w:cs="Times New Roman"/>
          <w:b/>
          <w:sz w:val="24"/>
          <w:szCs w:val="24"/>
        </w:rPr>
        <w:t>5. Findings, Conclusion &amp; Recommendations</w:t>
      </w:r>
    </w:p>
    <w:p w:rsidR="00854EBC" w:rsidRPr="00854EBC" w:rsidRDefault="00854EBC" w:rsidP="00854EBC">
      <w:pPr>
        <w:spacing w:line="360" w:lineRule="auto"/>
        <w:jc w:val="both"/>
        <w:rPr>
          <w:rFonts w:ascii="Times New Roman" w:hAnsi="Times New Roman" w:cs="Times New Roman"/>
          <w:b/>
          <w:bCs/>
          <w:sz w:val="24"/>
          <w:szCs w:val="24"/>
        </w:rPr>
      </w:pPr>
      <w:r w:rsidRPr="00854EBC">
        <w:rPr>
          <w:rFonts w:ascii="Times New Roman" w:hAnsi="Times New Roman" w:cs="Times New Roman"/>
          <w:b/>
          <w:bCs/>
          <w:sz w:val="24"/>
          <w:szCs w:val="24"/>
        </w:rPr>
        <w:t>5.1 Key Findings</w:t>
      </w:r>
    </w:p>
    <w:p w:rsidR="00854EBC" w:rsidRPr="000F71BA" w:rsidRDefault="00854EBC" w:rsidP="000F71BA">
      <w:pPr>
        <w:spacing w:line="360" w:lineRule="auto"/>
        <w:jc w:val="both"/>
        <w:rPr>
          <w:rFonts w:ascii="Times New Roman" w:hAnsi="Times New Roman" w:cs="Times New Roman"/>
          <w:sz w:val="24"/>
          <w:szCs w:val="24"/>
        </w:rPr>
      </w:pPr>
      <w:r w:rsidRPr="000F71BA">
        <w:rPr>
          <w:rFonts w:ascii="Times New Roman" w:hAnsi="Times New Roman" w:cs="Times New Roman"/>
          <w:sz w:val="24"/>
          <w:szCs w:val="24"/>
        </w:rPr>
        <w:t xml:space="preserve">The study confirms that </w:t>
      </w:r>
      <w:r w:rsidRPr="000F71BA">
        <w:rPr>
          <w:rFonts w:ascii="Times New Roman" w:hAnsi="Times New Roman" w:cs="Times New Roman"/>
          <w:bCs/>
          <w:sz w:val="24"/>
          <w:szCs w:val="24"/>
        </w:rPr>
        <w:t>financial literacy plays a significant role in shaping financial well-being</w:t>
      </w:r>
      <w:r w:rsidRPr="000F71BA">
        <w:rPr>
          <w:rFonts w:ascii="Times New Roman" w:hAnsi="Times New Roman" w:cs="Times New Roman"/>
          <w:sz w:val="24"/>
          <w:szCs w:val="24"/>
        </w:rPr>
        <w:t xml:space="preserve">, influencing </w:t>
      </w:r>
      <w:r w:rsidRPr="000F71BA">
        <w:rPr>
          <w:rFonts w:ascii="Times New Roman" w:hAnsi="Times New Roman" w:cs="Times New Roman"/>
          <w:bCs/>
          <w:sz w:val="24"/>
          <w:szCs w:val="24"/>
        </w:rPr>
        <w:t>investment behavior, risk management, and financial decision-making</w:t>
      </w:r>
      <w:r w:rsidRPr="000F71BA">
        <w:rPr>
          <w:rFonts w:ascii="Times New Roman" w:hAnsi="Times New Roman" w:cs="Times New Roman"/>
          <w:sz w:val="24"/>
          <w:szCs w:val="24"/>
        </w:rPr>
        <w:t xml:space="preserve">. The analysis of data collected from </w:t>
      </w:r>
      <w:r w:rsidRPr="000F71BA">
        <w:rPr>
          <w:rFonts w:ascii="Times New Roman" w:hAnsi="Times New Roman" w:cs="Times New Roman"/>
          <w:bCs/>
          <w:sz w:val="24"/>
          <w:szCs w:val="24"/>
        </w:rPr>
        <w:t>62 mutual fund investors</w:t>
      </w:r>
      <w:r w:rsidRPr="000F71BA">
        <w:rPr>
          <w:rFonts w:ascii="Times New Roman" w:hAnsi="Times New Roman" w:cs="Times New Roman"/>
          <w:sz w:val="24"/>
          <w:szCs w:val="24"/>
        </w:rPr>
        <w:t xml:space="preserve"> revealed the following insights:</w:t>
      </w:r>
    </w:p>
    <w:p w:rsidR="00854EBC" w:rsidRPr="00854EBC" w:rsidRDefault="00854EBC" w:rsidP="00D96B42">
      <w:pPr>
        <w:pStyle w:val="ListParagraph"/>
        <w:numPr>
          <w:ilvl w:val="0"/>
          <w:numId w:val="11"/>
        </w:numPr>
        <w:spacing w:line="360" w:lineRule="auto"/>
        <w:jc w:val="both"/>
        <w:rPr>
          <w:rFonts w:ascii="Times New Roman" w:hAnsi="Times New Roman" w:cs="Times New Roman"/>
          <w:sz w:val="24"/>
          <w:szCs w:val="24"/>
        </w:rPr>
      </w:pPr>
      <w:r w:rsidRPr="00854EBC">
        <w:rPr>
          <w:rFonts w:ascii="Times New Roman" w:hAnsi="Times New Roman" w:cs="Times New Roman"/>
          <w:bCs/>
          <w:sz w:val="24"/>
          <w:szCs w:val="24"/>
        </w:rPr>
        <w:t>Financial literacy significantly enhances financial well-being</w:t>
      </w:r>
      <w:r w:rsidRPr="00854EBC">
        <w:rPr>
          <w:rFonts w:ascii="Times New Roman" w:hAnsi="Times New Roman" w:cs="Times New Roman"/>
          <w:sz w:val="24"/>
          <w:szCs w:val="24"/>
        </w:rPr>
        <w:t xml:space="preserve">, leading to </w:t>
      </w:r>
      <w:r w:rsidRPr="00854EBC">
        <w:rPr>
          <w:rFonts w:ascii="Times New Roman" w:hAnsi="Times New Roman" w:cs="Times New Roman"/>
          <w:bCs/>
          <w:sz w:val="24"/>
          <w:szCs w:val="24"/>
        </w:rPr>
        <w:t>better financial planning, risk management, and investment diversification</w:t>
      </w:r>
      <w:r w:rsidRPr="00854EBC">
        <w:rPr>
          <w:rFonts w:ascii="Times New Roman" w:hAnsi="Times New Roman" w:cs="Times New Roman"/>
          <w:sz w:val="24"/>
          <w:szCs w:val="24"/>
        </w:rPr>
        <w:t xml:space="preserve">. Investors with </w:t>
      </w:r>
      <w:r w:rsidRPr="00854EBC">
        <w:rPr>
          <w:rFonts w:ascii="Times New Roman" w:hAnsi="Times New Roman" w:cs="Times New Roman"/>
          <w:bCs/>
          <w:sz w:val="24"/>
          <w:szCs w:val="24"/>
        </w:rPr>
        <w:t xml:space="preserve">higher financial </w:t>
      </w:r>
      <w:r w:rsidRPr="00854EBC">
        <w:rPr>
          <w:rFonts w:ascii="Times New Roman" w:hAnsi="Times New Roman" w:cs="Times New Roman"/>
          <w:bCs/>
          <w:sz w:val="24"/>
          <w:szCs w:val="24"/>
        </w:rPr>
        <w:lastRenderedPageBreak/>
        <w:t>knowledge tend to make more informed decisions, reducing financial stress and improving long-term security</w:t>
      </w:r>
      <w:r w:rsidRPr="00854EBC">
        <w:rPr>
          <w:rFonts w:ascii="Times New Roman" w:hAnsi="Times New Roman" w:cs="Times New Roman"/>
          <w:sz w:val="24"/>
          <w:szCs w:val="24"/>
        </w:rPr>
        <w:t>.</w:t>
      </w:r>
    </w:p>
    <w:p w:rsidR="00854EBC" w:rsidRPr="00854EBC" w:rsidRDefault="00854EBC" w:rsidP="00D96B42">
      <w:pPr>
        <w:pStyle w:val="ListParagraph"/>
        <w:numPr>
          <w:ilvl w:val="0"/>
          <w:numId w:val="11"/>
        </w:numPr>
        <w:spacing w:line="360" w:lineRule="auto"/>
        <w:jc w:val="both"/>
        <w:rPr>
          <w:rFonts w:ascii="Times New Roman" w:hAnsi="Times New Roman" w:cs="Times New Roman"/>
          <w:sz w:val="24"/>
          <w:szCs w:val="24"/>
        </w:rPr>
      </w:pPr>
      <w:r w:rsidRPr="00854EBC">
        <w:rPr>
          <w:rFonts w:ascii="Times New Roman" w:hAnsi="Times New Roman" w:cs="Times New Roman"/>
          <w:bCs/>
          <w:sz w:val="24"/>
          <w:szCs w:val="24"/>
        </w:rPr>
        <w:t>A moderate positive correlation (r = 0.544) exists between financial literacy and financial well-being</w:t>
      </w:r>
      <w:r w:rsidRPr="00854EBC">
        <w:rPr>
          <w:rFonts w:ascii="Times New Roman" w:hAnsi="Times New Roman" w:cs="Times New Roman"/>
          <w:sz w:val="24"/>
          <w:szCs w:val="24"/>
        </w:rPr>
        <w:t xml:space="preserve">, indicating that </w:t>
      </w:r>
      <w:r w:rsidRPr="00854EBC">
        <w:rPr>
          <w:rFonts w:ascii="Times New Roman" w:hAnsi="Times New Roman" w:cs="Times New Roman"/>
          <w:bCs/>
          <w:sz w:val="24"/>
          <w:szCs w:val="24"/>
        </w:rPr>
        <w:t>financial knowledge explains approximately 29.6% of variations in financial well-being (R² = 0.296)</w:t>
      </w:r>
      <w:r w:rsidRPr="00854EBC">
        <w:rPr>
          <w:rFonts w:ascii="Times New Roman" w:hAnsi="Times New Roman" w:cs="Times New Roman"/>
          <w:sz w:val="24"/>
          <w:szCs w:val="24"/>
        </w:rPr>
        <w:t xml:space="preserve">. This confirms that while </w:t>
      </w:r>
      <w:r w:rsidRPr="00854EBC">
        <w:rPr>
          <w:rFonts w:ascii="Times New Roman" w:hAnsi="Times New Roman" w:cs="Times New Roman"/>
          <w:bCs/>
          <w:sz w:val="24"/>
          <w:szCs w:val="24"/>
        </w:rPr>
        <w:t>financial literacy is an important factor, other variables also contribute to financial well-being</w:t>
      </w:r>
      <w:r w:rsidRPr="00854EBC">
        <w:rPr>
          <w:rFonts w:ascii="Times New Roman" w:hAnsi="Times New Roman" w:cs="Times New Roman"/>
          <w:sz w:val="24"/>
          <w:szCs w:val="24"/>
        </w:rPr>
        <w:t>.</w:t>
      </w:r>
    </w:p>
    <w:p w:rsidR="00854EBC" w:rsidRPr="00854EBC" w:rsidRDefault="00854EBC" w:rsidP="00D96B42">
      <w:pPr>
        <w:pStyle w:val="ListParagraph"/>
        <w:numPr>
          <w:ilvl w:val="0"/>
          <w:numId w:val="11"/>
        </w:numPr>
        <w:spacing w:line="360" w:lineRule="auto"/>
        <w:jc w:val="both"/>
        <w:rPr>
          <w:rFonts w:ascii="Times New Roman" w:hAnsi="Times New Roman" w:cs="Times New Roman"/>
          <w:sz w:val="24"/>
          <w:szCs w:val="24"/>
        </w:rPr>
      </w:pPr>
      <w:r w:rsidRPr="00854EBC">
        <w:rPr>
          <w:rFonts w:ascii="Times New Roman" w:hAnsi="Times New Roman" w:cs="Times New Roman"/>
          <w:bCs/>
          <w:sz w:val="24"/>
          <w:szCs w:val="24"/>
        </w:rPr>
        <w:t>The regression analysis (B = 0.444, p = 0.000) establishes that an increase in financial literacy leads to an improvement in financial well-being</w:t>
      </w:r>
      <w:r w:rsidRPr="00854EBC">
        <w:rPr>
          <w:rFonts w:ascii="Times New Roman" w:hAnsi="Times New Roman" w:cs="Times New Roman"/>
          <w:sz w:val="24"/>
          <w:szCs w:val="24"/>
        </w:rPr>
        <w:t xml:space="preserve">, reinforcing the </w:t>
      </w:r>
      <w:r w:rsidRPr="00854EBC">
        <w:rPr>
          <w:rFonts w:ascii="Times New Roman" w:hAnsi="Times New Roman" w:cs="Times New Roman"/>
          <w:bCs/>
          <w:sz w:val="24"/>
          <w:szCs w:val="24"/>
        </w:rPr>
        <w:t>importance of financial education in personal finance management</w:t>
      </w:r>
      <w:r w:rsidRPr="00854EBC">
        <w:rPr>
          <w:rFonts w:ascii="Times New Roman" w:hAnsi="Times New Roman" w:cs="Times New Roman"/>
          <w:sz w:val="24"/>
          <w:szCs w:val="24"/>
        </w:rPr>
        <w:t>.</w:t>
      </w:r>
    </w:p>
    <w:p w:rsidR="00854EBC" w:rsidRPr="00854EBC" w:rsidRDefault="00854EBC" w:rsidP="00D96B42">
      <w:pPr>
        <w:pStyle w:val="ListParagraph"/>
        <w:numPr>
          <w:ilvl w:val="0"/>
          <w:numId w:val="11"/>
        </w:numPr>
        <w:spacing w:line="360" w:lineRule="auto"/>
        <w:jc w:val="both"/>
        <w:rPr>
          <w:rFonts w:ascii="Times New Roman" w:hAnsi="Times New Roman" w:cs="Times New Roman"/>
          <w:sz w:val="24"/>
          <w:szCs w:val="24"/>
        </w:rPr>
      </w:pPr>
      <w:r w:rsidRPr="00854EBC">
        <w:rPr>
          <w:rFonts w:ascii="Times New Roman" w:hAnsi="Times New Roman" w:cs="Times New Roman"/>
          <w:bCs/>
          <w:sz w:val="24"/>
          <w:szCs w:val="24"/>
        </w:rPr>
        <w:t>Young professionals (25-35 years) actively invest in mutual funds</w:t>
      </w:r>
      <w:r w:rsidRPr="00854EBC">
        <w:rPr>
          <w:rFonts w:ascii="Times New Roman" w:hAnsi="Times New Roman" w:cs="Times New Roman"/>
          <w:sz w:val="24"/>
          <w:szCs w:val="24"/>
        </w:rPr>
        <w:t xml:space="preserve">, demonstrating a growing interest in </w:t>
      </w:r>
      <w:r w:rsidRPr="00854EBC">
        <w:rPr>
          <w:rFonts w:ascii="Times New Roman" w:hAnsi="Times New Roman" w:cs="Times New Roman"/>
          <w:bCs/>
          <w:sz w:val="24"/>
          <w:szCs w:val="24"/>
        </w:rPr>
        <w:t>market-linked financial instruments</w:t>
      </w:r>
      <w:r w:rsidRPr="00854EBC">
        <w:rPr>
          <w:rFonts w:ascii="Times New Roman" w:hAnsi="Times New Roman" w:cs="Times New Roman"/>
          <w:sz w:val="24"/>
          <w:szCs w:val="24"/>
        </w:rPr>
        <w:t xml:space="preserve">. This highlights the </w:t>
      </w:r>
      <w:r w:rsidRPr="00854EBC">
        <w:rPr>
          <w:rFonts w:ascii="Times New Roman" w:hAnsi="Times New Roman" w:cs="Times New Roman"/>
          <w:bCs/>
          <w:sz w:val="24"/>
          <w:szCs w:val="24"/>
        </w:rPr>
        <w:t>need for early financial literacy programs to build strong financial decision-making skills</w:t>
      </w:r>
      <w:r w:rsidRPr="00854EBC">
        <w:rPr>
          <w:rFonts w:ascii="Times New Roman" w:hAnsi="Times New Roman" w:cs="Times New Roman"/>
          <w:sz w:val="24"/>
          <w:szCs w:val="24"/>
        </w:rPr>
        <w:t xml:space="preserve"> from an early stage.</w:t>
      </w:r>
    </w:p>
    <w:p w:rsidR="00854EBC" w:rsidRPr="00854EBC" w:rsidRDefault="00854EBC" w:rsidP="00D96B42">
      <w:pPr>
        <w:pStyle w:val="ListParagraph"/>
        <w:numPr>
          <w:ilvl w:val="0"/>
          <w:numId w:val="11"/>
        </w:numPr>
        <w:spacing w:line="360" w:lineRule="auto"/>
        <w:jc w:val="both"/>
        <w:rPr>
          <w:rFonts w:ascii="Times New Roman" w:hAnsi="Times New Roman" w:cs="Times New Roman"/>
          <w:sz w:val="24"/>
          <w:szCs w:val="24"/>
        </w:rPr>
      </w:pPr>
      <w:r w:rsidRPr="00854EBC">
        <w:rPr>
          <w:rFonts w:ascii="Times New Roman" w:hAnsi="Times New Roman" w:cs="Times New Roman"/>
          <w:bCs/>
          <w:sz w:val="24"/>
          <w:szCs w:val="24"/>
        </w:rPr>
        <w:t>Financial literacy disparities exist across income groups, with middle-income investors showing higher financial awareness than lower-income groups</w:t>
      </w:r>
      <w:r w:rsidRPr="00854EBC">
        <w:rPr>
          <w:rFonts w:ascii="Times New Roman" w:hAnsi="Times New Roman" w:cs="Times New Roman"/>
          <w:sz w:val="24"/>
          <w:szCs w:val="24"/>
        </w:rPr>
        <w:t xml:space="preserve">. Additionally, the </w:t>
      </w:r>
      <w:r w:rsidRPr="00854EBC">
        <w:rPr>
          <w:rFonts w:ascii="Times New Roman" w:hAnsi="Times New Roman" w:cs="Times New Roman"/>
          <w:bCs/>
          <w:sz w:val="24"/>
          <w:szCs w:val="24"/>
        </w:rPr>
        <w:t>increasing participation of women in investment activities</w:t>
      </w:r>
      <w:r w:rsidRPr="00854EBC">
        <w:rPr>
          <w:rFonts w:ascii="Times New Roman" w:hAnsi="Times New Roman" w:cs="Times New Roman"/>
          <w:sz w:val="24"/>
          <w:szCs w:val="24"/>
        </w:rPr>
        <w:t xml:space="preserve"> indicates that </w:t>
      </w:r>
      <w:r w:rsidRPr="00854EBC">
        <w:rPr>
          <w:rFonts w:ascii="Times New Roman" w:hAnsi="Times New Roman" w:cs="Times New Roman"/>
          <w:bCs/>
          <w:sz w:val="24"/>
          <w:szCs w:val="24"/>
        </w:rPr>
        <w:t>targeted financial education initiatives can further enhance their confidence and decision-making skills</w:t>
      </w:r>
      <w:r w:rsidRPr="00854EBC">
        <w:rPr>
          <w:rFonts w:ascii="Times New Roman" w:hAnsi="Times New Roman" w:cs="Times New Roman"/>
          <w:sz w:val="24"/>
          <w:szCs w:val="24"/>
        </w:rPr>
        <w:t>.</w:t>
      </w:r>
    </w:p>
    <w:p w:rsidR="000A5793" w:rsidRPr="000A5793" w:rsidRDefault="002A49D0" w:rsidP="000A5793">
      <w:pPr>
        <w:spacing w:before="100" w:beforeAutospacing="1" w:after="100" w:afterAutospacing="1" w:line="24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5.2</w:t>
      </w:r>
      <w:r w:rsidR="000A5793" w:rsidRPr="000A5793">
        <w:rPr>
          <w:rFonts w:ascii="Times New Roman" w:eastAsia="Times New Roman" w:hAnsi="Times New Roman" w:cs="Times New Roman"/>
          <w:b/>
          <w:bCs/>
          <w:sz w:val="24"/>
          <w:szCs w:val="24"/>
        </w:rPr>
        <w:t xml:space="preserve"> Recommendations</w:t>
      </w:r>
    </w:p>
    <w:p w:rsidR="000A5793" w:rsidRPr="00A25694" w:rsidRDefault="000A5793" w:rsidP="000A5793">
      <w:pPr>
        <w:spacing w:before="100" w:beforeAutospacing="1" w:after="100" w:afterAutospacing="1" w:line="240" w:lineRule="auto"/>
        <w:jc w:val="both"/>
        <w:rPr>
          <w:rFonts w:ascii="Times New Roman" w:eastAsia="Times New Roman" w:hAnsi="Times New Roman" w:cs="Times New Roman"/>
          <w:sz w:val="24"/>
          <w:szCs w:val="24"/>
        </w:rPr>
      </w:pPr>
      <w:r w:rsidRPr="00A25694">
        <w:rPr>
          <w:rFonts w:ascii="Times New Roman" w:eastAsia="Times New Roman" w:hAnsi="Times New Roman" w:cs="Times New Roman"/>
          <w:sz w:val="24"/>
          <w:szCs w:val="24"/>
        </w:rPr>
        <w:t xml:space="preserve">To enhance </w:t>
      </w:r>
      <w:r w:rsidRPr="00A25694">
        <w:rPr>
          <w:rFonts w:ascii="Times New Roman" w:eastAsia="Times New Roman" w:hAnsi="Times New Roman" w:cs="Times New Roman"/>
          <w:bCs/>
          <w:sz w:val="24"/>
          <w:szCs w:val="24"/>
        </w:rPr>
        <w:t>financial literacy and improve financial well-being</w:t>
      </w:r>
      <w:r w:rsidRPr="00A25694">
        <w:rPr>
          <w:rFonts w:ascii="Times New Roman" w:eastAsia="Times New Roman" w:hAnsi="Times New Roman" w:cs="Times New Roman"/>
          <w:sz w:val="24"/>
          <w:szCs w:val="24"/>
        </w:rPr>
        <w:t xml:space="preserve"> among mutual fund investors, the following recommendations are proposed:</w:t>
      </w:r>
    </w:p>
    <w:p w:rsidR="00D46ACC" w:rsidRPr="00D46ACC" w:rsidRDefault="00D46ACC" w:rsidP="00D96B42">
      <w:pPr>
        <w:pStyle w:val="NormalWeb"/>
        <w:numPr>
          <w:ilvl w:val="0"/>
          <w:numId w:val="12"/>
        </w:numPr>
        <w:spacing w:line="360" w:lineRule="auto"/>
        <w:jc w:val="both"/>
        <w:rPr>
          <w:b/>
        </w:rPr>
      </w:pPr>
      <w:r w:rsidRPr="00D46ACC">
        <w:rPr>
          <w:b/>
        </w:rPr>
        <w:t xml:space="preserve">Integrate Financial Literacy into Educational Curricula: </w:t>
      </w:r>
      <w:r>
        <w:t xml:space="preserve">Introducing financial literacy as a subject in schools and colleges can equip individuals with essential financial management skills from an early age. </w:t>
      </w:r>
    </w:p>
    <w:p w:rsidR="00D46ACC" w:rsidRDefault="00D46ACC" w:rsidP="00D96B42">
      <w:pPr>
        <w:pStyle w:val="NormalWeb"/>
        <w:numPr>
          <w:ilvl w:val="0"/>
          <w:numId w:val="12"/>
        </w:numPr>
        <w:spacing w:line="360" w:lineRule="auto"/>
        <w:jc w:val="both"/>
      </w:pPr>
      <w:r w:rsidRPr="00613C50">
        <w:rPr>
          <w:b/>
        </w:rPr>
        <w:t>Promote Workplace Financial Education Programs:</w:t>
      </w:r>
      <w:r>
        <w:t xml:space="preserve"> Organizations should implement employee financial wellness programs that educate professionals on investment strategies, tax planning, and retirement savings. </w:t>
      </w:r>
    </w:p>
    <w:p w:rsidR="00D46ACC" w:rsidRDefault="00D46ACC" w:rsidP="00D96B42">
      <w:pPr>
        <w:pStyle w:val="NormalWeb"/>
        <w:numPr>
          <w:ilvl w:val="0"/>
          <w:numId w:val="12"/>
        </w:numPr>
        <w:spacing w:line="360" w:lineRule="auto"/>
        <w:jc w:val="both"/>
      </w:pPr>
      <w:r w:rsidRPr="00613C50">
        <w:rPr>
          <w:b/>
        </w:rPr>
        <w:t>Leverage Digital Platforms for Financial Awareness Campaigns:</w:t>
      </w:r>
      <w:r>
        <w:t xml:space="preserve"> The use of social media, mobile apps, and digital courses can enhance awareness about mutual fund investments, financial risk assessment, and wealth management strategies. </w:t>
      </w:r>
    </w:p>
    <w:p w:rsidR="00D46ACC" w:rsidRDefault="00D46ACC" w:rsidP="00D96B42">
      <w:pPr>
        <w:pStyle w:val="NormalWeb"/>
        <w:numPr>
          <w:ilvl w:val="0"/>
          <w:numId w:val="12"/>
        </w:numPr>
        <w:spacing w:line="360" w:lineRule="auto"/>
        <w:jc w:val="both"/>
      </w:pPr>
      <w:r w:rsidRPr="00613C50">
        <w:rPr>
          <w:b/>
        </w:rPr>
        <w:lastRenderedPageBreak/>
        <w:t>Encourage Personalized Investment Advisory Services:</w:t>
      </w:r>
      <w:r>
        <w:t xml:space="preserve"> Banks, financial advisors, and mutual fund houses should provide personalized financial guidance to help individuals understand their risk tolerance and optimize investment portfolios. </w:t>
      </w:r>
    </w:p>
    <w:p w:rsidR="00D46ACC" w:rsidRDefault="00D46ACC" w:rsidP="00D96B42">
      <w:pPr>
        <w:pStyle w:val="NormalWeb"/>
        <w:numPr>
          <w:ilvl w:val="0"/>
          <w:numId w:val="12"/>
        </w:numPr>
        <w:spacing w:line="360" w:lineRule="auto"/>
        <w:jc w:val="both"/>
      </w:pPr>
      <w:r w:rsidRPr="00613C50">
        <w:rPr>
          <w:b/>
        </w:rPr>
        <w:t>Targeted Financial Education for Women and Lower-Income Groups:</w:t>
      </w:r>
      <w:r>
        <w:t xml:space="preserve"> Customized financial literacy programs should be developed for women and economically disadvantaged groups to enhance their financial decision-making capabilities and encourage informed investment choices. </w:t>
      </w:r>
    </w:p>
    <w:p w:rsidR="00E76DB4" w:rsidRPr="00E76DB4" w:rsidRDefault="00E302CC" w:rsidP="00E302CC">
      <w:pPr>
        <w:spacing w:before="100" w:beforeAutospacing="1" w:after="100" w:afterAutospacing="1"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5.3</w:t>
      </w:r>
      <w:r w:rsidR="00E76DB4" w:rsidRPr="00E76DB4">
        <w:rPr>
          <w:rFonts w:ascii="Times New Roman" w:eastAsia="Times New Roman" w:hAnsi="Times New Roman" w:cs="Times New Roman"/>
          <w:b/>
          <w:bCs/>
          <w:sz w:val="24"/>
          <w:szCs w:val="24"/>
        </w:rPr>
        <w:t xml:space="preserve"> Conclusion</w:t>
      </w:r>
    </w:p>
    <w:p w:rsidR="00E76DB4" w:rsidRPr="00E76DB4" w:rsidRDefault="00E76DB4" w:rsidP="00E302CC">
      <w:pPr>
        <w:spacing w:before="100" w:beforeAutospacing="1" w:after="100" w:afterAutospacing="1" w:line="360" w:lineRule="auto"/>
        <w:jc w:val="both"/>
        <w:rPr>
          <w:rFonts w:ascii="Times New Roman" w:eastAsia="Times New Roman" w:hAnsi="Times New Roman" w:cs="Times New Roman"/>
          <w:sz w:val="24"/>
          <w:szCs w:val="24"/>
        </w:rPr>
      </w:pPr>
      <w:r w:rsidRPr="00E76DB4">
        <w:rPr>
          <w:rFonts w:ascii="Times New Roman" w:eastAsia="Times New Roman" w:hAnsi="Times New Roman" w:cs="Times New Roman"/>
          <w:sz w:val="24"/>
          <w:szCs w:val="24"/>
        </w:rPr>
        <w:t xml:space="preserve">This study establishes that </w:t>
      </w:r>
      <w:r w:rsidRPr="00E76DB4">
        <w:rPr>
          <w:rFonts w:ascii="Times New Roman" w:eastAsia="Times New Roman" w:hAnsi="Times New Roman" w:cs="Times New Roman"/>
          <w:bCs/>
          <w:sz w:val="24"/>
          <w:szCs w:val="24"/>
        </w:rPr>
        <w:t>financial literacy has a direct and positive impact on financial well-being among mutual fund investors</w:t>
      </w:r>
      <w:r w:rsidRPr="00E76DB4">
        <w:rPr>
          <w:rFonts w:ascii="Times New Roman" w:eastAsia="Times New Roman" w:hAnsi="Times New Roman" w:cs="Times New Roman"/>
          <w:sz w:val="24"/>
          <w:szCs w:val="24"/>
        </w:rPr>
        <w:t xml:space="preserve">. Investors with </w:t>
      </w:r>
      <w:r w:rsidRPr="00E76DB4">
        <w:rPr>
          <w:rFonts w:ascii="Times New Roman" w:eastAsia="Times New Roman" w:hAnsi="Times New Roman" w:cs="Times New Roman"/>
          <w:bCs/>
          <w:sz w:val="24"/>
          <w:szCs w:val="24"/>
        </w:rPr>
        <w:t>greater financial knowledge</w:t>
      </w:r>
      <w:r w:rsidRPr="00E76DB4">
        <w:rPr>
          <w:rFonts w:ascii="Times New Roman" w:eastAsia="Times New Roman" w:hAnsi="Times New Roman" w:cs="Times New Roman"/>
          <w:sz w:val="24"/>
          <w:szCs w:val="24"/>
        </w:rPr>
        <w:t xml:space="preserve"> are better equipped to </w:t>
      </w:r>
      <w:r w:rsidRPr="00E76DB4">
        <w:rPr>
          <w:rFonts w:ascii="Times New Roman" w:eastAsia="Times New Roman" w:hAnsi="Times New Roman" w:cs="Times New Roman"/>
          <w:bCs/>
          <w:sz w:val="24"/>
          <w:szCs w:val="24"/>
        </w:rPr>
        <w:t>manage financial risks, diversify their investment portfolios, and make well-informed investment choices</w:t>
      </w:r>
      <w:r w:rsidRPr="00E76DB4">
        <w:rPr>
          <w:rFonts w:ascii="Times New Roman" w:eastAsia="Times New Roman" w:hAnsi="Times New Roman" w:cs="Times New Roman"/>
          <w:sz w:val="24"/>
          <w:szCs w:val="24"/>
        </w:rPr>
        <w:t xml:space="preserve">. The </w:t>
      </w:r>
      <w:r w:rsidRPr="00E76DB4">
        <w:rPr>
          <w:rFonts w:ascii="Times New Roman" w:eastAsia="Times New Roman" w:hAnsi="Times New Roman" w:cs="Times New Roman"/>
          <w:bCs/>
          <w:sz w:val="24"/>
          <w:szCs w:val="24"/>
        </w:rPr>
        <w:t>strong statistical significance (p = 0.000) of the regression model confirms that financial literacy is a crucial determinant of financial well-being</w:t>
      </w:r>
      <w:r w:rsidRPr="00E76DB4">
        <w:rPr>
          <w:rFonts w:ascii="Times New Roman" w:eastAsia="Times New Roman" w:hAnsi="Times New Roman" w:cs="Times New Roman"/>
          <w:sz w:val="24"/>
          <w:szCs w:val="24"/>
        </w:rPr>
        <w:t>.</w:t>
      </w:r>
    </w:p>
    <w:p w:rsidR="00E76DB4" w:rsidRPr="00E76DB4" w:rsidRDefault="00E76DB4" w:rsidP="00E302CC">
      <w:pPr>
        <w:spacing w:before="100" w:beforeAutospacing="1" w:after="100" w:afterAutospacing="1" w:line="360" w:lineRule="auto"/>
        <w:jc w:val="both"/>
        <w:rPr>
          <w:rFonts w:ascii="Times New Roman" w:eastAsia="Times New Roman" w:hAnsi="Times New Roman" w:cs="Times New Roman"/>
          <w:sz w:val="24"/>
          <w:szCs w:val="24"/>
        </w:rPr>
      </w:pPr>
      <w:r w:rsidRPr="00E76DB4">
        <w:rPr>
          <w:rFonts w:ascii="Times New Roman" w:eastAsia="Times New Roman" w:hAnsi="Times New Roman" w:cs="Times New Roman"/>
          <w:sz w:val="24"/>
          <w:szCs w:val="24"/>
        </w:rPr>
        <w:t xml:space="preserve">Additionally, the study highlights </w:t>
      </w:r>
      <w:r w:rsidRPr="00E76DB4">
        <w:rPr>
          <w:rFonts w:ascii="Times New Roman" w:eastAsia="Times New Roman" w:hAnsi="Times New Roman" w:cs="Times New Roman"/>
          <w:bCs/>
          <w:sz w:val="24"/>
          <w:szCs w:val="24"/>
        </w:rPr>
        <w:t>challenges related to financial education</w:t>
      </w:r>
      <w:r w:rsidRPr="00E76DB4">
        <w:rPr>
          <w:rFonts w:ascii="Times New Roman" w:eastAsia="Times New Roman" w:hAnsi="Times New Roman" w:cs="Times New Roman"/>
          <w:sz w:val="24"/>
          <w:szCs w:val="24"/>
        </w:rPr>
        <w:t xml:space="preserve">. A </w:t>
      </w:r>
      <w:r w:rsidRPr="00E76DB4">
        <w:rPr>
          <w:rFonts w:ascii="Times New Roman" w:eastAsia="Times New Roman" w:hAnsi="Times New Roman" w:cs="Times New Roman"/>
          <w:bCs/>
          <w:sz w:val="24"/>
          <w:szCs w:val="24"/>
        </w:rPr>
        <w:t>lack of formal financial literacy programs and reliance on informal investment advice hinder many individuals from optimizing their financial strategies</w:t>
      </w:r>
      <w:r w:rsidRPr="00E76DB4">
        <w:rPr>
          <w:rFonts w:ascii="Times New Roman" w:eastAsia="Times New Roman" w:hAnsi="Times New Roman" w:cs="Times New Roman"/>
          <w:sz w:val="24"/>
          <w:szCs w:val="24"/>
        </w:rPr>
        <w:t xml:space="preserve">. The findings emphasize the </w:t>
      </w:r>
      <w:r w:rsidRPr="00E76DB4">
        <w:rPr>
          <w:rFonts w:ascii="Times New Roman" w:eastAsia="Times New Roman" w:hAnsi="Times New Roman" w:cs="Times New Roman"/>
          <w:bCs/>
          <w:sz w:val="24"/>
          <w:szCs w:val="24"/>
        </w:rPr>
        <w:t>need for structured financial literacy initiatives</w:t>
      </w:r>
      <w:r w:rsidRPr="00E76DB4">
        <w:rPr>
          <w:rFonts w:ascii="Times New Roman" w:eastAsia="Times New Roman" w:hAnsi="Times New Roman" w:cs="Times New Roman"/>
          <w:sz w:val="24"/>
          <w:szCs w:val="24"/>
        </w:rPr>
        <w:t xml:space="preserve"> to bridge knowledge gaps and improve financial stability.</w:t>
      </w:r>
    </w:p>
    <w:p w:rsidR="00D96B42" w:rsidRPr="00D96B42" w:rsidRDefault="00D96B42" w:rsidP="00D96B42">
      <w:pPr>
        <w:spacing w:line="360" w:lineRule="auto"/>
        <w:jc w:val="both"/>
        <w:rPr>
          <w:rFonts w:ascii="Times New Roman" w:hAnsi="Times New Roman" w:cs="Times New Roman"/>
          <w:b/>
          <w:bCs/>
          <w:sz w:val="24"/>
          <w:szCs w:val="24"/>
        </w:rPr>
      </w:pPr>
      <w:r w:rsidRPr="00D96B42">
        <w:rPr>
          <w:rFonts w:ascii="Times New Roman" w:hAnsi="Times New Roman" w:cs="Times New Roman"/>
          <w:b/>
          <w:bCs/>
          <w:sz w:val="24"/>
          <w:szCs w:val="24"/>
        </w:rPr>
        <w:t>References</w:t>
      </w:r>
    </w:p>
    <w:p w:rsidR="00D96B42" w:rsidRPr="00D96B42" w:rsidRDefault="00D96B42" w:rsidP="00D96B42">
      <w:pPr>
        <w:spacing w:line="360" w:lineRule="auto"/>
        <w:jc w:val="both"/>
        <w:rPr>
          <w:rFonts w:ascii="Times New Roman" w:hAnsi="Times New Roman" w:cs="Times New Roman"/>
          <w:sz w:val="24"/>
          <w:szCs w:val="24"/>
        </w:rPr>
      </w:pPr>
      <w:proofErr w:type="spellStart"/>
      <w:proofErr w:type="gramStart"/>
      <w:r w:rsidRPr="00D96B42">
        <w:rPr>
          <w:rFonts w:ascii="Times New Roman" w:hAnsi="Times New Roman" w:cs="Times New Roman"/>
          <w:sz w:val="24"/>
          <w:szCs w:val="24"/>
        </w:rPr>
        <w:t>Lusardi</w:t>
      </w:r>
      <w:proofErr w:type="spellEnd"/>
      <w:r w:rsidRPr="00D96B42">
        <w:rPr>
          <w:rFonts w:ascii="Times New Roman" w:hAnsi="Times New Roman" w:cs="Times New Roman"/>
          <w:sz w:val="24"/>
          <w:szCs w:val="24"/>
        </w:rPr>
        <w:t>, A., &amp; Mitchell, O. S. (2014).</w:t>
      </w:r>
      <w:proofErr w:type="gramEnd"/>
      <w:r w:rsidRPr="00D96B42">
        <w:rPr>
          <w:rFonts w:ascii="Times New Roman" w:hAnsi="Times New Roman" w:cs="Times New Roman"/>
          <w:sz w:val="24"/>
          <w:szCs w:val="24"/>
        </w:rPr>
        <w:t xml:space="preserve"> </w:t>
      </w:r>
      <w:proofErr w:type="gramStart"/>
      <w:r w:rsidRPr="00D96B42">
        <w:rPr>
          <w:rFonts w:ascii="Times New Roman" w:hAnsi="Times New Roman" w:cs="Times New Roman"/>
          <w:sz w:val="24"/>
          <w:szCs w:val="24"/>
        </w:rPr>
        <w:t>Financial literacy and economic decision-making.</w:t>
      </w:r>
      <w:proofErr w:type="gramEnd"/>
      <w:r w:rsidRPr="00D96B42">
        <w:rPr>
          <w:rFonts w:ascii="Times New Roman" w:hAnsi="Times New Roman" w:cs="Times New Roman"/>
          <w:sz w:val="24"/>
          <w:szCs w:val="24"/>
        </w:rPr>
        <w:t xml:space="preserve"> </w:t>
      </w:r>
      <w:r w:rsidRPr="00D96B42">
        <w:rPr>
          <w:rFonts w:ascii="Times New Roman" w:hAnsi="Times New Roman" w:cs="Times New Roman"/>
          <w:i/>
          <w:iCs/>
          <w:sz w:val="24"/>
          <w:szCs w:val="24"/>
        </w:rPr>
        <w:t>Journal of Finance, 69</w:t>
      </w:r>
      <w:r w:rsidRPr="00D96B42">
        <w:rPr>
          <w:rFonts w:ascii="Times New Roman" w:hAnsi="Times New Roman" w:cs="Times New Roman"/>
          <w:sz w:val="24"/>
          <w:szCs w:val="24"/>
        </w:rPr>
        <w:t>(4), 1237-1276.</w:t>
      </w:r>
    </w:p>
    <w:p w:rsidR="00D96B42" w:rsidRPr="00D96B42" w:rsidRDefault="00D96B42" w:rsidP="00D96B42">
      <w:pPr>
        <w:spacing w:line="360" w:lineRule="auto"/>
        <w:jc w:val="both"/>
        <w:rPr>
          <w:rFonts w:ascii="Times New Roman" w:hAnsi="Times New Roman" w:cs="Times New Roman"/>
          <w:sz w:val="24"/>
          <w:szCs w:val="24"/>
        </w:rPr>
      </w:pPr>
      <w:proofErr w:type="spellStart"/>
      <w:r w:rsidRPr="00D96B42">
        <w:rPr>
          <w:rFonts w:ascii="Times New Roman" w:hAnsi="Times New Roman" w:cs="Times New Roman"/>
          <w:sz w:val="24"/>
          <w:szCs w:val="24"/>
        </w:rPr>
        <w:t>Kumari</w:t>
      </w:r>
      <w:proofErr w:type="spellEnd"/>
      <w:r w:rsidRPr="00D96B42">
        <w:rPr>
          <w:rFonts w:ascii="Times New Roman" w:hAnsi="Times New Roman" w:cs="Times New Roman"/>
          <w:sz w:val="24"/>
          <w:szCs w:val="24"/>
        </w:rPr>
        <w:t xml:space="preserve">, R., et al. (2024). </w:t>
      </w:r>
      <w:proofErr w:type="gramStart"/>
      <w:r w:rsidRPr="00D96B42">
        <w:rPr>
          <w:rFonts w:ascii="Times New Roman" w:hAnsi="Times New Roman" w:cs="Times New Roman"/>
          <w:sz w:val="24"/>
          <w:szCs w:val="24"/>
        </w:rPr>
        <w:t>Financial knowledge and investment behavior.</w:t>
      </w:r>
      <w:proofErr w:type="gramEnd"/>
      <w:r w:rsidRPr="00D96B42">
        <w:rPr>
          <w:rFonts w:ascii="Times New Roman" w:hAnsi="Times New Roman" w:cs="Times New Roman"/>
          <w:sz w:val="24"/>
          <w:szCs w:val="24"/>
        </w:rPr>
        <w:t xml:space="preserve"> </w:t>
      </w:r>
      <w:r w:rsidRPr="00D96B42">
        <w:rPr>
          <w:rFonts w:ascii="Times New Roman" w:hAnsi="Times New Roman" w:cs="Times New Roman"/>
          <w:i/>
          <w:iCs/>
          <w:sz w:val="24"/>
          <w:szCs w:val="24"/>
        </w:rPr>
        <w:t>Economic Review Journal, 38</w:t>
      </w:r>
      <w:r w:rsidRPr="00D96B42">
        <w:rPr>
          <w:rFonts w:ascii="Times New Roman" w:hAnsi="Times New Roman" w:cs="Times New Roman"/>
          <w:sz w:val="24"/>
          <w:szCs w:val="24"/>
        </w:rPr>
        <w:t>(2), 99-115.</w:t>
      </w:r>
    </w:p>
    <w:p w:rsidR="00D96B42" w:rsidRPr="00D96B42" w:rsidRDefault="00D96B42" w:rsidP="00D96B42">
      <w:pPr>
        <w:spacing w:line="360" w:lineRule="auto"/>
        <w:jc w:val="both"/>
        <w:rPr>
          <w:rFonts w:ascii="Times New Roman" w:hAnsi="Times New Roman" w:cs="Times New Roman"/>
          <w:sz w:val="24"/>
          <w:szCs w:val="24"/>
        </w:rPr>
      </w:pPr>
      <w:proofErr w:type="spellStart"/>
      <w:proofErr w:type="gramStart"/>
      <w:r w:rsidRPr="00D96B42">
        <w:rPr>
          <w:rFonts w:ascii="Times New Roman" w:hAnsi="Times New Roman" w:cs="Times New Roman"/>
          <w:sz w:val="24"/>
          <w:szCs w:val="24"/>
        </w:rPr>
        <w:t>Dhaliwal</w:t>
      </w:r>
      <w:proofErr w:type="spellEnd"/>
      <w:r w:rsidRPr="00D96B42">
        <w:rPr>
          <w:rFonts w:ascii="Times New Roman" w:hAnsi="Times New Roman" w:cs="Times New Roman"/>
          <w:sz w:val="24"/>
          <w:szCs w:val="24"/>
        </w:rPr>
        <w:t xml:space="preserve"> et al. (2024).</w:t>
      </w:r>
      <w:proofErr w:type="gramEnd"/>
      <w:r w:rsidRPr="00D96B42">
        <w:rPr>
          <w:rFonts w:ascii="Times New Roman" w:hAnsi="Times New Roman" w:cs="Times New Roman"/>
          <w:sz w:val="24"/>
          <w:szCs w:val="24"/>
        </w:rPr>
        <w:t xml:space="preserve"> </w:t>
      </w:r>
      <w:proofErr w:type="gramStart"/>
      <w:r w:rsidRPr="00D96B42">
        <w:rPr>
          <w:rFonts w:ascii="Times New Roman" w:hAnsi="Times New Roman" w:cs="Times New Roman"/>
          <w:sz w:val="24"/>
          <w:szCs w:val="24"/>
        </w:rPr>
        <w:t>Financial literacy and investment strategies.</w:t>
      </w:r>
      <w:proofErr w:type="gramEnd"/>
      <w:r w:rsidRPr="00D96B42">
        <w:rPr>
          <w:rFonts w:ascii="Times New Roman" w:hAnsi="Times New Roman" w:cs="Times New Roman"/>
          <w:sz w:val="24"/>
          <w:szCs w:val="24"/>
        </w:rPr>
        <w:t xml:space="preserve"> </w:t>
      </w:r>
      <w:r w:rsidRPr="00D96B42">
        <w:rPr>
          <w:rFonts w:ascii="Times New Roman" w:hAnsi="Times New Roman" w:cs="Times New Roman"/>
          <w:i/>
          <w:iCs/>
          <w:sz w:val="24"/>
          <w:szCs w:val="24"/>
        </w:rPr>
        <w:t>Investment Review Journal, 22</w:t>
      </w:r>
      <w:r w:rsidRPr="00D96B42">
        <w:rPr>
          <w:rFonts w:ascii="Times New Roman" w:hAnsi="Times New Roman" w:cs="Times New Roman"/>
          <w:sz w:val="24"/>
          <w:szCs w:val="24"/>
        </w:rPr>
        <w:t>(1), 45-68.</w:t>
      </w:r>
    </w:p>
    <w:p w:rsidR="009810B7" w:rsidRPr="00980760" w:rsidRDefault="009810B7" w:rsidP="007D422E">
      <w:pPr>
        <w:spacing w:line="360" w:lineRule="auto"/>
        <w:jc w:val="both"/>
        <w:rPr>
          <w:szCs w:val="24"/>
        </w:rPr>
      </w:pPr>
    </w:p>
    <w:sectPr w:rsidR="009810B7" w:rsidRPr="00980760" w:rsidSect="00EC316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4C7"/>
    <w:multiLevelType w:val="multilevel"/>
    <w:tmpl w:val="D02E09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FE152BD"/>
    <w:multiLevelType w:val="multilevel"/>
    <w:tmpl w:val="16C868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32AE6B88"/>
    <w:multiLevelType w:val="multilevel"/>
    <w:tmpl w:val="03A657B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67C43F2"/>
    <w:multiLevelType w:val="multilevel"/>
    <w:tmpl w:val="C3E81B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48662F60"/>
    <w:multiLevelType w:val="multilevel"/>
    <w:tmpl w:val="88688D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4A915880"/>
    <w:multiLevelType w:val="multilevel"/>
    <w:tmpl w:val="B91870F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64BE1"/>
    <w:multiLevelType w:val="hybridMultilevel"/>
    <w:tmpl w:val="A3F8E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F460730"/>
    <w:multiLevelType w:val="multilevel"/>
    <w:tmpl w:val="16C8680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5CFC6C3D"/>
    <w:multiLevelType w:val="multilevel"/>
    <w:tmpl w:val="EE62AD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sz w:val="20"/>
      </w:rPr>
    </w:lvl>
    <w:lvl w:ilvl="2">
      <w:start w:val="5"/>
      <w:numFmt w:val="bullet"/>
      <w:lvlText w:val="•"/>
      <w:lvlJc w:val="left"/>
      <w:pPr>
        <w:ind w:left="180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2326A70"/>
    <w:multiLevelType w:val="multilevel"/>
    <w:tmpl w:val="16C8680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F47582"/>
    <w:multiLevelType w:val="multilevel"/>
    <w:tmpl w:val="A37C42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nsid w:val="7A013AF2"/>
    <w:multiLevelType w:val="hybridMultilevel"/>
    <w:tmpl w:val="4D7E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6"/>
  </w:num>
  <w:num w:numId="5">
    <w:abstractNumId w:val="11"/>
  </w:num>
  <w:num w:numId="6">
    <w:abstractNumId w:val="5"/>
  </w:num>
  <w:num w:numId="7">
    <w:abstractNumId w:val="9"/>
  </w:num>
  <w:num w:numId="8">
    <w:abstractNumId w:val="7"/>
  </w:num>
  <w:num w:numId="9">
    <w:abstractNumId w:val="10"/>
  </w:num>
  <w:num w:numId="10">
    <w:abstractNumId w:val="4"/>
  </w:num>
  <w:num w:numId="11">
    <w:abstractNumId w:val="1"/>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proofState w:spelling="clean" w:grammar="clean"/>
  <w:defaultTabStop w:val="720"/>
  <w:characterSpacingControl w:val="doNotCompress"/>
  <w:compat/>
  <w:rsids>
    <w:rsidRoot w:val="00FB343A"/>
    <w:rsid w:val="00000A22"/>
    <w:rsid w:val="00006B7A"/>
    <w:rsid w:val="0002245C"/>
    <w:rsid w:val="0003041A"/>
    <w:rsid w:val="000433DB"/>
    <w:rsid w:val="00055313"/>
    <w:rsid w:val="00055B7F"/>
    <w:rsid w:val="00060848"/>
    <w:rsid w:val="00063137"/>
    <w:rsid w:val="000661FA"/>
    <w:rsid w:val="00093E47"/>
    <w:rsid w:val="000A5793"/>
    <w:rsid w:val="000B0909"/>
    <w:rsid w:val="000B511A"/>
    <w:rsid w:val="000E1473"/>
    <w:rsid w:val="000E5132"/>
    <w:rsid w:val="000F2101"/>
    <w:rsid w:val="000F415F"/>
    <w:rsid w:val="000F71BA"/>
    <w:rsid w:val="001247D8"/>
    <w:rsid w:val="00140C12"/>
    <w:rsid w:val="00144DF4"/>
    <w:rsid w:val="00172BA3"/>
    <w:rsid w:val="00191ACC"/>
    <w:rsid w:val="001A6BE9"/>
    <w:rsid w:val="001C7508"/>
    <w:rsid w:val="001D3B8E"/>
    <w:rsid w:val="00207253"/>
    <w:rsid w:val="00207590"/>
    <w:rsid w:val="00210815"/>
    <w:rsid w:val="0021121D"/>
    <w:rsid w:val="00241CC4"/>
    <w:rsid w:val="00243C06"/>
    <w:rsid w:val="00267159"/>
    <w:rsid w:val="002749F8"/>
    <w:rsid w:val="002811F9"/>
    <w:rsid w:val="00282F94"/>
    <w:rsid w:val="00291E8B"/>
    <w:rsid w:val="002A49D0"/>
    <w:rsid w:val="002A7634"/>
    <w:rsid w:val="002B1DAB"/>
    <w:rsid w:val="002C18D5"/>
    <w:rsid w:val="002D64C2"/>
    <w:rsid w:val="002E060C"/>
    <w:rsid w:val="002E30AD"/>
    <w:rsid w:val="003106C9"/>
    <w:rsid w:val="00320DB6"/>
    <w:rsid w:val="00333D02"/>
    <w:rsid w:val="0034245F"/>
    <w:rsid w:val="003463AC"/>
    <w:rsid w:val="00355911"/>
    <w:rsid w:val="00363019"/>
    <w:rsid w:val="00394BFC"/>
    <w:rsid w:val="003B56C9"/>
    <w:rsid w:val="003E1D91"/>
    <w:rsid w:val="003F20B7"/>
    <w:rsid w:val="003F7100"/>
    <w:rsid w:val="0040511A"/>
    <w:rsid w:val="00407530"/>
    <w:rsid w:val="00407EE8"/>
    <w:rsid w:val="00413BA9"/>
    <w:rsid w:val="00443E1E"/>
    <w:rsid w:val="004B3535"/>
    <w:rsid w:val="004C4E8D"/>
    <w:rsid w:val="004E3E2C"/>
    <w:rsid w:val="00503149"/>
    <w:rsid w:val="005210B1"/>
    <w:rsid w:val="005332B5"/>
    <w:rsid w:val="005505E9"/>
    <w:rsid w:val="00590543"/>
    <w:rsid w:val="005905DE"/>
    <w:rsid w:val="00595ABD"/>
    <w:rsid w:val="005B198D"/>
    <w:rsid w:val="005D05FE"/>
    <w:rsid w:val="005D238E"/>
    <w:rsid w:val="005D3B73"/>
    <w:rsid w:val="005D6905"/>
    <w:rsid w:val="005E553D"/>
    <w:rsid w:val="00605B09"/>
    <w:rsid w:val="00607761"/>
    <w:rsid w:val="00613C50"/>
    <w:rsid w:val="0062658F"/>
    <w:rsid w:val="00635A88"/>
    <w:rsid w:val="00674DEB"/>
    <w:rsid w:val="006773A1"/>
    <w:rsid w:val="006849B4"/>
    <w:rsid w:val="00685F8E"/>
    <w:rsid w:val="006B47D0"/>
    <w:rsid w:val="006B5837"/>
    <w:rsid w:val="006B58A1"/>
    <w:rsid w:val="00702E97"/>
    <w:rsid w:val="007035C8"/>
    <w:rsid w:val="00723C37"/>
    <w:rsid w:val="007324DF"/>
    <w:rsid w:val="00743A0D"/>
    <w:rsid w:val="00766745"/>
    <w:rsid w:val="0077581E"/>
    <w:rsid w:val="00783264"/>
    <w:rsid w:val="007D422E"/>
    <w:rsid w:val="007D55C9"/>
    <w:rsid w:val="007D5BF3"/>
    <w:rsid w:val="007E668D"/>
    <w:rsid w:val="007E7FF8"/>
    <w:rsid w:val="007F2F49"/>
    <w:rsid w:val="00844A54"/>
    <w:rsid w:val="00844B93"/>
    <w:rsid w:val="0084611A"/>
    <w:rsid w:val="008540E2"/>
    <w:rsid w:val="00854EBC"/>
    <w:rsid w:val="00881DA7"/>
    <w:rsid w:val="0088646C"/>
    <w:rsid w:val="008F198E"/>
    <w:rsid w:val="008F760A"/>
    <w:rsid w:val="00903C68"/>
    <w:rsid w:val="00906CE8"/>
    <w:rsid w:val="00950F77"/>
    <w:rsid w:val="00957873"/>
    <w:rsid w:val="00973CA0"/>
    <w:rsid w:val="00980760"/>
    <w:rsid w:val="009810B7"/>
    <w:rsid w:val="00987A33"/>
    <w:rsid w:val="00A00CE0"/>
    <w:rsid w:val="00A16836"/>
    <w:rsid w:val="00A25694"/>
    <w:rsid w:val="00A37C10"/>
    <w:rsid w:val="00A43F3B"/>
    <w:rsid w:val="00A47704"/>
    <w:rsid w:val="00A54F4E"/>
    <w:rsid w:val="00A67A26"/>
    <w:rsid w:val="00A97B6B"/>
    <w:rsid w:val="00AA767C"/>
    <w:rsid w:val="00AB010B"/>
    <w:rsid w:val="00AE1681"/>
    <w:rsid w:val="00AF04B1"/>
    <w:rsid w:val="00AF5073"/>
    <w:rsid w:val="00AF5B53"/>
    <w:rsid w:val="00B11DDC"/>
    <w:rsid w:val="00B2279C"/>
    <w:rsid w:val="00B243D3"/>
    <w:rsid w:val="00B33A55"/>
    <w:rsid w:val="00B820EB"/>
    <w:rsid w:val="00B86FD2"/>
    <w:rsid w:val="00BE05CD"/>
    <w:rsid w:val="00BE4323"/>
    <w:rsid w:val="00BF331A"/>
    <w:rsid w:val="00C02275"/>
    <w:rsid w:val="00C05314"/>
    <w:rsid w:val="00C146F6"/>
    <w:rsid w:val="00C22901"/>
    <w:rsid w:val="00C23149"/>
    <w:rsid w:val="00C2515A"/>
    <w:rsid w:val="00C83199"/>
    <w:rsid w:val="00CE092E"/>
    <w:rsid w:val="00D11256"/>
    <w:rsid w:val="00D33207"/>
    <w:rsid w:val="00D46ACC"/>
    <w:rsid w:val="00D57493"/>
    <w:rsid w:val="00D828CA"/>
    <w:rsid w:val="00D96B42"/>
    <w:rsid w:val="00D9780D"/>
    <w:rsid w:val="00DA0130"/>
    <w:rsid w:val="00DA545E"/>
    <w:rsid w:val="00DD1D7A"/>
    <w:rsid w:val="00DF454C"/>
    <w:rsid w:val="00DF6A7A"/>
    <w:rsid w:val="00E0070D"/>
    <w:rsid w:val="00E26B43"/>
    <w:rsid w:val="00E26EFD"/>
    <w:rsid w:val="00E302CC"/>
    <w:rsid w:val="00E71D4F"/>
    <w:rsid w:val="00E76DB4"/>
    <w:rsid w:val="00E86DA3"/>
    <w:rsid w:val="00E964D1"/>
    <w:rsid w:val="00EB2B7E"/>
    <w:rsid w:val="00EB4109"/>
    <w:rsid w:val="00EC3164"/>
    <w:rsid w:val="00ED01E6"/>
    <w:rsid w:val="00EE5A2E"/>
    <w:rsid w:val="00EF4275"/>
    <w:rsid w:val="00F23614"/>
    <w:rsid w:val="00F27DE0"/>
    <w:rsid w:val="00F45A38"/>
    <w:rsid w:val="00F8733F"/>
    <w:rsid w:val="00F90B93"/>
    <w:rsid w:val="00FA4341"/>
    <w:rsid w:val="00FB0648"/>
    <w:rsid w:val="00FB3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164"/>
  </w:style>
  <w:style w:type="paragraph" w:styleId="Heading1">
    <w:name w:val="heading 1"/>
    <w:basedOn w:val="Normal"/>
    <w:link w:val="Heading1Char"/>
    <w:uiPriority w:val="9"/>
    <w:qFormat/>
    <w:rsid w:val="00FB34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34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34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077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4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34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343A"/>
    <w:rPr>
      <w:rFonts w:ascii="Times New Roman" w:eastAsia="Times New Roman" w:hAnsi="Times New Roman" w:cs="Times New Roman"/>
      <w:b/>
      <w:bCs/>
      <w:sz w:val="27"/>
      <w:szCs w:val="27"/>
    </w:rPr>
  </w:style>
  <w:style w:type="character" w:styleId="Strong">
    <w:name w:val="Strong"/>
    <w:basedOn w:val="DefaultParagraphFont"/>
    <w:uiPriority w:val="22"/>
    <w:qFormat/>
    <w:rsid w:val="00FB343A"/>
    <w:rPr>
      <w:b/>
      <w:bCs/>
    </w:rPr>
  </w:style>
  <w:style w:type="character" w:styleId="Emphasis">
    <w:name w:val="Emphasis"/>
    <w:basedOn w:val="DefaultParagraphFont"/>
    <w:uiPriority w:val="20"/>
    <w:qFormat/>
    <w:rsid w:val="00FB343A"/>
    <w:rPr>
      <w:i/>
      <w:iCs/>
    </w:rPr>
  </w:style>
  <w:style w:type="character" w:customStyle="1" w:styleId="Heading4Char">
    <w:name w:val="Heading 4 Char"/>
    <w:basedOn w:val="DefaultParagraphFont"/>
    <w:link w:val="Heading4"/>
    <w:uiPriority w:val="9"/>
    <w:semiHidden/>
    <w:rsid w:val="0060776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43A0D"/>
    <w:pPr>
      <w:ind w:left="720"/>
      <w:contextualSpacing/>
    </w:pPr>
  </w:style>
  <w:style w:type="paragraph" w:styleId="NormalWeb">
    <w:name w:val="Normal (Web)"/>
    <w:basedOn w:val="Normal"/>
    <w:uiPriority w:val="99"/>
    <w:semiHidden/>
    <w:unhideWhenUsed/>
    <w:rsid w:val="00D46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88880">
      <w:bodyDiv w:val="1"/>
      <w:marLeft w:val="0"/>
      <w:marRight w:val="0"/>
      <w:marTop w:val="0"/>
      <w:marBottom w:val="0"/>
      <w:divBdr>
        <w:top w:val="none" w:sz="0" w:space="0" w:color="auto"/>
        <w:left w:val="none" w:sz="0" w:space="0" w:color="auto"/>
        <w:bottom w:val="none" w:sz="0" w:space="0" w:color="auto"/>
        <w:right w:val="none" w:sz="0" w:space="0" w:color="auto"/>
      </w:divBdr>
    </w:div>
    <w:div w:id="184247721">
      <w:bodyDiv w:val="1"/>
      <w:marLeft w:val="0"/>
      <w:marRight w:val="0"/>
      <w:marTop w:val="0"/>
      <w:marBottom w:val="0"/>
      <w:divBdr>
        <w:top w:val="none" w:sz="0" w:space="0" w:color="auto"/>
        <w:left w:val="none" w:sz="0" w:space="0" w:color="auto"/>
        <w:bottom w:val="none" w:sz="0" w:space="0" w:color="auto"/>
        <w:right w:val="none" w:sz="0" w:space="0" w:color="auto"/>
      </w:divBdr>
    </w:div>
    <w:div w:id="316764595">
      <w:bodyDiv w:val="1"/>
      <w:marLeft w:val="0"/>
      <w:marRight w:val="0"/>
      <w:marTop w:val="0"/>
      <w:marBottom w:val="0"/>
      <w:divBdr>
        <w:top w:val="none" w:sz="0" w:space="0" w:color="auto"/>
        <w:left w:val="none" w:sz="0" w:space="0" w:color="auto"/>
        <w:bottom w:val="none" w:sz="0" w:space="0" w:color="auto"/>
        <w:right w:val="none" w:sz="0" w:space="0" w:color="auto"/>
      </w:divBdr>
      <w:divsChild>
        <w:div w:id="464007959">
          <w:marLeft w:val="0"/>
          <w:marRight w:val="0"/>
          <w:marTop w:val="0"/>
          <w:marBottom w:val="0"/>
          <w:divBdr>
            <w:top w:val="none" w:sz="0" w:space="0" w:color="auto"/>
            <w:left w:val="none" w:sz="0" w:space="0" w:color="auto"/>
            <w:bottom w:val="none" w:sz="0" w:space="0" w:color="auto"/>
            <w:right w:val="none" w:sz="0" w:space="0" w:color="auto"/>
          </w:divBdr>
        </w:div>
      </w:divsChild>
    </w:div>
    <w:div w:id="317073118">
      <w:bodyDiv w:val="1"/>
      <w:marLeft w:val="0"/>
      <w:marRight w:val="0"/>
      <w:marTop w:val="0"/>
      <w:marBottom w:val="0"/>
      <w:divBdr>
        <w:top w:val="none" w:sz="0" w:space="0" w:color="auto"/>
        <w:left w:val="none" w:sz="0" w:space="0" w:color="auto"/>
        <w:bottom w:val="none" w:sz="0" w:space="0" w:color="auto"/>
        <w:right w:val="none" w:sz="0" w:space="0" w:color="auto"/>
      </w:divBdr>
    </w:div>
    <w:div w:id="324478656">
      <w:bodyDiv w:val="1"/>
      <w:marLeft w:val="0"/>
      <w:marRight w:val="0"/>
      <w:marTop w:val="0"/>
      <w:marBottom w:val="0"/>
      <w:divBdr>
        <w:top w:val="none" w:sz="0" w:space="0" w:color="auto"/>
        <w:left w:val="none" w:sz="0" w:space="0" w:color="auto"/>
        <w:bottom w:val="none" w:sz="0" w:space="0" w:color="auto"/>
        <w:right w:val="none" w:sz="0" w:space="0" w:color="auto"/>
      </w:divBdr>
    </w:div>
    <w:div w:id="338701177">
      <w:bodyDiv w:val="1"/>
      <w:marLeft w:val="0"/>
      <w:marRight w:val="0"/>
      <w:marTop w:val="0"/>
      <w:marBottom w:val="0"/>
      <w:divBdr>
        <w:top w:val="none" w:sz="0" w:space="0" w:color="auto"/>
        <w:left w:val="none" w:sz="0" w:space="0" w:color="auto"/>
        <w:bottom w:val="none" w:sz="0" w:space="0" w:color="auto"/>
        <w:right w:val="none" w:sz="0" w:space="0" w:color="auto"/>
      </w:divBdr>
    </w:div>
    <w:div w:id="354966443">
      <w:bodyDiv w:val="1"/>
      <w:marLeft w:val="0"/>
      <w:marRight w:val="0"/>
      <w:marTop w:val="0"/>
      <w:marBottom w:val="0"/>
      <w:divBdr>
        <w:top w:val="none" w:sz="0" w:space="0" w:color="auto"/>
        <w:left w:val="none" w:sz="0" w:space="0" w:color="auto"/>
        <w:bottom w:val="none" w:sz="0" w:space="0" w:color="auto"/>
        <w:right w:val="none" w:sz="0" w:space="0" w:color="auto"/>
      </w:divBdr>
    </w:div>
    <w:div w:id="365985110">
      <w:bodyDiv w:val="1"/>
      <w:marLeft w:val="0"/>
      <w:marRight w:val="0"/>
      <w:marTop w:val="0"/>
      <w:marBottom w:val="0"/>
      <w:divBdr>
        <w:top w:val="none" w:sz="0" w:space="0" w:color="auto"/>
        <w:left w:val="none" w:sz="0" w:space="0" w:color="auto"/>
        <w:bottom w:val="none" w:sz="0" w:space="0" w:color="auto"/>
        <w:right w:val="none" w:sz="0" w:space="0" w:color="auto"/>
      </w:divBdr>
    </w:div>
    <w:div w:id="380249687">
      <w:bodyDiv w:val="1"/>
      <w:marLeft w:val="0"/>
      <w:marRight w:val="0"/>
      <w:marTop w:val="0"/>
      <w:marBottom w:val="0"/>
      <w:divBdr>
        <w:top w:val="none" w:sz="0" w:space="0" w:color="auto"/>
        <w:left w:val="none" w:sz="0" w:space="0" w:color="auto"/>
        <w:bottom w:val="none" w:sz="0" w:space="0" w:color="auto"/>
        <w:right w:val="none" w:sz="0" w:space="0" w:color="auto"/>
      </w:divBdr>
    </w:div>
    <w:div w:id="422529981">
      <w:bodyDiv w:val="1"/>
      <w:marLeft w:val="0"/>
      <w:marRight w:val="0"/>
      <w:marTop w:val="0"/>
      <w:marBottom w:val="0"/>
      <w:divBdr>
        <w:top w:val="none" w:sz="0" w:space="0" w:color="auto"/>
        <w:left w:val="none" w:sz="0" w:space="0" w:color="auto"/>
        <w:bottom w:val="none" w:sz="0" w:space="0" w:color="auto"/>
        <w:right w:val="none" w:sz="0" w:space="0" w:color="auto"/>
      </w:divBdr>
    </w:div>
    <w:div w:id="441194057">
      <w:bodyDiv w:val="1"/>
      <w:marLeft w:val="0"/>
      <w:marRight w:val="0"/>
      <w:marTop w:val="0"/>
      <w:marBottom w:val="0"/>
      <w:divBdr>
        <w:top w:val="none" w:sz="0" w:space="0" w:color="auto"/>
        <w:left w:val="none" w:sz="0" w:space="0" w:color="auto"/>
        <w:bottom w:val="none" w:sz="0" w:space="0" w:color="auto"/>
        <w:right w:val="none" w:sz="0" w:space="0" w:color="auto"/>
      </w:divBdr>
    </w:div>
    <w:div w:id="457139962">
      <w:bodyDiv w:val="1"/>
      <w:marLeft w:val="0"/>
      <w:marRight w:val="0"/>
      <w:marTop w:val="0"/>
      <w:marBottom w:val="0"/>
      <w:divBdr>
        <w:top w:val="none" w:sz="0" w:space="0" w:color="auto"/>
        <w:left w:val="none" w:sz="0" w:space="0" w:color="auto"/>
        <w:bottom w:val="none" w:sz="0" w:space="0" w:color="auto"/>
        <w:right w:val="none" w:sz="0" w:space="0" w:color="auto"/>
      </w:divBdr>
      <w:divsChild>
        <w:div w:id="1723482908">
          <w:marLeft w:val="0"/>
          <w:marRight w:val="0"/>
          <w:marTop w:val="0"/>
          <w:marBottom w:val="0"/>
          <w:divBdr>
            <w:top w:val="none" w:sz="0" w:space="0" w:color="auto"/>
            <w:left w:val="none" w:sz="0" w:space="0" w:color="auto"/>
            <w:bottom w:val="none" w:sz="0" w:space="0" w:color="auto"/>
            <w:right w:val="none" w:sz="0" w:space="0" w:color="auto"/>
          </w:divBdr>
        </w:div>
      </w:divsChild>
    </w:div>
    <w:div w:id="519470899">
      <w:bodyDiv w:val="1"/>
      <w:marLeft w:val="0"/>
      <w:marRight w:val="0"/>
      <w:marTop w:val="0"/>
      <w:marBottom w:val="0"/>
      <w:divBdr>
        <w:top w:val="none" w:sz="0" w:space="0" w:color="auto"/>
        <w:left w:val="none" w:sz="0" w:space="0" w:color="auto"/>
        <w:bottom w:val="none" w:sz="0" w:space="0" w:color="auto"/>
        <w:right w:val="none" w:sz="0" w:space="0" w:color="auto"/>
      </w:divBdr>
    </w:div>
    <w:div w:id="541483436">
      <w:bodyDiv w:val="1"/>
      <w:marLeft w:val="0"/>
      <w:marRight w:val="0"/>
      <w:marTop w:val="0"/>
      <w:marBottom w:val="0"/>
      <w:divBdr>
        <w:top w:val="none" w:sz="0" w:space="0" w:color="auto"/>
        <w:left w:val="none" w:sz="0" w:space="0" w:color="auto"/>
        <w:bottom w:val="none" w:sz="0" w:space="0" w:color="auto"/>
        <w:right w:val="none" w:sz="0" w:space="0" w:color="auto"/>
      </w:divBdr>
    </w:div>
    <w:div w:id="572858537">
      <w:bodyDiv w:val="1"/>
      <w:marLeft w:val="0"/>
      <w:marRight w:val="0"/>
      <w:marTop w:val="0"/>
      <w:marBottom w:val="0"/>
      <w:divBdr>
        <w:top w:val="none" w:sz="0" w:space="0" w:color="auto"/>
        <w:left w:val="none" w:sz="0" w:space="0" w:color="auto"/>
        <w:bottom w:val="none" w:sz="0" w:space="0" w:color="auto"/>
        <w:right w:val="none" w:sz="0" w:space="0" w:color="auto"/>
      </w:divBdr>
    </w:div>
    <w:div w:id="578752262">
      <w:bodyDiv w:val="1"/>
      <w:marLeft w:val="0"/>
      <w:marRight w:val="0"/>
      <w:marTop w:val="0"/>
      <w:marBottom w:val="0"/>
      <w:divBdr>
        <w:top w:val="none" w:sz="0" w:space="0" w:color="auto"/>
        <w:left w:val="none" w:sz="0" w:space="0" w:color="auto"/>
        <w:bottom w:val="none" w:sz="0" w:space="0" w:color="auto"/>
        <w:right w:val="none" w:sz="0" w:space="0" w:color="auto"/>
      </w:divBdr>
    </w:div>
    <w:div w:id="609553449">
      <w:bodyDiv w:val="1"/>
      <w:marLeft w:val="0"/>
      <w:marRight w:val="0"/>
      <w:marTop w:val="0"/>
      <w:marBottom w:val="0"/>
      <w:divBdr>
        <w:top w:val="none" w:sz="0" w:space="0" w:color="auto"/>
        <w:left w:val="none" w:sz="0" w:space="0" w:color="auto"/>
        <w:bottom w:val="none" w:sz="0" w:space="0" w:color="auto"/>
        <w:right w:val="none" w:sz="0" w:space="0" w:color="auto"/>
      </w:divBdr>
    </w:div>
    <w:div w:id="678773499">
      <w:bodyDiv w:val="1"/>
      <w:marLeft w:val="0"/>
      <w:marRight w:val="0"/>
      <w:marTop w:val="0"/>
      <w:marBottom w:val="0"/>
      <w:divBdr>
        <w:top w:val="none" w:sz="0" w:space="0" w:color="auto"/>
        <w:left w:val="none" w:sz="0" w:space="0" w:color="auto"/>
        <w:bottom w:val="none" w:sz="0" w:space="0" w:color="auto"/>
        <w:right w:val="none" w:sz="0" w:space="0" w:color="auto"/>
      </w:divBdr>
    </w:div>
    <w:div w:id="709262449">
      <w:bodyDiv w:val="1"/>
      <w:marLeft w:val="0"/>
      <w:marRight w:val="0"/>
      <w:marTop w:val="0"/>
      <w:marBottom w:val="0"/>
      <w:divBdr>
        <w:top w:val="none" w:sz="0" w:space="0" w:color="auto"/>
        <w:left w:val="none" w:sz="0" w:space="0" w:color="auto"/>
        <w:bottom w:val="none" w:sz="0" w:space="0" w:color="auto"/>
        <w:right w:val="none" w:sz="0" w:space="0" w:color="auto"/>
      </w:divBdr>
    </w:div>
    <w:div w:id="752288139">
      <w:bodyDiv w:val="1"/>
      <w:marLeft w:val="0"/>
      <w:marRight w:val="0"/>
      <w:marTop w:val="0"/>
      <w:marBottom w:val="0"/>
      <w:divBdr>
        <w:top w:val="none" w:sz="0" w:space="0" w:color="auto"/>
        <w:left w:val="none" w:sz="0" w:space="0" w:color="auto"/>
        <w:bottom w:val="none" w:sz="0" w:space="0" w:color="auto"/>
        <w:right w:val="none" w:sz="0" w:space="0" w:color="auto"/>
      </w:divBdr>
    </w:div>
    <w:div w:id="756025786">
      <w:bodyDiv w:val="1"/>
      <w:marLeft w:val="0"/>
      <w:marRight w:val="0"/>
      <w:marTop w:val="0"/>
      <w:marBottom w:val="0"/>
      <w:divBdr>
        <w:top w:val="none" w:sz="0" w:space="0" w:color="auto"/>
        <w:left w:val="none" w:sz="0" w:space="0" w:color="auto"/>
        <w:bottom w:val="none" w:sz="0" w:space="0" w:color="auto"/>
        <w:right w:val="none" w:sz="0" w:space="0" w:color="auto"/>
      </w:divBdr>
    </w:div>
    <w:div w:id="769620985">
      <w:bodyDiv w:val="1"/>
      <w:marLeft w:val="0"/>
      <w:marRight w:val="0"/>
      <w:marTop w:val="0"/>
      <w:marBottom w:val="0"/>
      <w:divBdr>
        <w:top w:val="none" w:sz="0" w:space="0" w:color="auto"/>
        <w:left w:val="none" w:sz="0" w:space="0" w:color="auto"/>
        <w:bottom w:val="none" w:sz="0" w:space="0" w:color="auto"/>
        <w:right w:val="none" w:sz="0" w:space="0" w:color="auto"/>
      </w:divBdr>
    </w:div>
    <w:div w:id="831139600">
      <w:bodyDiv w:val="1"/>
      <w:marLeft w:val="0"/>
      <w:marRight w:val="0"/>
      <w:marTop w:val="0"/>
      <w:marBottom w:val="0"/>
      <w:divBdr>
        <w:top w:val="none" w:sz="0" w:space="0" w:color="auto"/>
        <w:left w:val="none" w:sz="0" w:space="0" w:color="auto"/>
        <w:bottom w:val="none" w:sz="0" w:space="0" w:color="auto"/>
        <w:right w:val="none" w:sz="0" w:space="0" w:color="auto"/>
      </w:divBdr>
    </w:div>
    <w:div w:id="866138052">
      <w:bodyDiv w:val="1"/>
      <w:marLeft w:val="0"/>
      <w:marRight w:val="0"/>
      <w:marTop w:val="0"/>
      <w:marBottom w:val="0"/>
      <w:divBdr>
        <w:top w:val="none" w:sz="0" w:space="0" w:color="auto"/>
        <w:left w:val="none" w:sz="0" w:space="0" w:color="auto"/>
        <w:bottom w:val="none" w:sz="0" w:space="0" w:color="auto"/>
        <w:right w:val="none" w:sz="0" w:space="0" w:color="auto"/>
      </w:divBdr>
    </w:div>
    <w:div w:id="964892936">
      <w:bodyDiv w:val="1"/>
      <w:marLeft w:val="0"/>
      <w:marRight w:val="0"/>
      <w:marTop w:val="0"/>
      <w:marBottom w:val="0"/>
      <w:divBdr>
        <w:top w:val="none" w:sz="0" w:space="0" w:color="auto"/>
        <w:left w:val="none" w:sz="0" w:space="0" w:color="auto"/>
        <w:bottom w:val="none" w:sz="0" w:space="0" w:color="auto"/>
        <w:right w:val="none" w:sz="0" w:space="0" w:color="auto"/>
      </w:divBdr>
    </w:div>
    <w:div w:id="1040283099">
      <w:bodyDiv w:val="1"/>
      <w:marLeft w:val="0"/>
      <w:marRight w:val="0"/>
      <w:marTop w:val="0"/>
      <w:marBottom w:val="0"/>
      <w:divBdr>
        <w:top w:val="none" w:sz="0" w:space="0" w:color="auto"/>
        <w:left w:val="none" w:sz="0" w:space="0" w:color="auto"/>
        <w:bottom w:val="none" w:sz="0" w:space="0" w:color="auto"/>
        <w:right w:val="none" w:sz="0" w:space="0" w:color="auto"/>
      </w:divBdr>
    </w:div>
    <w:div w:id="1048913080">
      <w:bodyDiv w:val="1"/>
      <w:marLeft w:val="0"/>
      <w:marRight w:val="0"/>
      <w:marTop w:val="0"/>
      <w:marBottom w:val="0"/>
      <w:divBdr>
        <w:top w:val="none" w:sz="0" w:space="0" w:color="auto"/>
        <w:left w:val="none" w:sz="0" w:space="0" w:color="auto"/>
        <w:bottom w:val="none" w:sz="0" w:space="0" w:color="auto"/>
        <w:right w:val="none" w:sz="0" w:space="0" w:color="auto"/>
      </w:divBdr>
    </w:div>
    <w:div w:id="1100372026">
      <w:bodyDiv w:val="1"/>
      <w:marLeft w:val="0"/>
      <w:marRight w:val="0"/>
      <w:marTop w:val="0"/>
      <w:marBottom w:val="0"/>
      <w:divBdr>
        <w:top w:val="none" w:sz="0" w:space="0" w:color="auto"/>
        <w:left w:val="none" w:sz="0" w:space="0" w:color="auto"/>
        <w:bottom w:val="none" w:sz="0" w:space="0" w:color="auto"/>
        <w:right w:val="none" w:sz="0" w:space="0" w:color="auto"/>
      </w:divBdr>
    </w:div>
    <w:div w:id="1123426904">
      <w:bodyDiv w:val="1"/>
      <w:marLeft w:val="0"/>
      <w:marRight w:val="0"/>
      <w:marTop w:val="0"/>
      <w:marBottom w:val="0"/>
      <w:divBdr>
        <w:top w:val="none" w:sz="0" w:space="0" w:color="auto"/>
        <w:left w:val="none" w:sz="0" w:space="0" w:color="auto"/>
        <w:bottom w:val="none" w:sz="0" w:space="0" w:color="auto"/>
        <w:right w:val="none" w:sz="0" w:space="0" w:color="auto"/>
      </w:divBdr>
      <w:divsChild>
        <w:div w:id="931275927">
          <w:marLeft w:val="0"/>
          <w:marRight w:val="0"/>
          <w:marTop w:val="0"/>
          <w:marBottom w:val="0"/>
          <w:divBdr>
            <w:top w:val="none" w:sz="0" w:space="0" w:color="auto"/>
            <w:left w:val="none" w:sz="0" w:space="0" w:color="auto"/>
            <w:bottom w:val="none" w:sz="0" w:space="0" w:color="auto"/>
            <w:right w:val="none" w:sz="0" w:space="0" w:color="auto"/>
          </w:divBdr>
        </w:div>
      </w:divsChild>
    </w:div>
    <w:div w:id="1143304717">
      <w:bodyDiv w:val="1"/>
      <w:marLeft w:val="0"/>
      <w:marRight w:val="0"/>
      <w:marTop w:val="0"/>
      <w:marBottom w:val="0"/>
      <w:divBdr>
        <w:top w:val="none" w:sz="0" w:space="0" w:color="auto"/>
        <w:left w:val="none" w:sz="0" w:space="0" w:color="auto"/>
        <w:bottom w:val="none" w:sz="0" w:space="0" w:color="auto"/>
        <w:right w:val="none" w:sz="0" w:space="0" w:color="auto"/>
      </w:divBdr>
    </w:div>
    <w:div w:id="1199004635">
      <w:bodyDiv w:val="1"/>
      <w:marLeft w:val="0"/>
      <w:marRight w:val="0"/>
      <w:marTop w:val="0"/>
      <w:marBottom w:val="0"/>
      <w:divBdr>
        <w:top w:val="none" w:sz="0" w:space="0" w:color="auto"/>
        <w:left w:val="none" w:sz="0" w:space="0" w:color="auto"/>
        <w:bottom w:val="none" w:sz="0" w:space="0" w:color="auto"/>
        <w:right w:val="none" w:sz="0" w:space="0" w:color="auto"/>
      </w:divBdr>
      <w:divsChild>
        <w:div w:id="1428694607">
          <w:marLeft w:val="0"/>
          <w:marRight w:val="0"/>
          <w:marTop w:val="0"/>
          <w:marBottom w:val="0"/>
          <w:divBdr>
            <w:top w:val="none" w:sz="0" w:space="0" w:color="auto"/>
            <w:left w:val="none" w:sz="0" w:space="0" w:color="auto"/>
            <w:bottom w:val="none" w:sz="0" w:space="0" w:color="auto"/>
            <w:right w:val="none" w:sz="0" w:space="0" w:color="auto"/>
          </w:divBdr>
        </w:div>
      </w:divsChild>
    </w:div>
    <w:div w:id="1285505731">
      <w:bodyDiv w:val="1"/>
      <w:marLeft w:val="0"/>
      <w:marRight w:val="0"/>
      <w:marTop w:val="0"/>
      <w:marBottom w:val="0"/>
      <w:divBdr>
        <w:top w:val="none" w:sz="0" w:space="0" w:color="auto"/>
        <w:left w:val="none" w:sz="0" w:space="0" w:color="auto"/>
        <w:bottom w:val="none" w:sz="0" w:space="0" w:color="auto"/>
        <w:right w:val="none" w:sz="0" w:space="0" w:color="auto"/>
      </w:divBdr>
    </w:div>
    <w:div w:id="1320889353">
      <w:bodyDiv w:val="1"/>
      <w:marLeft w:val="0"/>
      <w:marRight w:val="0"/>
      <w:marTop w:val="0"/>
      <w:marBottom w:val="0"/>
      <w:divBdr>
        <w:top w:val="none" w:sz="0" w:space="0" w:color="auto"/>
        <w:left w:val="none" w:sz="0" w:space="0" w:color="auto"/>
        <w:bottom w:val="none" w:sz="0" w:space="0" w:color="auto"/>
        <w:right w:val="none" w:sz="0" w:space="0" w:color="auto"/>
      </w:divBdr>
    </w:div>
    <w:div w:id="1390689786">
      <w:bodyDiv w:val="1"/>
      <w:marLeft w:val="0"/>
      <w:marRight w:val="0"/>
      <w:marTop w:val="0"/>
      <w:marBottom w:val="0"/>
      <w:divBdr>
        <w:top w:val="none" w:sz="0" w:space="0" w:color="auto"/>
        <w:left w:val="none" w:sz="0" w:space="0" w:color="auto"/>
        <w:bottom w:val="none" w:sz="0" w:space="0" w:color="auto"/>
        <w:right w:val="none" w:sz="0" w:space="0" w:color="auto"/>
      </w:divBdr>
    </w:div>
    <w:div w:id="1553694590">
      <w:bodyDiv w:val="1"/>
      <w:marLeft w:val="0"/>
      <w:marRight w:val="0"/>
      <w:marTop w:val="0"/>
      <w:marBottom w:val="0"/>
      <w:divBdr>
        <w:top w:val="none" w:sz="0" w:space="0" w:color="auto"/>
        <w:left w:val="none" w:sz="0" w:space="0" w:color="auto"/>
        <w:bottom w:val="none" w:sz="0" w:space="0" w:color="auto"/>
        <w:right w:val="none" w:sz="0" w:space="0" w:color="auto"/>
      </w:divBdr>
    </w:div>
    <w:div w:id="1595241140">
      <w:bodyDiv w:val="1"/>
      <w:marLeft w:val="0"/>
      <w:marRight w:val="0"/>
      <w:marTop w:val="0"/>
      <w:marBottom w:val="0"/>
      <w:divBdr>
        <w:top w:val="none" w:sz="0" w:space="0" w:color="auto"/>
        <w:left w:val="none" w:sz="0" w:space="0" w:color="auto"/>
        <w:bottom w:val="none" w:sz="0" w:space="0" w:color="auto"/>
        <w:right w:val="none" w:sz="0" w:space="0" w:color="auto"/>
      </w:divBdr>
    </w:div>
    <w:div w:id="1604217482">
      <w:bodyDiv w:val="1"/>
      <w:marLeft w:val="0"/>
      <w:marRight w:val="0"/>
      <w:marTop w:val="0"/>
      <w:marBottom w:val="0"/>
      <w:divBdr>
        <w:top w:val="none" w:sz="0" w:space="0" w:color="auto"/>
        <w:left w:val="none" w:sz="0" w:space="0" w:color="auto"/>
        <w:bottom w:val="none" w:sz="0" w:space="0" w:color="auto"/>
        <w:right w:val="none" w:sz="0" w:space="0" w:color="auto"/>
      </w:divBdr>
    </w:div>
    <w:div w:id="1634409520">
      <w:bodyDiv w:val="1"/>
      <w:marLeft w:val="0"/>
      <w:marRight w:val="0"/>
      <w:marTop w:val="0"/>
      <w:marBottom w:val="0"/>
      <w:divBdr>
        <w:top w:val="none" w:sz="0" w:space="0" w:color="auto"/>
        <w:left w:val="none" w:sz="0" w:space="0" w:color="auto"/>
        <w:bottom w:val="none" w:sz="0" w:space="0" w:color="auto"/>
        <w:right w:val="none" w:sz="0" w:space="0" w:color="auto"/>
      </w:divBdr>
    </w:div>
    <w:div w:id="1643268356">
      <w:bodyDiv w:val="1"/>
      <w:marLeft w:val="0"/>
      <w:marRight w:val="0"/>
      <w:marTop w:val="0"/>
      <w:marBottom w:val="0"/>
      <w:divBdr>
        <w:top w:val="none" w:sz="0" w:space="0" w:color="auto"/>
        <w:left w:val="none" w:sz="0" w:space="0" w:color="auto"/>
        <w:bottom w:val="none" w:sz="0" w:space="0" w:color="auto"/>
        <w:right w:val="none" w:sz="0" w:space="0" w:color="auto"/>
      </w:divBdr>
    </w:div>
    <w:div w:id="1661470830">
      <w:bodyDiv w:val="1"/>
      <w:marLeft w:val="0"/>
      <w:marRight w:val="0"/>
      <w:marTop w:val="0"/>
      <w:marBottom w:val="0"/>
      <w:divBdr>
        <w:top w:val="none" w:sz="0" w:space="0" w:color="auto"/>
        <w:left w:val="none" w:sz="0" w:space="0" w:color="auto"/>
        <w:bottom w:val="none" w:sz="0" w:space="0" w:color="auto"/>
        <w:right w:val="none" w:sz="0" w:space="0" w:color="auto"/>
      </w:divBdr>
    </w:div>
    <w:div w:id="1756316519">
      <w:bodyDiv w:val="1"/>
      <w:marLeft w:val="0"/>
      <w:marRight w:val="0"/>
      <w:marTop w:val="0"/>
      <w:marBottom w:val="0"/>
      <w:divBdr>
        <w:top w:val="none" w:sz="0" w:space="0" w:color="auto"/>
        <w:left w:val="none" w:sz="0" w:space="0" w:color="auto"/>
        <w:bottom w:val="none" w:sz="0" w:space="0" w:color="auto"/>
        <w:right w:val="none" w:sz="0" w:space="0" w:color="auto"/>
      </w:divBdr>
    </w:div>
    <w:div w:id="1787113158">
      <w:bodyDiv w:val="1"/>
      <w:marLeft w:val="0"/>
      <w:marRight w:val="0"/>
      <w:marTop w:val="0"/>
      <w:marBottom w:val="0"/>
      <w:divBdr>
        <w:top w:val="none" w:sz="0" w:space="0" w:color="auto"/>
        <w:left w:val="none" w:sz="0" w:space="0" w:color="auto"/>
        <w:bottom w:val="none" w:sz="0" w:space="0" w:color="auto"/>
        <w:right w:val="none" w:sz="0" w:space="0" w:color="auto"/>
      </w:divBdr>
    </w:div>
    <w:div w:id="1788232942">
      <w:bodyDiv w:val="1"/>
      <w:marLeft w:val="0"/>
      <w:marRight w:val="0"/>
      <w:marTop w:val="0"/>
      <w:marBottom w:val="0"/>
      <w:divBdr>
        <w:top w:val="none" w:sz="0" w:space="0" w:color="auto"/>
        <w:left w:val="none" w:sz="0" w:space="0" w:color="auto"/>
        <w:bottom w:val="none" w:sz="0" w:space="0" w:color="auto"/>
        <w:right w:val="none" w:sz="0" w:space="0" w:color="auto"/>
      </w:divBdr>
    </w:div>
    <w:div w:id="1849175265">
      <w:bodyDiv w:val="1"/>
      <w:marLeft w:val="0"/>
      <w:marRight w:val="0"/>
      <w:marTop w:val="0"/>
      <w:marBottom w:val="0"/>
      <w:divBdr>
        <w:top w:val="none" w:sz="0" w:space="0" w:color="auto"/>
        <w:left w:val="none" w:sz="0" w:space="0" w:color="auto"/>
        <w:bottom w:val="none" w:sz="0" w:space="0" w:color="auto"/>
        <w:right w:val="none" w:sz="0" w:space="0" w:color="auto"/>
      </w:divBdr>
    </w:div>
    <w:div w:id="1852406702">
      <w:bodyDiv w:val="1"/>
      <w:marLeft w:val="0"/>
      <w:marRight w:val="0"/>
      <w:marTop w:val="0"/>
      <w:marBottom w:val="0"/>
      <w:divBdr>
        <w:top w:val="none" w:sz="0" w:space="0" w:color="auto"/>
        <w:left w:val="none" w:sz="0" w:space="0" w:color="auto"/>
        <w:bottom w:val="none" w:sz="0" w:space="0" w:color="auto"/>
        <w:right w:val="none" w:sz="0" w:space="0" w:color="auto"/>
      </w:divBdr>
      <w:divsChild>
        <w:div w:id="2015763034">
          <w:marLeft w:val="0"/>
          <w:marRight w:val="0"/>
          <w:marTop w:val="0"/>
          <w:marBottom w:val="0"/>
          <w:divBdr>
            <w:top w:val="none" w:sz="0" w:space="0" w:color="auto"/>
            <w:left w:val="none" w:sz="0" w:space="0" w:color="auto"/>
            <w:bottom w:val="none" w:sz="0" w:space="0" w:color="auto"/>
            <w:right w:val="none" w:sz="0" w:space="0" w:color="auto"/>
          </w:divBdr>
        </w:div>
      </w:divsChild>
    </w:div>
    <w:div w:id="1965773337">
      <w:bodyDiv w:val="1"/>
      <w:marLeft w:val="0"/>
      <w:marRight w:val="0"/>
      <w:marTop w:val="0"/>
      <w:marBottom w:val="0"/>
      <w:divBdr>
        <w:top w:val="none" w:sz="0" w:space="0" w:color="auto"/>
        <w:left w:val="none" w:sz="0" w:space="0" w:color="auto"/>
        <w:bottom w:val="none" w:sz="0" w:space="0" w:color="auto"/>
        <w:right w:val="none" w:sz="0" w:space="0" w:color="auto"/>
      </w:divBdr>
    </w:div>
    <w:div w:id="1975527877">
      <w:bodyDiv w:val="1"/>
      <w:marLeft w:val="0"/>
      <w:marRight w:val="0"/>
      <w:marTop w:val="0"/>
      <w:marBottom w:val="0"/>
      <w:divBdr>
        <w:top w:val="none" w:sz="0" w:space="0" w:color="auto"/>
        <w:left w:val="none" w:sz="0" w:space="0" w:color="auto"/>
        <w:bottom w:val="none" w:sz="0" w:space="0" w:color="auto"/>
        <w:right w:val="none" w:sz="0" w:space="0" w:color="auto"/>
      </w:divBdr>
    </w:div>
    <w:div w:id="2109764972">
      <w:bodyDiv w:val="1"/>
      <w:marLeft w:val="0"/>
      <w:marRight w:val="0"/>
      <w:marTop w:val="0"/>
      <w:marBottom w:val="0"/>
      <w:divBdr>
        <w:top w:val="none" w:sz="0" w:space="0" w:color="auto"/>
        <w:left w:val="none" w:sz="0" w:space="0" w:color="auto"/>
        <w:bottom w:val="none" w:sz="0" w:space="0" w:color="auto"/>
        <w:right w:val="none" w:sz="0" w:space="0" w:color="auto"/>
      </w:divBdr>
    </w:div>
    <w:div w:id="21426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12</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INA</cp:lastModifiedBy>
  <cp:revision>186</cp:revision>
  <dcterms:created xsi:type="dcterms:W3CDTF">2025-03-23T15:58:00Z</dcterms:created>
  <dcterms:modified xsi:type="dcterms:W3CDTF">2025-03-28T05:09:00Z</dcterms:modified>
</cp:coreProperties>
</file>