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eastAsia="Times New Roman"/>
          <w:color w:val="auto"/>
          <w:lang w:eastAsia="en-IN"/>
        </w:rPr>
      </w:pPr>
    </w:p>
    <w:p>
      <w:pPr>
        <w:pStyle w:val="style0"/>
        <w:spacing w:before="100" w:beforeAutospacing="true" w:after="100" w:afterAutospacing="true" w:lineRule="auto" w:line="240"/>
        <w:rPr>
          <w:rFonts w:eastAsia="Times New Roman"/>
          <w:b/>
          <w:bCs/>
          <w:color w:val="auto"/>
          <w:sz w:val="28"/>
          <w:szCs w:val="28"/>
          <w:lang w:eastAsia="en-IN"/>
        </w:rPr>
      </w:pPr>
      <w:r>
        <w:rPr>
          <w:rFonts w:eastAsia="Times New Roman"/>
          <w:b/>
          <w:bCs/>
          <w:color w:val="auto"/>
          <w:sz w:val="28"/>
          <w:szCs w:val="28"/>
          <w:lang w:eastAsia="en-IN"/>
        </w:rPr>
        <w:t xml:space="preserve">Antioxidant Activity of Flavonoids from </w:t>
      </w:r>
      <w:r>
        <w:rPr>
          <w:rFonts w:eastAsia="Times New Roman"/>
          <w:b/>
          <w:bCs/>
          <w:color w:val="auto"/>
          <w:sz w:val="28"/>
          <w:szCs w:val="28"/>
          <w:lang w:eastAsia="en-IN"/>
        </w:rPr>
        <w:t>Moringa</w:t>
      </w:r>
      <w:r>
        <w:rPr>
          <w:rFonts w:eastAsia="Times New Roman"/>
          <w:b/>
          <w:bCs/>
          <w:color w:val="auto"/>
          <w:sz w:val="28"/>
          <w:szCs w:val="28"/>
          <w:lang w:eastAsia="en-IN"/>
        </w:rPr>
        <w:t xml:space="preserve"> </w:t>
      </w:r>
      <w:r>
        <w:rPr>
          <w:rFonts w:eastAsia="Times New Roman"/>
          <w:b/>
          <w:bCs/>
          <w:color w:val="auto"/>
          <w:sz w:val="28"/>
          <w:szCs w:val="28"/>
          <w:lang w:eastAsia="en-IN"/>
        </w:rPr>
        <w:t>oleifera</w:t>
      </w:r>
      <w:r>
        <w:rPr>
          <w:rFonts w:eastAsia="Times New Roman"/>
          <w:b/>
          <w:bCs/>
          <w:color w:val="auto"/>
          <w:sz w:val="28"/>
          <w:szCs w:val="28"/>
          <w:lang w:eastAsia="en-IN"/>
        </w:rPr>
        <w:t>: A Comprehensive Review</w:t>
      </w:r>
    </w:p>
    <w:p>
      <w:pPr>
        <w:pStyle w:val="style0"/>
        <w:spacing w:before="100" w:beforeAutospacing="true" w:after="100" w:afterAutospacing="true" w:lineRule="auto" w:line="240"/>
        <w:rPr>
          <w:rFonts w:eastAsia="Times New Roman"/>
          <w:bCs/>
          <w:color w:val="auto"/>
          <w:sz w:val="28"/>
          <w:szCs w:val="28"/>
          <w:vertAlign w:val="superscript"/>
          <w:lang w:eastAsia="en-IN"/>
        </w:rPr>
      </w:pPr>
      <w:r>
        <w:rPr>
          <w:rFonts w:eastAsia="Times New Roman"/>
          <w:bCs/>
          <w:color w:val="auto"/>
          <w:sz w:val="28"/>
          <w:szCs w:val="28"/>
          <w:lang w:eastAsia="en-IN"/>
        </w:rPr>
        <w:t xml:space="preserve">            Radhika </w:t>
      </w:r>
      <w:r>
        <w:rPr>
          <w:rFonts w:eastAsia="Times New Roman"/>
          <w:bCs/>
          <w:color w:val="auto"/>
          <w:sz w:val="28"/>
          <w:szCs w:val="28"/>
          <w:lang w:eastAsia="en-IN"/>
        </w:rPr>
        <w:t>Choure</w:t>
      </w:r>
      <w:r>
        <w:rPr>
          <w:rFonts w:eastAsia="Times New Roman"/>
          <w:bCs/>
          <w:color w:val="auto"/>
          <w:sz w:val="28"/>
          <w:szCs w:val="28"/>
          <w:lang w:eastAsia="en-IN"/>
        </w:rPr>
        <w:t>,</w:t>
      </w:r>
      <w:r>
        <w:rPr>
          <w:rFonts w:eastAsia="Times New Roman"/>
          <w:bCs/>
          <w:color w:val="auto"/>
          <w:sz w:val="28"/>
          <w:szCs w:val="28"/>
          <w:vertAlign w:val="superscript"/>
          <w:lang w:eastAsia="en-IN"/>
        </w:rPr>
        <w:t xml:space="preserve">   </w:t>
      </w:r>
      <w:r>
        <w:rPr>
          <w:rFonts w:eastAsia="Times New Roman"/>
          <w:bCs/>
          <w:color w:val="auto"/>
          <w:sz w:val="28"/>
          <w:szCs w:val="28"/>
          <w:lang w:eastAsia="en-IN"/>
        </w:rPr>
        <w:t>Varun Jain</w:t>
      </w:r>
    </w:p>
    <w:p>
      <w:pPr>
        <w:pStyle w:val="style0"/>
        <w:spacing w:before="100" w:beforeAutospacing="true" w:after="100" w:afterAutospacing="true" w:lineRule="auto" w:line="240"/>
        <w:rPr>
          <w:rFonts w:eastAsia="Times New Roman"/>
          <w:bCs/>
          <w:color w:val="auto"/>
          <w:lang w:eastAsia="en-IN"/>
        </w:rPr>
      </w:pPr>
      <w:r>
        <w:rPr>
          <w:rFonts w:eastAsia="Times New Roman"/>
          <w:bCs/>
          <w:color w:val="auto"/>
          <w:lang w:eastAsia="en-IN"/>
        </w:rPr>
        <w:t xml:space="preserve">                 </w:t>
      </w:r>
      <w:r>
        <w:rPr>
          <w:rFonts w:eastAsia="Times New Roman"/>
          <w:bCs/>
          <w:color w:val="auto"/>
          <w:lang w:val="en-US" w:eastAsia="en-IN"/>
        </w:rPr>
        <w:t>SAM Global University Raisen</w:t>
      </w:r>
    </w:p>
    <w:p>
      <w:pPr>
        <w:pStyle w:val="style0"/>
        <w:spacing w:before="100" w:beforeAutospacing="true" w:after="100" w:afterAutospacing="true" w:lineRule="auto" w:line="240"/>
        <w:rPr>
          <w:rFonts w:eastAsia="Times New Roman"/>
          <w:bCs/>
          <w:color w:val="auto"/>
          <w:lang w:eastAsia="en-IN"/>
        </w:rPr>
      </w:pPr>
      <w:r>
        <w:rPr>
          <w:rFonts w:eastAsia="Times New Roman"/>
          <w:bCs/>
          <w:color w:val="auto"/>
          <w:lang w:eastAsia="en-IN"/>
        </w:rPr>
        <w:t xml:space="preserve">                   </w:t>
      </w:r>
    </w:p>
    <w:p>
      <w:pPr>
        <w:pStyle w:val="style0"/>
        <w:spacing w:before="100" w:beforeAutospacing="true" w:after="100" w:afterAutospacing="true" w:lineRule="auto" w:line="240"/>
        <w:rPr>
          <w:rFonts w:eastAsia="Times New Roman"/>
          <w:b/>
          <w:bCs/>
          <w:color w:val="auto"/>
          <w:lang w:eastAsia="en-IN"/>
        </w:rPr>
      </w:pPr>
    </w:p>
    <w:p>
      <w:pPr>
        <w:pStyle w:val="style0"/>
        <w:spacing w:before="100" w:beforeAutospacing="true" w:after="100" w:afterAutospacing="true" w:lineRule="auto" w:line="240"/>
        <w:jc w:val="both"/>
        <w:rPr>
          <w:rFonts w:eastAsia="Times New Roman"/>
          <w:color w:val="auto"/>
          <w:lang w:eastAsia="en-IN"/>
        </w:rPr>
      </w:pPr>
      <w:r>
        <w:rPr>
          <w:rFonts w:eastAsia="Times New Roman"/>
          <w:b/>
          <w:bCs/>
          <w:color w:val="auto"/>
          <w:lang w:eastAsia="en-IN"/>
        </w:rPr>
        <w:t xml:space="preserve">                                                                </w:t>
      </w:r>
      <w:r>
        <w:rPr>
          <w:rFonts w:eastAsia="Times New Roman"/>
          <w:b/>
          <w:bCs/>
          <w:color w:val="auto"/>
          <w:lang w:eastAsia="en-IN"/>
        </w:rPr>
        <w:t>Abstract</w:t>
      </w:r>
      <w:r>
        <w:rPr>
          <w:rFonts w:eastAsia="Times New Roman"/>
          <w:color w:val="auto"/>
          <w:lang w:eastAsia="en-IN"/>
        </w:rPr>
        <w:br/>
      </w:r>
      <w:r>
        <w:rPr>
          <w:rFonts w:eastAsia="Times New Roman"/>
          <w:color w:val="auto"/>
          <w:lang w:eastAsia="en-IN"/>
        </w:rPr>
        <w:t xml:space="preserve">The antioxidant properties of flavonoids from </w:t>
      </w:r>
      <w:r>
        <w:rPr>
          <w:rFonts w:eastAsia="Times New Roman"/>
          <w:i/>
          <w:iCs/>
          <w:color w:val="auto"/>
          <w:lang w:eastAsia="en-IN"/>
        </w:rPr>
        <w:t>Moringa oleifera</w:t>
      </w:r>
      <w:r>
        <w:rPr>
          <w:rFonts w:eastAsia="Times New Roman"/>
          <w:color w:val="auto"/>
          <w:lang w:eastAsia="en-IN"/>
        </w:rPr>
        <w:t xml:space="preserve">, a plant widely recognized for its nutritional and medicinal values, have garnered increasing attention. This paper reviews the current evidence on the antioxidant potential of flavonoid compounds isolated from different parts of </w:t>
      </w:r>
      <w:r>
        <w:rPr>
          <w:rFonts w:eastAsia="Times New Roman"/>
          <w:i/>
          <w:iCs/>
          <w:color w:val="auto"/>
          <w:lang w:eastAsia="en-IN"/>
        </w:rPr>
        <w:t>M. oleifera</w:t>
      </w:r>
      <w:r>
        <w:rPr>
          <w:rFonts w:eastAsia="Times New Roman"/>
          <w:color w:val="auto"/>
          <w:lang w:eastAsia="en-IN"/>
        </w:rPr>
        <w:t xml:space="preserve">, including leaves, seeds, and flowers. Flavonoids are known for their ability to scavenge free radicals, thereby reducing oxidative stress and mitigating the risk of several chronic diseases. </w:t>
      </w:r>
      <w:r>
        <w:rPr>
          <w:rFonts w:eastAsia="Times New Roman"/>
          <w:color w:val="auto"/>
          <w:lang w:eastAsia="en-IN"/>
        </w:rPr>
        <w:t>T</w:t>
      </w:r>
      <w:r>
        <w:rPr>
          <w:rFonts w:eastAsia="Times New Roman"/>
          <w:color w:val="auto"/>
          <w:lang w:eastAsia="en-IN"/>
        </w:rPr>
        <w:t>he chemical structures, mechanisms of action, and potential therapeutic applications of these compounds, providing insights into their efficacy as natural antioxidants. The review also highlights the need for further research into bioavailability and clinical outcomes.</w:t>
      </w:r>
    </w:p>
    <w:p>
      <w:pPr>
        <w:pStyle w:val="style0"/>
        <w:spacing w:before="100" w:beforeAutospacing="true" w:after="100" w:afterAutospacing="true" w:lineRule="auto" w:line="240"/>
        <w:rPr>
          <w:rFonts w:eastAsia="Times New Roman"/>
          <w:color w:val="auto"/>
          <w:lang w:eastAsia="en-IN"/>
        </w:rPr>
      </w:pPr>
      <w:r>
        <w:rPr>
          <w:rFonts w:eastAsia="Times New Roman"/>
          <w:b/>
          <w:bCs/>
          <w:color w:val="auto"/>
          <w:lang w:eastAsia="en-IN"/>
        </w:rPr>
        <w:t>Keywords</w:t>
      </w:r>
      <w:r>
        <w:rPr>
          <w:rFonts w:eastAsia="Times New Roman"/>
          <w:color w:val="auto"/>
          <w:lang w:eastAsia="en-IN"/>
        </w:rPr>
        <w:t xml:space="preserve">: </w:t>
      </w:r>
      <w:r>
        <w:rPr>
          <w:rFonts w:eastAsia="Times New Roman"/>
          <w:i/>
          <w:iCs/>
          <w:color w:val="auto"/>
          <w:lang w:eastAsia="en-IN"/>
        </w:rPr>
        <w:t>Moringa oleifera</w:t>
      </w:r>
      <w:r>
        <w:rPr>
          <w:rFonts w:eastAsia="Times New Roman"/>
          <w:color w:val="auto"/>
          <w:lang w:eastAsia="en-IN"/>
        </w:rPr>
        <w:t>, flavonoids, antioxidant activity, oxidative stress, free radicals, polyphenols, therapeutic applications</w:t>
      </w:r>
    </w:p>
    <w:p>
      <w:pPr>
        <w:pStyle w:val="style0"/>
        <w:spacing w:after="0" w:lineRule="auto" w:line="240"/>
        <w:rPr>
          <w:rFonts w:eastAsia="Times New Roman"/>
          <w:color w:val="auto"/>
          <w:lang w:eastAsia="en-IN"/>
        </w:rPr>
      </w:pPr>
      <w:r>
        <w:rPr>
          <w:rFonts w:eastAsia="Times New Roman"/>
          <w:b/>
          <w:bCs/>
          <w:color w:val="auto"/>
          <w:sz w:val="27"/>
          <w:szCs w:val="27"/>
          <w:lang w:eastAsia="en-IN"/>
        </w:rPr>
        <w:t>1. Introduction</w:t>
      </w:r>
    </w:p>
    <w:p>
      <w:pPr>
        <w:pStyle w:val="style0"/>
        <w:spacing w:before="100" w:beforeAutospacing="true" w:after="100" w:afterAutospacing="true" w:lineRule="auto" w:line="240"/>
        <w:jc w:val="both"/>
        <w:rPr>
          <w:rFonts w:eastAsia="Times New Roman"/>
          <w:color w:val="auto"/>
          <w:lang w:eastAsia="en-IN"/>
        </w:rPr>
      </w:pPr>
      <w:r>
        <w:rPr>
          <w:rFonts w:eastAsia="Times New Roman"/>
          <w:i/>
          <w:iCs/>
          <w:color w:val="auto"/>
          <w:lang w:eastAsia="en-IN"/>
        </w:rPr>
        <w:t>Moringa oleifera</w:t>
      </w:r>
      <w:r>
        <w:rPr>
          <w:rFonts w:eastAsia="Times New Roman"/>
          <w:color w:val="auto"/>
          <w:lang w:eastAsia="en-IN"/>
        </w:rPr>
        <w:t xml:space="preserve">, commonly referred to as the "drumstick tree" or "miracle tree," is a plant native to tropical and subtropical regions. It has been traditionally used for its medicinal properties, nutritional benefits, and therapeutic applications in managing various diseases (Fahey, 2005).One of the key bioactive compounds in </w:t>
      </w:r>
      <w:r>
        <w:rPr>
          <w:rFonts w:eastAsia="Times New Roman"/>
          <w:i/>
          <w:iCs/>
          <w:color w:val="auto"/>
          <w:lang w:eastAsia="en-IN"/>
        </w:rPr>
        <w:t>Moringa</w:t>
      </w:r>
      <w:r>
        <w:rPr>
          <w:rFonts w:eastAsia="Times New Roman"/>
          <w:color w:val="auto"/>
          <w:lang w:eastAsia="en-IN"/>
        </w:rPr>
        <w:t xml:space="preserve"> is flavonoids, a group of polyphenolic compounds known for their potent antioxidant </w:t>
      </w:r>
      <w:r>
        <w:rPr>
          <w:rFonts w:eastAsia="Times New Roman"/>
          <w:color w:val="auto"/>
          <w:lang w:eastAsia="en-IN"/>
        </w:rPr>
        <w:t>activity. Antioxidants</w:t>
      </w:r>
      <w:r>
        <w:rPr>
          <w:rFonts w:eastAsia="Times New Roman"/>
          <w:color w:val="auto"/>
          <w:lang w:eastAsia="en-IN"/>
        </w:rPr>
        <w:t xml:space="preserve"> play a crucial role in neutralizing reactive oxygen species (ROS) and reducing oxidative stress, which has been implicated in the pathogenesis of many diseases, including cancer, cardiovascular disorders, and neurodegenerative conditions (Halliwell &amp; Gutteridge, 2015).</w:t>
      </w:r>
    </w:p>
    <w:p>
      <w:pPr>
        <w:pStyle w:val="style0"/>
        <w:spacing w:before="100" w:beforeAutospacing="true" w:after="100" w:afterAutospacing="true" w:lineRule="auto" w:line="240"/>
        <w:jc w:val="both"/>
        <w:rPr>
          <w:rFonts w:eastAsia="Times New Roman"/>
          <w:color w:val="auto"/>
          <w:lang w:eastAsia="en-IN"/>
        </w:rPr>
      </w:pPr>
      <w:r>
        <w:rPr>
          <w:rFonts w:eastAsia="Times New Roman"/>
          <w:color w:val="auto"/>
          <w:lang w:eastAsia="en-IN"/>
        </w:rPr>
        <w:t xml:space="preserve">This paper aims to explore the antioxidant potential of flavonoids from </w:t>
      </w:r>
      <w:r>
        <w:rPr>
          <w:rFonts w:eastAsia="Times New Roman"/>
          <w:i/>
          <w:iCs/>
          <w:color w:val="auto"/>
          <w:lang w:eastAsia="en-IN"/>
        </w:rPr>
        <w:t>M. oleifera</w:t>
      </w:r>
      <w:r>
        <w:rPr>
          <w:rFonts w:eastAsia="Times New Roman"/>
          <w:color w:val="auto"/>
          <w:lang w:eastAsia="en-IN"/>
        </w:rPr>
        <w:t xml:space="preserve"> and their possible applications in human health.</w:t>
      </w:r>
    </w:p>
    <w:p>
      <w:pPr>
        <w:pStyle w:val="style0"/>
        <w:spacing w:before="100" w:beforeAutospacing="true" w:after="100" w:afterAutospacing="true" w:lineRule="auto" w:line="240"/>
        <w:outlineLvl w:val="2"/>
        <w:rPr>
          <w:rFonts w:eastAsia="Times New Roman"/>
          <w:b/>
          <w:bCs/>
          <w:color w:val="auto"/>
          <w:sz w:val="27"/>
          <w:szCs w:val="27"/>
          <w:lang w:eastAsia="en-IN"/>
        </w:rPr>
      </w:pPr>
      <w:r>
        <w:rPr>
          <w:rFonts w:eastAsia="Times New Roman"/>
          <w:b/>
          <w:bCs/>
          <w:color w:val="auto"/>
          <w:sz w:val="27"/>
          <w:szCs w:val="27"/>
          <w:lang w:eastAsia="en-IN"/>
        </w:rPr>
        <w:t xml:space="preserve">Flavonoid Composition in </w:t>
      </w:r>
      <w:r>
        <w:rPr>
          <w:rFonts w:eastAsia="Times New Roman"/>
          <w:b/>
          <w:bCs/>
          <w:i/>
          <w:iCs/>
          <w:color w:val="auto"/>
          <w:sz w:val="27"/>
          <w:szCs w:val="27"/>
          <w:lang w:eastAsia="en-IN"/>
        </w:rPr>
        <w:t>Moringa oleifera</w:t>
      </w:r>
    </w:p>
    <w:p>
      <w:pPr>
        <w:pStyle w:val="style0"/>
        <w:spacing w:before="100" w:beforeAutospacing="true" w:after="100" w:afterAutospacing="true" w:lineRule="auto" w:line="240"/>
        <w:jc w:val="both"/>
        <w:rPr>
          <w:rFonts w:eastAsia="Times New Roman"/>
          <w:color w:val="auto"/>
          <w:lang w:eastAsia="en-IN"/>
        </w:rPr>
      </w:pPr>
      <w:r>
        <w:rPr>
          <w:rFonts w:eastAsia="Times New Roman"/>
          <w:i/>
          <w:iCs/>
          <w:color w:val="auto"/>
          <w:lang w:eastAsia="en-IN"/>
        </w:rPr>
        <w:t>Moringa oleifera</w:t>
      </w:r>
      <w:r>
        <w:rPr>
          <w:rFonts w:eastAsia="Times New Roman"/>
          <w:color w:val="auto"/>
          <w:lang w:eastAsia="en-IN"/>
        </w:rPr>
        <w:t xml:space="preserve"> is a plant renowned for its rich nutrient profile and diverse bioactive</w:t>
      </w:r>
      <w:r>
        <w:rPr>
          <w:rFonts w:eastAsia="Times New Roman"/>
          <w:color w:val="auto"/>
          <w:lang w:eastAsia="en-IN"/>
        </w:rPr>
        <w:t xml:space="preserve"> </w:t>
      </w:r>
      <w:r>
        <w:rPr>
          <w:rFonts w:eastAsia="Times New Roman"/>
          <w:color w:val="auto"/>
          <w:lang w:eastAsia="en-IN"/>
        </w:rPr>
        <w:t xml:space="preserve">compounds, including flavonoids, which contribute significantly to its medicinal and antioxidant properties. The flavonoid composition in </w:t>
      </w:r>
      <w:r>
        <w:rPr>
          <w:rFonts w:eastAsia="Times New Roman"/>
          <w:i/>
          <w:iCs/>
          <w:color w:val="auto"/>
          <w:lang w:eastAsia="en-IN"/>
        </w:rPr>
        <w:t>Moringa</w:t>
      </w:r>
      <w:r>
        <w:rPr>
          <w:rFonts w:eastAsia="Times New Roman"/>
          <w:color w:val="auto"/>
          <w:lang w:eastAsia="en-IN"/>
        </w:rPr>
        <w:t xml:space="preserve"> varies across different parts of the plant, such as the leaves, seeds, flowers, and pods. These compounds, which are part of the broader polyphenolic family, have been studied for their antioxidant, anti-inflammatory, and antimicrobial activities. Below is a detailed overview of the primary flavonoids found in </w:t>
      </w:r>
      <w:r>
        <w:rPr>
          <w:rFonts w:eastAsia="Times New Roman"/>
          <w:i/>
          <w:iCs/>
          <w:color w:val="auto"/>
          <w:lang w:eastAsia="en-IN"/>
        </w:rPr>
        <w:t>Moringa oleifera</w:t>
      </w:r>
      <w:r>
        <w:rPr>
          <w:rFonts w:eastAsia="Times New Roman"/>
          <w:color w:val="auto"/>
          <w:lang w:eastAsia="en-IN"/>
        </w:rPr>
        <w:t>:</w:t>
      </w:r>
    </w:p>
    <w:p>
      <w:pPr>
        <w:pStyle w:val="style0"/>
        <w:spacing w:before="100" w:beforeAutospacing="true" w:after="100" w:afterAutospacing="true" w:lineRule="auto" w:line="240"/>
        <w:outlineLvl w:val="2"/>
        <w:rPr>
          <w:rFonts w:eastAsia="Times New Roman"/>
          <w:b/>
          <w:bCs/>
          <w:color w:val="auto"/>
          <w:sz w:val="27"/>
          <w:szCs w:val="27"/>
          <w:lang w:eastAsia="en-IN"/>
        </w:rPr>
      </w:pPr>
      <w:r>
        <w:rPr>
          <w:rFonts w:eastAsia="Times New Roman"/>
          <w:b/>
          <w:bCs/>
          <w:color w:val="auto"/>
          <w:sz w:val="27"/>
          <w:szCs w:val="27"/>
          <w:lang w:eastAsia="en-IN"/>
        </w:rPr>
        <w:t>1. Types of Flavonoids in Moringa oleifera</w:t>
      </w:r>
    </w:p>
    <w:p>
      <w:pPr>
        <w:pStyle w:val="style0"/>
        <w:spacing w:before="100" w:beforeAutospacing="true" w:after="100" w:afterAutospacing="true" w:lineRule="auto" w:line="240"/>
        <w:jc w:val="both"/>
        <w:rPr>
          <w:rFonts w:eastAsia="Times New Roman"/>
          <w:color w:val="auto"/>
          <w:lang w:eastAsia="en-IN"/>
        </w:rPr>
      </w:pPr>
      <w:r>
        <w:rPr>
          <w:rFonts w:eastAsia="Times New Roman"/>
          <w:color w:val="auto"/>
          <w:lang w:eastAsia="en-IN"/>
        </w:rPr>
        <w:t xml:space="preserve">The major flavonoid compounds in </w:t>
      </w:r>
      <w:r>
        <w:rPr>
          <w:rFonts w:eastAsia="Times New Roman"/>
          <w:i/>
          <w:iCs/>
          <w:color w:val="auto"/>
          <w:lang w:eastAsia="en-IN"/>
        </w:rPr>
        <w:t>Moringa oleifera</w:t>
      </w:r>
      <w:r>
        <w:rPr>
          <w:rFonts w:eastAsia="Times New Roman"/>
          <w:color w:val="auto"/>
          <w:lang w:eastAsia="en-IN"/>
        </w:rPr>
        <w:t xml:space="preserve"> include quercetin, kaempferol, rhamnetin, isorhamnetin, and various glucosides of these compounds. These flavonoids are primarily concentrated in the leaves, but they are also present in smaller amounts in other parts of the plant. Below are the key flavonoids identified in </w:t>
      </w:r>
      <w:r>
        <w:rPr>
          <w:rFonts w:eastAsia="Times New Roman"/>
          <w:i/>
          <w:iCs/>
          <w:color w:val="auto"/>
          <w:lang w:eastAsia="en-IN"/>
        </w:rPr>
        <w:t>Moringa</w:t>
      </w:r>
      <w:r>
        <w:rPr>
          <w:rFonts w:eastAsia="Times New Roman"/>
          <w:color w:val="auto"/>
          <w:lang w:eastAsia="en-IN"/>
        </w:rPr>
        <w:t>:</w:t>
      </w:r>
    </w:p>
    <w:p>
      <w:pPr>
        <w:pStyle w:val="style0"/>
        <w:autoSpaceDE w:val="false"/>
        <w:autoSpaceDN w:val="false"/>
        <w:adjustRightInd w:val="false"/>
        <w:spacing w:after="0" w:lineRule="auto" w:line="360"/>
        <w:jc w:val="both"/>
        <w:rPr>
          <w:rFonts w:eastAsia="WarnockPro-Regular"/>
          <w:b/>
        </w:rPr>
      </w:pPr>
      <w:r>
        <w:rPr>
          <w:rFonts w:eastAsia="WarnockPro-Regular"/>
          <w:b/>
        </w:rPr>
        <w:t>Spectrophotometric Quantification of Total Phenolic Content (TPC)</w:t>
      </w:r>
    </w:p>
    <w:p>
      <w:pPr>
        <w:pStyle w:val="style0"/>
        <w:autoSpaceDE w:val="false"/>
        <w:autoSpaceDN w:val="false"/>
        <w:adjustRightInd w:val="false"/>
        <w:spacing w:after="0" w:lineRule="auto" w:line="360"/>
        <w:jc w:val="both"/>
        <w:rPr>
          <w:rFonts w:eastAsia="WarnockPro-Regular"/>
          <w:b/>
        </w:rPr>
      </w:pPr>
      <w:r>
        <w:rPr>
          <w:lang w:eastAsia="en-IN"/>
        </w:rPr>
        <w:t>Galic acid was used as a standard and the total phenolic were expressed as mg/g gallic acid equivalent (GAE).</w:t>
      </w:r>
      <w:r>
        <w:t xml:space="preserve"> </w:t>
      </w:r>
      <w:r>
        <w:rPr>
          <w:lang w:eastAsia="en-IN"/>
        </w:rPr>
        <w:t xml:space="preserve">Line of Regression from Gallic acid was used for estimation of unknown phenol content </w:t>
      </w:r>
      <w:r>
        <w:rPr>
          <w:bCs/>
          <w:kern w:val="2"/>
        </w:rPr>
        <w:t xml:space="preserve">depicts the variation of mean absorbance with different concentrations of Gallic acid. Total phenols were measured by </w:t>
      </w:r>
      <w:r>
        <w:rPr>
          <w:bCs/>
          <w:kern w:val="2"/>
        </w:rPr>
        <w:t>Folin</w:t>
      </w:r>
      <w:r>
        <w:rPr>
          <w:bCs/>
          <w:kern w:val="2"/>
        </w:rPr>
        <w:t xml:space="preserve"> </w:t>
      </w:r>
      <w:r>
        <w:rPr>
          <w:bCs/>
          <w:kern w:val="2"/>
        </w:rPr>
        <w:t>Ciocalteu</w:t>
      </w:r>
      <w:r>
        <w:rPr>
          <w:bCs/>
          <w:kern w:val="2"/>
        </w:rPr>
        <w:t xml:space="preserve"> reagent in terms of gallic acid equivalent. </w:t>
      </w:r>
      <w:r>
        <w:t xml:space="preserve">Significantly different amounts of phenolics were found in Petroleum ether, ethyl acetate and methanol extracts of </w:t>
      </w:r>
      <w:r>
        <w:rPr>
          <w:i/>
          <w:iCs/>
        </w:rPr>
        <w:t xml:space="preserve">Moringa oleifera </w:t>
      </w:r>
      <w:r>
        <w:rPr>
          <w:iCs/>
        </w:rPr>
        <w:t>L</w:t>
      </w:r>
      <w:r>
        <w:rPr>
          <w:i/>
          <w:iCs/>
        </w:rPr>
        <w:t xml:space="preserve">. </w:t>
      </w:r>
      <w:r>
        <w:t xml:space="preserve">leaves </w:t>
      </w:r>
      <w:r>
        <w:rPr>
          <w:b/>
        </w:rPr>
        <w:t>(</w:t>
      </w:r>
      <w:r>
        <w:t xml:space="preserve">represents the amounts of phenolics present in petroleum ether, ethyl acetate and methanol extract respectively. </w:t>
      </w:r>
      <w:r>
        <w:rPr>
          <w:b/>
        </w:rPr>
        <w:t>1</w:t>
      </w:r>
      <w:r>
        <w:t xml:space="preserve">represents the comparison of total phenolics present in petroleum ether, ethyl acetate and methanol extract. The quantitative analysis of TPC of extracts revealed that the methanol extract contains highest amounts of TPC (140.23mgGAE/gm) </w:t>
      </w:r>
      <w:r>
        <w:rPr>
          <w:b/>
        </w:rPr>
        <w:t>(</w:t>
      </w:r>
      <w:r>
        <w:t xml:space="preserve">followed by ethyl acetate extract (133.41mgGAE/gm) where as moderate amounts were recorded in petroleum ether extract (81.98mgGAE/gm) </w:t>
      </w:r>
    </w:p>
    <w:p>
      <w:pPr>
        <w:pStyle w:val="style0"/>
        <w:rPr>
          <w:b/>
        </w:rPr>
      </w:pPr>
      <w:r>
        <w:rPr>
          <w:b/>
        </w:rPr>
        <w:t xml:space="preserve">Table </w:t>
      </w:r>
      <w:r>
        <w:rPr>
          <w:b/>
        </w:rPr>
        <w:t>1</w:t>
      </w:r>
      <w:r>
        <w:t xml:space="preserve">: </w:t>
      </w:r>
      <w:r>
        <w:rPr>
          <w:b/>
        </w:rPr>
        <w:t>Absorbance v/s concentration of Gallic acid</w:t>
      </w:r>
    </w:p>
    <w:tbl>
      <w:tblPr>
        <w:tblStyle w:val="style194"/>
        <w:tblW w:w="8039" w:type="dxa"/>
        <w:tblInd w:w="378" w:type="dxa"/>
        <w:tblLook w:val="04A0" w:firstRow="1" w:lastRow="0" w:firstColumn="1" w:lastColumn="0" w:noHBand="0" w:noVBand="1"/>
      </w:tblPr>
      <w:tblGrid>
        <w:gridCol w:w="933"/>
        <w:gridCol w:w="3231"/>
        <w:gridCol w:w="3875"/>
      </w:tblGrid>
      <w:tr>
        <w:trPr>
          <w:trHeight w:val="671" w:hRule="atLeast"/>
        </w:trPr>
        <w:tc>
          <w:tcPr>
            <w:tcW w:w="933" w:type="dxa"/>
            <w:tcBorders/>
          </w:tcPr>
          <w:p>
            <w:pPr>
              <w:pStyle w:val="style0"/>
              <w:ind w:left="284"/>
              <w:jc w:val="center"/>
              <w:rPr>
                <w:rFonts w:ascii="Times New Roman" w:hAnsi="Times New Roman"/>
                <w:b w:val="false"/>
                <w:sz w:val="24"/>
                <w:szCs w:val="24"/>
              </w:rPr>
            </w:pPr>
            <w:r>
              <w:rPr>
                <w:rFonts w:ascii="Times New Roman" w:hAnsi="Times New Roman"/>
                <w:b w:val="false"/>
                <w:sz w:val="24"/>
                <w:szCs w:val="24"/>
              </w:rPr>
              <w:t>S. No.</w:t>
            </w:r>
          </w:p>
        </w:tc>
        <w:tc>
          <w:tcPr>
            <w:tcW w:w="3231" w:type="dxa"/>
            <w:tcBorders/>
          </w:tcPr>
          <w:p>
            <w:pPr>
              <w:pStyle w:val="style0"/>
              <w:ind w:left="284"/>
              <w:jc w:val="center"/>
              <w:rPr>
                <w:rFonts w:ascii="Times New Roman" w:hAnsi="Times New Roman"/>
                <w:sz w:val="24"/>
                <w:szCs w:val="24"/>
              </w:rPr>
            </w:pPr>
            <w:r>
              <w:rPr>
                <w:rFonts w:ascii="Times New Roman" w:hAnsi="Times New Roman"/>
                <w:b w:val="false"/>
                <w:sz w:val="24"/>
                <w:szCs w:val="24"/>
              </w:rPr>
              <w:t>Concentration of Gallic acid</w:t>
            </w:r>
            <w:r>
              <w:rPr>
                <w:rFonts w:ascii="Times New Roman" w:hAnsi="Times New Roman"/>
                <w:sz w:val="24"/>
                <w:szCs w:val="24"/>
              </w:rPr>
              <w:t xml:space="preserve"> </w:t>
            </w:r>
            <w:r>
              <w:rPr>
                <w:rFonts w:ascii="Times New Roman" w:hAnsi="Times New Roman"/>
                <w:b w:val="false"/>
                <w:sz w:val="24"/>
                <w:szCs w:val="24"/>
              </w:rPr>
              <w:t>(µg/ml)</w:t>
            </w:r>
          </w:p>
        </w:tc>
        <w:tc>
          <w:tcPr>
            <w:tcW w:w="3875" w:type="dxa"/>
            <w:tcBorders/>
          </w:tcPr>
          <w:p>
            <w:pPr>
              <w:pStyle w:val="style0"/>
              <w:ind w:left="284"/>
              <w:jc w:val="center"/>
              <w:rPr>
                <w:rFonts w:ascii="Times New Roman" w:hAnsi="Times New Roman"/>
                <w:b w:val="false"/>
                <w:sz w:val="24"/>
                <w:szCs w:val="24"/>
              </w:rPr>
            </w:pPr>
            <w:r>
              <w:rPr>
                <w:rFonts w:ascii="Times New Roman" w:hAnsi="Times New Roman"/>
                <w:b w:val="false"/>
                <w:sz w:val="24"/>
                <w:szCs w:val="24"/>
              </w:rPr>
              <w:t>Absorbance</w:t>
            </w:r>
          </w:p>
        </w:tc>
      </w:tr>
      <w:tr>
        <w:tblPrEx/>
        <w:trPr>
          <w:trHeight w:val="355" w:hRule="atLeast"/>
        </w:trPr>
        <w:tc>
          <w:tcPr>
            <w:tcW w:w="933" w:type="dxa"/>
            <w:tcBorders/>
          </w:tcPr>
          <w:p>
            <w:pPr>
              <w:pStyle w:val="style0"/>
              <w:ind w:left="284"/>
              <w:jc w:val="center"/>
              <w:rPr>
                <w:rFonts w:ascii="Times New Roman" w:hAnsi="Times New Roman"/>
                <w:b w:val="false"/>
                <w:sz w:val="24"/>
                <w:szCs w:val="24"/>
              </w:rPr>
            </w:pPr>
            <w:r>
              <w:rPr>
                <w:rFonts w:ascii="Times New Roman" w:hAnsi="Times New Roman"/>
                <w:b w:val="false"/>
                <w:sz w:val="24"/>
                <w:szCs w:val="24"/>
              </w:rPr>
              <w:t>1.</w:t>
            </w:r>
          </w:p>
        </w:tc>
        <w:tc>
          <w:tcPr>
            <w:tcW w:w="3231" w:type="dxa"/>
            <w:tcBorders/>
          </w:tcPr>
          <w:p>
            <w:pPr>
              <w:pStyle w:val="style0"/>
              <w:ind w:left="284"/>
              <w:jc w:val="center"/>
              <w:rPr>
                <w:rFonts w:ascii="Times New Roman" w:hAnsi="Times New Roman"/>
                <w:sz w:val="24"/>
                <w:szCs w:val="24"/>
              </w:rPr>
            </w:pPr>
            <w:r>
              <w:rPr>
                <w:rFonts w:ascii="Times New Roman" w:hAnsi="Times New Roman"/>
                <w:sz w:val="24"/>
                <w:szCs w:val="24"/>
              </w:rPr>
              <w:t>10</w:t>
            </w:r>
          </w:p>
        </w:tc>
        <w:tc>
          <w:tcPr>
            <w:tcW w:w="3875" w:type="dxa"/>
            <w:tcBorders/>
          </w:tcPr>
          <w:p>
            <w:pPr>
              <w:pStyle w:val="style0"/>
              <w:ind w:left="284"/>
              <w:jc w:val="center"/>
              <w:rPr>
                <w:rFonts w:ascii="Times New Roman" w:hAnsi="Times New Roman"/>
                <w:sz w:val="24"/>
                <w:szCs w:val="24"/>
              </w:rPr>
            </w:pPr>
            <w:r>
              <w:rPr>
                <w:rFonts w:ascii="Times New Roman" w:hAnsi="Times New Roman"/>
                <w:sz w:val="24"/>
                <w:szCs w:val="24"/>
              </w:rPr>
              <w:t>0.102±0.000577</w:t>
            </w:r>
          </w:p>
        </w:tc>
      </w:tr>
      <w:tr>
        <w:tblPrEx/>
        <w:trPr>
          <w:trHeight w:val="355" w:hRule="atLeast"/>
        </w:trPr>
        <w:tc>
          <w:tcPr>
            <w:tcW w:w="933" w:type="dxa"/>
            <w:tcBorders/>
          </w:tcPr>
          <w:p>
            <w:pPr>
              <w:pStyle w:val="style0"/>
              <w:ind w:left="284"/>
              <w:jc w:val="center"/>
              <w:rPr>
                <w:rFonts w:ascii="Times New Roman" w:hAnsi="Times New Roman"/>
                <w:b w:val="false"/>
                <w:sz w:val="24"/>
                <w:szCs w:val="24"/>
              </w:rPr>
            </w:pPr>
            <w:r>
              <w:rPr>
                <w:rFonts w:ascii="Times New Roman" w:hAnsi="Times New Roman"/>
                <w:b w:val="false"/>
                <w:sz w:val="24"/>
                <w:szCs w:val="24"/>
              </w:rPr>
              <w:t>2.</w:t>
            </w:r>
          </w:p>
        </w:tc>
        <w:tc>
          <w:tcPr>
            <w:tcW w:w="3231" w:type="dxa"/>
            <w:tcBorders/>
          </w:tcPr>
          <w:p>
            <w:pPr>
              <w:pStyle w:val="style0"/>
              <w:ind w:left="284"/>
              <w:jc w:val="center"/>
              <w:rPr>
                <w:rFonts w:ascii="Times New Roman" w:hAnsi="Times New Roman"/>
                <w:sz w:val="24"/>
                <w:szCs w:val="24"/>
              </w:rPr>
            </w:pPr>
            <w:r>
              <w:rPr>
                <w:rFonts w:ascii="Times New Roman" w:hAnsi="Times New Roman"/>
                <w:sz w:val="24"/>
                <w:szCs w:val="24"/>
              </w:rPr>
              <w:t>20</w:t>
            </w:r>
          </w:p>
        </w:tc>
        <w:tc>
          <w:tcPr>
            <w:tcW w:w="3875" w:type="dxa"/>
            <w:tcBorders/>
          </w:tcPr>
          <w:p>
            <w:pPr>
              <w:pStyle w:val="style0"/>
              <w:ind w:left="284"/>
              <w:jc w:val="center"/>
              <w:rPr>
                <w:rFonts w:ascii="Times New Roman" w:hAnsi="Times New Roman"/>
                <w:sz w:val="24"/>
                <w:szCs w:val="24"/>
              </w:rPr>
            </w:pPr>
            <w:r>
              <w:rPr>
                <w:rFonts w:ascii="Times New Roman" w:hAnsi="Times New Roman"/>
                <w:sz w:val="24"/>
                <w:szCs w:val="24"/>
              </w:rPr>
              <w:t>0.113±0.000577</w:t>
            </w:r>
          </w:p>
        </w:tc>
      </w:tr>
      <w:tr>
        <w:tblPrEx/>
        <w:trPr>
          <w:trHeight w:val="374" w:hRule="atLeast"/>
        </w:trPr>
        <w:tc>
          <w:tcPr>
            <w:tcW w:w="933" w:type="dxa"/>
            <w:tcBorders/>
          </w:tcPr>
          <w:p>
            <w:pPr>
              <w:pStyle w:val="style0"/>
              <w:ind w:left="284"/>
              <w:jc w:val="center"/>
              <w:rPr>
                <w:rFonts w:ascii="Times New Roman" w:hAnsi="Times New Roman"/>
                <w:b w:val="false"/>
                <w:sz w:val="24"/>
                <w:szCs w:val="24"/>
              </w:rPr>
            </w:pPr>
            <w:r>
              <w:rPr>
                <w:rFonts w:ascii="Times New Roman" w:hAnsi="Times New Roman"/>
                <w:b w:val="false"/>
                <w:sz w:val="24"/>
                <w:szCs w:val="24"/>
              </w:rPr>
              <w:t>3.</w:t>
            </w:r>
          </w:p>
        </w:tc>
        <w:tc>
          <w:tcPr>
            <w:tcW w:w="3231" w:type="dxa"/>
            <w:tcBorders/>
          </w:tcPr>
          <w:p>
            <w:pPr>
              <w:pStyle w:val="style0"/>
              <w:ind w:left="284"/>
              <w:jc w:val="center"/>
              <w:rPr>
                <w:rFonts w:ascii="Times New Roman" w:hAnsi="Times New Roman"/>
                <w:sz w:val="24"/>
                <w:szCs w:val="24"/>
              </w:rPr>
            </w:pPr>
            <w:r>
              <w:rPr>
                <w:rFonts w:ascii="Times New Roman" w:hAnsi="Times New Roman"/>
                <w:sz w:val="24"/>
                <w:szCs w:val="24"/>
              </w:rPr>
              <w:t>30</w:t>
            </w:r>
          </w:p>
        </w:tc>
        <w:tc>
          <w:tcPr>
            <w:tcW w:w="3875" w:type="dxa"/>
            <w:tcBorders/>
          </w:tcPr>
          <w:p>
            <w:pPr>
              <w:pStyle w:val="style0"/>
              <w:ind w:left="284"/>
              <w:jc w:val="center"/>
              <w:rPr>
                <w:rFonts w:ascii="Times New Roman" w:hAnsi="Times New Roman"/>
                <w:sz w:val="24"/>
                <w:szCs w:val="24"/>
              </w:rPr>
            </w:pPr>
            <w:r>
              <w:rPr>
                <w:rFonts w:ascii="Times New Roman" w:hAnsi="Times New Roman"/>
                <w:sz w:val="24"/>
                <w:szCs w:val="24"/>
              </w:rPr>
              <w:t>0.133±0.001155</w:t>
            </w:r>
          </w:p>
        </w:tc>
      </w:tr>
      <w:tr>
        <w:tblPrEx/>
        <w:trPr>
          <w:trHeight w:val="355" w:hRule="atLeast"/>
        </w:trPr>
        <w:tc>
          <w:tcPr>
            <w:tcW w:w="933" w:type="dxa"/>
            <w:tcBorders/>
          </w:tcPr>
          <w:p>
            <w:pPr>
              <w:pStyle w:val="style0"/>
              <w:ind w:left="284"/>
              <w:jc w:val="center"/>
              <w:rPr>
                <w:rFonts w:ascii="Times New Roman" w:hAnsi="Times New Roman"/>
                <w:b w:val="false"/>
                <w:sz w:val="24"/>
                <w:szCs w:val="24"/>
              </w:rPr>
            </w:pPr>
            <w:r>
              <w:rPr>
                <w:rFonts w:ascii="Times New Roman" w:hAnsi="Times New Roman"/>
                <w:b w:val="false"/>
                <w:sz w:val="24"/>
                <w:szCs w:val="24"/>
              </w:rPr>
              <w:t>4.</w:t>
            </w:r>
          </w:p>
        </w:tc>
        <w:tc>
          <w:tcPr>
            <w:tcW w:w="3231" w:type="dxa"/>
            <w:tcBorders/>
          </w:tcPr>
          <w:p>
            <w:pPr>
              <w:pStyle w:val="style0"/>
              <w:ind w:left="284"/>
              <w:jc w:val="center"/>
              <w:rPr>
                <w:rFonts w:ascii="Times New Roman" w:hAnsi="Times New Roman"/>
                <w:sz w:val="24"/>
                <w:szCs w:val="24"/>
              </w:rPr>
            </w:pPr>
            <w:r>
              <w:rPr>
                <w:rFonts w:ascii="Times New Roman" w:hAnsi="Times New Roman"/>
                <w:sz w:val="24"/>
                <w:szCs w:val="24"/>
              </w:rPr>
              <w:t>40</w:t>
            </w:r>
          </w:p>
        </w:tc>
        <w:tc>
          <w:tcPr>
            <w:tcW w:w="3875" w:type="dxa"/>
            <w:tcBorders/>
          </w:tcPr>
          <w:p>
            <w:pPr>
              <w:pStyle w:val="style0"/>
              <w:ind w:left="284"/>
              <w:jc w:val="center"/>
              <w:rPr>
                <w:rFonts w:ascii="Times New Roman" w:hAnsi="Times New Roman"/>
                <w:sz w:val="24"/>
                <w:szCs w:val="24"/>
              </w:rPr>
            </w:pPr>
            <w:r>
              <w:rPr>
                <w:rFonts w:ascii="Times New Roman" w:hAnsi="Times New Roman"/>
                <w:sz w:val="24"/>
                <w:szCs w:val="24"/>
              </w:rPr>
              <w:t>0.16±0.004714</w:t>
            </w:r>
          </w:p>
        </w:tc>
      </w:tr>
      <w:tr>
        <w:tblPrEx/>
        <w:trPr>
          <w:trHeight w:val="470" w:hRule="atLeast"/>
        </w:trPr>
        <w:tc>
          <w:tcPr>
            <w:tcW w:w="933" w:type="dxa"/>
            <w:tcBorders/>
          </w:tcPr>
          <w:p>
            <w:pPr>
              <w:pStyle w:val="style0"/>
              <w:ind w:left="284"/>
              <w:jc w:val="center"/>
              <w:rPr>
                <w:rFonts w:ascii="Times New Roman" w:hAnsi="Times New Roman"/>
                <w:b w:val="false"/>
                <w:sz w:val="24"/>
                <w:szCs w:val="24"/>
              </w:rPr>
            </w:pPr>
            <w:r>
              <w:rPr>
                <w:rFonts w:ascii="Times New Roman" w:hAnsi="Times New Roman"/>
                <w:b w:val="false"/>
                <w:sz w:val="24"/>
                <w:szCs w:val="24"/>
              </w:rPr>
              <w:t>5.</w:t>
            </w:r>
          </w:p>
        </w:tc>
        <w:tc>
          <w:tcPr>
            <w:tcW w:w="3231" w:type="dxa"/>
            <w:tcBorders/>
          </w:tcPr>
          <w:p>
            <w:pPr>
              <w:pStyle w:val="style0"/>
              <w:ind w:left="284"/>
              <w:jc w:val="center"/>
              <w:rPr>
                <w:rFonts w:ascii="Times New Roman" w:hAnsi="Times New Roman"/>
                <w:sz w:val="24"/>
                <w:szCs w:val="24"/>
              </w:rPr>
            </w:pPr>
            <w:r>
              <w:rPr>
                <w:rFonts w:ascii="Times New Roman" w:hAnsi="Times New Roman"/>
                <w:sz w:val="24"/>
                <w:szCs w:val="24"/>
              </w:rPr>
              <w:t>50</w:t>
            </w:r>
          </w:p>
        </w:tc>
        <w:tc>
          <w:tcPr>
            <w:tcW w:w="3875" w:type="dxa"/>
            <w:tcBorders/>
          </w:tcPr>
          <w:p>
            <w:pPr>
              <w:pStyle w:val="style0"/>
              <w:ind w:left="284"/>
              <w:jc w:val="center"/>
              <w:rPr>
                <w:rFonts w:ascii="Times New Roman" w:hAnsi="Times New Roman"/>
                <w:sz w:val="24"/>
                <w:szCs w:val="24"/>
              </w:rPr>
            </w:pPr>
            <w:r>
              <w:rPr>
                <w:rFonts w:ascii="Times New Roman" w:hAnsi="Times New Roman"/>
                <w:sz w:val="24"/>
                <w:szCs w:val="24"/>
              </w:rPr>
              <w:t>0.183±0.000577</w:t>
            </w:r>
          </w:p>
        </w:tc>
      </w:tr>
    </w:tbl>
    <w:p>
      <w:pPr>
        <w:pStyle w:val="style0"/>
        <w:autoSpaceDE w:val="false"/>
        <w:autoSpaceDN w:val="false"/>
        <w:adjustRightInd w:val="false"/>
        <w:spacing w:after="0" w:lineRule="auto" w:line="480"/>
        <w:ind w:left="284"/>
        <w:jc w:val="both"/>
        <w:rPr>
          <w:b/>
        </w:rPr>
      </w:pPr>
      <w:r>
        <w:rPr>
          <w:b/>
        </w:rPr>
        <w:t xml:space="preserve">          </w:t>
      </w:r>
      <w:r>
        <w:rPr>
          <w:b/>
        </w:rPr>
        <w:t xml:space="preserve">Values are expressed as MEAN±SD         </w:t>
      </w:r>
    </w:p>
    <w:p>
      <w:pPr>
        <w:pStyle w:val="style0"/>
        <w:autoSpaceDE w:val="false"/>
        <w:autoSpaceDN w:val="false"/>
        <w:adjustRightInd w:val="false"/>
        <w:spacing w:after="0" w:lineRule="auto" w:line="480"/>
        <w:ind w:left="284"/>
        <w:jc w:val="both"/>
        <w:rPr>
          <w:b/>
        </w:rPr>
      </w:pPr>
      <w:r>
        <w:rPr>
          <w:b/>
        </w:rPr>
        <w:t xml:space="preserve">  </w:t>
      </w:r>
      <w:r>
        <w:rPr>
          <w:b/>
        </w:rPr>
        <w:t>Graph 15</w:t>
      </w:r>
      <w:r>
        <w:t>:</w:t>
      </w:r>
      <w:r>
        <w:rPr>
          <w:b/>
        </w:rPr>
        <w:t xml:space="preserve"> Standard curve of Gallic acid.</w:t>
      </w:r>
    </w:p>
    <w:p>
      <w:pPr>
        <w:pStyle w:val="style0"/>
        <w:spacing w:lineRule="auto" w:line="480"/>
        <w:rPr>
          <w:b/>
        </w:rPr>
      </w:pPr>
      <w:r>
        <w:rPr>
          <w:b/>
        </w:rPr>
        <w:t xml:space="preserve">     </w:t>
      </w:r>
      <w:r>
        <w:rPr>
          <w:rFonts w:eastAsia="WarnockPro-Regular"/>
          <w:b/>
        </w:rPr>
        <w:t xml:space="preserve">Spectrophotometric Quantification of Total Flavonoid Content (TFC)                                     </w:t>
      </w:r>
    </w:p>
    <w:p>
      <w:pPr>
        <w:pStyle w:val="style0"/>
        <w:spacing w:before="100" w:beforeAutospacing="true" w:after="100" w:afterAutospacing="true" w:lineRule="auto" w:line="240"/>
        <w:outlineLvl w:val="3"/>
        <w:rPr>
          <w:rFonts w:eastAsia="Times New Roman"/>
          <w:b/>
          <w:bCs/>
          <w:color w:val="auto"/>
          <w:lang w:eastAsia="en-IN"/>
        </w:rPr>
      </w:pPr>
    </w:p>
    <w:p>
      <w:pPr>
        <w:pStyle w:val="style0"/>
        <w:autoSpaceDE w:val="false"/>
        <w:autoSpaceDN w:val="false"/>
        <w:adjustRightInd w:val="false"/>
        <w:spacing w:after="0" w:lineRule="auto" w:line="360"/>
        <w:ind w:left="288"/>
        <w:jc w:val="both"/>
        <w:rPr/>
      </w:pPr>
      <w:r>
        <w:rPr>
          <w:lang w:eastAsia="en-IN"/>
        </w:rPr>
        <w:t xml:space="preserve">Rutin was used as standard compound for the quantification of total flavonoid. Total flavonoid content was expressed as mg rutin/g dry weight (mg rutin/g DW). Line of regression from Rutin was used for estimation of unknown flavonoid content </w:t>
      </w:r>
      <w:r>
        <w:rPr>
          <w:b/>
          <w:bCs/>
          <w:kern w:val="2"/>
        </w:rPr>
        <w:t>.</w:t>
      </w:r>
      <w:r>
        <w:rPr>
          <w:bCs/>
          <w:kern w:val="2"/>
        </w:rPr>
        <w:t>depicts the variation of mean absorbance with different concentrations of Rutin.</w:t>
      </w:r>
      <w:r>
        <w:t xml:space="preserve"> Different amounts of phenolics were present in petroleum ether, ethyl acetate and methanol extract. represents the amounts of flavonoids present in petroleum ether, ethyl </w:t>
      </w:r>
      <w:r>
        <w:t>acetae</w:t>
      </w:r>
      <w:r>
        <w:t xml:space="preserve"> and methanol extract. represents the comparison of contents of flavonoids present in petroleum ether, ethyl acetate and methanol extract. The quantitative analysis of TFC in extracts revealed that methanol extract contained highest amount of TFC (107.64mgRE/gm) followed by ethyl acetate (86.97mgRE/gm) where as very less amount was found in petroleum ether (15.86mgRE/gm) </w:t>
      </w:r>
      <w:r>
        <w:rPr>
          <w:b/>
        </w:rPr>
        <w:t>.</w:t>
      </w:r>
      <w:r>
        <w:t xml:space="preserve"> Comparison of phenolics and flavonoids of petroleum ether, ethyl acetate and methanol extract was also studied. The mounts of phenolics present in petroleum ether, ethyl acetate and methanol extract were higher than the amounts of flavonoids present in petroleum ether, ethyl acetate and methanol extract. </w:t>
      </w:r>
      <w:r>
        <w:t xml:space="preserve"> </w:t>
      </w:r>
      <w:r>
        <w:t>represents</w:t>
      </w:r>
      <w:r>
        <w:t>the</w:t>
      </w:r>
      <w:r>
        <w:t xml:space="preserve"> comparison of </w:t>
      </w:r>
      <w:r>
        <w:t>phenolics</w:t>
      </w:r>
      <w:r>
        <w:t xml:space="preserve"> and flavonoids present in the extracts.</w:t>
      </w:r>
    </w:p>
    <w:p>
      <w:pPr>
        <w:pStyle w:val="style0"/>
        <w:spacing w:lineRule="auto" w:line="360"/>
        <w:ind w:left="288"/>
        <w:rPr>
          <w:b/>
        </w:rPr>
      </w:pPr>
      <w:r>
        <w:rPr>
          <w:b/>
        </w:rPr>
        <w:t>Table</w:t>
      </w:r>
      <w:r>
        <w:rPr>
          <w:b/>
        </w:rPr>
        <w:t>:</w:t>
      </w:r>
      <w:r>
        <w:rPr>
          <w:b/>
        </w:rPr>
        <w:t>2</w:t>
      </w:r>
      <w:r>
        <w:rPr>
          <w:b/>
        </w:rPr>
        <w:t xml:space="preserve"> Evaluation of </w:t>
      </w:r>
      <w:r>
        <w:rPr>
          <w:b/>
        </w:rPr>
        <w:t>isolated bioactive</w:t>
      </w:r>
      <w:r>
        <w:rPr>
          <w:b/>
        </w:rPr>
        <w:t xml:space="preserve"> fractions from</w:t>
      </w:r>
      <w:r>
        <w:rPr>
          <w:b/>
        </w:rPr>
        <w:t xml:space="preserve"> successive methanolic extract of</w:t>
      </w:r>
      <w:r>
        <w:rPr>
          <w:b/>
        </w:rPr>
        <w:t xml:space="preserve"> </w:t>
      </w:r>
      <w:r>
        <w:rPr>
          <w:b/>
          <w:i/>
        </w:rPr>
        <w:t>Moringa</w:t>
      </w:r>
      <w:r>
        <w:rPr>
          <w:b/>
          <w:i/>
        </w:rPr>
        <w:t xml:space="preserve"> </w:t>
      </w:r>
      <w:r>
        <w:rPr>
          <w:b/>
          <w:i/>
        </w:rPr>
        <w:t>oelifera</w:t>
      </w:r>
      <w:r>
        <w:rPr>
          <w:b/>
        </w:rPr>
        <w:t>. for antioxidant activity.</w:t>
      </w:r>
    </w:p>
    <w:tbl>
      <w:tblPr>
        <w:tblStyle w:val="style4110"/>
        <w:tblW w:w="5436" w:type="pct"/>
        <w:tblInd w:w="-72" w:type="dxa"/>
        <w:tblLayout w:type="fixed"/>
        <w:tblLook w:val="04A0" w:firstRow="1" w:lastRow="0" w:firstColumn="1" w:lastColumn="0" w:noHBand="0" w:noVBand="1"/>
      </w:tblPr>
      <w:tblGrid>
        <w:gridCol w:w="1129"/>
        <w:gridCol w:w="1415"/>
        <w:gridCol w:w="1415"/>
        <w:gridCol w:w="1417"/>
        <w:gridCol w:w="1415"/>
        <w:gridCol w:w="1509"/>
        <w:gridCol w:w="1513"/>
      </w:tblGrid>
      <w:tr>
        <w:trPr>
          <w:trHeight w:val="300" w:hRule="atLeast"/>
        </w:trPr>
        <w:tc>
          <w:tcPr>
            <w:tcW w:w="575" w:type="pct"/>
            <w:tcBorders/>
            <w:shd w:val="clear" w:color="auto" w:fill="f2f2f2"/>
            <w:noWrap/>
            <w:hideMark/>
          </w:tcPr>
          <w:p>
            <w:pPr>
              <w:pStyle w:val="style0"/>
              <w:jc w:val="center"/>
              <w:contextualSpacing/>
              <w:rPr>
                <w:rFonts w:ascii="Times New Roman" w:hAnsi="Times New Roman"/>
                <w:b w:val="false"/>
                <w:bCs w:val="false"/>
                <w:sz w:val="24"/>
                <w:szCs w:val="24"/>
              </w:rPr>
            </w:pPr>
            <w:r>
              <w:rPr>
                <w:rFonts w:ascii="Times New Roman" w:hAnsi="Times New Roman"/>
                <w:color w:val="auto"/>
                <w:sz w:val="24"/>
                <w:szCs w:val="24"/>
              </w:rPr>
              <w:t>Conc.</w:t>
            </w:r>
            <w:r>
              <w:rPr>
                <w:rFonts w:ascii="Times New Roman" w:hAnsi="Times New Roman"/>
                <w:color w:val="000000"/>
                <w:sz w:val="24"/>
                <w:szCs w:val="24"/>
              </w:rPr>
              <w:t xml:space="preserve"> µg/mL</w:t>
            </w:r>
          </w:p>
        </w:tc>
        <w:tc>
          <w:tcPr>
            <w:tcW w:w="4425" w:type="pct"/>
            <w:gridSpan w:val="6"/>
            <w:tcBorders/>
            <w:shd w:val="clear" w:color="auto" w:fill="f2f2f2"/>
            <w:noWrap/>
            <w:hideMark/>
          </w:tcPr>
          <w:p>
            <w:pPr>
              <w:pStyle w:val="style0"/>
              <w:jc w:val="center"/>
              <w:contextualSpacing/>
              <w:rPr>
                <w:rFonts w:ascii="Times New Roman" w:hAnsi="Times New Roman"/>
                <w:bCs w:val="false"/>
                <w:sz w:val="24"/>
                <w:szCs w:val="24"/>
              </w:rPr>
            </w:pPr>
            <w:r>
              <w:rPr>
                <w:rFonts w:ascii="Times New Roman" w:hAnsi="Times New Roman"/>
                <w:bCs w:val="false"/>
                <w:sz w:val="24"/>
                <w:szCs w:val="24"/>
              </w:rPr>
              <w:t xml:space="preserve">% Inhibition </w:t>
            </w:r>
            <w:r>
              <w:rPr>
                <w:rFonts w:ascii="Times New Roman" w:hAnsi="Times New Roman"/>
                <w:bCs w:val="false"/>
                <w:sz w:val="24"/>
                <w:szCs w:val="24"/>
              </w:rPr>
              <w:t>(</w:t>
            </w:r>
            <w:r>
              <w:rPr>
                <w:rFonts w:ascii="Times New Roman" w:hAnsi="Times New Roman"/>
                <w:color w:val="000000"/>
                <w:sz w:val="24"/>
                <w:szCs w:val="24"/>
              </w:rPr>
              <w:t>µg/mL</w:t>
            </w:r>
            <w:r>
              <w:rPr>
                <w:rFonts w:ascii="Times New Roman" w:hAnsi="Times New Roman"/>
                <w:bCs w:val="false"/>
                <w:sz w:val="24"/>
                <w:szCs w:val="24"/>
              </w:rPr>
              <w:t>)</w:t>
            </w:r>
          </w:p>
        </w:tc>
      </w:tr>
      <w:tr>
        <w:tblPrEx/>
        <w:trPr>
          <w:trHeight w:val="300" w:hRule="atLeast"/>
        </w:trPr>
        <w:tc>
          <w:tcPr>
            <w:tcW w:w="575" w:type="pct"/>
            <w:tcBorders/>
            <w:shd w:val="clear" w:color="auto" w:fill="auto"/>
            <w:noWrap/>
            <w:hideMark/>
          </w:tcPr>
          <w:p>
            <w:pPr>
              <w:pStyle w:val="style0"/>
              <w:jc w:val="center"/>
              <w:contextualSpacing/>
              <w:rPr>
                <w:rFonts w:ascii="Times New Roman" w:hAnsi="Times New Roman"/>
                <w:color w:val="auto"/>
                <w:sz w:val="24"/>
                <w:szCs w:val="24"/>
              </w:rPr>
            </w:pPr>
          </w:p>
        </w:tc>
        <w:tc>
          <w:tcPr>
            <w:tcW w:w="721" w:type="pct"/>
            <w:tcBorders/>
            <w:shd w:val="clear" w:color="auto" w:fill="auto"/>
            <w:noWrap/>
            <w:hideMark/>
          </w:tcPr>
          <w:p>
            <w:pPr>
              <w:pStyle w:val="style0"/>
              <w:jc w:val="center"/>
              <w:contextualSpacing/>
              <w:rPr>
                <w:rFonts w:ascii="Times New Roman" w:hAnsi="Times New Roman"/>
                <w:b/>
                <w:bCs/>
                <w:color w:val="auto"/>
                <w:sz w:val="24"/>
                <w:szCs w:val="24"/>
              </w:rPr>
            </w:pPr>
            <w:r>
              <w:rPr>
                <w:rFonts w:ascii="Times New Roman" w:hAnsi="Times New Roman"/>
                <w:b/>
                <w:bCs/>
                <w:color w:val="auto"/>
                <w:sz w:val="24"/>
                <w:szCs w:val="24"/>
              </w:rPr>
              <w:t>EF-I</w:t>
            </w:r>
          </w:p>
        </w:tc>
        <w:tc>
          <w:tcPr>
            <w:tcW w:w="721" w:type="pct"/>
            <w:tcBorders/>
            <w:shd w:val="clear" w:color="auto" w:fill="auto"/>
            <w:noWrap/>
            <w:hideMark/>
          </w:tcPr>
          <w:p>
            <w:pPr>
              <w:pStyle w:val="style0"/>
              <w:jc w:val="center"/>
              <w:contextualSpacing/>
              <w:rPr>
                <w:rFonts w:ascii="Times New Roman" w:hAnsi="Times New Roman"/>
                <w:b/>
                <w:bCs/>
                <w:color w:val="auto"/>
                <w:sz w:val="24"/>
                <w:szCs w:val="24"/>
              </w:rPr>
            </w:pPr>
            <w:r>
              <w:rPr>
                <w:rFonts w:ascii="Times New Roman" w:hAnsi="Times New Roman"/>
                <w:b/>
                <w:bCs/>
                <w:color w:val="auto"/>
                <w:sz w:val="24"/>
                <w:szCs w:val="24"/>
              </w:rPr>
              <w:t>EF-II</w:t>
            </w:r>
          </w:p>
        </w:tc>
        <w:tc>
          <w:tcPr>
            <w:tcW w:w="722" w:type="pct"/>
            <w:tcBorders/>
            <w:shd w:val="clear" w:color="auto" w:fill="auto"/>
            <w:noWrap/>
            <w:hideMark/>
          </w:tcPr>
          <w:p>
            <w:pPr>
              <w:pStyle w:val="style0"/>
              <w:jc w:val="center"/>
              <w:contextualSpacing/>
              <w:rPr>
                <w:rFonts w:ascii="Times New Roman" w:hAnsi="Times New Roman"/>
                <w:b/>
                <w:bCs/>
                <w:color w:val="auto"/>
                <w:sz w:val="24"/>
                <w:szCs w:val="24"/>
              </w:rPr>
            </w:pPr>
            <w:r>
              <w:rPr>
                <w:rFonts w:ascii="Times New Roman" w:hAnsi="Times New Roman"/>
                <w:b/>
                <w:bCs/>
                <w:color w:val="auto"/>
                <w:sz w:val="24"/>
                <w:szCs w:val="24"/>
              </w:rPr>
              <w:t>BF-I</w:t>
            </w:r>
          </w:p>
        </w:tc>
        <w:tc>
          <w:tcPr>
            <w:tcW w:w="721" w:type="pct"/>
            <w:tcBorders/>
            <w:shd w:val="clear" w:color="auto" w:fill="auto"/>
            <w:noWrap/>
            <w:hideMark/>
          </w:tcPr>
          <w:p>
            <w:pPr>
              <w:pStyle w:val="style0"/>
              <w:jc w:val="center"/>
              <w:contextualSpacing/>
              <w:rPr>
                <w:rFonts w:ascii="Times New Roman" w:hAnsi="Times New Roman"/>
                <w:b/>
                <w:bCs/>
                <w:color w:val="auto"/>
                <w:sz w:val="24"/>
                <w:szCs w:val="24"/>
              </w:rPr>
            </w:pPr>
            <w:r>
              <w:rPr>
                <w:rFonts w:ascii="Times New Roman" w:hAnsi="Times New Roman"/>
                <w:b/>
                <w:bCs/>
                <w:color w:val="auto"/>
                <w:sz w:val="24"/>
                <w:szCs w:val="24"/>
              </w:rPr>
              <w:t>BF-II</w:t>
            </w:r>
          </w:p>
        </w:tc>
        <w:tc>
          <w:tcPr>
            <w:tcW w:w="769" w:type="pct"/>
            <w:tcBorders/>
            <w:shd w:val="clear" w:color="auto" w:fill="auto"/>
            <w:noWrap/>
            <w:hideMark/>
          </w:tcPr>
          <w:p>
            <w:pPr>
              <w:pStyle w:val="style0"/>
              <w:jc w:val="center"/>
              <w:contextualSpacing/>
              <w:rPr>
                <w:rFonts w:ascii="Times New Roman" w:hAnsi="Times New Roman"/>
                <w:b/>
                <w:bCs/>
                <w:color w:val="auto"/>
                <w:sz w:val="24"/>
                <w:szCs w:val="24"/>
              </w:rPr>
            </w:pPr>
            <w:r>
              <w:rPr>
                <w:rFonts w:ascii="Times New Roman" w:hAnsi="Times New Roman"/>
                <w:b/>
                <w:color w:val="auto"/>
                <w:sz w:val="24"/>
                <w:szCs w:val="24"/>
              </w:rPr>
              <w:t>AQ</w:t>
            </w:r>
            <w:r>
              <w:rPr>
                <w:rFonts w:ascii="Times New Roman" w:hAnsi="Times New Roman"/>
                <w:b/>
                <w:color w:val="auto"/>
                <w:sz w:val="24"/>
                <w:szCs w:val="24"/>
              </w:rPr>
              <w:t>F</w:t>
            </w:r>
          </w:p>
        </w:tc>
        <w:tc>
          <w:tcPr>
            <w:tcW w:w="770" w:type="pct"/>
            <w:tcBorders/>
            <w:shd w:val="clear" w:color="auto" w:fill="auto"/>
          </w:tcPr>
          <w:p>
            <w:pPr>
              <w:pStyle w:val="style0"/>
              <w:jc w:val="center"/>
              <w:contextualSpacing/>
              <w:rPr>
                <w:rFonts w:ascii="Times New Roman" w:hAnsi="Times New Roman"/>
                <w:b/>
                <w:bCs/>
                <w:color w:val="auto"/>
                <w:sz w:val="24"/>
                <w:szCs w:val="24"/>
              </w:rPr>
            </w:pPr>
            <w:r>
              <w:rPr>
                <w:rFonts w:ascii="Times New Roman" w:hAnsi="Times New Roman"/>
                <w:b/>
                <w:bCs/>
                <w:color w:val="auto"/>
                <w:sz w:val="24"/>
                <w:szCs w:val="24"/>
              </w:rPr>
              <w:t>AS</w:t>
            </w:r>
            <w:r>
              <w:rPr>
                <w:rFonts w:ascii="Times New Roman" w:hAnsi="Times New Roman"/>
                <w:b/>
                <w:color w:val="auto"/>
                <w:sz w:val="24"/>
                <w:szCs w:val="24"/>
              </w:rPr>
              <w:t>A</w:t>
            </w:r>
          </w:p>
        </w:tc>
      </w:tr>
      <w:tr>
        <w:tblPrEx/>
        <w:trPr>
          <w:trHeight w:val="300" w:hRule="atLeast"/>
        </w:trPr>
        <w:tc>
          <w:tcPr>
            <w:tcW w:w="575"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25</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20.02±0.25</w:t>
            </w:r>
          </w:p>
        </w:tc>
        <w:tc>
          <w:tcPr>
            <w:tcW w:w="721"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4.32±0.49</w:t>
            </w:r>
          </w:p>
        </w:tc>
        <w:tc>
          <w:tcPr>
            <w:tcW w:w="722"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2.01±0.22</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13.01±0.33</w:t>
            </w:r>
          </w:p>
        </w:tc>
        <w:tc>
          <w:tcPr>
            <w:tcW w:w="769"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1.22±0.55</w:t>
            </w:r>
          </w:p>
        </w:tc>
        <w:tc>
          <w:tcPr>
            <w:tcW w:w="770" w:type="pct"/>
            <w:tcBorders/>
            <w:shd w:val="clear" w:color="auto" w:fill="auto"/>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31.23±0.31</w:t>
            </w:r>
          </w:p>
        </w:tc>
      </w:tr>
      <w:tr>
        <w:tblPrEx/>
        <w:trPr>
          <w:trHeight w:val="300" w:hRule="atLeast"/>
        </w:trPr>
        <w:tc>
          <w:tcPr>
            <w:tcW w:w="575"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50</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39.83±0.31</w:t>
            </w:r>
          </w:p>
        </w:tc>
        <w:tc>
          <w:tcPr>
            <w:tcW w:w="721"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13.99±0.34</w:t>
            </w:r>
          </w:p>
        </w:tc>
        <w:tc>
          <w:tcPr>
            <w:tcW w:w="722"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8.39±0.35</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30.33±0.42</w:t>
            </w:r>
          </w:p>
        </w:tc>
        <w:tc>
          <w:tcPr>
            <w:tcW w:w="769"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5.91±0.35</w:t>
            </w:r>
          </w:p>
        </w:tc>
        <w:tc>
          <w:tcPr>
            <w:tcW w:w="770" w:type="pct"/>
            <w:tcBorders/>
            <w:shd w:val="clear" w:color="auto" w:fill="auto"/>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48.71±0.34</w:t>
            </w:r>
          </w:p>
        </w:tc>
      </w:tr>
      <w:tr>
        <w:tblPrEx/>
        <w:trPr>
          <w:trHeight w:val="300" w:hRule="atLeast"/>
        </w:trPr>
        <w:tc>
          <w:tcPr>
            <w:tcW w:w="575"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75</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52.89±0.27</w:t>
            </w:r>
          </w:p>
        </w:tc>
        <w:tc>
          <w:tcPr>
            <w:tcW w:w="721"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21.54±0.61</w:t>
            </w:r>
          </w:p>
        </w:tc>
        <w:tc>
          <w:tcPr>
            <w:tcW w:w="722"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19.01±0.27</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46.39±0.23</w:t>
            </w:r>
          </w:p>
        </w:tc>
        <w:tc>
          <w:tcPr>
            <w:tcW w:w="769"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13.01±0.56</w:t>
            </w:r>
          </w:p>
        </w:tc>
        <w:tc>
          <w:tcPr>
            <w:tcW w:w="770" w:type="pct"/>
            <w:tcBorders/>
            <w:shd w:val="clear" w:color="auto" w:fill="auto"/>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62.03±0.42</w:t>
            </w:r>
          </w:p>
        </w:tc>
      </w:tr>
      <w:tr>
        <w:tblPrEx/>
        <w:trPr>
          <w:trHeight w:val="300" w:hRule="atLeast"/>
        </w:trPr>
        <w:tc>
          <w:tcPr>
            <w:tcW w:w="575"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100</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75.37±0.43</w:t>
            </w:r>
          </w:p>
        </w:tc>
        <w:tc>
          <w:tcPr>
            <w:tcW w:w="721"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29.23±0.31</w:t>
            </w:r>
          </w:p>
        </w:tc>
        <w:tc>
          <w:tcPr>
            <w:tcW w:w="722"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23.02±0.32</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66.18±0.39</w:t>
            </w:r>
          </w:p>
        </w:tc>
        <w:tc>
          <w:tcPr>
            <w:tcW w:w="769"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21.51±0.41</w:t>
            </w:r>
          </w:p>
        </w:tc>
        <w:tc>
          <w:tcPr>
            <w:tcW w:w="770" w:type="pct"/>
            <w:tcBorders/>
            <w:shd w:val="clear" w:color="auto" w:fill="auto"/>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79.11±0.49</w:t>
            </w:r>
          </w:p>
        </w:tc>
      </w:tr>
      <w:tr>
        <w:tblPrEx/>
        <w:trPr>
          <w:trHeight w:val="300" w:hRule="atLeast"/>
        </w:trPr>
        <w:tc>
          <w:tcPr>
            <w:tcW w:w="575"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125</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88.80±0.41</w:t>
            </w:r>
          </w:p>
        </w:tc>
        <w:tc>
          <w:tcPr>
            <w:tcW w:w="721" w:type="pct"/>
            <w:tcBorders/>
            <w:shd w:val="clear" w:color="auto" w:fill="auto"/>
            <w:noWrap/>
            <w:hideMark/>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36.01±0.56</w:t>
            </w:r>
          </w:p>
        </w:tc>
        <w:tc>
          <w:tcPr>
            <w:tcW w:w="722"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29.27±0.31</w:t>
            </w:r>
          </w:p>
        </w:tc>
        <w:tc>
          <w:tcPr>
            <w:tcW w:w="721"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75.23±0.36</w:t>
            </w:r>
          </w:p>
        </w:tc>
        <w:tc>
          <w:tcPr>
            <w:tcW w:w="769" w:type="pct"/>
            <w:tcBorders/>
            <w:shd w:val="clear" w:color="auto" w:fill="auto"/>
            <w:noWrap/>
            <w:hideMark/>
          </w:tcPr>
          <w:p>
            <w:pPr>
              <w:pStyle w:val="style0"/>
              <w:jc w:val="left"/>
              <w:contextualSpacing/>
              <w:rPr>
                <w:rFonts w:ascii="Times New Roman" w:hAnsi="Times New Roman"/>
                <w:color w:val="000000"/>
                <w:sz w:val="24"/>
                <w:szCs w:val="24"/>
              </w:rPr>
            </w:pPr>
            <w:r>
              <w:rPr>
                <w:rFonts w:ascii="Times New Roman" w:hAnsi="Times New Roman"/>
                <w:color w:val="000000"/>
                <w:sz w:val="24"/>
                <w:szCs w:val="24"/>
              </w:rPr>
              <w:t>26.89±0.38</w:t>
            </w:r>
          </w:p>
        </w:tc>
        <w:tc>
          <w:tcPr>
            <w:tcW w:w="770" w:type="pct"/>
            <w:tcBorders/>
            <w:shd w:val="clear" w:color="auto" w:fill="auto"/>
          </w:tcPr>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91.21±0.46</w:t>
            </w:r>
          </w:p>
        </w:tc>
      </w:tr>
      <w:tr>
        <w:tblPrEx/>
        <w:trPr>
          <w:trHeight w:val="300" w:hRule="atLeast"/>
        </w:trPr>
        <w:tc>
          <w:tcPr>
            <w:tcW w:w="575" w:type="pct"/>
            <w:tcBorders/>
            <w:shd w:val="clear" w:color="auto" w:fill="e8e8e8"/>
            <w:noWrap/>
          </w:tcPr>
          <w:p>
            <w:pPr>
              <w:pStyle w:val="style0"/>
              <w:jc w:val="center"/>
              <w:contextualSpacing/>
              <w:rPr>
                <w:rFonts w:ascii="Times New Roman" w:hAnsi="Times New Roman"/>
                <w:color w:val="000000"/>
                <w:sz w:val="24"/>
                <w:szCs w:val="24"/>
              </w:rPr>
            </w:pPr>
          </w:p>
          <w:p>
            <w:pPr>
              <w:pStyle w:val="style0"/>
              <w:jc w:val="center"/>
              <w:contextualSpacing/>
              <w:rPr>
                <w:rFonts w:ascii="Times New Roman" w:hAnsi="Times New Roman"/>
                <w:color w:val="000000"/>
                <w:sz w:val="24"/>
                <w:szCs w:val="24"/>
              </w:rPr>
            </w:pPr>
            <w:r>
              <w:rPr>
                <w:rFonts w:ascii="Times New Roman" w:hAnsi="Times New Roman"/>
                <w:color w:val="000000"/>
                <w:sz w:val="24"/>
                <w:szCs w:val="24"/>
              </w:rPr>
              <w:t>IC</w:t>
            </w:r>
            <w:r>
              <w:rPr>
                <w:rFonts w:ascii="Times New Roman" w:hAnsi="Times New Roman"/>
                <w:color w:val="000000"/>
                <w:sz w:val="24"/>
                <w:szCs w:val="24"/>
                <w:vertAlign w:val="subscript"/>
              </w:rPr>
              <w:t>50</w:t>
            </w:r>
            <w:r>
              <w:rPr>
                <w:rFonts w:ascii="Times New Roman" w:hAnsi="Times New Roman"/>
                <w:color w:val="000000"/>
                <w:sz w:val="24"/>
                <w:szCs w:val="24"/>
              </w:rPr>
              <w:t xml:space="preserve"> µg/mL</w:t>
            </w:r>
          </w:p>
        </w:tc>
        <w:tc>
          <w:tcPr>
            <w:tcW w:w="721" w:type="pct"/>
            <w:tcBorders/>
            <w:shd w:val="clear" w:color="auto" w:fill="e8e8e8"/>
            <w:noWrap/>
          </w:tcPr>
          <w:p>
            <w:pPr>
              <w:pStyle w:val="style0"/>
              <w:jc w:val="center"/>
              <w:contextualSpacing/>
              <w:rPr>
                <w:rFonts w:ascii="Times New Roman" w:hAnsi="Times New Roman"/>
                <w:b/>
                <w:color w:val="000000"/>
                <w:sz w:val="24"/>
                <w:szCs w:val="24"/>
              </w:rPr>
            </w:pPr>
          </w:p>
          <w:p>
            <w:pPr>
              <w:pStyle w:val="style0"/>
              <w:jc w:val="center"/>
              <w:contextualSpacing/>
              <w:rPr>
                <w:rFonts w:ascii="Times New Roman" w:hAnsi="Times New Roman"/>
                <w:b/>
                <w:color w:val="000000"/>
                <w:sz w:val="24"/>
                <w:szCs w:val="24"/>
              </w:rPr>
            </w:pPr>
            <w:r>
              <w:rPr>
                <w:rFonts w:ascii="Times New Roman" w:hAnsi="Times New Roman"/>
                <w:b/>
                <w:color w:val="000000"/>
                <w:sz w:val="24"/>
                <w:szCs w:val="24"/>
              </w:rPr>
              <w:t>67.26</w:t>
            </w:r>
          </w:p>
        </w:tc>
        <w:tc>
          <w:tcPr>
            <w:tcW w:w="721" w:type="pct"/>
            <w:tcBorders/>
            <w:shd w:val="clear" w:color="auto" w:fill="e8e8e8"/>
            <w:noWrap/>
          </w:tcPr>
          <w:p>
            <w:pPr>
              <w:pStyle w:val="style0"/>
              <w:jc w:val="center"/>
              <w:contextualSpacing/>
              <w:rPr>
                <w:rFonts w:ascii="Times New Roman" w:hAnsi="Times New Roman"/>
                <w:b/>
                <w:color w:val="000000"/>
                <w:sz w:val="24"/>
                <w:szCs w:val="24"/>
              </w:rPr>
            </w:pPr>
          </w:p>
          <w:p>
            <w:pPr>
              <w:pStyle w:val="style0"/>
              <w:jc w:val="center"/>
              <w:contextualSpacing/>
              <w:rPr>
                <w:rFonts w:ascii="Times New Roman" w:hAnsi="Times New Roman"/>
                <w:b/>
                <w:color w:val="000000"/>
                <w:sz w:val="24"/>
                <w:szCs w:val="24"/>
              </w:rPr>
            </w:pPr>
            <w:r>
              <w:rPr>
                <w:rFonts w:ascii="Times New Roman" w:hAnsi="Times New Roman"/>
                <w:b/>
                <w:color w:val="000000"/>
                <w:sz w:val="24"/>
                <w:szCs w:val="24"/>
              </w:rPr>
              <w:t>167.41</w:t>
            </w:r>
          </w:p>
        </w:tc>
        <w:tc>
          <w:tcPr>
            <w:tcW w:w="722" w:type="pct"/>
            <w:tcBorders/>
            <w:shd w:val="clear" w:color="auto" w:fill="e8e8e8"/>
            <w:noWrap/>
          </w:tcPr>
          <w:p>
            <w:pPr>
              <w:pStyle w:val="style0"/>
              <w:jc w:val="center"/>
              <w:contextualSpacing/>
              <w:rPr>
                <w:rFonts w:ascii="Times New Roman" w:hAnsi="Times New Roman"/>
                <w:b/>
                <w:color w:val="000000"/>
                <w:sz w:val="24"/>
                <w:szCs w:val="24"/>
              </w:rPr>
            </w:pPr>
          </w:p>
          <w:p>
            <w:pPr>
              <w:pStyle w:val="style0"/>
              <w:jc w:val="center"/>
              <w:contextualSpacing/>
              <w:rPr>
                <w:rFonts w:ascii="Times New Roman" w:hAnsi="Times New Roman"/>
                <w:b/>
                <w:color w:val="000000"/>
                <w:sz w:val="24"/>
                <w:szCs w:val="24"/>
              </w:rPr>
            </w:pPr>
            <w:r>
              <w:rPr>
                <w:rFonts w:ascii="Times New Roman" w:hAnsi="Times New Roman"/>
                <w:b/>
                <w:color w:val="000000"/>
                <w:sz w:val="24"/>
                <w:szCs w:val="24"/>
              </w:rPr>
              <w:t>197.11</w:t>
            </w:r>
          </w:p>
        </w:tc>
        <w:tc>
          <w:tcPr>
            <w:tcW w:w="721" w:type="pct"/>
            <w:tcBorders/>
            <w:shd w:val="clear" w:color="auto" w:fill="e8e8e8"/>
            <w:noWrap/>
          </w:tcPr>
          <w:p>
            <w:pPr>
              <w:pStyle w:val="style0"/>
              <w:jc w:val="center"/>
              <w:contextualSpacing/>
              <w:rPr>
                <w:rFonts w:ascii="Times New Roman" w:hAnsi="Times New Roman"/>
                <w:b/>
                <w:color w:val="000000"/>
                <w:sz w:val="24"/>
                <w:szCs w:val="24"/>
              </w:rPr>
            </w:pPr>
          </w:p>
          <w:p>
            <w:pPr>
              <w:pStyle w:val="style0"/>
              <w:jc w:val="center"/>
              <w:contextualSpacing/>
              <w:rPr>
                <w:rFonts w:ascii="Times New Roman" w:hAnsi="Times New Roman"/>
                <w:b/>
                <w:color w:val="000000"/>
                <w:sz w:val="24"/>
                <w:szCs w:val="24"/>
              </w:rPr>
            </w:pPr>
            <w:r>
              <w:rPr>
                <w:rFonts w:ascii="Times New Roman" w:hAnsi="Times New Roman"/>
                <w:b/>
                <w:color w:val="000000"/>
                <w:sz w:val="24"/>
                <w:szCs w:val="24"/>
              </w:rPr>
              <w:t>80.90</w:t>
            </w:r>
          </w:p>
        </w:tc>
        <w:tc>
          <w:tcPr>
            <w:tcW w:w="769" w:type="pct"/>
            <w:tcBorders/>
            <w:shd w:val="clear" w:color="auto" w:fill="e8e8e8"/>
            <w:noWrap/>
          </w:tcPr>
          <w:p>
            <w:pPr>
              <w:pStyle w:val="style0"/>
              <w:jc w:val="center"/>
              <w:contextualSpacing/>
              <w:rPr>
                <w:rFonts w:ascii="Times New Roman" w:hAnsi="Times New Roman"/>
                <w:b/>
                <w:color w:val="000000"/>
                <w:sz w:val="24"/>
                <w:szCs w:val="24"/>
              </w:rPr>
            </w:pPr>
          </w:p>
          <w:p>
            <w:pPr>
              <w:pStyle w:val="style0"/>
              <w:jc w:val="center"/>
              <w:contextualSpacing/>
              <w:rPr>
                <w:rFonts w:ascii="Times New Roman" w:hAnsi="Times New Roman"/>
                <w:b/>
                <w:color w:val="000000"/>
                <w:sz w:val="24"/>
                <w:szCs w:val="24"/>
              </w:rPr>
            </w:pPr>
            <w:r>
              <w:rPr>
                <w:rFonts w:ascii="Times New Roman" w:hAnsi="Times New Roman"/>
                <w:b/>
                <w:color w:val="000000"/>
                <w:sz w:val="24"/>
                <w:szCs w:val="24"/>
              </w:rPr>
              <w:t>229.58</w:t>
            </w:r>
          </w:p>
        </w:tc>
        <w:tc>
          <w:tcPr>
            <w:tcW w:w="770" w:type="pct"/>
            <w:tcBorders/>
            <w:shd w:val="clear" w:color="auto" w:fill="e8e8e8"/>
          </w:tcPr>
          <w:p>
            <w:pPr>
              <w:pStyle w:val="style0"/>
              <w:jc w:val="center"/>
              <w:contextualSpacing/>
              <w:rPr>
                <w:rFonts w:ascii="Times New Roman" w:hAnsi="Times New Roman"/>
                <w:b/>
                <w:color w:val="000000"/>
                <w:sz w:val="24"/>
                <w:szCs w:val="24"/>
              </w:rPr>
            </w:pPr>
          </w:p>
          <w:p>
            <w:pPr>
              <w:pStyle w:val="style0"/>
              <w:jc w:val="center"/>
              <w:contextualSpacing/>
              <w:rPr>
                <w:rFonts w:ascii="Times New Roman" w:hAnsi="Times New Roman"/>
                <w:b/>
                <w:color w:val="000000"/>
                <w:sz w:val="24"/>
                <w:szCs w:val="24"/>
              </w:rPr>
            </w:pPr>
            <w:r>
              <w:rPr>
                <w:rFonts w:ascii="Times New Roman" w:hAnsi="Times New Roman"/>
                <w:b/>
                <w:color w:val="000000"/>
                <w:sz w:val="24"/>
                <w:szCs w:val="24"/>
              </w:rPr>
              <w:t>59.62</w:t>
            </w:r>
          </w:p>
        </w:tc>
      </w:tr>
    </w:tbl>
    <w:p>
      <w:pPr>
        <w:pStyle w:val="style0"/>
        <w:rPr/>
      </w:pPr>
    </w:p>
    <w:p>
      <w:pPr>
        <w:pStyle w:val="style0"/>
        <w:rPr/>
      </w:pPr>
      <w:r>
        <w:t xml:space="preserve">Total phenolic content  o </w:t>
      </w:r>
      <w:r>
        <w:t>fmethanolic</w:t>
      </w:r>
      <w:r>
        <w:t xml:space="preserve"> extract </w:t>
      </w:r>
      <w:r>
        <w:t>of,leaf</w:t>
      </w:r>
      <w:r>
        <w:t xml:space="preserve"> and their fractions  of </w:t>
      </w:r>
      <w:r>
        <w:t>Moringa</w:t>
      </w:r>
      <w:r>
        <w:t xml:space="preserve"> </w:t>
      </w:r>
      <w:r>
        <w:t>oelifera</w:t>
      </w:r>
      <w:r>
        <w:t xml:space="preserve">  was estimated by  </w:t>
      </w:r>
      <w:r>
        <w:t>Folin-Ciocalteu</w:t>
      </w:r>
      <w:r>
        <w:t xml:space="preserve"> assay. The results showed that M3 showed highest content of phenolics (275.35 mg/g equivalent of Gallic acid)</w:t>
      </w:r>
    </w:p>
    <w:p>
      <w:pPr>
        <w:pStyle w:val="style0"/>
        <w:spacing w:before="100" w:beforeAutospacing="true" w:after="100" w:afterAutospacing="true" w:lineRule="auto" w:line="480"/>
        <w:ind w:left="288"/>
        <w:jc w:val="both"/>
        <w:outlineLvl w:val="3"/>
        <w:rPr/>
      </w:pPr>
    </w:p>
    <w:p>
      <w:pPr>
        <w:pStyle w:val="style0"/>
        <w:spacing w:before="100" w:beforeAutospacing="true" w:after="100" w:afterAutospacing="true" w:lineRule="auto" w:line="480"/>
        <w:ind w:left="288"/>
        <w:jc w:val="both"/>
        <w:outlineLvl w:val="3"/>
        <w:rPr/>
      </w:pPr>
    </w:p>
    <w:p>
      <w:pPr>
        <w:pStyle w:val="style0"/>
        <w:spacing w:before="100" w:beforeAutospacing="true" w:after="100" w:afterAutospacing="true" w:lineRule="auto" w:line="480"/>
        <w:ind w:left="288"/>
        <w:jc w:val="both"/>
        <w:outlineLvl w:val="3"/>
        <w:rPr/>
      </w:pPr>
    </w:p>
    <w:p>
      <w:pPr>
        <w:pStyle w:val="style0"/>
        <w:rPr>
          <w:b/>
        </w:rPr>
      </w:pPr>
      <w:r>
        <w:rPr>
          <w:b/>
        </w:rPr>
        <w:t xml:space="preserve">Table </w:t>
      </w:r>
      <w:r>
        <w:rPr>
          <w:b/>
        </w:rPr>
        <w:t>3</w:t>
      </w:r>
      <w:r>
        <w:rPr>
          <w:b/>
        </w:rPr>
        <w:t xml:space="preserve">  Total flavonoid content of </w:t>
      </w:r>
      <w:r>
        <w:rPr>
          <w:b/>
          <w:i/>
        </w:rPr>
        <w:t>Moringa</w:t>
      </w:r>
      <w:r>
        <w:rPr>
          <w:b/>
          <w:i/>
        </w:rPr>
        <w:t xml:space="preserve"> </w:t>
      </w:r>
      <w:r>
        <w:rPr>
          <w:b/>
          <w:i/>
        </w:rPr>
        <w:t>oelifera</w:t>
      </w:r>
    </w:p>
    <w:tbl>
      <w:tblPr>
        <w:tblStyle w:val="style154"/>
        <w:tblW w:w="0" w:type="auto"/>
        <w:tblLook w:val="04A0" w:firstRow="1" w:lastRow="0" w:firstColumn="1" w:lastColumn="0" w:noHBand="0" w:noVBand="1"/>
      </w:tblPr>
      <w:tblGrid>
        <w:gridCol w:w="2984"/>
        <w:gridCol w:w="3041"/>
        <w:gridCol w:w="3002"/>
      </w:tblGrid>
      <w:tr>
        <w:trPr/>
        <w:tc>
          <w:tcPr>
            <w:tcW w:w="3192" w:type="dxa"/>
            <w:tcBorders/>
          </w:tcPr>
          <w:p>
            <w:pPr>
              <w:pStyle w:val="style0"/>
              <w:rPr>
                <w:rFonts w:ascii="Times New Roman" w:hAnsi="Times New Roman"/>
                <w:b/>
                <w:sz w:val="24"/>
                <w:szCs w:val="24"/>
              </w:rPr>
            </w:pPr>
            <w:r>
              <w:rPr>
                <w:rFonts w:ascii="Times New Roman" w:hAnsi="Times New Roman"/>
                <w:b/>
                <w:sz w:val="24"/>
                <w:szCs w:val="24"/>
              </w:rPr>
              <w:t>Sample</w:t>
            </w:r>
          </w:p>
        </w:tc>
        <w:tc>
          <w:tcPr>
            <w:tcW w:w="3192" w:type="dxa"/>
            <w:tcBorders/>
          </w:tcPr>
          <w:p>
            <w:pPr>
              <w:pStyle w:val="style0"/>
              <w:rPr>
                <w:rFonts w:ascii="Times New Roman" w:hAnsi="Times New Roman"/>
                <w:b/>
                <w:sz w:val="24"/>
                <w:szCs w:val="24"/>
              </w:rPr>
            </w:pPr>
            <w:r>
              <w:rPr>
                <w:rFonts w:ascii="Times New Roman" w:hAnsi="Times New Roman"/>
                <w:b/>
                <w:sz w:val="24"/>
                <w:szCs w:val="24"/>
              </w:rPr>
              <w:t>mgQR</w:t>
            </w:r>
            <w:r>
              <w:rPr>
                <w:rFonts w:ascii="Times New Roman" w:hAnsi="Times New Roman"/>
                <w:b/>
                <w:sz w:val="24"/>
                <w:szCs w:val="24"/>
              </w:rPr>
              <w:t>/g</w:t>
            </w:r>
          </w:p>
        </w:tc>
        <w:tc>
          <w:tcPr>
            <w:tcW w:w="3192" w:type="dxa"/>
            <w:tcBorders/>
          </w:tcPr>
          <w:p>
            <w:pPr>
              <w:pStyle w:val="style0"/>
              <w:rPr>
                <w:rFonts w:ascii="Times New Roman" w:hAnsi="Times New Roman"/>
                <w:b/>
                <w:sz w:val="24"/>
                <w:szCs w:val="24"/>
              </w:rPr>
            </w:pPr>
            <w:r>
              <w:rPr>
                <w:rFonts w:ascii="Times New Roman" w:hAnsi="Times New Roman"/>
                <w:b/>
                <w:sz w:val="24"/>
                <w:szCs w:val="24"/>
              </w:rPr>
              <w:t>STDEV</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M1</w:t>
            </w:r>
          </w:p>
        </w:tc>
        <w:tc>
          <w:tcPr>
            <w:tcW w:w="3192" w:type="dxa"/>
            <w:tcBorders/>
          </w:tcPr>
          <w:p>
            <w:pPr>
              <w:pStyle w:val="style0"/>
              <w:rPr>
                <w:rFonts w:ascii="Times New Roman" w:hAnsi="Times New Roman"/>
                <w:sz w:val="24"/>
                <w:szCs w:val="24"/>
              </w:rPr>
            </w:pPr>
            <w:r>
              <w:rPr>
                <w:rFonts w:ascii="Times New Roman" w:hAnsi="Times New Roman"/>
                <w:sz w:val="24"/>
                <w:szCs w:val="24"/>
              </w:rPr>
              <w:t>29.85217677</w:t>
            </w:r>
          </w:p>
        </w:tc>
        <w:tc>
          <w:tcPr>
            <w:tcW w:w="3192" w:type="dxa"/>
            <w:tcBorders/>
          </w:tcPr>
          <w:p>
            <w:pPr>
              <w:pStyle w:val="style0"/>
              <w:rPr>
                <w:rFonts w:ascii="Times New Roman" w:hAnsi="Times New Roman"/>
                <w:sz w:val="24"/>
                <w:szCs w:val="24"/>
              </w:rPr>
            </w:pPr>
            <w:r>
              <w:rPr>
                <w:rFonts w:ascii="Times New Roman" w:hAnsi="Times New Roman"/>
                <w:sz w:val="24"/>
                <w:szCs w:val="24"/>
              </w:rPr>
              <w:t>0.00384</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M2</w:t>
            </w:r>
          </w:p>
        </w:tc>
        <w:tc>
          <w:tcPr>
            <w:tcW w:w="3192" w:type="dxa"/>
            <w:tcBorders/>
          </w:tcPr>
          <w:p>
            <w:pPr>
              <w:pStyle w:val="style0"/>
              <w:rPr>
                <w:rFonts w:ascii="Times New Roman" w:hAnsi="Times New Roman"/>
                <w:sz w:val="24"/>
                <w:szCs w:val="24"/>
              </w:rPr>
            </w:pPr>
            <w:r>
              <w:rPr>
                <w:rFonts w:ascii="Times New Roman" w:hAnsi="Times New Roman"/>
                <w:sz w:val="24"/>
                <w:szCs w:val="24"/>
              </w:rPr>
              <w:t>22.61987273</w:t>
            </w:r>
          </w:p>
        </w:tc>
        <w:tc>
          <w:tcPr>
            <w:tcW w:w="3192" w:type="dxa"/>
            <w:tcBorders/>
          </w:tcPr>
          <w:p>
            <w:pPr>
              <w:pStyle w:val="style0"/>
              <w:rPr>
                <w:rFonts w:ascii="Times New Roman" w:hAnsi="Times New Roman"/>
                <w:sz w:val="24"/>
                <w:szCs w:val="24"/>
              </w:rPr>
            </w:pPr>
            <w:r>
              <w:rPr>
                <w:rFonts w:ascii="Times New Roman" w:hAnsi="Times New Roman"/>
                <w:sz w:val="24"/>
                <w:szCs w:val="24"/>
              </w:rPr>
              <w:t>0.00785</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M3</w:t>
            </w:r>
          </w:p>
        </w:tc>
        <w:tc>
          <w:tcPr>
            <w:tcW w:w="3192" w:type="dxa"/>
            <w:tcBorders/>
          </w:tcPr>
          <w:p>
            <w:pPr>
              <w:pStyle w:val="style0"/>
              <w:rPr>
                <w:rFonts w:ascii="Times New Roman" w:hAnsi="Times New Roman"/>
                <w:sz w:val="24"/>
                <w:szCs w:val="24"/>
              </w:rPr>
            </w:pPr>
            <w:r>
              <w:rPr>
                <w:rFonts w:ascii="Times New Roman" w:hAnsi="Times New Roman"/>
                <w:sz w:val="24"/>
                <w:szCs w:val="24"/>
              </w:rPr>
              <w:t>23.09319105</w:t>
            </w:r>
          </w:p>
        </w:tc>
        <w:tc>
          <w:tcPr>
            <w:tcW w:w="3192" w:type="dxa"/>
            <w:tcBorders/>
          </w:tcPr>
          <w:p>
            <w:pPr>
              <w:pStyle w:val="style0"/>
              <w:rPr>
                <w:rFonts w:ascii="Times New Roman" w:hAnsi="Times New Roman"/>
                <w:sz w:val="24"/>
                <w:szCs w:val="24"/>
              </w:rPr>
            </w:pPr>
            <w:r>
              <w:rPr>
                <w:rFonts w:ascii="Times New Roman" w:hAnsi="Times New Roman"/>
                <w:sz w:val="24"/>
                <w:szCs w:val="24"/>
              </w:rPr>
              <w:t>0.00340</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M4</w:t>
            </w:r>
          </w:p>
        </w:tc>
        <w:tc>
          <w:tcPr>
            <w:tcW w:w="3192" w:type="dxa"/>
            <w:tcBorders/>
          </w:tcPr>
          <w:p>
            <w:pPr>
              <w:pStyle w:val="style0"/>
              <w:rPr>
                <w:rFonts w:ascii="Times New Roman" w:hAnsi="Times New Roman"/>
                <w:sz w:val="24"/>
                <w:szCs w:val="24"/>
              </w:rPr>
            </w:pPr>
            <w:r>
              <w:rPr>
                <w:rFonts w:ascii="Times New Roman" w:hAnsi="Times New Roman"/>
                <w:sz w:val="24"/>
                <w:szCs w:val="24"/>
              </w:rPr>
              <w:t>2.418646518</w:t>
            </w:r>
          </w:p>
        </w:tc>
        <w:tc>
          <w:tcPr>
            <w:tcW w:w="3192" w:type="dxa"/>
            <w:tcBorders/>
          </w:tcPr>
          <w:p>
            <w:pPr>
              <w:pStyle w:val="style0"/>
              <w:rPr>
                <w:rFonts w:ascii="Times New Roman" w:hAnsi="Times New Roman"/>
                <w:sz w:val="24"/>
                <w:szCs w:val="24"/>
              </w:rPr>
            </w:pPr>
            <w:r>
              <w:rPr>
                <w:rFonts w:ascii="Times New Roman" w:hAnsi="Times New Roman"/>
                <w:sz w:val="24"/>
                <w:szCs w:val="24"/>
              </w:rPr>
              <w:t>0.032554</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M5</w:t>
            </w:r>
          </w:p>
        </w:tc>
        <w:tc>
          <w:tcPr>
            <w:tcW w:w="3192" w:type="dxa"/>
            <w:tcBorders/>
          </w:tcPr>
          <w:p>
            <w:pPr>
              <w:pStyle w:val="style0"/>
              <w:rPr>
                <w:rFonts w:ascii="Times New Roman" w:hAnsi="Times New Roman"/>
                <w:sz w:val="24"/>
                <w:szCs w:val="24"/>
              </w:rPr>
            </w:pPr>
            <w:r>
              <w:rPr>
                <w:rFonts w:ascii="Times New Roman" w:hAnsi="Times New Roman"/>
                <w:sz w:val="24"/>
                <w:szCs w:val="24"/>
              </w:rPr>
              <w:t>103.9738268</w:t>
            </w:r>
          </w:p>
        </w:tc>
        <w:tc>
          <w:tcPr>
            <w:tcW w:w="3192" w:type="dxa"/>
            <w:tcBorders/>
          </w:tcPr>
          <w:p>
            <w:pPr>
              <w:pStyle w:val="style0"/>
              <w:rPr>
                <w:rFonts w:ascii="Times New Roman" w:hAnsi="Times New Roman"/>
                <w:sz w:val="24"/>
                <w:szCs w:val="24"/>
              </w:rPr>
            </w:pPr>
            <w:r>
              <w:rPr>
                <w:rFonts w:ascii="Times New Roman" w:hAnsi="Times New Roman"/>
                <w:sz w:val="24"/>
                <w:szCs w:val="24"/>
              </w:rPr>
              <w:t>0.194596</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M6</w:t>
            </w:r>
          </w:p>
        </w:tc>
        <w:tc>
          <w:tcPr>
            <w:tcW w:w="3192" w:type="dxa"/>
            <w:tcBorders/>
          </w:tcPr>
          <w:p>
            <w:pPr>
              <w:pStyle w:val="style0"/>
              <w:rPr>
                <w:rFonts w:ascii="Times New Roman" w:hAnsi="Times New Roman"/>
                <w:sz w:val="24"/>
                <w:szCs w:val="24"/>
              </w:rPr>
            </w:pPr>
            <w:r>
              <w:rPr>
                <w:rFonts w:ascii="Times New Roman" w:hAnsi="Times New Roman"/>
                <w:sz w:val="24"/>
                <w:szCs w:val="24"/>
              </w:rPr>
              <w:t>0.260314945</w:t>
            </w:r>
          </w:p>
        </w:tc>
        <w:tc>
          <w:tcPr>
            <w:tcW w:w="3192" w:type="dxa"/>
            <w:tcBorders/>
          </w:tcPr>
          <w:p>
            <w:pPr>
              <w:pStyle w:val="style0"/>
              <w:rPr>
                <w:rFonts w:ascii="Times New Roman" w:hAnsi="Times New Roman"/>
                <w:sz w:val="24"/>
                <w:szCs w:val="24"/>
              </w:rPr>
            </w:pPr>
            <w:r>
              <w:rPr>
                <w:rFonts w:ascii="Times New Roman" w:hAnsi="Times New Roman"/>
                <w:sz w:val="24"/>
                <w:szCs w:val="24"/>
              </w:rPr>
              <w:t>0.006413</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M7</w:t>
            </w:r>
          </w:p>
        </w:tc>
        <w:tc>
          <w:tcPr>
            <w:tcW w:w="3192" w:type="dxa"/>
            <w:tcBorders/>
          </w:tcPr>
          <w:p>
            <w:pPr>
              <w:pStyle w:val="style0"/>
              <w:rPr>
                <w:rFonts w:ascii="Times New Roman" w:hAnsi="Times New Roman"/>
                <w:sz w:val="24"/>
                <w:szCs w:val="24"/>
              </w:rPr>
            </w:pPr>
            <w:r>
              <w:rPr>
                <w:rFonts w:ascii="Times New Roman" w:hAnsi="Times New Roman"/>
                <w:sz w:val="24"/>
                <w:szCs w:val="24"/>
              </w:rPr>
              <w:t>26.31175568</w:t>
            </w:r>
          </w:p>
        </w:tc>
        <w:tc>
          <w:tcPr>
            <w:tcW w:w="3192" w:type="dxa"/>
            <w:tcBorders/>
          </w:tcPr>
          <w:p>
            <w:pPr>
              <w:pStyle w:val="style0"/>
              <w:rPr>
                <w:rFonts w:ascii="Times New Roman" w:hAnsi="Times New Roman"/>
                <w:sz w:val="24"/>
                <w:szCs w:val="24"/>
              </w:rPr>
            </w:pPr>
            <w:r>
              <w:rPr>
                <w:rFonts w:ascii="Times New Roman" w:hAnsi="Times New Roman"/>
                <w:sz w:val="24"/>
                <w:szCs w:val="24"/>
              </w:rPr>
              <w:t>0.034892</w:t>
            </w:r>
          </w:p>
        </w:tc>
      </w:tr>
      <w:tr>
        <w:tblPrEx/>
        <w:trPr/>
        <w:tc>
          <w:tcPr>
            <w:tcW w:w="3192" w:type="dxa"/>
            <w:tcBorders/>
          </w:tcPr>
          <w:p>
            <w:pPr>
              <w:pStyle w:val="style0"/>
              <w:rPr>
                <w:rFonts w:ascii="Times New Roman" w:hAnsi="Times New Roman"/>
                <w:sz w:val="24"/>
                <w:szCs w:val="24"/>
              </w:rPr>
            </w:pPr>
            <w:r>
              <w:rPr>
                <w:rFonts w:ascii="Times New Roman" w:hAnsi="Times New Roman"/>
                <w:sz w:val="24"/>
                <w:szCs w:val="24"/>
              </w:rPr>
              <w:t>M8</w:t>
            </w:r>
          </w:p>
        </w:tc>
        <w:tc>
          <w:tcPr>
            <w:tcW w:w="3192" w:type="dxa"/>
            <w:tcBorders/>
          </w:tcPr>
          <w:p>
            <w:pPr>
              <w:pStyle w:val="style0"/>
              <w:rPr>
                <w:rFonts w:ascii="Times New Roman" w:hAnsi="Times New Roman"/>
                <w:sz w:val="24"/>
                <w:szCs w:val="24"/>
              </w:rPr>
            </w:pPr>
            <w:r>
              <w:rPr>
                <w:rFonts w:ascii="Times New Roman" w:hAnsi="Times New Roman"/>
                <w:sz w:val="24"/>
                <w:szCs w:val="24"/>
              </w:rPr>
              <w:t>0.941893337</w:t>
            </w:r>
          </w:p>
        </w:tc>
        <w:tc>
          <w:tcPr>
            <w:tcW w:w="3192" w:type="dxa"/>
            <w:tcBorders/>
          </w:tcPr>
          <w:p>
            <w:pPr>
              <w:pStyle w:val="style0"/>
              <w:rPr>
                <w:rFonts w:ascii="Times New Roman" w:hAnsi="Times New Roman"/>
                <w:sz w:val="24"/>
                <w:szCs w:val="24"/>
              </w:rPr>
            </w:pPr>
            <w:r>
              <w:rPr>
                <w:rFonts w:ascii="Times New Roman" w:hAnsi="Times New Roman"/>
                <w:sz w:val="24"/>
                <w:szCs w:val="24"/>
              </w:rPr>
              <w:t>0.006728</w:t>
            </w:r>
          </w:p>
        </w:tc>
      </w:tr>
    </w:tbl>
    <w:p>
      <w:pPr>
        <w:pStyle w:val="style0"/>
        <w:spacing w:before="100" w:beforeAutospacing="true" w:after="100" w:afterAutospacing="true" w:lineRule="auto" w:line="480"/>
        <w:jc w:val="both"/>
        <w:outlineLvl w:val="3"/>
        <w:rPr>
          <w:rFonts w:eastAsia="Times New Roman"/>
          <w:b/>
          <w:bCs/>
          <w:color w:val="auto"/>
          <w:lang w:eastAsia="en-IN"/>
        </w:rPr>
      </w:pPr>
      <w:r>
        <w:t>The results of the above mentioned methods have shown methanol extract has shown highest antioxidant activity in both DPPH and Reducing power assays and moreover during Spectrophotometric quantification of total phenolic and flavonoid contents highest amounts of  both phenolics and flavonoids were present in methanol extract as compared to ethyl acetate and methanol extract</w:t>
      </w:r>
    </w:p>
    <w:p>
      <w:pPr>
        <w:pStyle w:val="style0"/>
        <w:spacing w:before="100" w:beforeAutospacing="true" w:after="100" w:afterAutospacing="true" w:lineRule="auto" w:line="240"/>
        <w:outlineLvl w:val="2"/>
        <w:rPr>
          <w:rFonts w:eastAsia="Times New Roman"/>
          <w:b/>
          <w:bCs/>
          <w:color w:val="auto"/>
          <w:sz w:val="27"/>
          <w:szCs w:val="27"/>
          <w:lang w:eastAsia="en-IN"/>
        </w:rPr>
      </w:pPr>
      <w:r>
        <w:rPr>
          <w:rFonts w:eastAsia="Times New Roman"/>
          <w:b/>
          <w:bCs/>
          <w:color w:val="auto"/>
          <w:sz w:val="27"/>
          <w:szCs w:val="27"/>
          <w:lang w:eastAsia="en-IN"/>
        </w:rPr>
        <w:t>Conclusion</w:t>
      </w:r>
    </w:p>
    <w:p>
      <w:pPr>
        <w:pStyle w:val="style0"/>
        <w:spacing w:before="100" w:beforeAutospacing="true" w:after="100" w:afterAutospacing="true" w:lineRule="auto" w:line="360"/>
        <w:jc w:val="both"/>
        <w:rPr>
          <w:rFonts w:eastAsia="Times New Roman"/>
          <w:color w:val="auto"/>
          <w:lang w:eastAsia="en-IN"/>
        </w:rPr>
      </w:pPr>
      <w:r>
        <w:rPr>
          <w:rFonts w:eastAsia="Times New Roman"/>
          <w:color w:val="auto"/>
          <w:lang w:eastAsia="en-IN"/>
        </w:rPr>
        <w:t xml:space="preserve">Flavonoids are a key group of bioactive compounds in </w:t>
      </w:r>
      <w:r>
        <w:rPr>
          <w:rFonts w:eastAsia="Times New Roman"/>
          <w:i/>
          <w:iCs/>
          <w:color w:val="auto"/>
          <w:lang w:eastAsia="en-IN"/>
        </w:rPr>
        <w:t>Moringa oleifera</w:t>
      </w:r>
      <w:r>
        <w:rPr>
          <w:rFonts w:eastAsia="Times New Roman"/>
          <w:color w:val="auto"/>
          <w:lang w:eastAsia="en-IN"/>
        </w:rPr>
        <w:t xml:space="preserve">, with quercetin, kaempferol, rhamnetin, and isorhamnetin being among the most studied. These flavonoids contribute to the plant’s impressive antioxidant profile and its therapeutic potential for combating oxidative stress-related diseases. The flavonoid composition varies across different parts of the plant, with the leaves being the richest source. Given the wide range of pharmacological activities attributed to these compounds, </w:t>
      </w:r>
      <w:r>
        <w:rPr>
          <w:rFonts w:eastAsia="Times New Roman"/>
          <w:i/>
          <w:iCs/>
          <w:color w:val="auto"/>
          <w:lang w:eastAsia="en-IN"/>
        </w:rPr>
        <w:t>Moringa</w:t>
      </w:r>
      <w:r>
        <w:rPr>
          <w:rFonts w:eastAsia="Times New Roman"/>
          <w:color w:val="auto"/>
          <w:lang w:eastAsia="en-IN"/>
        </w:rPr>
        <w:t xml:space="preserve"> flavonoids represent an important area of research for both nutritional and medicinal purposes.</w:t>
      </w:r>
    </w:p>
    <w:p>
      <w:pPr>
        <w:pStyle w:val="style0"/>
        <w:spacing w:before="100" w:beforeAutospacing="true" w:after="100" w:afterAutospacing="true" w:lineRule="auto" w:line="240"/>
        <w:outlineLvl w:val="2"/>
        <w:rPr>
          <w:rFonts w:eastAsia="Times New Roman"/>
          <w:b/>
          <w:bCs/>
          <w:color w:val="auto"/>
          <w:sz w:val="27"/>
          <w:szCs w:val="27"/>
          <w:lang w:eastAsia="en-IN"/>
        </w:rPr>
      </w:pPr>
    </w:p>
    <w:p>
      <w:pPr>
        <w:pStyle w:val="style0"/>
        <w:spacing w:before="100" w:beforeAutospacing="true" w:after="100" w:afterAutospacing="true" w:lineRule="auto" w:line="240"/>
        <w:outlineLvl w:val="2"/>
        <w:rPr>
          <w:rFonts w:eastAsia="Times New Roman"/>
          <w:b/>
          <w:bCs/>
          <w:color w:val="auto"/>
          <w:sz w:val="27"/>
          <w:szCs w:val="27"/>
          <w:lang w:eastAsia="en-IN"/>
        </w:rPr>
      </w:pPr>
    </w:p>
    <w:p>
      <w:pPr>
        <w:pStyle w:val="style0"/>
        <w:spacing w:before="100" w:beforeAutospacing="true" w:after="100" w:afterAutospacing="true" w:lineRule="auto" w:line="240"/>
        <w:outlineLvl w:val="2"/>
        <w:rPr>
          <w:rFonts w:eastAsia="Times New Roman"/>
          <w:b/>
          <w:bCs/>
          <w:color w:val="auto"/>
          <w:sz w:val="27"/>
          <w:szCs w:val="27"/>
          <w:lang w:eastAsia="en-IN"/>
        </w:rPr>
      </w:pPr>
    </w:p>
    <w:p>
      <w:pPr>
        <w:pStyle w:val="style0"/>
        <w:spacing w:before="100" w:beforeAutospacing="true" w:after="100" w:afterAutospacing="true" w:lineRule="auto" w:line="240"/>
        <w:outlineLvl w:val="2"/>
        <w:rPr>
          <w:rFonts w:eastAsia="Times New Roman"/>
          <w:b/>
          <w:bCs/>
          <w:color w:val="auto"/>
          <w:sz w:val="27"/>
          <w:szCs w:val="27"/>
          <w:lang w:eastAsia="en-IN"/>
        </w:rPr>
      </w:pPr>
    </w:p>
    <w:p>
      <w:pPr>
        <w:pStyle w:val="style0"/>
        <w:spacing w:before="100" w:beforeAutospacing="true" w:after="100" w:afterAutospacing="true" w:lineRule="auto" w:line="240"/>
        <w:outlineLvl w:val="2"/>
        <w:rPr>
          <w:rFonts w:eastAsia="Times New Roman"/>
          <w:b/>
          <w:bCs/>
          <w:color w:val="auto"/>
          <w:sz w:val="27"/>
          <w:szCs w:val="27"/>
          <w:lang w:eastAsia="en-IN"/>
        </w:rPr>
      </w:pPr>
    </w:p>
    <w:p>
      <w:pPr>
        <w:pStyle w:val="style0"/>
        <w:spacing w:before="100" w:beforeAutospacing="true" w:after="100" w:afterAutospacing="true" w:lineRule="auto" w:line="240"/>
        <w:outlineLvl w:val="2"/>
        <w:rPr>
          <w:rFonts w:eastAsia="Times New Roman"/>
          <w:b/>
          <w:bCs/>
          <w:color w:val="auto"/>
          <w:sz w:val="27"/>
          <w:szCs w:val="27"/>
          <w:lang w:eastAsia="en-IN"/>
        </w:rPr>
      </w:pPr>
    </w:p>
    <w:p>
      <w:pPr>
        <w:pStyle w:val="style0"/>
        <w:spacing w:before="100" w:beforeAutospacing="true" w:after="100" w:afterAutospacing="true" w:lineRule="auto" w:line="240"/>
        <w:outlineLvl w:val="2"/>
        <w:rPr>
          <w:rFonts w:eastAsia="Times New Roman"/>
          <w:b/>
          <w:bCs/>
          <w:color w:val="auto"/>
          <w:sz w:val="27"/>
          <w:szCs w:val="27"/>
          <w:lang w:eastAsia="en-IN"/>
        </w:rPr>
      </w:pPr>
      <w:r>
        <w:rPr>
          <w:rFonts w:eastAsia="Times New Roman"/>
          <w:b/>
          <w:bCs/>
          <w:color w:val="auto"/>
          <w:sz w:val="27"/>
          <w:szCs w:val="27"/>
          <w:lang w:eastAsia="en-IN"/>
        </w:rPr>
        <w:t>References</w:t>
      </w:r>
    </w:p>
    <w:p>
      <w:pPr>
        <w:pStyle w:val="style0"/>
        <w:spacing w:before="100" w:beforeAutospacing="true" w:after="100" w:afterAutospacing="true" w:lineRule="auto" w:line="240"/>
        <w:outlineLvl w:val="2"/>
        <w:rPr>
          <w:rFonts w:eastAsia="Times New Roman"/>
          <w:b/>
          <w:bCs/>
          <w:color w:val="auto"/>
          <w:sz w:val="27"/>
          <w:szCs w:val="27"/>
          <w:lang w:eastAsia="en-IN"/>
        </w:rPr>
      </w:pPr>
    </w:p>
    <w:p>
      <w:pPr>
        <w:pStyle w:val="style0"/>
        <w:spacing w:before="100" w:beforeAutospacing="true" w:after="100" w:afterAutospacing="true" w:lineRule="auto" w:line="240"/>
        <w:ind w:left="720"/>
        <w:jc w:val="both"/>
        <w:rPr>
          <w:rFonts w:eastAsia="Times New Roman"/>
          <w:color w:val="auto"/>
          <w:lang w:eastAsia="en-IN"/>
        </w:rPr>
      </w:pPr>
      <w:r>
        <w:rPr>
          <w:rFonts w:eastAsia="Times New Roman"/>
          <w:color w:val="auto"/>
          <w:lang w:eastAsia="en-IN"/>
        </w:rPr>
        <w:t xml:space="preserve">Anwar, F., Latif, S., Ashraf, M., &amp; Gilani, A. H. (2007). </w:t>
      </w:r>
      <w:r>
        <w:rPr>
          <w:rFonts w:eastAsia="Times New Roman"/>
          <w:i/>
          <w:iCs/>
          <w:color w:val="auto"/>
          <w:lang w:eastAsia="en-IN"/>
        </w:rPr>
        <w:t>Moringa oleifera</w:t>
      </w:r>
      <w:r>
        <w:rPr>
          <w:rFonts w:eastAsia="Times New Roman"/>
          <w:color w:val="auto"/>
          <w:lang w:eastAsia="en-IN"/>
        </w:rPr>
        <w:t xml:space="preserve">: A Food Plant with Multiple Medicinal Uses. </w:t>
      </w:r>
      <w:r>
        <w:rPr>
          <w:rFonts w:eastAsia="Times New Roman"/>
          <w:i/>
          <w:iCs/>
          <w:color w:val="auto"/>
          <w:lang w:eastAsia="en-IN"/>
        </w:rPr>
        <w:t>Phytotherapy Research</w:t>
      </w:r>
      <w:r>
        <w:rPr>
          <w:rFonts w:eastAsia="Times New Roman"/>
          <w:color w:val="auto"/>
          <w:lang w:eastAsia="en-IN"/>
        </w:rPr>
        <w:t>, 21(1), 17-25.</w:t>
      </w:r>
    </w:p>
    <w:p>
      <w:pPr>
        <w:pStyle w:val="style0"/>
        <w:numPr>
          <w:ilvl w:val="0"/>
          <w:numId w:val="1"/>
        </w:numPr>
        <w:spacing w:before="100" w:beforeAutospacing="true" w:after="100" w:afterAutospacing="true" w:lineRule="auto" w:line="240"/>
        <w:jc w:val="both"/>
        <w:rPr>
          <w:rFonts w:eastAsia="Times New Roman"/>
          <w:color w:val="auto"/>
          <w:lang w:eastAsia="en-IN"/>
        </w:rPr>
      </w:pPr>
      <w:r>
        <w:rPr>
          <w:rFonts w:eastAsia="Times New Roman"/>
          <w:color w:val="auto"/>
          <w:lang w:eastAsia="en-IN"/>
        </w:rPr>
        <w:t>Ekor</w:t>
      </w:r>
      <w:r>
        <w:rPr>
          <w:rFonts w:eastAsia="Times New Roman"/>
          <w:color w:val="auto"/>
          <w:lang w:eastAsia="en-IN"/>
        </w:rPr>
        <w:t xml:space="preserve">, M., </w:t>
      </w:r>
      <w:r>
        <w:rPr>
          <w:rFonts w:eastAsia="Times New Roman"/>
          <w:color w:val="auto"/>
          <w:lang w:eastAsia="en-IN"/>
        </w:rPr>
        <w:t>Shokunbi</w:t>
      </w:r>
      <w:r>
        <w:rPr>
          <w:rFonts w:eastAsia="Times New Roman"/>
          <w:color w:val="auto"/>
          <w:lang w:eastAsia="en-IN"/>
        </w:rPr>
        <w:t>, O. A., &amp;</w:t>
      </w:r>
      <w:r>
        <w:rPr>
          <w:rFonts w:eastAsia="Times New Roman"/>
          <w:color w:val="auto"/>
          <w:lang w:eastAsia="en-IN"/>
        </w:rPr>
        <w:t>Oyenihi</w:t>
      </w:r>
      <w:r>
        <w:rPr>
          <w:rFonts w:eastAsia="Times New Roman"/>
          <w:color w:val="auto"/>
          <w:lang w:eastAsia="en-IN"/>
        </w:rPr>
        <w:t xml:space="preserve">, A. B. (2014). Evaluation of antioxidant properties of </w:t>
      </w:r>
      <w:r>
        <w:rPr>
          <w:rFonts w:eastAsia="Times New Roman"/>
          <w:i/>
          <w:iCs/>
          <w:color w:val="auto"/>
          <w:lang w:eastAsia="en-IN"/>
        </w:rPr>
        <w:t>Moringa oleifera</w:t>
      </w:r>
      <w:r>
        <w:rPr>
          <w:rFonts w:eastAsia="Times New Roman"/>
          <w:color w:val="auto"/>
          <w:lang w:eastAsia="en-IN"/>
        </w:rPr>
        <w:t xml:space="preserve"> leaf extracts. </w:t>
      </w:r>
      <w:r>
        <w:rPr>
          <w:rFonts w:eastAsia="Times New Roman"/>
          <w:i/>
          <w:iCs/>
          <w:color w:val="auto"/>
          <w:lang w:eastAsia="en-IN"/>
        </w:rPr>
        <w:t>Tropical Journal of Pharmaceutical Research</w:t>
      </w:r>
      <w:r>
        <w:rPr>
          <w:rFonts w:eastAsia="Times New Roman"/>
          <w:color w:val="auto"/>
          <w:lang w:eastAsia="en-IN"/>
        </w:rPr>
        <w:t>, 13(5), 687-692.</w:t>
      </w:r>
    </w:p>
    <w:p>
      <w:pPr>
        <w:pStyle w:val="style0"/>
        <w:numPr>
          <w:ilvl w:val="0"/>
          <w:numId w:val="1"/>
        </w:numPr>
        <w:spacing w:before="100" w:beforeAutospacing="true" w:after="100" w:afterAutospacing="true" w:lineRule="auto" w:line="240"/>
        <w:jc w:val="both"/>
        <w:rPr>
          <w:rFonts w:eastAsia="Times New Roman"/>
          <w:color w:val="auto"/>
          <w:lang w:eastAsia="en-IN"/>
        </w:rPr>
      </w:pPr>
      <w:r>
        <w:rPr>
          <w:rFonts w:eastAsia="Times New Roman"/>
          <w:color w:val="auto"/>
          <w:lang w:eastAsia="en-IN"/>
        </w:rPr>
        <w:t xml:space="preserve">El-Sayed, M. A., </w:t>
      </w:r>
      <w:r>
        <w:rPr>
          <w:rFonts w:eastAsia="Times New Roman"/>
          <w:color w:val="auto"/>
          <w:lang w:eastAsia="en-IN"/>
        </w:rPr>
        <w:t>Abouelella</w:t>
      </w:r>
      <w:r>
        <w:rPr>
          <w:rFonts w:eastAsia="Times New Roman"/>
          <w:color w:val="auto"/>
          <w:lang w:eastAsia="en-IN"/>
        </w:rPr>
        <w:t xml:space="preserve">, A. M., &amp; Attia, F. M. (2018). The protective role of </w:t>
      </w:r>
      <w:r>
        <w:rPr>
          <w:rFonts w:eastAsia="Times New Roman"/>
          <w:i/>
          <w:iCs/>
          <w:color w:val="auto"/>
          <w:lang w:eastAsia="en-IN"/>
        </w:rPr>
        <w:t>Moringa oleifera</w:t>
      </w:r>
      <w:r>
        <w:rPr>
          <w:rFonts w:eastAsia="Times New Roman"/>
          <w:color w:val="auto"/>
          <w:lang w:eastAsia="en-IN"/>
        </w:rPr>
        <w:t xml:space="preserve"> leaf extract against oxidative stress in rats. </w:t>
      </w:r>
      <w:r>
        <w:rPr>
          <w:rFonts w:eastAsia="Times New Roman"/>
          <w:i/>
          <w:iCs/>
          <w:color w:val="auto"/>
          <w:lang w:eastAsia="en-IN"/>
        </w:rPr>
        <w:t>International Journal of Pharmacology</w:t>
      </w:r>
      <w:r>
        <w:rPr>
          <w:rFonts w:eastAsia="Times New Roman"/>
          <w:color w:val="auto"/>
          <w:lang w:eastAsia="en-IN"/>
        </w:rPr>
        <w:t>, 14(6), 714-722.</w:t>
      </w:r>
    </w:p>
    <w:p>
      <w:pPr>
        <w:pStyle w:val="style0"/>
        <w:numPr>
          <w:ilvl w:val="0"/>
          <w:numId w:val="1"/>
        </w:numPr>
        <w:spacing w:before="100" w:beforeAutospacing="true" w:after="100" w:afterAutospacing="true" w:lineRule="auto" w:line="240"/>
        <w:jc w:val="both"/>
        <w:rPr>
          <w:rFonts w:eastAsia="Times New Roman"/>
          <w:color w:val="auto"/>
          <w:lang w:eastAsia="en-IN"/>
        </w:rPr>
      </w:pPr>
      <w:r>
        <w:rPr>
          <w:rFonts w:eastAsia="Times New Roman"/>
          <w:color w:val="auto"/>
          <w:lang w:eastAsia="en-IN"/>
        </w:rPr>
        <w:t xml:space="preserve">Gupta, P., Bansal, P., &amp; Bansal, P. (2017). Antioxidant properties of </w:t>
      </w:r>
      <w:r>
        <w:rPr>
          <w:rFonts w:eastAsia="Times New Roman"/>
          <w:i/>
          <w:iCs/>
          <w:color w:val="auto"/>
          <w:lang w:eastAsia="en-IN"/>
        </w:rPr>
        <w:t>Moringa oleifera</w:t>
      </w:r>
      <w:r>
        <w:rPr>
          <w:rFonts w:eastAsia="Times New Roman"/>
          <w:color w:val="auto"/>
          <w:lang w:eastAsia="en-IN"/>
        </w:rPr>
        <w:t xml:space="preserve"> in oxidative stress-induced conditions. </w:t>
      </w:r>
      <w:r>
        <w:rPr>
          <w:rFonts w:eastAsia="Times New Roman"/>
          <w:i/>
          <w:iCs/>
          <w:color w:val="auto"/>
          <w:lang w:eastAsia="en-IN"/>
        </w:rPr>
        <w:t xml:space="preserve">Journal of </w:t>
      </w:r>
      <w:r>
        <w:rPr>
          <w:rFonts w:eastAsia="Times New Roman"/>
          <w:i/>
          <w:iCs/>
          <w:color w:val="auto"/>
          <w:lang w:eastAsia="en-IN"/>
        </w:rPr>
        <w:t>HerbMed</w:t>
      </w:r>
      <w:r>
        <w:rPr>
          <w:rFonts w:eastAsia="Times New Roman"/>
          <w:i/>
          <w:iCs/>
          <w:color w:val="auto"/>
          <w:lang w:eastAsia="en-IN"/>
        </w:rPr>
        <w:t xml:space="preserve"> Pharmacology</w:t>
      </w:r>
      <w:r>
        <w:rPr>
          <w:rFonts w:eastAsia="Times New Roman"/>
          <w:color w:val="auto"/>
          <w:lang w:eastAsia="en-IN"/>
        </w:rPr>
        <w:t>, 6(2), 124-130.</w:t>
      </w:r>
    </w:p>
    <w:p>
      <w:pPr>
        <w:pStyle w:val="style0"/>
        <w:numPr>
          <w:ilvl w:val="0"/>
          <w:numId w:val="1"/>
        </w:numPr>
        <w:spacing w:before="100" w:beforeAutospacing="true" w:after="100" w:afterAutospacing="true" w:lineRule="auto" w:line="240"/>
        <w:jc w:val="both"/>
        <w:rPr>
          <w:rFonts w:eastAsia="Times New Roman"/>
          <w:color w:val="auto"/>
          <w:lang w:eastAsia="en-IN"/>
        </w:rPr>
      </w:pPr>
      <w:r>
        <w:rPr>
          <w:rFonts w:eastAsia="Times New Roman"/>
          <w:color w:val="auto"/>
          <w:lang w:eastAsia="en-IN"/>
        </w:rPr>
        <w:t xml:space="preserve">Li, S., Wang, Y., &amp; Zhang, X. (2020). Advances in the bioavailability and </w:t>
      </w:r>
      <w:r>
        <w:rPr>
          <w:rFonts w:eastAsia="Times New Roman"/>
          <w:color w:val="auto"/>
          <w:lang w:eastAsia="en-IN"/>
        </w:rPr>
        <w:t>bioefficacy</w:t>
      </w:r>
      <w:r>
        <w:rPr>
          <w:rFonts w:eastAsia="Times New Roman"/>
          <w:color w:val="auto"/>
          <w:lang w:eastAsia="en-IN"/>
        </w:rPr>
        <w:t xml:space="preserve"> of flavonoids from </w:t>
      </w:r>
      <w:r>
        <w:rPr>
          <w:rFonts w:eastAsia="Times New Roman"/>
          <w:i/>
          <w:iCs/>
          <w:color w:val="auto"/>
          <w:lang w:eastAsia="en-IN"/>
        </w:rPr>
        <w:t>Moringa oleifera</w:t>
      </w:r>
      <w:r>
        <w:rPr>
          <w:rFonts w:eastAsia="Times New Roman"/>
          <w:color w:val="auto"/>
          <w:lang w:eastAsia="en-IN"/>
        </w:rPr>
        <w:t xml:space="preserve">. </w:t>
      </w:r>
      <w:r>
        <w:rPr>
          <w:rFonts w:eastAsia="Times New Roman"/>
          <w:i/>
          <w:iCs/>
          <w:color w:val="auto"/>
          <w:lang w:eastAsia="en-IN"/>
        </w:rPr>
        <w:t>Journal of Functional Foods</w:t>
      </w:r>
      <w:r>
        <w:rPr>
          <w:rFonts w:eastAsia="Times New Roman"/>
          <w:color w:val="auto"/>
          <w:lang w:eastAsia="en-IN"/>
        </w:rPr>
        <w:t>, 74, 104171.</w:t>
      </w:r>
    </w:p>
    <w:p>
      <w:pPr>
        <w:pStyle w:val="style0"/>
        <w:numPr>
          <w:ilvl w:val="0"/>
          <w:numId w:val="1"/>
        </w:numPr>
        <w:spacing w:before="100" w:beforeAutospacing="true" w:after="100" w:afterAutospacing="true" w:lineRule="auto" w:line="240"/>
        <w:jc w:val="both"/>
        <w:rPr>
          <w:rFonts w:eastAsia="Times New Roman"/>
          <w:color w:val="auto"/>
          <w:lang w:eastAsia="en-IN"/>
        </w:rPr>
      </w:pPr>
      <w:r>
        <w:rPr>
          <w:rFonts w:eastAsia="Times New Roman"/>
          <w:color w:val="auto"/>
          <w:lang w:eastAsia="en-IN"/>
        </w:rPr>
        <w:t xml:space="preserve">Salah, N., Miller, N. J., </w:t>
      </w:r>
      <w:r>
        <w:rPr>
          <w:rFonts w:eastAsia="Times New Roman"/>
          <w:color w:val="auto"/>
          <w:lang w:eastAsia="en-IN"/>
        </w:rPr>
        <w:t>Paganga</w:t>
      </w:r>
      <w:r>
        <w:rPr>
          <w:rFonts w:eastAsia="Times New Roman"/>
          <w:color w:val="auto"/>
          <w:lang w:eastAsia="en-IN"/>
        </w:rPr>
        <w:t xml:space="preserve">, G., </w:t>
      </w:r>
      <w:r>
        <w:rPr>
          <w:rFonts w:eastAsia="Times New Roman"/>
          <w:color w:val="auto"/>
          <w:lang w:eastAsia="en-IN"/>
        </w:rPr>
        <w:t>Tijburg</w:t>
      </w:r>
      <w:r>
        <w:rPr>
          <w:rFonts w:eastAsia="Times New Roman"/>
          <w:color w:val="auto"/>
          <w:lang w:eastAsia="en-IN"/>
        </w:rPr>
        <w:t>, L., &amp;</w:t>
      </w:r>
      <w:r>
        <w:rPr>
          <w:rFonts w:eastAsia="Times New Roman"/>
          <w:color w:val="auto"/>
          <w:lang w:eastAsia="en-IN"/>
        </w:rPr>
        <w:t>Bolwell</w:t>
      </w:r>
      <w:r>
        <w:rPr>
          <w:rFonts w:eastAsia="Times New Roman"/>
          <w:color w:val="auto"/>
          <w:lang w:eastAsia="en-IN"/>
        </w:rPr>
        <w:t xml:space="preserve">, G. P. (1997). Polyphenolic flavonoids as scavengers of aqueous-phase radicals and as chain-breaking antioxidants. </w:t>
      </w:r>
      <w:r>
        <w:rPr>
          <w:rFonts w:eastAsia="Times New Roman"/>
          <w:i/>
          <w:iCs/>
          <w:color w:val="auto"/>
          <w:lang w:eastAsia="en-IN"/>
        </w:rPr>
        <w:t>Archives of Biochemistry and Biophysics</w:t>
      </w:r>
      <w:r>
        <w:rPr>
          <w:rFonts w:eastAsia="Times New Roman"/>
          <w:color w:val="auto"/>
          <w:lang w:eastAsia="en-IN"/>
        </w:rPr>
        <w:t>, 334(1), 84-91.</w:t>
      </w:r>
    </w:p>
    <w:p>
      <w:pPr>
        <w:pStyle w:val="style0"/>
        <w:spacing w:before="100" w:beforeAutospacing="true" w:after="100" w:afterAutospacing="true" w:lineRule="auto" w:line="240"/>
        <w:ind w:left="360"/>
        <w:jc w:val="both"/>
        <w:rPr>
          <w:rFonts w:eastAsia="Times New Roman"/>
          <w:color w:val="auto"/>
          <w:lang w:eastAsia="en-IN"/>
        </w:rPr>
      </w:pPr>
      <w:r>
        <w:rPr>
          <w:rFonts w:eastAsia="Times New Roman"/>
          <w:color w:val="auto"/>
          <w:lang w:eastAsia="en-IN"/>
        </w:rPr>
        <w:t xml:space="preserve">7 </w:t>
      </w:r>
      <w:r>
        <w:rPr>
          <w:rFonts w:eastAsia="Times New Roman"/>
          <w:color w:val="auto"/>
          <w:lang w:eastAsia="en-IN"/>
        </w:rPr>
        <w:t>Arouma</w:t>
      </w:r>
      <w:r>
        <w:rPr>
          <w:rFonts w:eastAsia="Times New Roman"/>
          <w:color w:val="auto"/>
          <w:lang w:eastAsia="en-IN"/>
        </w:rPr>
        <w:t xml:space="preserve">, O. I. (2003). Free radicals, oxidative stress, and antioxidants in human health </w:t>
      </w:r>
      <w:r>
        <w:rPr>
          <w:rFonts w:eastAsia="Times New Roman"/>
          <w:color w:val="auto"/>
          <w:lang w:eastAsia="en-IN"/>
        </w:rPr>
        <w:t xml:space="preserve"> </w:t>
      </w:r>
      <w:r>
        <w:rPr>
          <w:rFonts w:eastAsia="Times New Roman"/>
          <w:color w:val="auto"/>
          <w:lang w:eastAsia="en-IN"/>
        </w:rPr>
        <w:t xml:space="preserve">and disease. </w:t>
      </w:r>
      <w:r>
        <w:rPr>
          <w:rFonts w:eastAsia="Times New Roman"/>
          <w:i/>
          <w:iCs/>
          <w:color w:val="auto"/>
          <w:lang w:eastAsia="en-IN"/>
        </w:rPr>
        <w:t>Journal of the American Oil Chemists' Society</w:t>
      </w:r>
      <w:r>
        <w:rPr>
          <w:rFonts w:eastAsia="Times New Roman"/>
          <w:color w:val="auto"/>
          <w:lang w:eastAsia="en-IN"/>
        </w:rPr>
        <w:t>, 80(12), 1131-1139.</w:t>
      </w:r>
    </w:p>
    <w:p>
      <w:pPr>
        <w:pStyle w:val="style0"/>
        <w:spacing w:before="100" w:beforeAutospacing="true" w:after="100" w:afterAutospacing="true" w:lineRule="auto" w:line="240"/>
        <w:ind w:left="425"/>
        <w:jc w:val="both"/>
        <w:rPr>
          <w:rFonts w:eastAsia="Times New Roman"/>
          <w:color w:val="auto"/>
          <w:lang w:eastAsia="en-IN"/>
        </w:rPr>
      </w:pPr>
      <w:r>
        <w:rPr>
          <w:rFonts w:eastAsia="Times New Roman"/>
          <w:color w:val="auto"/>
          <w:lang w:eastAsia="en-IN"/>
        </w:rPr>
        <w:t>8-</w:t>
      </w:r>
      <w:r>
        <w:rPr>
          <w:rFonts w:eastAsia="Times New Roman"/>
          <w:color w:val="auto"/>
          <w:lang w:eastAsia="en-IN"/>
        </w:rPr>
        <w:t xml:space="preserve">Ekor, M., </w:t>
      </w:r>
      <w:r>
        <w:rPr>
          <w:rFonts w:eastAsia="Times New Roman"/>
          <w:color w:val="auto"/>
          <w:lang w:eastAsia="en-IN"/>
        </w:rPr>
        <w:t>Shokunbi</w:t>
      </w:r>
      <w:r>
        <w:rPr>
          <w:rFonts w:eastAsia="Times New Roman"/>
          <w:color w:val="auto"/>
          <w:lang w:eastAsia="en-IN"/>
        </w:rPr>
        <w:t>, O. A., &amp;</w:t>
      </w:r>
      <w:r>
        <w:rPr>
          <w:rFonts w:eastAsia="Times New Roman"/>
          <w:color w:val="auto"/>
          <w:lang w:eastAsia="en-IN"/>
        </w:rPr>
        <w:t>Oyenihi</w:t>
      </w:r>
      <w:r>
        <w:rPr>
          <w:rFonts w:eastAsia="Times New Roman"/>
          <w:color w:val="auto"/>
          <w:lang w:eastAsia="en-IN"/>
        </w:rPr>
        <w:t xml:space="preserve">, A. B. (2014). Evaluation of antioxidant properties of </w:t>
      </w:r>
      <w:r>
        <w:rPr>
          <w:rFonts w:eastAsia="Times New Roman"/>
          <w:i/>
          <w:iCs/>
          <w:color w:val="auto"/>
          <w:lang w:eastAsia="en-IN"/>
        </w:rPr>
        <w:t>Moringa oleifera</w:t>
      </w:r>
      <w:r>
        <w:rPr>
          <w:rFonts w:eastAsia="Times New Roman"/>
          <w:color w:val="auto"/>
          <w:lang w:eastAsia="en-IN"/>
        </w:rPr>
        <w:t xml:space="preserve"> leaf extracts. </w:t>
      </w:r>
      <w:r>
        <w:rPr>
          <w:rFonts w:eastAsia="Times New Roman"/>
          <w:i/>
          <w:iCs/>
          <w:color w:val="auto"/>
          <w:lang w:eastAsia="en-IN"/>
        </w:rPr>
        <w:t>Tropical Journal of Pharmaceutical Research</w:t>
      </w:r>
      <w:r>
        <w:rPr>
          <w:rFonts w:eastAsia="Times New Roman"/>
          <w:color w:val="auto"/>
          <w:lang w:eastAsia="en-IN"/>
        </w:rPr>
        <w:t>, 13(5), 687-692.</w:t>
      </w:r>
    </w:p>
    <w:p>
      <w:pPr>
        <w:pStyle w:val="style0"/>
        <w:spacing w:before="100" w:beforeAutospacing="true" w:after="100" w:afterAutospacing="true" w:lineRule="auto" w:line="240"/>
        <w:ind w:left="425"/>
        <w:jc w:val="both"/>
        <w:rPr>
          <w:rFonts w:eastAsia="Times New Roman"/>
          <w:color w:val="auto"/>
          <w:lang w:eastAsia="en-IN"/>
        </w:rPr>
      </w:pPr>
      <w:r>
        <w:rPr>
          <w:rFonts w:eastAsia="Times New Roman"/>
          <w:color w:val="auto"/>
          <w:lang w:eastAsia="en-IN"/>
        </w:rPr>
        <w:t>9-</w:t>
      </w:r>
      <w:r>
        <w:rPr>
          <w:rFonts w:eastAsia="Times New Roman"/>
          <w:color w:val="auto"/>
          <w:lang w:eastAsia="en-IN"/>
        </w:rPr>
        <w:t xml:space="preserve">El-Sayed, M. A., </w:t>
      </w:r>
      <w:r>
        <w:rPr>
          <w:rFonts w:eastAsia="Times New Roman"/>
          <w:color w:val="auto"/>
          <w:lang w:eastAsia="en-IN"/>
        </w:rPr>
        <w:t>Abouelella</w:t>
      </w:r>
      <w:r>
        <w:rPr>
          <w:rFonts w:eastAsia="Times New Roman"/>
          <w:color w:val="auto"/>
          <w:lang w:eastAsia="en-IN"/>
        </w:rPr>
        <w:t xml:space="preserve">, A. M., &amp; Attia, F. M. (2018). The protective role of </w:t>
      </w:r>
      <w:r>
        <w:rPr>
          <w:rFonts w:eastAsia="Times New Roman"/>
          <w:i/>
          <w:iCs/>
          <w:color w:val="auto"/>
          <w:lang w:eastAsia="en-IN"/>
        </w:rPr>
        <w:t>Moringa oleifera</w:t>
      </w:r>
      <w:r>
        <w:rPr>
          <w:rFonts w:eastAsia="Times New Roman"/>
          <w:color w:val="auto"/>
          <w:lang w:eastAsia="en-IN"/>
        </w:rPr>
        <w:t xml:space="preserve"> leaf extract against oxidative stress in rats. </w:t>
      </w:r>
      <w:r>
        <w:rPr>
          <w:rFonts w:eastAsia="Times New Roman"/>
          <w:i/>
          <w:iCs/>
          <w:color w:val="auto"/>
          <w:lang w:eastAsia="en-IN"/>
        </w:rPr>
        <w:t>International Journal of Pharmacology</w:t>
      </w:r>
      <w:r>
        <w:rPr>
          <w:rFonts w:eastAsia="Times New Roman"/>
          <w:color w:val="auto"/>
          <w:lang w:eastAsia="en-IN"/>
        </w:rPr>
        <w:t>, 14(6), 714-722.</w:t>
      </w:r>
    </w:p>
    <w:p>
      <w:pPr>
        <w:pStyle w:val="style0"/>
        <w:spacing w:before="100" w:beforeAutospacing="true" w:after="100" w:afterAutospacing="true" w:lineRule="auto" w:line="240"/>
        <w:ind w:left="425"/>
        <w:jc w:val="both"/>
        <w:rPr>
          <w:rFonts w:eastAsia="Times New Roman"/>
          <w:color w:val="auto"/>
          <w:lang w:eastAsia="en-IN"/>
        </w:rPr>
      </w:pPr>
      <w:r>
        <w:rPr>
          <w:rFonts w:eastAsia="Times New Roman"/>
          <w:color w:val="auto"/>
          <w:lang w:eastAsia="en-IN"/>
        </w:rPr>
        <w:t>10-</w:t>
      </w:r>
      <w:r>
        <w:rPr>
          <w:rFonts w:eastAsia="Times New Roman"/>
          <w:color w:val="auto"/>
          <w:lang w:eastAsia="en-IN"/>
        </w:rPr>
        <w:t xml:space="preserve">Fahey, J. W. (2005). Moringa oleifera: A Review of the Medical Evidence for Its Nutritional, Therapeutic, and Prophylactic Properties. </w:t>
      </w:r>
      <w:r>
        <w:rPr>
          <w:rFonts w:eastAsia="Times New Roman"/>
          <w:i/>
          <w:iCs/>
          <w:color w:val="auto"/>
          <w:lang w:eastAsia="en-IN"/>
        </w:rPr>
        <w:t>Part 1: Nutritional, Medicinal, and Prophylactic Properties</w:t>
      </w:r>
      <w:r>
        <w:rPr>
          <w:rFonts w:eastAsia="Times New Roman"/>
          <w:color w:val="auto"/>
          <w:lang w:eastAsia="en-IN"/>
        </w:rPr>
        <w:t xml:space="preserve">. </w:t>
      </w:r>
      <w:r>
        <w:rPr>
          <w:rFonts w:eastAsia="Times New Roman"/>
          <w:i/>
          <w:iCs/>
          <w:color w:val="auto"/>
          <w:lang w:eastAsia="en-IN"/>
        </w:rPr>
        <w:t>Trees for Life Journal</w:t>
      </w:r>
      <w:r>
        <w:rPr>
          <w:rFonts w:eastAsia="Times New Roman"/>
          <w:color w:val="auto"/>
          <w:lang w:eastAsia="en-IN"/>
        </w:rPr>
        <w:t>, 1(1).</w:t>
      </w:r>
    </w:p>
    <w:p>
      <w:pPr>
        <w:pStyle w:val="style0"/>
        <w:spacing w:before="100" w:beforeAutospacing="true" w:after="100" w:afterAutospacing="true" w:lineRule="auto" w:line="240"/>
        <w:ind w:left="425"/>
        <w:jc w:val="both"/>
        <w:rPr>
          <w:rFonts w:eastAsia="Times New Roman"/>
          <w:color w:val="auto"/>
          <w:lang w:eastAsia="en-IN"/>
        </w:rPr>
      </w:pPr>
      <w:r>
        <w:rPr>
          <w:rFonts w:eastAsia="Times New Roman"/>
          <w:color w:val="auto"/>
          <w:lang w:eastAsia="en-IN"/>
        </w:rPr>
        <w:t>11-</w:t>
      </w:r>
      <w:r>
        <w:rPr>
          <w:rFonts w:eastAsia="Times New Roman"/>
          <w:color w:val="auto"/>
          <w:lang w:eastAsia="en-IN"/>
        </w:rPr>
        <w:t xml:space="preserve">Gupta, P., Bansal, P., &amp; Bansal, P. (2017). Antioxidant properties of </w:t>
      </w:r>
      <w:r>
        <w:rPr>
          <w:rFonts w:eastAsia="Times New Roman"/>
          <w:i/>
          <w:iCs/>
          <w:color w:val="auto"/>
          <w:lang w:eastAsia="en-IN"/>
        </w:rPr>
        <w:t>Moringa oleifera</w:t>
      </w:r>
      <w:r>
        <w:rPr>
          <w:rFonts w:eastAsia="Times New Roman"/>
          <w:color w:val="auto"/>
          <w:lang w:eastAsia="en-IN"/>
        </w:rPr>
        <w:t xml:space="preserve"> in oxidative stress-induced conditions. </w:t>
      </w:r>
      <w:r>
        <w:rPr>
          <w:rFonts w:eastAsia="Times New Roman"/>
          <w:i/>
          <w:iCs/>
          <w:color w:val="auto"/>
          <w:lang w:eastAsia="en-IN"/>
        </w:rPr>
        <w:t xml:space="preserve">Journal of </w:t>
      </w:r>
      <w:r>
        <w:rPr>
          <w:rFonts w:eastAsia="Times New Roman"/>
          <w:i/>
          <w:iCs/>
          <w:color w:val="auto"/>
          <w:lang w:eastAsia="en-IN"/>
        </w:rPr>
        <w:t>HerbMed</w:t>
      </w:r>
      <w:r>
        <w:rPr>
          <w:rFonts w:eastAsia="Times New Roman"/>
          <w:i/>
          <w:iCs/>
          <w:color w:val="auto"/>
          <w:lang w:eastAsia="en-IN"/>
        </w:rPr>
        <w:t xml:space="preserve"> Pharmacology</w:t>
      </w:r>
      <w:r>
        <w:rPr>
          <w:rFonts w:eastAsia="Times New Roman"/>
          <w:color w:val="auto"/>
          <w:lang w:eastAsia="en-IN"/>
        </w:rPr>
        <w:t>, 6(2), 124-130.</w:t>
      </w:r>
    </w:p>
    <w:p>
      <w:pPr>
        <w:pStyle w:val="style0"/>
        <w:spacing w:before="100" w:beforeAutospacing="true" w:after="100" w:afterAutospacing="true" w:lineRule="auto" w:line="240"/>
        <w:ind w:left="425"/>
        <w:jc w:val="both"/>
        <w:rPr>
          <w:rFonts w:eastAsia="Times New Roman"/>
          <w:color w:val="auto"/>
          <w:lang w:eastAsia="en-IN"/>
        </w:rPr>
      </w:pPr>
      <w:r>
        <w:rPr>
          <w:rFonts w:eastAsia="Times New Roman"/>
          <w:color w:val="auto"/>
          <w:lang w:eastAsia="en-IN"/>
        </w:rPr>
        <w:t>12-</w:t>
      </w:r>
      <w:r>
        <w:rPr>
          <w:rFonts w:eastAsia="Times New Roman"/>
          <w:color w:val="auto"/>
          <w:lang w:eastAsia="en-IN"/>
        </w:rPr>
        <w:t xml:space="preserve">Halliwell, B., &amp; Gutteridge, J. M. (2015). Free Radicals in Biology and Medicine. </w:t>
      </w:r>
      <w:r>
        <w:rPr>
          <w:rFonts w:eastAsia="Times New Roman"/>
          <w:i/>
          <w:iCs/>
          <w:color w:val="auto"/>
          <w:lang w:eastAsia="en-IN"/>
        </w:rPr>
        <w:t>Oxford University Press</w:t>
      </w:r>
      <w:r>
        <w:rPr>
          <w:rFonts w:eastAsia="Times New Roman"/>
          <w:color w:val="auto"/>
          <w:lang w:eastAsia="en-IN"/>
        </w:rPr>
        <w:t>.</w:t>
      </w:r>
    </w:p>
    <w:p>
      <w:pPr>
        <w:pStyle w:val="style0"/>
        <w:spacing w:before="100" w:beforeAutospacing="true" w:after="100" w:afterAutospacing="true" w:lineRule="auto" w:line="240"/>
        <w:ind w:left="425"/>
        <w:jc w:val="both"/>
        <w:rPr>
          <w:rFonts w:eastAsia="Times New Roman"/>
          <w:color w:val="auto"/>
          <w:lang w:eastAsia="en-IN"/>
        </w:rPr>
      </w:pPr>
      <w:r>
        <w:rPr>
          <w:rFonts w:eastAsia="Times New Roman"/>
          <w:color w:val="auto"/>
          <w:lang w:eastAsia="en-IN"/>
        </w:rPr>
        <w:t>13-</w:t>
      </w:r>
      <w:r>
        <w:rPr>
          <w:rFonts w:eastAsia="Times New Roman"/>
          <w:color w:val="auto"/>
          <w:lang w:eastAsia="en-IN"/>
        </w:rPr>
        <w:t xml:space="preserve">Kähkönen, M. P., </w:t>
      </w:r>
      <w:r>
        <w:rPr>
          <w:rFonts w:eastAsia="Times New Roman"/>
          <w:color w:val="auto"/>
          <w:lang w:eastAsia="en-IN"/>
        </w:rPr>
        <w:t>Hopia</w:t>
      </w:r>
      <w:r>
        <w:rPr>
          <w:rFonts w:eastAsia="Times New Roman"/>
          <w:color w:val="auto"/>
          <w:lang w:eastAsia="en-IN"/>
        </w:rPr>
        <w:t xml:space="preserve">, A. I., &amp; Vuorela, H. J. (1999). Antioxidant activity of plant extracts containing phenolic compounds. </w:t>
      </w:r>
      <w:r>
        <w:rPr>
          <w:rFonts w:eastAsia="Times New Roman"/>
          <w:i/>
          <w:iCs/>
          <w:color w:val="auto"/>
          <w:lang w:eastAsia="en-IN"/>
        </w:rPr>
        <w:t>Journal of Agricultural and Food Chemistry</w:t>
      </w:r>
      <w:r>
        <w:rPr>
          <w:rFonts w:eastAsia="Times New Roman"/>
          <w:color w:val="auto"/>
          <w:lang w:eastAsia="en-IN"/>
        </w:rPr>
        <w:t>, 47(10), 3954-3962.</w:t>
      </w:r>
    </w:p>
    <w:p>
      <w:pPr>
        <w:pStyle w:val="style0"/>
        <w:spacing w:before="100" w:beforeAutospacing="true" w:after="100" w:afterAutospacing="true" w:lineRule="auto" w:line="240"/>
        <w:ind w:left="425"/>
        <w:jc w:val="both"/>
        <w:rPr>
          <w:rFonts w:eastAsia="Times New Roman"/>
          <w:color w:val="auto"/>
          <w:lang w:eastAsia="en-IN"/>
        </w:rPr>
      </w:pPr>
      <w:r>
        <w:rPr>
          <w:rFonts w:eastAsia="Times New Roman"/>
          <w:color w:val="auto"/>
          <w:lang w:eastAsia="en-IN"/>
        </w:rPr>
        <w:t>14-</w:t>
      </w:r>
      <w:r>
        <w:rPr>
          <w:rFonts w:eastAsia="Times New Roman"/>
          <w:color w:val="auto"/>
          <w:lang w:eastAsia="en-IN"/>
        </w:rPr>
        <w:t xml:space="preserve">Li, S., Wang, Y., &amp; Zhang, X. (2020). Advances in the bioavailability and </w:t>
      </w:r>
      <w:r>
        <w:rPr>
          <w:rFonts w:eastAsia="Times New Roman"/>
          <w:color w:val="auto"/>
          <w:lang w:eastAsia="en-IN"/>
        </w:rPr>
        <w:t>bioefficacy</w:t>
      </w:r>
      <w:r>
        <w:rPr>
          <w:rFonts w:eastAsia="Times New Roman"/>
          <w:color w:val="auto"/>
          <w:lang w:eastAsia="en-IN"/>
        </w:rPr>
        <w:t xml:space="preserve"> of flavonoids from Moringa oleifera. </w:t>
      </w:r>
      <w:r>
        <w:rPr>
          <w:rFonts w:eastAsia="Times New Roman"/>
          <w:i/>
          <w:iCs/>
          <w:color w:val="auto"/>
          <w:lang w:eastAsia="en-IN"/>
        </w:rPr>
        <w:t>Journal of Functional Foods</w:t>
      </w:r>
      <w:r>
        <w:rPr>
          <w:rFonts w:eastAsia="Times New Roman"/>
          <w:color w:val="auto"/>
          <w:lang w:eastAsia="en-IN"/>
        </w:rPr>
        <w:t>, 74, 104171.</w:t>
      </w:r>
    </w:p>
    <w:p>
      <w:pPr>
        <w:pStyle w:val="style0"/>
        <w:spacing w:before="100" w:beforeAutospacing="true" w:after="100" w:afterAutospacing="true" w:lineRule="auto" w:line="240"/>
        <w:ind w:left="785"/>
        <w:jc w:val="both"/>
        <w:rPr>
          <w:rFonts w:eastAsia="Times New Roman"/>
          <w:color w:val="auto"/>
          <w:lang w:eastAsia="en-IN"/>
        </w:rPr>
      </w:pPr>
    </w:p>
    <w:p>
      <w:pPr>
        <w:pStyle w:val="style0"/>
        <w:jc w:val="both"/>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Aptos">
    <w:altName w:val="Aptos"/>
    <w:panose1 w:val="020b0004020002020204"/>
    <w:charset w:val="00"/>
    <w:family w:val="swiss"/>
    <w:pitch w:val="variable"/>
    <w:sig w:usb0="20000287" w:usb1="00000003" w:usb2="00000000" w:usb3="00000000" w:csb0="0000019F" w:csb1="00000000"/>
  </w:font>
  <w:font w:name="Aptos Display">
    <w:altName w:val="Aptos Display"/>
    <w:panose1 w:val="020b0004020002020204"/>
    <w:charset w:val="00"/>
    <w:family w:val="swiss"/>
    <w:pitch w:val="variable"/>
    <w:sig w:usb0="20000287" w:usb1="00000003" w:usb2="00000000" w:usb3="00000000" w:csb0="0000019F" w:csb1="00000000"/>
  </w:font>
  <w:font w:name="Arial">
    <w:altName w:val="Arial"/>
    <w:panose1 w:val="020b0604020002020204"/>
    <w:charset w:val="00"/>
    <w:family w:val="swiss"/>
    <w:pitch w:val="variable"/>
    <w:sig w:usb0="E0002EFF" w:usb1="C0007843" w:usb2="00000009" w:usb3="00000000" w:csb0="000001FF" w:csb1="00000000"/>
  </w:font>
  <w:font w:name="WarnockPro-Regular">
    <w:altName w:val="Arial Unicode MS"/>
    <w:panose1 w:val="00000000000000000000"/>
    <w:charset w:val="80"/>
    <w:family w:val="auto"/>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D9EE924"/>
    <w:lvl w:ilvl="0">
      <w:start w:val="1"/>
      <w:numFmt w:val="decimal"/>
      <w:lvlText w:val="%1."/>
      <w:lvlJc w:val="left"/>
      <w:pPr>
        <w:tabs>
          <w:tab w:val="left" w:leader="none" w:pos="785"/>
        </w:tabs>
        <w:ind w:left="785" w:hanging="360"/>
      </w:pPr>
    </w:lvl>
    <w:lvl w:ilvl="1" w:tentative="1">
      <w:start w:val="1"/>
      <w:numFmt w:val="decimal"/>
      <w:lvlText w:val="%2."/>
      <w:lvlJc w:val="left"/>
      <w:pPr>
        <w:tabs>
          <w:tab w:val="left" w:leader="none" w:pos="1505"/>
        </w:tabs>
        <w:ind w:left="1505" w:hanging="360"/>
      </w:pPr>
    </w:lvl>
    <w:lvl w:ilvl="2" w:tentative="1">
      <w:start w:val="1"/>
      <w:numFmt w:val="decimal"/>
      <w:lvlText w:val="%3."/>
      <w:lvlJc w:val="left"/>
      <w:pPr>
        <w:tabs>
          <w:tab w:val="left" w:leader="none" w:pos="2225"/>
        </w:tabs>
        <w:ind w:left="2225" w:hanging="360"/>
      </w:pPr>
    </w:lvl>
    <w:lvl w:ilvl="3" w:tentative="1">
      <w:start w:val="1"/>
      <w:numFmt w:val="decimal"/>
      <w:lvlText w:val="%4."/>
      <w:lvlJc w:val="left"/>
      <w:pPr>
        <w:tabs>
          <w:tab w:val="left" w:leader="none" w:pos="2945"/>
        </w:tabs>
        <w:ind w:left="2945" w:hanging="360"/>
      </w:pPr>
    </w:lvl>
    <w:lvl w:ilvl="4" w:tentative="1">
      <w:start w:val="1"/>
      <w:numFmt w:val="decimal"/>
      <w:lvlText w:val="%5."/>
      <w:lvlJc w:val="left"/>
      <w:pPr>
        <w:tabs>
          <w:tab w:val="left" w:leader="none" w:pos="3665"/>
        </w:tabs>
        <w:ind w:left="3665" w:hanging="360"/>
      </w:pPr>
    </w:lvl>
    <w:lvl w:ilvl="5" w:tentative="1">
      <w:start w:val="1"/>
      <w:numFmt w:val="decimal"/>
      <w:lvlText w:val="%6."/>
      <w:lvlJc w:val="left"/>
      <w:pPr>
        <w:tabs>
          <w:tab w:val="left" w:leader="none" w:pos="4385"/>
        </w:tabs>
        <w:ind w:left="4385" w:hanging="360"/>
      </w:pPr>
    </w:lvl>
    <w:lvl w:ilvl="6" w:tentative="1">
      <w:start w:val="1"/>
      <w:numFmt w:val="decimal"/>
      <w:lvlText w:val="%7."/>
      <w:lvlJc w:val="left"/>
      <w:pPr>
        <w:tabs>
          <w:tab w:val="left" w:leader="none" w:pos="5105"/>
        </w:tabs>
        <w:ind w:left="5105" w:hanging="360"/>
      </w:pPr>
    </w:lvl>
    <w:lvl w:ilvl="7" w:tentative="1">
      <w:start w:val="1"/>
      <w:numFmt w:val="decimal"/>
      <w:lvlText w:val="%8."/>
      <w:lvlJc w:val="left"/>
      <w:pPr>
        <w:tabs>
          <w:tab w:val="left" w:leader="none" w:pos="5825"/>
        </w:tabs>
        <w:ind w:left="5825" w:hanging="360"/>
      </w:pPr>
    </w:lvl>
    <w:lvl w:ilvl="8" w:tentative="1">
      <w:start w:val="1"/>
      <w:numFmt w:val="decimal"/>
      <w:lvlText w:val="%9."/>
      <w:lvlJc w:val="left"/>
      <w:pPr>
        <w:tabs>
          <w:tab w:val="left" w:leader="none" w:pos="6545"/>
        </w:tabs>
        <w:ind w:left="6545" w:hanging="360"/>
      </w:pPr>
    </w:lvl>
  </w:abstractNum>
  <w:abstractNum w:abstractNumId="1">
    <w:nsid w:val="00000001"/>
    <w:multiLevelType w:val="multilevel"/>
    <w:tmpl w:val="69BA8C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6270D0F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98CC413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CA9A00F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9CBC894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663211A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3182AF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38CAEE9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BC382AD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0F2A059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2E50147A"/>
    <w:lvl w:ilvl="0" w:tplc="81B8E17E">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0000000C"/>
    <w:multiLevelType w:val="multilevel"/>
    <w:tmpl w:val="521C52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D242D79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8390A8F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1DC2FCA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92B49C0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
    <w:nsid w:val="00000011"/>
    <w:multiLevelType w:val="multilevel"/>
    <w:tmpl w:val="CA546E4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8">
    <w:nsid w:val="00000012"/>
    <w:multiLevelType w:val="multilevel"/>
    <w:tmpl w:val="CAFA5D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6C22BAF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415604B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A9FEE37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02D64F3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5080C2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4">
    <w:nsid w:val="00000018"/>
    <w:multiLevelType w:val="multilevel"/>
    <w:tmpl w:val="8F1A660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9"/>
  </w:num>
  <w:num w:numId="2">
    <w:abstractNumId w:val="24"/>
  </w:num>
  <w:num w:numId="3">
    <w:abstractNumId w:val="13"/>
  </w:num>
  <w:num w:numId="4">
    <w:abstractNumId w:val="12"/>
  </w:num>
  <w:num w:numId="5">
    <w:abstractNumId w:val="10"/>
  </w:num>
  <w:num w:numId="6">
    <w:abstractNumId w:val="6"/>
  </w:num>
  <w:num w:numId="7">
    <w:abstractNumId w:val="16"/>
  </w:num>
  <w:num w:numId="8">
    <w:abstractNumId w:val="0"/>
  </w:num>
  <w:num w:numId="9">
    <w:abstractNumId w:val="11"/>
  </w:num>
  <w:num w:numId="10">
    <w:abstractNumId w:val="5"/>
  </w:num>
  <w:num w:numId="11">
    <w:abstractNumId w:val="15"/>
  </w:num>
  <w:num w:numId="12">
    <w:abstractNumId w:val="17"/>
  </w:num>
  <w:num w:numId="13">
    <w:abstractNumId w:val="8"/>
  </w:num>
  <w:num w:numId="14">
    <w:abstractNumId w:val="18"/>
  </w:num>
  <w:num w:numId="15">
    <w:abstractNumId w:val="4"/>
  </w:num>
  <w:num w:numId="16">
    <w:abstractNumId w:val="2"/>
  </w:num>
  <w:num w:numId="17">
    <w:abstractNumId w:val="9"/>
  </w:num>
  <w:num w:numId="18">
    <w:abstractNumId w:val="14"/>
  </w:num>
  <w:num w:numId="19">
    <w:abstractNumId w:val="21"/>
  </w:num>
  <w:num w:numId="20">
    <w:abstractNumId w:val="23"/>
  </w:num>
  <w:num w:numId="21">
    <w:abstractNumId w:val="22"/>
  </w:num>
  <w:num w:numId="22">
    <w:abstractNumId w:val="7"/>
  </w:num>
  <w:num w:numId="23">
    <w:abstractNumId w:val="20"/>
  </w:num>
  <w:num w:numId="24">
    <w:abstractNumId w:val="1"/>
  </w:num>
  <w:num w:numId="2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6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ptos" w:hAnsi="Times New Roman"/>
        <w:color w:val="2b3942"/>
        <w:sz w:val="24"/>
        <w:szCs w:val="24"/>
        <w:lang w:val="en-IN"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Times New Roman"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Times New Roman"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ascii="Aptos" w:cs="Times New Roman" w:eastAsia="宋体" w:hAnsi="Aptos"/>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ascii="Aptos" w:cs="Times New Roman" w:eastAsia="宋体" w:hAnsi="Aptos"/>
      <w:i/>
      <w:iCs/>
      <w:color w:val="0f4761"/>
    </w:rPr>
  </w:style>
  <w:style w:type="paragraph" w:styleId="style5">
    <w:name w:val="heading 5"/>
    <w:basedOn w:val="style0"/>
    <w:next w:val="style0"/>
    <w:link w:val="style4101"/>
    <w:qFormat/>
    <w:uiPriority w:val="9"/>
    <w:pPr>
      <w:keepNext/>
      <w:keepLines/>
      <w:spacing w:before="80" w:after="40"/>
      <w:outlineLvl w:val="4"/>
    </w:pPr>
    <w:rPr>
      <w:rFonts w:ascii="Aptos" w:cs="Times New Roman" w:eastAsia="宋体" w:hAnsi="Aptos"/>
      <w:color w:val="0f4761"/>
    </w:rPr>
  </w:style>
  <w:style w:type="paragraph" w:styleId="style6">
    <w:name w:val="heading 6"/>
    <w:basedOn w:val="style0"/>
    <w:next w:val="style0"/>
    <w:link w:val="style4102"/>
    <w:qFormat/>
    <w:uiPriority w:val="9"/>
    <w:pPr>
      <w:keepNext/>
      <w:keepLines/>
      <w:spacing w:before="40" w:after="0"/>
      <w:outlineLvl w:val="5"/>
    </w:pPr>
    <w:rPr>
      <w:rFonts w:ascii="Aptos" w:cs="Times New Roman" w:eastAsia="宋体" w:hAnsi="Aptos"/>
      <w:i/>
      <w:iCs/>
      <w:color w:val="595959"/>
    </w:rPr>
  </w:style>
  <w:style w:type="paragraph" w:styleId="style7">
    <w:name w:val="heading 7"/>
    <w:basedOn w:val="style0"/>
    <w:next w:val="style0"/>
    <w:link w:val="style4103"/>
    <w:qFormat/>
    <w:uiPriority w:val="9"/>
    <w:pPr>
      <w:keepNext/>
      <w:keepLines/>
      <w:spacing w:before="40" w:after="0"/>
      <w:outlineLvl w:val="6"/>
    </w:pPr>
    <w:rPr>
      <w:rFonts w:ascii="Aptos" w:cs="Times New Roman" w:eastAsia="宋体" w:hAnsi="Aptos"/>
      <w:color w:val="595959"/>
    </w:rPr>
  </w:style>
  <w:style w:type="paragraph" w:styleId="style8">
    <w:name w:val="heading 8"/>
    <w:basedOn w:val="style0"/>
    <w:next w:val="style0"/>
    <w:link w:val="style4104"/>
    <w:qFormat/>
    <w:uiPriority w:val="9"/>
    <w:pPr>
      <w:keepNext/>
      <w:keepLines/>
      <w:spacing w:after="0"/>
      <w:outlineLvl w:val="7"/>
    </w:pPr>
    <w:rPr>
      <w:rFonts w:ascii="Aptos" w:cs="Times New Roman" w:eastAsia="宋体" w:hAnsi="Aptos"/>
      <w:i/>
      <w:iCs/>
      <w:color w:val="272727"/>
    </w:rPr>
  </w:style>
  <w:style w:type="paragraph" w:styleId="style9">
    <w:name w:val="heading 9"/>
    <w:basedOn w:val="style0"/>
    <w:next w:val="style0"/>
    <w:link w:val="style4105"/>
    <w:qFormat/>
    <w:uiPriority w:val="9"/>
    <w:pPr>
      <w:keepNext/>
      <w:keepLines/>
      <w:spacing w:after="0"/>
      <w:outlineLvl w:val="8"/>
    </w:pPr>
    <w:rPr>
      <w:rFonts w:ascii="Aptos" w:cs="Times New Roman" w:eastAsia="宋体" w:hAnsi="Aptos"/>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aa5b021-18fa-4d01-8ae7-0e69207bb953"/>
    <w:basedOn w:val="style65"/>
    <w:next w:val="style4097"/>
    <w:link w:val="style1"/>
    <w:uiPriority w:val="9"/>
    <w:rPr>
      <w:rFonts w:ascii="Aptos Display" w:cs="Times New Roman" w:eastAsia="宋体" w:hAnsi="Aptos Display"/>
      <w:color w:val="0f4761"/>
      <w:sz w:val="40"/>
      <w:szCs w:val="40"/>
    </w:rPr>
  </w:style>
  <w:style w:type="character" w:customStyle="1" w:styleId="style4098">
    <w:name w:val="Heading 2 Char_8d98ce82-d5e6-4a08-82fe-c9ade3c03e79"/>
    <w:basedOn w:val="style65"/>
    <w:next w:val="style4098"/>
    <w:link w:val="style2"/>
    <w:uiPriority w:val="9"/>
    <w:rPr>
      <w:rFonts w:ascii="Aptos Display" w:cs="Times New Roman" w:eastAsia="宋体" w:hAnsi="Aptos Display"/>
      <w:color w:val="0f4761"/>
      <w:sz w:val="32"/>
      <w:szCs w:val="32"/>
    </w:rPr>
  </w:style>
  <w:style w:type="character" w:customStyle="1" w:styleId="style4099">
    <w:name w:val="Heading 3 Char_b1556aa8-434d-4d47-8a36-b79ce1b7b9b1"/>
    <w:basedOn w:val="style65"/>
    <w:next w:val="style4099"/>
    <w:link w:val="style3"/>
    <w:uiPriority w:val="9"/>
    <w:rPr>
      <w:rFonts w:ascii="Aptos" w:cs="Times New Roman" w:eastAsia="宋体" w:hAnsi="Aptos"/>
      <w:color w:val="0f4761"/>
      <w:sz w:val="28"/>
      <w:szCs w:val="28"/>
    </w:rPr>
  </w:style>
  <w:style w:type="character" w:customStyle="1" w:styleId="style4100">
    <w:name w:val="Heading 4 Char_b90b2606-efdd-4527-9103-1759547e7015"/>
    <w:basedOn w:val="style65"/>
    <w:next w:val="style4100"/>
    <w:link w:val="style4"/>
    <w:uiPriority w:val="9"/>
    <w:rPr>
      <w:rFonts w:ascii="Aptos" w:cs="Times New Roman" w:eastAsia="宋体" w:hAnsi="Aptos"/>
      <w:i/>
      <w:iCs/>
      <w:color w:val="0f4761"/>
    </w:rPr>
  </w:style>
  <w:style w:type="character" w:customStyle="1" w:styleId="style4101">
    <w:name w:val="Heading 5 Char_bf4b2719-a34f-4dce-aa7c-bdcb8656f8a3"/>
    <w:basedOn w:val="style65"/>
    <w:next w:val="style4101"/>
    <w:link w:val="style5"/>
    <w:uiPriority w:val="9"/>
    <w:rPr>
      <w:rFonts w:ascii="Aptos" w:cs="Times New Roman" w:eastAsia="宋体" w:hAnsi="Aptos"/>
      <w:color w:val="0f4761"/>
    </w:rPr>
  </w:style>
  <w:style w:type="character" w:customStyle="1" w:styleId="style4102">
    <w:name w:val="Heading 6 Char_fa2d69e4-6544-444e-80b4-9db3b3359faa"/>
    <w:basedOn w:val="style65"/>
    <w:next w:val="style4102"/>
    <w:link w:val="style6"/>
    <w:uiPriority w:val="9"/>
    <w:rPr>
      <w:rFonts w:ascii="Aptos" w:cs="Times New Roman" w:eastAsia="宋体" w:hAnsi="Aptos"/>
      <w:i/>
      <w:iCs/>
      <w:color w:val="595959"/>
    </w:rPr>
  </w:style>
  <w:style w:type="character" w:customStyle="1" w:styleId="style4103">
    <w:name w:val="Heading 7 Char_bd520828-b0e1-4657-97ea-0e5fe942793f"/>
    <w:basedOn w:val="style65"/>
    <w:next w:val="style4103"/>
    <w:link w:val="style7"/>
    <w:uiPriority w:val="9"/>
    <w:rPr>
      <w:rFonts w:ascii="Aptos" w:cs="Times New Roman" w:eastAsia="宋体" w:hAnsi="Aptos"/>
      <w:color w:val="595959"/>
    </w:rPr>
  </w:style>
  <w:style w:type="character" w:customStyle="1" w:styleId="style4104">
    <w:name w:val="Heading 8 Char_4df5c795-b07a-4f29-8e16-f6ab929904c9"/>
    <w:basedOn w:val="style65"/>
    <w:next w:val="style4104"/>
    <w:link w:val="style8"/>
    <w:uiPriority w:val="9"/>
    <w:rPr>
      <w:rFonts w:ascii="Aptos" w:cs="Times New Roman" w:eastAsia="宋体" w:hAnsi="Aptos"/>
      <w:i/>
      <w:iCs/>
      <w:color w:val="272727"/>
    </w:rPr>
  </w:style>
  <w:style w:type="character" w:customStyle="1" w:styleId="style4105">
    <w:name w:val="Heading 9 Char_d3e1fc20-6a5f-4686-a779-ff342c6ce94b"/>
    <w:basedOn w:val="style65"/>
    <w:next w:val="style4105"/>
    <w:link w:val="style9"/>
    <w:uiPriority w:val="9"/>
    <w:rPr>
      <w:rFonts w:ascii="Aptos" w:cs="Times New Roman" w:eastAsia="宋体" w:hAnsi="Aptos"/>
      <w:color w:val="272727"/>
    </w:rPr>
  </w:style>
  <w:style w:type="paragraph" w:styleId="style62">
    <w:name w:val="Title"/>
    <w:basedOn w:val="style0"/>
    <w:next w:val="style0"/>
    <w:link w:val="style4106"/>
    <w:qFormat/>
    <w:uiPriority w:val="10"/>
    <w:pPr>
      <w:spacing w:after="80" w:lineRule="auto" w:line="240"/>
      <w:contextualSpacing/>
    </w:pPr>
    <w:rPr>
      <w:rFonts w:ascii="Aptos Display" w:cs="Times New Roman" w:eastAsia="宋体" w:hAnsi="Aptos Display"/>
      <w:color w:val="auto"/>
      <w:spacing w:val="-10"/>
      <w:kern w:val="28"/>
      <w:sz w:val="56"/>
      <w:szCs w:val="56"/>
    </w:rPr>
  </w:style>
  <w:style w:type="character" w:customStyle="1" w:styleId="style4106">
    <w:name w:val="Title Char_223cf332-6645-4669-86e1-5e4c60d12746"/>
    <w:basedOn w:val="style65"/>
    <w:next w:val="style4106"/>
    <w:link w:val="style62"/>
    <w:uiPriority w:val="10"/>
    <w:rPr>
      <w:rFonts w:ascii="Aptos Display" w:cs="Times New Roman" w:eastAsia="宋体" w:hAnsi="Aptos Display"/>
      <w:color w:val="auto"/>
      <w:spacing w:val="-10"/>
      <w:kern w:val="28"/>
      <w:sz w:val="56"/>
      <w:szCs w:val="56"/>
    </w:rPr>
  </w:style>
  <w:style w:type="paragraph" w:styleId="style74">
    <w:name w:val="Subtitle"/>
    <w:basedOn w:val="style0"/>
    <w:next w:val="style0"/>
    <w:link w:val="style4107"/>
    <w:qFormat/>
    <w:uiPriority w:val="11"/>
    <w:pPr>
      <w:numPr>
        <w:ilvl w:val="1"/>
        <w:numId w:val="0"/>
      </w:numPr>
    </w:pPr>
    <w:rPr>
      <w:rFonts w:ascii="Aptos" w:cs="Times New Roman" w:eastAsia="宋体" w:hAnsi="Aptos"/>
      <w:color w:val="595959"/>
      <w:spacing w:val="15"/>
      <w:sz w:val="28"/>
      <w:szCs w:val="28"/>
    </w:rPr>
  </w:style>
  <w:style w:type="character" w:customStyle="1" w:styleId="style4107">
    <w:name w:val="Subtitle Char"/>
    <w:basedOn w:val="style65"/>
    <w:next w:val="style4107"/>
    <w:link w:val="style74"/>
    <w:uiPriority w:val="11"/>
    <w:rPr>
      <w:rFonts w:ascii="Aptos" w:cs="Times New Roman" w:eastAsia="宋体" w:hAnsi="Aptos"/>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01542ca9-f9fe-4101-9218-921a1b79c4e5"/>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082cbaf9-9156-4567-9862-0650581a827e"/>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table" w:styleId="style194">
    <w:name w:val="Medium Shading 2 Accent 2"/>
    <w:basedOn w:val="style105"/>
    <w:next w:val="style194"/>
    <w:uiPriority w:val="64"/>
    <w:pPr>
      <w:spacing w:after="0" w:lineRule="auto" w:line="240"/>
    </w:pPr>
    <w:rPr>
      <w:rFonts w:ascii="Aptos" w:cs="Arial" w:hAnsi="Aptos"/>
      <w:color w:val="auto"/>
      <w:sz w:val="22"/>
      <w:szCs w:val="22"/>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e9713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e97132"/>
      </w:tcPr>
    </w:tblStylePr>
    <w:tblStylePr w:type="lastCol">
      <w:pPr/>
      <w:rPr>
        <w:b/>
        <w:bCs/>
        <w:color w:val="ffffff"/>
      </w:rPr>
      <w:tblPr/>
      <w:tcPr>
        <w:tcBorders>
          <w:left w:val="nil"/>
          <w:right w:val="nil"/>
          <w:insideH w:val="nil"/>
          <w:insideV w:val="nil"/>
        </w:tcBorders>
        <w:shd w:val="clear" w:color="auto" w:fill="e9713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customStyle="1" w:styleId="style4110">
    <w:name w:val="Light Shading1"/>
    <w:basedOn w:val="style105"/>
    <w:next w:val="style4110"/>
    <w:uiPriority w:val="60"/>
    <w:pPr>
      <w:spacing w:after="0" w:lineRule="auto" w:line="240"/>
      <w:jc w:val="both"/>
    </w:pPr>
    <w:rPr>
      <w:rFonts w:ascii="Aptos" w:cs="Arial" w:hAnsi="Aptos"/>
      <w:color w:val="000000"/>
      <w:sz w:val="22"/>
      <w:szCs w:val="22"/>
      <w:lang w:val="en-US"/>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54">
    <w:name w:val="Table Grid"/>
    <w:basedOn w:val="style105"/>
    <w:next w:val="style154"/>
    <w:uiPriority w:val="59"/>
    <w:pPr>
      <w:spacing w:after="0" w:lineRule="auto" w:line="240"/>
    </w:pPr>
    <w:rPr>
      <w:rFonts w:ascii="Aptos" w:cs="Arial" w:hAnsi="Aptos"/>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1414</Words>
  <Pages>1</Pages>
  <Characters>8801</Characters>
  <Application>WPS Office</Application>
  <DocSecurity>0</DocSecurity>
  <Paragraphs>183</Paragraphs>
  <ScaleCrop>false</ScaleCrop>
  <LinksUpToDate>false</LinksUpToDate>
  <CharactersWithSpaces>10266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2025-03-24T06:07:00Z</dcterms:created>
  <dc:creator>drmanik sharma</dc:creator>
  <lastModifiedBy>22111317PI</lastModifiedBy>
  <dcterms:modified xsi:type="dcterms:W3CDTF">2025-03-25T05:39:11Z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4789e95514ddf53c10a49915fa73453d9eaa6423cc62fa8947fadb321f3ac25c</vt:lpwstr>
  </property>
  <property fmtid="{D5CDD505-2E9C-101B-9397-08002B2CF9AE}" pid="3" name="ICV">
    <vt:lpwstr>f212b1b5db6040dc80eca160a165fda0</vt:lpwstr>
  </property>
</Properties>
</file>