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FF4A6" w14:textId="77777777" w:rsidR="00C916A5" w:rsidRDefault="00C916A5" w:rsidP="00310535">
      <w:pPr>
        <w:spacing w:before="138"/>
        <w:ind w:left="360" w:right="346"/>
        <w:jc w:val="center"/>
        <w:rPr>
          <w:sz w:val="32"/>
          <w:szCs w:val="32"/>
        </w:rPr>
      </w:pPr>
    </w:p>
    <w:p w14:paraId="39F3C382" w14:textId="2153C8E4" w:rsidR="001F191D" w:rsidRPr="00CB4968" w:rsidRDefault="00CB4968" w:rsidP="00310535">
      <w:pPr>
        <w:pStyle w:val="Heading1"/>
        <w:spacing w:before="138"/>
        <w:ind w:right="346"/>
        <w:jc w:val="center"/>
        <w:rPr>
          <w:b w:val="0"/>
          <w:bCs w:val="0"/>
          <w:sz w:val="32"/>
          <w:szCs w:val="32"/>
        </w:rPr>
      </w:pPr>
      <w:r w:rsidRPr="00CB4968">
        <w:rPr>
          <w:b w:val="0"/>
          <w:bCs w:val="0"/>
          <w:sz w:val="32"/>
          <w:szCs w:val="32"/>
        </w:rPr>
        <w:t>JEJIREDDY GANESH REDDY,</w:t>
      </w:r>
      <w:r w:rsidRPr="00CB4968">
        <w:rPr>
          <w:b w:val="0"/>
          <w:bCs w:val="0"/>
        </w:rPr>
        <w:t xml:space="preserve"> </w:t>
      </w:r>
      <w:r w:rsidRPr="00CB4968">
        <w:rPr>
          <w:b w:val="0"/>
          <w:bCs w:val="0"/>
          <w:sz w:val="32"/>
          <w:szCs w:val="32"/>
        </w:rPr>
        <w:t>NAKSHITHA R S,</w:t>
      </w:r>
      <w:r w:rsidRPr="00CB4968">
        <w:rPr>
          <w:b w:val="0"/>
          <w:bCs w:val="0"/>
        </w:rPr>
        <w:t xml:space="preserve"> </w:t>
      </w:r>
      <w:r w:rsidRPr="00CB4968">
        <w:rPr>
          <w:b w:val="0"/>
          <w:bCs w:val="0"/>
          <w:sz w:val="32"/>
          <w:szCs w:val="32"/>
        </w:rPr>
        <w:t>ANJANA LINGANAGOUDA PATIL,</w:t>
      </w:r>
      <w:r w:rsidRPr="00CB4968">
        <w:rPr>
          <w:b w:val="0"/>
          <w:bCs w:val="0"/>
        </w:rPr>
        <w:t xml:space="preserve"> </w:t>
      </w:r>
      <w:r w:rsidRPr="00CB4968">
        <w:rPr>
          <w:b w:val="0"/>
          <w:bCs w:val="0"/>
          <w:sz w:val="32"/>
          <w:szCs w:val="32"/>
        </w:rPr>
        <w:t>ANJALI GOYAL,</w:t>
      </w:r>
      <w:r w:rsidRPr="00CB4968">
        <w:rPr>
          <w:b w:val="0"/>
          <w:bCs w:val="0"/>
        </w:rPr>
        <w:t xml:space="preserve"> </w:t>
      </w:r>
      <w:r w:rsidRPr="00CB4968">
        <w:rPr>
          <w:b w:val="0"/>
          <w:bCs w:val="0"/>
          <w:sz w:val="32"/>
          <w:szCs w:val="32"/>
        </w:rPr>
        <w:t>AARUSHI SINGH</w:t>
      </w:r>
    </w:p>
    <w:p w14:paraId="3AF0BFC1" w14:textId="77777777" w:rsidR="003D07A4" w:rsidRPr="003D07A4" w:rsidRDefault="003D07A4" w:rsidP="00310535">
      <w:pPr>
        <w:spacing w:before="138" w:line="360" w:lineRule="auto"/>
        <w:ind w:left="360" w:right="346"/>
        <w:jc w:val="center"/>
        <w:rPr>
          <w:sz w:val="36"/>
          <w:szCs w:val="36"/>
        </w:rPr>
      </w:pPr>
      <w:r w:rsidRPr="003D07A4">
        <w:rPr>
          <w:sz w:val="36"/>
          <w:szCs w:val="36"/>
        </w:rPr>
        <w:t xml:space="preserve"> </w:t>
      </w:r>
      <w:r w:rsidRPr="003D07A4">
        <w:rPr>
          <w:sz w:val="36"/>
          <w:szCs w:val="36"/>
        </w:rPr>
        <w:tab/>
      </w:r>
    </w:p>
    <w:p w14:paraId="4BDECA6C" w14:textId="77777777" w:rsidR="00C916A5" w:rsidRDefault="00C916A5" w:rsidP="00310535">
      <w:pPr>
        <w:spacing w:before="138" w:line="360" w:lineRule="auto"/>
        <w:ind w:left="360" w:right="346" w:firstLine="180"/>
        <w:jc w:val="center"/>
        <w:rPr>
          <w:sz w:val="36"/>
          <w:szCs w:val="36"/>
        </w:rPr>
      </w:pPr>
    </w:p>
    <w:p w14:paraId="04E14205" w14:textId="77777777" w:rsidR="00C916A5" w:rsidRDefault="00C916A5" w:rsidP="00310535">
      <w:pPr>
        <w:spacing w:before="138" w:line="360" w:lineRule="auto"/>
        <w:ind w:left="360" w:right="346" w:firstLine="180"/>
        <w:jc w:val="center"/>
        <w:rPr>
          <w:sz w:val="36"/>
          <w:szCs w:val="36"/>
        </w:rPr>
      </w:pPr>
    </w:p>
    <w:p w14:paraId="5854C18C" w14:textId="77777777" w:rsidR="00CB4968" w:rsidRDefault="003D07A4" w:rsidP="00310535">
      <w:pPr>
        <w:spacing w:before="138" w:line="360" w:lineRule="auto"/>
        <w:ind w:left="360" w:right="346" w:firstLine="180"/>
        <w:jc w:val="center"/>
        <w:rPr>
          <w:sz w:val="36"/>
          <w:szCs w:val="36"/>
        </w:rPr>
      </w:pPr>
      <w:r w:rsidRPr="003D07A4">
        <w:rPr>
          <w:sz w:val="36"/>
          <w:szCs w:val="36"/>
        </w:rPr>
        <w:t xml:space="preserve">MBA Students, Faculty of Management Studies, CMS Business School, </w:t>
      </w:r>
    </w:p>
    <w:p w14:paraId="10BF2F3F" w14:textId="1A4EB3CF" w:rsidR="003D07A4" w:rsidRPr="003D07A4" w:rsidRDefault="003D07A4" w:rsidP="00310535">
      <w:pPr>
        <w:spacing w:before="138" w:line="360" w:lineRule="auto"/>
        <w:ind w:left="360" w:right="346" w:firstLine="180"/>
        <w:jc w:val="center"/>
        <w:rPr>
          <w:sz w:val="36"/>
          <w:szCs w:val="36"/>
        </w:rPr>
      </w:pPr>
      <w:r w:rsidRPr="003D07A4">
        <w:rPr>
          <w:sz w:val="36"/>
          <w:szCs w:val="36"/>
        </w:rPr>
        <w:t>Jain Deemed to be University, Bengaluru, India</w:t>
      </w:r>
    </w:p>
    <w:p w14:paraId="11843318" w14:textId="77777777" w:rsidR="003D07A4" w:rsidRPr="003D07A4" w:rsidRDefault="003D07A4" w:rsidP="00310535">
      <w:pPr>
        <w:spacing w:before="138"/>
        <w:ind w:left="360" w:right="346"/>
        <w:jc w:val="center"/>
        <w:rPr>
          <w:b/>
          <w:bCs/>
          <w:sz w:val="36"/>
          <w:szCs w:val="36"/>
        </w:rPr>
      </w:pPr>
    </w:p>
    <w:p w14:paraId="03AC1E84" w14:textId="77777777" w:rsidR="00C916A5" w:rsidRDefault="003D07A4" w:rsidP="00310535">
      <w:pPr>
        <w:spacing w:before="138" w:line="360" w:lineRule="auto"/>
        <w:ind w:left="360" w:right="346"/>
        <w:jc w:val="center"/>
        <w:rPr>
          <w:bCs/>
          <w:sz w:val="36"/>
          <w:szCs w:val="36"/>
        </w:rPr>
      </w:pPr>
      <w:r w:rsidRPr="003D07A4">
        <w:rPr>
          <w:bCs/>
          <w:sz w:val="36"/>
          <w:szCs w:val="36"/>
        </w:rPr>
        <w:t xml:space="preserve">  </w:t>
      </w:r>
      <w:r w:rsidRPr="003D07A4">
        <w:rPr>
          <w:bCs/>
          <w:sz w:val="36"/>
          <w:szCs w:val="36"/>
        </w:rPr>
        <w:tab/>
      </w:r>
    </w:p>
    <w:p w14:paraId="22E20FE5" w14:textId="77777777" w:rsidR="00C916A5" w:rsidRDefault="00C916A5" w:rsidP="00310535">
      <w:pPr>
        <w:spacing w:before="138" w:line="360" w:lineRule="auto"/>
        <w:ind w:left="360" w:right="346" w:firstLine="720"/>
        <w:jc w:val="center"/>
        <w:rPr>
          <w:bCs/>
          <w:sz w:val="36"/>
          <w:szCs w:val="36"/>
        </w:rPr>
      </w:pPr>
    </w:p>
    <w:p w14:paraId="6F696C88" w14:textId="77777777" w:rsidR="00C916A5" w:rsidRDefault="00C916A5" w:rsidP="00310535">
      <w:pPr>
        <w:spacing w:before="138" w:line="360" w:lineRule="auto"/>
        <w:ind w:left="360" w:right="346" w:firstLine="720"/>
        <w:jc w:val="center"/>
        <w:rPr>
          <w:bCs/>
          <w:sz w:val="36"/>
          <w:szCs w:val="36"/>
        </w:rPr>
      </w:pPr>
    </w:p>
    <w:p w14:paraId="7C11F842" w14:textId="77777777" w:rsidR="00CB4968" w:rsidRDefault="003D07A4" w:rsidP="00310535">
      <w:pPr>
        <w:spacing w:before="138" w:line="360" w:lineRule="auto"/>
        <w:ind w:left="360" w:right="346" w:firstLine="720"/>
        <w:jc w:val="center"/>
        <w:rPr>
          <w:sz w:val="36"/>
          <w:szCs w:val="36"/>
        </w:rPr>
      </w:pPr>
      <w:r w:rsidRPr="003D07A4">
        <w:rPr>
          <w:bCs/>
          <w:sz w:val="36"/>
          <w:szCs w:val="36"/>
        </w:rPr>
        <w:t>Professor DR.</w:t>
      </w:r>
      <w:r w:rsidR="00CB4968" w:rsidRPr="00CB4968">
        <w:rPr>
          <w:bCs/>
          <w:sz w:val="36"/>
          <w:szCs w:val="36"/>
        </w:rPr>
        <w:t xml:space="preserve"> Mahalakshmi S</w:t>
      </w:r>
      <w:r w:rsidR="00CB4968" w:rsidRPr="003D07A4">
        <w:rPr>
          <w:sz w:val="36"/>
          <w:szCs w:val="36"/>
        </w:rPr>
        <w:t>,</w:t>
      </w:r>
      <w:r w:rsidRPr="003D07A4">
        <w:rPr>
          <w:sz w:val="36"/>
          <w:szCs w:val="36"/>
        </w:rPr>
        <w:t xml:space="preserve"> Faculty of Management Studies, </w:t>
      </w:r>
    </w:p>
    <w:p w14:paraId="17A8E3D5" w14:textId="7BF4DEBD" w:rsidR="003D07A4" w:rsidRPr="003D07A4" w:rsidRDefault="003D07A4" w:rsidP="00310535">
      <w:pPr>
        <w:spacing w:before="138" w:line="360" w:lineRule="auto"/>
        <w:ind w:left="360" w:right="346" w:firstLine="720"/>
        <w:jc w:val="center"/>
        <w:rPr>
          <w:sz w:val="40"/>
          <w:szCs w:val="40"/>
        </w:rPr>
      </w:pPr>
      <w:r w:rsidRPr="003D07A4">
        <w:rPr>
          <w:sz w:val="36"/>
          <w:szCs w:val="36"/>
        </w:rPr>
        <w:t>CMS Business School, Jain Deemed to be University, Bengaluru, India</w:t>
      </w:r>
    </w:p>
    <w:p w14:paraId="4A455760" w14:textId="77777777" w:rsidR="001F191D" w:rsidRPr="003D07A4" w:rsidRDefault="001F191D" w:rsidP="00310535">
      <w:pPr>
        <w:pStyle w:val="Heading1"/>
        <w:spacing w:before="138"/>
        <w:ind w:right="346"/>
        <w:jc w:val="center"/>
      </w:pPr>
    </w:p>
    <w:p w14:paraId="2EF433AF" w14:textId="77777777" w:rsidR="001F191D" w:rsidRDefault="001F191D" w:rsidP="00310535">
      <w:pPr>
        <w:pStyle w:val="Heading1"/>
        <w:spacing w:before="138"/>
        <w:ind w:right="346"/>
        <w:jc w:val="center"/>
      </w:pPr>
    </w:p>
    <w:p w14:paraId="770E2280" w14:textId="77777777" w:rsidR="001F191D" w:rsidRDefault="001F191D" w:rsidP="00310535">
      <w:pPr>
        <w:pStyle w:val="Heading1"/>
        <w:spacing w:before="138"/>
        <w:ind w:right="346"/>
        <w:jc w:val="center"/>
      </w:pPr>
    </w:p>
    <w:p w14:paraId="0113736B" w14:textId="77777777" w:rsidR="001F191D" w:rsidRDefault="001F191D" w:rsidP="00310535">
      <w:pPr>
        <w:pStyle w:val="Heading1"/>
        <w:spacing w:before="138"/>
        <w:ind w:right="346"/>
        <w:jc w:val="center"/>
      </w:pPr>
    </w:p>
    <w:p w14:paraId="3A343848" w14:textId="77777777" w:rsidR="001F191D" w:rsidRDefault="001F191D" w:rsidP="00310535">
      <w:pPr>
        <w:pStyle w:val="Heading1"/>
        <w:spacing w:before="138"/>
        <w:ind w:right="346"/>
        <w:jc w:val="center"/>
      </w:pPr>
    </w:p>
    <w:p w14:paraId="24F61816" w14:textId="77777777" w:rsidR="0045365C" w:rsidRDefault="0045365C" w:rsidP="00310535">
      <w:pPr>
        <w:pStyle w:val="Heading1"/>
        <w:spacing w:before="138"/>
        <w:ind w:right="346"/>
      </w:pPr>
    </w:p>
    <w:p w14:paraId="4A2F5BD9" w14:textId="77777777" w:rsidR="00310535" w:rsidRDefault="00310535" w:rsidP="00310535">
      <w:pPr>
        <w:pStyle w:val="Heading1"/>
        <w:spacing w:before="138"/>
        <w:ind w:right="346"/>
      </w:pPr>
    </w:p>
    <w:p w14:paraId="6F1AACD9" w14:textId="77777777" w:rsidR="0045365C" w:rsidRDefault="0045365C" w:rsidP="00310535">
      <w:pPr>
        <w:pStyle w:val="Heading1"/>
        <w:spacing w:before="138"/>
        <w:ind w:right="346"/>
        <w:jc w:val="center"/>
      </w:pPr>
    </w:p>
    <w:p w14:paraId="12834D7E" w14:textId="04B4DAFB" w:rsidR="00FD080D" w:rsidRPr="008C1786" w:rsidRDefault="003D07A4" w:rsidP="00310535">
      <w:pPr>
        <w:pStyle w:val="Heading1"/>
        <w:spacing w:before="138" w:line="360" w:lineRule="auto"/>
        <w:ind w:right="346"/>
        <w:jc w:val="center"/>
        <w:rPr>
          <w:b w:val="0"/>
          <w:color w:val="222222"/>
        </w:rPr>
      </w:pPr>
      <w:r w:rsidRPr="00E4504B">
        <w:lastRenderedPageBreak/>
        <w:t>T</w:t>
      </w:r>
      <w:r w:rsidR="00FB21A9" w:rsidRPr="00E4504B">
        <w:t>OPIC:</w:t>
      </w:r>
      <w:r w:rsidR="00FB21A9" w:rsidRPr="00E4504B">
        <w:rPr>
          <w:spacing w:val="-6"/>
        </w:rPr>
        <w:t xml:space="preserve"> </w:t>
      </w:r>
      <w:bookmarkStart w:id="0" w:name="_liw8rlmyuu0b" w:colFirst="0" w:colLast="0"/>
      <w:bookmarkEnd w:id="0"/>
      <w:r w:rsidR="00FD080D" w:rsidRPr="008C1786">
        <w:rPr>
          <w:color w:val="222222"/>
          <w:highlight w:val="white"/>
        </w:rPr>
        <w:t>SUSTAINABLE WASTE MANAGEMENT: A RESEARCH ON WET WASTE CONVERSION INTO FERTILIZER</w:t>
      </w:r>
    </w:p>
    <w:p w14:paraId="36E2124F" w14:textId="5240A434" w:rsidR="00454290" w:rsidRPr="00E4504B" w:rsidRDefault="00FB21A9" w:rsidP="00310535">
      <w:pPr>
        <w:pStyle w:val="Heading1"/>
        <w:spacing w:before="138"/>
        <w:ind w:right="346"/>
        <w:jc w:val="center"/>
        <w:rPr>
          <w:b w:val="0"/>
        </w:rPr>
      </w:pPr>
      <w:r w:rsidRPr="00E4504B">
        <w:rPr>
          <w:b w:val="0"/>
          <w:noProof/>
        </w:rPr>
        <mc:AlternateContent>
          <mc:Choice Requires="wps">
            <w:drawing>
              <wp:anchor distT="0" distB="0" distL="0" distR="0" simplePos="0" relativeHeight="487588864" behindDoc="1" locked="0" layoutInCell="1" allowOverlap="1" wp14:anchorId="7ADDE606" wp14:editId="2DCE6088">
                <wp:simplePos x="0" y="0"/>
                <wp:positionH relativeFrom="page">
                  <wp:posOffset>441325</wp:posOffset>
                </wp:positionH>
                <wp:positionV relativeFrom="paragraph">
                  <wp:posOffset>278169</wp:posOffset>
                </wp:positionV>
                <wp:extent cx="698754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7540" cy="1270"/>
                        </a:xfrm>
                        <a:custGeom>
                          <a:avLst/>
                          <a:gdLst/>
                          <a:ahLst/>
                          <a:cxnLst/>
                          <a:rect l="l" t="t" r="r" b="b"/>
                          <a:pathLst>
                            <a:path w="6987540">
                              <a:moveTo>
                                <a:pt x="0" y="0"/>
                              </a:moveTo>
                              <a:lnTo>
                                <a:pt x="698754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D974AE" id="Graphic 6" o:spid="_x0000_s1026" style="position:absolute;margin-left:34.75pt;margin-top:21.9pt;width:550.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987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" path="m,l6987540,e" filled="f" strokeweight="1pt">
                <v:path arrowok="t"/>
                <w10:wrap type="topAndBottom" anchorx="page"/>
              </v:shape>
            </w:pict>
          </mc:Fallback>
        </mc:AlternateContent>
      </w:r>
    </w:p>
    <w:p w14:paraId="77B9B6BE" w14:textId="77777777" w:rsidR="00454290" w:rsidRPr="00E4504B" w:rsidRDefault="00FB21A9" w:rsidP="00310535">
      <w:pPr>
        <w:spacing w:before="138"/>
        <w:ind w:left="360" w:right="346"/>
        <w:rPr>
          <w:b/>
          <w:sz w:val="24"/>
          <w:szCs w:val="24"/>
        </w:rPr>
      </w:pPr>
      <w:r w:rsidRPr="00E4504B">
        <w:rPr>
          <w:b/>
          <w:spacing w:val="-2"/>
          <w:sz w:val="24"/>
          <w:szCs w:val="24"/>
          <w:u w:val="single"/>
        </w:rPr>
        <w:t>ABSTRACT</w:t>
      </w:r>
      <w:r w:rsidRPr="00E4504B">
        <w:rPr>
          <w:b/>
          <w:spacing w:val="-2"/>
          <w:sz w:val="24"/>
          <w:szCs w:val="24"/>
        </w:rPr>
        <w:t>:</w:t>
      </w:r>
    </w:p>
    <w:p w14:paraId="52B00253" w14:textId="214DE753" w:rsidR="00FD080D" w:rsidRDefault="00FD080D" w:rsidP="00310535">
      <w:pPr>
        <w:pStyle w:val="BodyText"/>
        <w:spacing w:before="138" w:line="360" w:lineRule="auto"/>
        <w:ind w:left="360" w:right="346" w:firstLine="62"/>
        <w:jc w:val="both"/>
      </w:pPr>
      <w:r>
        <w:t>The study focuses on transforming wet waste to fertilizer as a preferable option over landfilling and incineration. Such alternatives are the source of greenhouse gases, wasted nutrients, and harm to the environment. It discusses how to utilize waste using processes such as anaerobic digestion (AD), composting, and subcritical water (SCW) treatment as excellent alternatives for the transformation of organic waste into good fertilizer.</w:t>
      </w:r>
    </w:p>
    <w:p w14:paraId="12FA7562" w14:textId="44B01D8A" w:rsidR="00FD080D" w:rsidRDefault="00FD080D" w:rsidP="00310535">
      <w:pPr>
        <w:pStyle w:val="BodyText"/>
        <w:spacing w:before="138" w:line="360" w:lineRule="auto"/>
        <w:ind w:left="360" w:right="346" w:firstLine="62"/>
        <w:jc w:val="both"/>
      </w:pPr>
      <w:r>
        <w:t>Drawing upon secondary data available in academic journals, government documents, case studies, and industry reports, the analysis assesses the technology processes, economic effects, environmental gains, and guidelines for wet waste conversion policy. Analysis of primary data was also conducted to identify consumer willingness to adopt this fertilizer and measure awareness. The analysis shows that AD, composting, and SCW treatment are effective in the recovery of nutrients, thereby increasing soil fertility, minimizing the use of chemical fertilizers, and supporting a circular economy. Wet waste fertilizer production is economically viable for local communities while keeping landfills low and greenhouse gas emissions low.</w:t>
      </w:r>
    </w:p>
    <w:p w14:paraId="1B05455B" w14:textId="2D75F53D" w:rsidR="00306C52" w:rsidRPr="00E4504B" w:rsidRDefault="00FD080D" w:rsidP="00310535">
      <w:pPr>
        <w:pStyle w:val="BodyText"/>
        <w:spacing w:before="138" w:line="360" w:lineRule="auto"/>
        <w:ind w:left="360" w:right="346" w:firstLine="62"/>
        <w:jc w:val="both"/>
      </w:pPr>
      <w:r>
        <w:t>Despite these advantages, there are still challenges in streamlining processes, standard fertilizer quality, and infrastructure issues. Government policymakers are advised by the study to formulate efficient policies such as incentives for waste segregation and funding facilities for waste conversion and continued research, development, and public awareness.</w:t>
      </w:r>
    </w:p>
    <w:p w14:paraId="71DECFE4" w14:textId="77777777" w:rsidR="00454290" w:rsidRPr="00E4504B" w:rsidRDefault="00FB21A9" w:rsidP="00310535">
      <w:pPr>
        <w:pStyle w:val="Heading1"/>
        <w:spacing w:before="138"/>
        <w:ind w:right="346"/>
      </w:pPr>
      <w:r w:rsidRPr="00E4504B">
        <w:t>KEY</w:t>
      </w:r>
      <w:r w:rsidRPr="00E4504B">
        <w:rPr>
          <w:spacing w:val="-10"/>
        </w:rPr>
        <w:t xml:space="preserve"> </w:t>
      </w:r>
      <w:r w:rsidRPr="00E4504B">
        <w:rPr>
          <w:spacing w:val="-2"/>
        </w:rPr>
        <w:t>WORDS:</w:t>
      </w:r>
    </w:p>
    <w:p w14:paraId="6F017E51" w14:textId="2D69D153" w:rsidR="00720DD6" w:rsidRPr="00310535" w:rsidRDefault="00FB21A9" w:rsidP="00310535">
      <w:pPr>
        <w:pStyle w:val="BodyText"/>
        <w:spacing w:before="138"/>
        <w:ind w:left="360" w:right="346"/>
      </w:pPr>
      <w:r w:rsidRPr="00E4504B">
        <w:rPr>
          <w:b/>
          <w:noProof/>
        </w:rPr>
        <mc:AlternateContent>
          <mc:Choice Requires="wps">
            <w:drawing>
              <wp:anchor distT="0" distB="0" distL="0" distR="0" simplePos="0" relativeHeight="487589376" behindDoc="1" locked="0" layoutInCell="1" allowOverlap="1" wp14:anchorId="6159FE9F" wp14:editId="548A02F6">
                <wp:simplePos x="0" y="0"/>
                <wp:positionH relativeFrom="page">
                  <wp:posOffset>457200</wp:posOffset>
                </wp:positionH>
                <wp:positionV relativeFrom="paragraph">
                  <wp:posOffset>157418</wp:posOffset>
                </wp:positionV>
                <wp:extent cx="697992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920" cy="1270"/>
                        </a:xfrm>
                        <a:custGeom>
                          <a:avLst/>
                          <a:gdLst/>
                          <a:ahLst/>
                          <a:cxnLst/>
                          <a:rect l="l" t="t" r="r" b="b"/>
                          <a:pathLst>
                            <a:path w="6979920">
                              <a:moveTo>
                                <a:pt x="0" y="0"/>
                              </a:moveTo>
                              <a:lnTo>
                                <a:pt x="697992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AB2280" id="Graphic 7" o:spid="_x0000_s1026" style="position:absolute;margin-left:36pt;margin-top:12.4pt;width:549.6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979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" path="m,l6979920,e" filled="f" strokeweight="1pt">
                <v:path arrowok="t"/>
                <w10:wrap type="topAndBottom" anchorx="page"/>
              </v:shape>
            </w:pict>
          </mc:Fallback>
        </mc:AlternateContent>
      </w:r>
      <w:r w:rsidR="00FD080D" w:rsidRPr="00FD080D">
        <w:t>Environmental Impact</w:t>
      </w:r>
      <w:r w:rsidRPr="00E4504B">
        <w:t xml:space="preserve">, </w:t>
      </w:r>
      <w:r w:rsidR="00FD080D" w:rsidRPr="00FD080D">
        <w:t>Composting</w:t>
      </w:r>
      <w:r w:rsidRPr="00E4504B">
        <w:t xml:space="preserve">, </w:t>
      </w:r>
      <w:r w:rsidR="00FD080D" w:rsidRPr="00FD080D">
        <w:t>Anaerobic Digestion (AD)</w:t>
      </w:r>
      <w:r w:rsidRPr="00E4504B">
        <w:t xml:space="preserve">, </w:t>
      </w:r>
      <w:r w:rsidR="00FD080D" w:rsidRPr="00FD080D">
        <w:t>Environmental Impact</w:t>
      </w:r>
      <w:r w:rsidRPr="00E4504B">
        <w:t xml:space="preserve">, </w:t>
      </w:r>
      <w:r w:rsidR="00FD080D" w:rsidRPr="00FD080D">
        <w:t>Nutrient Recovery</w:t>
      </w:r>
    </w:p>
    <w:p w14:paraId="7043A610" w14:textId="1CFB0377" w:rsidR="00A85F95" w:rsidRPr="00310535" w:rsidRDefault="00FB21A9" w:rsidP="00310535">
      <w:pPr>
        <w:spacing w:before="138"/>
        <w:ind w:left="360" w:right="346"/>
        <w:rPr>
          <w:b/>
          <w:spacing w:val="-2"/>
          <w:sz w:val="24"/>
          <w:szCs w:val="24"/>
        </w:rPr>
      </w:pPr>
      <w:r w:rsidRPr="00E4504B">
        <w:rPr>
          <w:b/>
          <w:spacing w:val="-2"/>
          <w:sz w:val="24"/>
          <w:szCs w:val="24"/>
          <w:u w:val="single"/>
        </w:rPr>
        <w:t>INTRODUCTION</w:t>
      </w:r>
      <w:r w:rsidRPr="00E4504B">
        <w:rPr>
          <w:b/>
          <w:spacing w:val="-2"/>
          <w:sz w:val="24"/>
          <w:szCs w:val="24"/>
        </w:rPr>
        <w:t>:</w:t>
      </w:r>
    </w:p>
    <w:p w14:paraId="69B69D06" w14:textId="22291443" w:rsidR="00A85F95" w:rsidRDefault="00A85F95" w:rsidP="00310535">
      <w:pPr>
        <w:pStyle w:val="BodyText"/>
        <w:spacing w:before="138" w:line="360" w:lineRule="auto"/>
        <w:ind w:left="360" w:right="346"/>
        <w:jc w:val="both"/>
      </w:pPr>
      <w:r>
        <w:t>Wet waste disposal is increasingly a critical problem to the environment and public health of developing urban areas. Organic waste from restaurants, households, and industries finds its way to landfills or is burnt, emitting greenhouse gases, nutrient runoff, and poisoning the environment. Conventional methods of disposal are energy-wasteful and inefficient at harvesting valuable resources, and recent studies have provided evidence of the correlation between inefficient management of wet waste, soil pollution, and increased carbon footprints. This is where the need for new technologies in making waste productive resources is critical</w:t>
      </w:r>
    </w:p>
    <w:p w14:paraId="3BAF3E5C" w14:textId="3D592438" w:rsidR="00454290" w:rsidRPr="00E4504B" w:rsidRDefault="00A85F95" w:rsidP="00310535">
      <w:pPr>
        <w:pStyle w:val="BodyText"/>
        <w:spacing w:before="138" w:line="360" w:lineRule="auto"/>
        <w:ind w:left="360" w:right="346"/>
        <w:jc w:val="both"/>
      </w:pPr>
      <w:r>
        <w:t xml:space="preserve">New waste valorization technologies have now established that nutrient-rich wet waste can be effectively converted into organic high-quality fertilizers through anaerobic digestion, composting, and bioconversion. </w:t>
      </w:r>
      <w:r w:rsidR="00A16BD2">
        <w:br/>
      </w:r>
      <w:r w:rsidR="00A16BD2">
        <w:br/>
      </w:r>
      <w:r>
        <w:lastRenderedPageBreak/>
        <w:t>These new technologies are not only minimizing the environmental footprint of dumping waste, but also guaranteeing a circular economy in recycling nutrients into the earth. Optimum issues, however, still have to be addressed in terms of maximizing efficiency of the conversions, minimizing loss of nutrients in the final product, and ensuring uniformity of fertilizer quality. This is critical in maximizing agricultural application and minimizing environmental footprint. This study proposes a new model specific to the conversion, processing, and collection of local wet waste, and converts it into an organic fertilizer that is marketable. By merging the existing bioconversion techniques with an affordable local waste collection mechanism, the study intends to create a sustainable waste management system that enhances soil quality and agricultural productivity at the same time. Also, the economic gain from the sale of organic fertilizer can be new sources of livelihood for the locals. This paper makes an addition to existing research on sustainable recovery of resources and provides practical suggestions for policymakers and practitioners to apply circular economy concepts to urban waste management systems.</w:t>
      </w:r>
    </w:p>
    <w:p w14:paraId="08527836" w14:textId="77777777" w:rsidR="00454290" w:rsidRDefault="00FB21A9" w:rsidP="00310535">
      <w:pPr>
        <w:pStyle w:val="Heading1"/>
        <w:spacing w:before="138"/>
        <w:ind w:right="346"/>
        <w:jc w:val="both"/>
        <w:rPr>
          <w:spacing w:val="-2"/>
        </w:rPr>
      </w:pPr>
      <w:r w:rsidRPr="00E4504B">
        <w:rPr>
          <w:spacing w:val="-2"/>
        </w:rPr>
        <w:t>LITERATURE</w:t>
      </w:r>
      <w:r w:rsidRPr="00E4504B">
        <w:rPr>
          <w:spacing w:val="-12"/>
        </w:rPr>
        <w:t xml:space="preserve"> </w:t>
      </w:r>
      <w:r w:rsidRPr="00E4504B">
        <w:rPr>
          <w:spacing w:val="-2"/>
        </w:rPr>
        <w:t>REVIEW:</w:t>
      </w:r>
    </w:p>
    <w:p w14:paraId="36249F10" w14:textId="77777777" w:rsidR="00310535" w:rsidRDefault="00310535" w:rsidP="00310535">
      <w:pPr>
        <w:pStyle w:val="Heading1"/>
        <w:spacing w:before="138"/>
        <w:ind w:right="346"/>
        <w:jc w:val="both"/>
        <w:rPr>
          <w:spacing w:val="-2"/>
        </w:rPr>
      </w:pPr>
    </w:p>
    <w:p w14:paraId="59E4B2A7" w14:textId="150D2401" w:rsidR="00EA569C" w:rsidRPr="00310535" w:rsidRDefault="00EA569C" w:rsidP="00310535">
      <w:pPr>
        <w:pStyle w:val="ListParagraph"/>
        <w:numPr>
          <w:ilvl w:val="0"/>
          <w:numId w:val="12"/>
        </w:numPr>
        <w:spacing w:before="138" w:line="360" w:lineRule="auto"/>
        <w:ind w:left="720" w:right="346"/>
        <w:jc w:val="both"/>
        <w:rPr>
          <w:sz w:val="24"/>
          <w:szCs w:val="24"/>
          <w:highlight w:val="white"/>
        </w:rPr>
      </w:pPr>
      <w:r w:rsidRPr="00EA569C">
        <w:rPr>
          <w:b/>
          <w:sz w:val="24"/>
          <w:szCs w:val="24"/>
          <w:highlight w:val="white"/>
        </w:rPr>
        <w:t>Orner et al. (2021)</w:t>
      </w:r>
      <w:r w:rsidRPr="00EA569C">
        <w:rPr>
          <w:sz w:val="24"/>
          <w:szCs w:val="24"/>
          <w:highlight w:val="white"/>
        </w:rPr>
        <w:t xml:space="preserve"> demonstrated the utility of anaerobic digestion (AD) for nutrient recovery from organic waste streams such as California municipal sewage sludge, animal manures, and farm residues. The study largely focused on application of AD with nutrient recovery technology in the form of struvite precipitation and ammonia stripping, recovering 50% nitrogen (N) and 66% phosphorus (P) from digestate. The study highlighted the feasibility of AD to meet 11–44% of the synthetic fertilizer demand, depending on the scope of implementation. Issues of high moisture content in digestate, need for sophisticated separation technologies, and economic viability were highlighted. The study highlighted that policy-driven investment in AD infrastructure and human resource training are the most important factors for the upscaling of nutrient recovery in the developing and developed world.</w:t>
      </w:r>
    </w:p>
    <w:p w14:paraId="55274057" w14:textId="14225621" w:rsidR="00EA569C" w:rsidRPr="00310535" w:rsidRDefault="00EA569C" w:rsidP="00310535">
      <w:pPr>
        <w:pStyle w:val="ListParagraph"/>
        <w:numPr>
          <w:ilvl w:val="0"/>
          <w:numId w:val="12"/>
        </w:numPr>
        <w:spacing w:before="138" w:line="360" w:lineRule="auto"/>
        <w:ind w:left="720" w:right="346"/>
        <w:jc w:val="both"/>
        <w:rPr>
          <w:sz w:val="24"/>
          <w:szCs w:val="24"/>
          <w:highlight w:val="white"/>
        </w:rPr>
      </w:pPr>
      <w:r w:rsidRPr="00EA569C">
        <w:rPr>
          <w:b/>
          <w:sz w:val="24"/>
          <w:szCs w:val="24"/>
          <w:highlight w:val="white"/>
        </w:rPr>
        <w:t xml:space="preserve">Ojukwu and </w:t>
      </w:r>
      <w:proofErr w:type="spellStart"/>
      <w:r w:rsidRPr="00EA569C">
        <w:rPr>
          <w:b/>
          <w:sz w:val="24"/>
          <w:szCs w:val="24"/>
          <w:highlight w:val="white"/>
        </w:rPr>
        <w:t>Egbuchulam</w:t>
      </w:r>
      <w:proofErr w:type="spellEnd"/>
      <w:r w:rsidRPr="00EA569C">
        <w:rPr>
          <w:b/>
          <w:sz w:val="24"/>
          <w:szCs w:val="24"/>
          <w:highlight w:val="white"/>
        </w:rPr>
        <w:t xml:space="preserve"> (2020)</w:t>
      </w:r>
      <w:r w:rsidRPr="00EA569C">
        <w:rPr>
          <w:sz w:val="24"/>
          <w:szCs w:val="24"/>
          <w:highlight w:val="white"/>
        </w:rPr>
        <w:t xml:space="preserve"> examined composting cow rumen material, cow bone, and citrus peel into organic fertilizer. The study achieved a ratio of NPK 9-6-4 and weight efficiency of 19%. Convenience and low cost of composting were noted by the authors as making it appealing to small-scale farmers. Drying and grinding raw materials were also noted in the study as enhancing the concentration of nutrients and ease of handling. Since the process was successful, the authors noted some of the limitations, including the requirement of long drying periods and variability of the nutrient content with the feedstock composition. The study concluded that composting organic waste into fertilizer is a feasible way of sustainable agriculture and waste management.</w:t>
      </w:r>
    </w:p>
    <w:p w14:paraId="631A4922" w14:textId="24234D66" w:rsidR="00EA569C" w:rsidRPr="00310535" w:rsidRDefault="00EA569C" w:rsidP="00310535">
      <w:pPr>
        <w:pStyle w:val="ListParagraph"/>
        <w:numPr>
          <w:ilvl w:val="0"/>
          <w:numId w:val="12"/>
        </w:numPr>
        <w:spacing w:before="138" w:line="360" w:lineRule="auto"/>
        <w:ind w:left="720" w:right="346"/>
        <w:jc w:val="both"/>
        <w:rPr>
          <w:sz w:val="24"/>
          <w:szCs w:val="24"/>
          <w:highlight w:val="white"/>
        </w:rPr>
      </w:pPr>
      <w:proofErr w:type="spellStart"/>
      <w:r w:rsidRPr="00EA569C">
        <w:rPr>
          <w:b/>
          <w:sz w:val="24"/>
          <w:szCs w:val="24"/>
          <w:highlight w:val="white"/>
        </w:rPr>
        <w:t>Huzir</w:t>
      </w:r>
      <w:proofErr w:type="spellEnd"/>
      <w:r w:rsidRPr="00EA569C">
        <w:rPr>
          <w:b/>
          <w:sz w:val="24"/>
          <w:szCs w:val="24"/>
          <w:highlight w:val="white"/>
        </w:rPr>
        <w:t xml:space="preserve"> et al. (2023)</w:t>
      </w:r>
      <w:r w:rsidRPr="00EA569C">
        <w:rPr>
          <w:sz w:val="24"/>
          <w:szCs w:val="24"/>
          <w:highlight w:val="white"/>
        </w:rPr>
        <w:t xml:space="preserve"> evaluated the efficacy of subcritical water (SCW) treatment in efficiently converting </w:t>
      </w:r>
      <w:r w:rsidRPr="00EA569C">
        <w:rPr>
          <w:sz w:val="24"/>
          <w:szCs w:val="24"/>
          <w:highlight w:val="white"/>
        </w:rPr>
        <w:lastRenderedPageBreak/>
        <w:t>recalcitrant biomass, such as rice straw and chicken feathers, into organic fertilizer. The study demonstrated that SCW treatment at 200–225°C hydrolyzed organic waste into nutrient-rich products with NPK values of up to 5.13% within 7 days. The treatment also killed pathogens and produced solid fuel with a heating value of 17.64 MJ/kg. The scientists considered the prospects of SCW treatment for mixed organic waste but mentioned drawbacks such as high energy consumption and pH and electrical conductivity (EC) optimization requirements. The study concluded that SCW treatment is a promising technology for efficient and speedy waste-to-fertilizer conversion, particularly in regions of high agricultural waste generation.</w:t>
      </w:r>
    </w:p>
    <w:p w14:paraId="4C6BBDAD" w14:textId="5AFAB5A3" w:rsidR="00EA569C" w:rsidRPr="00310535" w:rsidRDefault="00EA569C" w:rsidP="00310535">
      <w:pPr>
        <w:pStyle w:val="ListParagraph"/>
        <w:numPr>
          <w:ilvl w:val="0"/>
          <w:numId w:val="12"/>
        </w:numPr>
        <w:spacing w:before="138" w:line="360" w:lineRule="auto"/>
        <w:ind w:left="720" w:right="346"/>
        <w:jc w:val="both"/>
        <w:rPr>
          <w:sz w:val="24"/>
          <w:szCs w:val="24"/>
          <w:highlight w:val="white"/>
        </w:rPr>
      </w:pPr>
      <w:r w:rsidRPr="00EA569C">
        <w:rPr>
          <w:b/>
          <w:sz w:val="24"/>
          <w:szCs w:val="24"/>
          <w:highlight w:val="white"/>
        </w:rPr>
        <w:t xml:space="preserve">Azeem </w:t>
      </w:r>
      <w:proofErr w:type="spellStart"/>
      <w:r w:rsidRPr="00EA569C">
        <w:rPr>
          <w:b/>
          <w:sz w:val="24"/>
          <w:szCs w:val="24"/>
          <w:highlight w:val="white"/>
        </w:rPr>
        <w:t>Umisa</w:t>
      </w:r>
      <w:proofErr w:type="spellEnd"/>
      <w:r w:rsidRPr="00EA569C">
        <w:rPr>
          <w:b/>
          <w:sz w:val="24"/>
          <w:szCs w:val="24"/>
          <w:highlight w:val="white"/>
        </w:rPr>
        <w:t xml:space="preserve"> (2015)</w:t>
      </w:r>
      <w:r w:rsidRPr="00EA569C">
        <w:rPr>
          <w:sz w:val="24"/>
          <w:szCs w:val="24"/>
          <w:highlight w:val="white"/>
        </w:rPr>
        <w:t xml:space="preserve"> investigated the anaerobic digestion process utilized for the conversion of restaurant and hotel food waste to liquid fertilizer facilitated by the introduction of molasses. The analysis of the nutrient content of the produced liquid fertilizer had NPK values of 1.15% nitrogen, 0.308% phosphorus, and 0.77% potassium, as well as the yield of a nutrient-dense pulp by-product. Phytotoxicity tests conducted with mustard seeds confirmed the fertilizer safety at a 0.1% dilution concentration. The research underscored the ease of the process and its cost-effectiveness, rendering it viable for urban regions with high food waste generation rates. It, however, pointed out some drawbacks, including odor control and access to molasses. The results showed that liquid fertilizer production from food waste is a sustainable waste management practice that, at the same time, enhances agricultural productivity.</w:t>
      </w:r>
    </w:p>
    <w:p w14:paraId="4662EB64" w14:textId="1965AC5E" w:rsidR="00EA569C" w:rsidRPr="00BA5F35" w:rsidRDefault="00EA569C" w:rsidP="00BA5F35">
      <w:pPr>
        <w:pStyle w:val="ListParagraph"/>
        <w:numPr>
          <w:ilvl w:val="0"/>
          <w:numId w:val="12"/>
        </w:numPr>
        <w:spacing w:before="138" w:line="360" w:lineRule="auto"/>
        <w:ind w:left="720" w:right="346"/>
        <w:jc w:val="both"/>
        <w:rPr>
          <w:sz w:val="24"/>
          <w:szCs w:val="24"/>
          <w:highlight w:val="white"/>
        </w:rPr>
      </w:pPr>
      <w:r w:rsidRPr="00EA569C">
        <w:rPr>
          <w:b/>
          <w:sz w:val="24"/>
          <w:szCs w:val="24"/>
          <w:highlight w:val="white"/>
        </w:rPr>
        <w:t>Arachchige et al. (2020)</w:t>
      </w:r>
      <w:r w:rsidRPr="00EA569C">
        <w:rPr>
          <w:sz w:val="24"/>
          <w:szCs w:val="24"/>
          <w:highlight w:val="white"/>
        </w:rPr>
        <w:t xml:space="preserve"> prepared an integrated organic fertilizer and pesticide (</w:t>
      </w:r>
      <w:proofErr w:type="spellStart"/>
      <w:r w:rsidRPr="00EA569C">
        <w:rPr>
          <w:sz w:val="24"/>
          <w:szCs w:val="24"/>
          <w:highlight w:val="white"/>
        </w:rPr>
        <w:t>fertipest</w:t>
      </w:r>
      <w:proofErr w:type="spellEnd"/>
      <w:r w:rsidRPr="00EA569C">
        <w:rPr>
          <w:sz w:val="24"/>
          <w:szCs w:val="24"/>
          <w:highlight w:val="white"/>
        </w:rPr>
        <w:t xml:space="preserve">) based on neem leaves, cow bone, citrus peel, banana peel, and eggshells. The </w:t>
      </w:r>
      <w:proofErr w:type="spellStart"/>
      <w:r w:rsidRPr="00EA569C">
        <w:rPr>
          <w:sz w:val="24"/>
          <w:szCs w:val="24"/>
          <w:highlight w:val="white"/>
        </w:rPr>
        <w:t>fertipest</w:t>
      </w:r>
      <w:proofErr w:type="spellEnd"/>
      <w:r w:rsidRPr="00EA569C">
        <w:rPr>
          <w:sz w:val="24"/>
          <w:szCs w:val="24"/>
          <w:highlight w:val="white"/>
        </w:rPr>
        <w:t xml:space="preserve"> was repellent to pests since it had neem, which is azadirachtin-rich. The study emphasized the dual benefit of nutrient supply and biocontrol, reducing the application of chemical fertilizers and pesticides. The authors did note, however, the need for standardized NPK ratio and further research on the long-term impact of </w:t>
      </w:r>
      <w:proofErr w:type="spellStart"/>
      <w:r w:rsidRPr="00EA569C">
        <w:rPr>
          <w:sz w:val="24"/>
          <w:szCs w:val="24"/>
          <w:highlight w:val="white"/>
        </w:rPr>
        <w:t>fertipest</w:t>
      </w:r>
      <w:proofErr w:type="spellEnd"/>
      <w:r w:rsidRPr="00EA569C">
        <w:rPr>
          <w:sz w:val="24"/>
          <w:szCs w:val="24"/>
          <w:highlight w:val="white"/>
        </w:rPr>
        <w:t xml:space="preserve"> on soil health. The study concluded that </w:t>
      </w:r>
      <w:proofErr w:type="spellStart"/>
      <w:r w:rsidRPr="00EA569C">
        <w:rPr>
          <w:sz w:val="24"/>
          <w:szCs w:val="24"/>
          <w:highlight w:val="white"/>
        </w:rPr>
        <w:t>fertipest</w:t>
      </w:r>
      <w:proofErr w:type="spellEnd"/>
      <w:r w:rsidRPr="00EA569C">
        <w:rPr>
          <w:sz w:val="24"/>
          <w:szCs w:val="24"/>
          <w:highlight w:val="white"/>
        </w:rPr>
        <w:t xml:space="preserve"> is an affordable and environmentally friendly alternative to organic farming.</w:t>
      </w:r>
    </w:p>
    <w:p w14:paraId="354BADBC" w14:textId="09F73CE6" w:rsidR="00EA569C" w:rsidRDefault="00EA569C" w:rsidP="00310535">
      <w:pPr>
        <w:pStyle w:val="ListParagraph"/>
        <w:numPr>
          <w:ilvl w:val="0"/>
          <w:numId w:val="12"/>
        </w:numPr>
        <w:spacing w:before="138" w:line="360" w:lineRule="auto"/>
        <w:ind w:left="720" w:right="346"/>
        <w:jc w:val="both"/>
        <w:rPr>
          <w:sz w:val="24"/>
          <w:szCs w:val="24"/>
        </w:rPr>
      </w:pPr>
      <w:r w:rsidRPr="00EA569C">
        <w:rPr>
          <w:b/>
          <w:sz w:val="24"/>
          <w:szCs w:val="24"/>
        </w:rPr>
        <w:t>Londhe and Bhosale (2015)</w:t>
      </w:r>
      <w:r w:rsidRPr="00EA569C">
        <w:rPr>
          <w:sz w:val="24"/>
          <w:szCs w:val="24"/>
        </w:rPr>
        <w:t xml:space="preserve"> researched vermicomposting with Eisenia </w:t>
      </w:r>
      <w:proofErr w:type="spellStart"/>
      <w:r w:rsidRPr="00EA569C">
        <w:rPr>
          <w:sz w:val="24"/>
          <w:szCs w:val="24"/>
        </w:rPr>
        <w:t>fetida</w:t>
      </w:r>
      <w:proofErr w:type="spellEnd"/>
      <w:r w:rsidRPr="00EA569C">
        <w:rPr>
          <w:sz w:val="24"/>
          <w:szCs w:val="24"/>
        </w:rPr>
        <w:t xml:space="preserve"> for organic waste (vegetable, fruit, and agricultural residues) conversion into nutrient-rich compost. High C/N ratio reduction (23.5-9.5) and NPK content improvement were observed in the experiment within 45 days. The authors noted the low energy requirement and environmental benefits of vermicomposting, such as enhanced soil structure and reduced landfill dependency. Temperature sensitivity and the need for large space were, however, noted as the drawbacks. The research concluded that vermicomposting is an efficient and low-cost organic waste management process, particularly in decentralized systems.</w:t>
      </w:r>
    </w:p>
    <w:p w14:paraId="1D14AA9B" w14:textId="77777777" w:rsidR="00BA5F35" w:rsidRDefault="00BA5F35" w:rsidP="00BA5F35">
      <w:pPr>
        <w:spacing w:before="138" w:line="360" w:lineRule="auto"/>
        <w:ind w:right="346"/>
        <w:jc w:val="both"/>
        <w:rPr>
          <w:sz w:val="24"/>
          <w:szCs w:val="24"/>
        </w:rPr>
      </w:pPr>
    </w:p>
    <w:p w14:paraId="4E6C3BBD" w14:textId="77777777" w:rsidR="00BA5F35" w:rsidRDefault="00BA5F35" w:rsidP="00BA5F35">
      <w:pPr>
        <w:spacing w:before="138" w:line="360" w:lineRule="auto"/>
        <w:ind w:right="346"/>
        <w:jc w:val="both"/>
        <w:rPr>
          <w:sz w:val="24"/>
          <w:szCs w:val="24"/>
        </w:rPr>
      </w:pPr>
    </w:p>
    <w:p w14:paraId="14DE7268" w14:textId="77777777" w:rsidR="00BA5F35" w:rsidRPr="00BA5F35" w:rsidRDefault="00BA5F35" w:rsidP="00BA5F35">
      <w:pPr>
        <w:spacing w:before="138" w:line="360" w:lineRule="auto"/>
        <w:ind w:right="346"/>
        <w:jc w:val="both"/>
        <w:rPr>
          <w:sz w:val="24"/>
          <w:szCs w:val="24"/>
        </w:rPr>
      </w:pPr>
    </w:p>
    <w:p w14:paraId="5906FEA3" w14:textId="136F4E69" w:rsidR="00EA569C" w:rsidRPr="00310535" w:rsidRDefault="00EA569C" w:rsidP="00310535">
      <w:pPr>
        <w:pStyle w:val="ListParagraph"/>
        <w:numPr>
          <w:ilvl w:val="0"/>
          <w:numId w:val="12"/>
        </w:numPr>
        <w:spacing w:before="138" w:line="360" w:lineRule="auto"/>
        <w:ind w:left="720" w:right="346"/>
        <w:jc w:val="both"/>
        <w:rPr>
          <w:sz w:val="24"/>
          <w:szCs w:val="24"/>
        </w:rPr>
      </w:pPr>
      <w:proofErr w:type="spellStart"/>
      <w:r w:rsidRPr="00EA569C">
        <w:rPr>
          <w:b/>
          <w:sz w:val="24"/>
          <w:szCs w:val="24"/>
        </w:rPr>
        <w:t>Prawisudha</w:t>
      </w:r>
      <w:proofErr w:type="spellEnd"/>
      <w:r w:rsidRPr="00EA569C">
        <w:rPr>
          <w:b/>
          <w:sz w:val="24"/>
          <w:szCs w:val="24"/>
        </w:rPr>
        <w:t xml:space="preserve"> et al. (2018)</w:t>
      </w:r>
      <w:r w:rsidRPr="00EA569C">
        <w:rPr>
          <w:sz w:val="24"/>
          <w:szCs w:val="24"/>
        </w:rPr>
        <w:t xml:space="preserve"> explored the feasibility of wet torrefaction for the treatment of organic waste to produce solid fuel and liquid fertilizer. The experiment proved that through the treatment of organic waste—banana stems and cabbage—at certain temperature and pressure conditions, it was feasible to increase the calorific value of the solid product and the NPK value of the liquid product. The two-in-one scenario is a cost-effective organic waste valorization method, wherein waste is not only reduced but also transformed into useful products. The results validate the feasibility of employing wet torrefaction as a technology on a large scale for green waste management and solving the issues of soil nutrient depletion.</w:t>
      </w:r>
    </w:p>
    <w:p w14:paraId="1412ADA5" w14:textId="570281AC" w:rsidR="00EA569C" w:rsidRPr="00310535" w:rsidRDefault="00EA569C" w:rsidP="00310535">
      <w:pPr>
        <w:pStyle w:val="ListParagraph"/>
        <w:numPr>
          <w:ilvl w:val="0"/>
          <w:numId w:val="12"/>
        </w:numPr>
        <w:spacing w:before="138" w:line="360" w:lineRule="auto"/>
        <w:ind w:left="720" w:right="346"/>
        <w:jc w:val="both"/>
        <w:rPr>
          <w:sz w:val="24"/>
          <w:szCs w:val="24"/>
        </w:rPr>
      </w:pPr>
      <w:proofErr w:type="spellStart"/>
      <w:r w:rsidRPr="00EA569C">
        <w:rPr>
          <w:b/>
          <w:sz w:val="24"/>
          <w:szCs w:val="24"/>
        </w:rPr>
        <w:t>Mulyani</w:t>
      </w:r>
      <w:proofErr w:type="spellEnd"/>
      <w:r w:rsidRPr="00EA569C">
        <w:rPr>
          <w:b/>
          <w:sz w:val="24"/>
          <w:szCs w:val="24"/>
        </w:rPr>
        <w:t xml:space="preserve"> et al. (2019)</w:t>
      </w:r>
      <w:r w:rsidRPr="00EA569C">
        <w:rPr>
          <w:sz w:val="24"/>
          <w:szCs w:val="24"/>
        </w:rPr>
        <w:t xml:space="preserve"> conducted research into the suitability and availability of domestic organic waste in </w:t>
      </w:r>
      <w:proofErr w:type="spellStart"/>
      <w:r w:rsidRPr="00EA569C">
        <w:rPr>
          <w:sz w:val="24"/>
          <w:szCs w:val="24"/>
        </w:rPr>
        <w:t>Jatinangor</w:t>
      </w:r>
      <w:proofErr w:type="spellEnd"/>
      <w:r w:rsidRPr="00EA569C">
        <w:rPr>
          <w:sz w:val="24"/>
          <w:szCs w:val="24"/>
        </w:rPr>
        <w:t>, Indonesia, for use as organic fertilizer raw material. The research pointed out that, while agricultural waste and animal waste in the region are abundant, no waste management system exists to properly harness the resource. From the research, it became apparent that well-composted livestock manure would be a good source of macro- and micronutrients and low heavy metal contamination. The study contributes to the development of local organic fertilizer production models that are consistent with sustainable waste management practices and which guarantee soil fertility enhancement.</w:t>
      </w:r>
    </w:p>
    <w:p w14:paraId="28D85F6B" w14:textId="2D4C6C8E" w:rsidR="00EA569C" w:rsidRPr="00310535" w:rsidRDefault="00EA569C" w:rsidP="00310535">
      <w:pPr>
        <w:pStyle w:val="ListParagraph"/>
        <w:numPr>
          <w:ilvl w:val="0"/>
          <w:numId w:val="12"/>
        </w:numPr>
        <w:spacing w:before="138" w:line="360" w:lineRule="auto"/>
        <w:ind w:left="720" w:right="346"/>
        <w:jc w:val="both"/>
        <w:rPr>
          <w:sz w:val="24"/>
          <w:szCs w:val="24"/>
        </w:rPr>
      </w:pPr>
      <w:proofErr w:type="spellStart"/>
      <w:r w:rsidRPr="00EA569C">
        <w:rPr>
          <w:b/>
          <w:sz w:val="24"/>
          <w:szCs w:val="24"/>
        </w:rPr>
        <w:t>Sudharmaidevi</w:t>
      </w:r>
      <w:proofErr w:type="spellEnd"/>
      <w:r w:rsidRPr="00EA569C">
        <w:rPr>
          <w:b/>
          <w:sz w:val="24"/>
          <w:szCs w:val="24"/>
        </w:rPr>
        <w:t xml:space="preserve"> et al. (2016)</w:t>
      </w:r>
      <w:r w:rsidRPr="00EA569C">
        <w:rPr>
          <w:sz w:val="24"/>
          <w:szCs w:val="24"/>
        </w:rPr>
        <w:t xml:space="preserve"> studied the application of thermochemical processing as a rapid process for converting organic waste to organic fertilizer. In the research, it was demonstrated that by applying acid and alkali treatment at controlled temperature, organic waste was transformed to a nutrient-rich fertilizer in hours instead of weeks. The process was a perfect alternative to the traditional composting because it reduced processing time significantly while providing the same nutrient quality. The research also established the environmental benefit of the process, such as the avoidance of leachate formation and increased sanitization of the waste. The research is extremely useful in cities where technologies for rapid waste conversion and disposal are required.</w:t>
      </w:r>
    </w:p>
    <w:p w14:paraId="24503611" w14:textId="3C28C0C6" w:rsidR="00BA5F35" w:rsidRDefault="00EA569C" w:rsidP="00BA5F35">
      <w:pPr>
        <w:pStyle w:val="ListParagraph"/>
        <w:numPr>
          <w:ilvl w:val="0"/>
          <w:numId w:val="12"/>
        </w:numPr>
        <w:spacing w:before="138" w:line="360" w:lineRule="auto"/>
        <w:ind w:left="720" w:right="346"/>
        <w:jc w:val="both"/>
        <w:rPr>
          <w:sz w:val="24"/>
          <w:szCs w:val="24"/>
        </w:rPr>
      </w:pPr>
      <w:r w:rsidRPr="00EA569C">
        <w:rPr>
          <w:b/>
          <w:sz w:val="24"/>
          <w:szCs w:val="24"/>
        </w:rPr>
        <w:t>Chew et al. (2019)</w:t>
      </w:r>
      <w:r w:rsidRPr="00EA569C">
        <w:rPr>
          <w:sz w:val="24"/>
          <w:szCs w:val="24"/>
        </w:rPr>
        <w:t xml:space="preserve"> presented a step-by-step guide of the process of preparing organic fertilizers from waste biomass. They discussed five different sources such as animal manure, sewage sludge, municipal solid waste, and food waste. They described how organic fertilizers may improve the health of soil and minimize the use of chemical fertilizers, which deplete the soil and contaminate water. The research also considered different composting processes such as vermicomposting and biochar-enhanced composting to enhance nutrient retention and availability. The research indicates that sustainable waste management can utilize multiple waste sources to produce high-quality organic fertilizers and minimize environmental degradation.</w:t>
      </w:r>
    </w:p>
    <w:p w14:paraId="601B537E" w14:textId="77777777" w:rsidR="00BA5F35" w:rsidRDefault="00BA5F35" w:rsidP="00BA5F35">
      <w:pPr>
        <w:spacing w:before="138" w:line="360" w:lineRule="auto"/>
        <w:ind w:right="346"/>
        <w:jc w:val="both"/>
        <w:rPr>
          <w:sz w:val="24"/>
          <w:szCs w:val="24"/>
        </w:rPr>
      </w:pPr>
    </w:p>
    <w:p w14:paraId="3AB54C5F" w14:textId="77777777" w:rsidR="00BA5F35" w:rsidRPr="00BA5F35" w:rsidRDefault="00BA5F35" w:rsidP="00BA5F35">
      <w:pPr>
        <w:spacing w:before="138" w:line="360" w:lineRule="auto"/>
        <w:ind w:right="346"/>
        <w:jc w:val="both"/>
        <w:rPr>
          <w:sz w:val="24"/>
          <w:szCs w:val="24"/>
        </w:rPr>
      </w:pPr>
    </w:p>
    <w:p w14:paraId="21D8452E" w14:textId="70269A2B" w:rsidR="00454290" w:rsidRPr="00E4504B" w:rsidRDefault="00FB21A9" w:rsidP="00310535">
      <w:pPr>
        <w:pStyle w:val="BodyText"/>
        <w:spacing w:before="138" w:line="360" w:lineRule="auto"/>
        <w:ind w:left="360" w:right="346" w:firstLine="360"/>
        <w:rPr>
          <w:b/>
          <w:bCs/>
        </w:rPr>
      </w:pPr>
      <w:r w:rsidRPr="00E4504B">
        <w:rPr>
          <w:b/>
          <w:bCs/>
          <w:spacing w:val="-2"/>
        </w:rPr>
        <w:t>RESEARCH METHODS:</w:t>
      </w:r>
    </w:p>
    <w:p w14:paraId="57AA2BD7" w14:textId="77777777" w:rsidR="00EA569C" w:rsidRPr="00EA569C" w:rsidRDefault="00EA569C" w:rsidP="00310535">
      <w:pPr>
        <w:pStyle w:val="Heading2"/>
        <w:pBdr>
          <w:top w:val="none" w:sz="0" w:space="0" w:color="E5E7EB"/>
          <w:left w:val="none" w:sz="0" w:space="0" w:color="E5E7EB"/>
          <w:bottom w:val="none" w:sz="0" w:space="0" w:color="E5E7EB"/>
          <w:right w:val="none" w:sz="0" w:space="0" w:color="E5E7EB"/>
          <w:between w:val="none" w:sz="0" w:space="0" w:color="E5E7EB"/>
        </w:pBdr>
        <w:spacing w:before="138" w:line="360" w:lineRule="auto"/>
        <w:ind w:right="346"/>
        <w:rPr>
          <w:b w:val="0"/>
          <w:bCs w:val="0"/>
        </w:rPr>
      </w:pPr>
      <w:r w:rsidRPr="00EA569C">
        <w:rPr>
          <w:b w:val="0"/>
          <w:bCs w:val="0"/>
        </w:rPr>
        <w:t>This study employs secondary data analysis to explore the feasibility, efficiency, and challenges associated with converting wet waste into fertilizer. Secondary data, which refers to previously collected data from various sources, was utilized to examine the technological processes, economic implications, environmental benefits, and policy frameworks related to wet waste conversion.</w:t>
      </w:r>
    </w:p>
    <w:p w14:paraId="35AD8E62" w14:textId="77777777" w:rsidR="00EA569C" w:rsidRPr="00EA569C" w:rsidRDefault="00EA569C" w:rsidP="00310535">
      <w:pPr>
        <w:pStyle w:val="Heading2"/>
        <w:pBdr>
          <w:top w:val="none" w:sz="0" w:space="0" w:color="E5E7EB"/>
          <w:left w:val="none" w:sz="0" w:space="0" w:color="E5E7EB"/>
          <w:bottom w:val="none" w:sz="0" w:space="0" w:color="E5E7EB"/>
          <w:right w:val="none" w:sz="0" w:space="0" w:color="E5E7EB"/>
          <w:between w:val="none" w:sz="0" w:space="0" w:color="E5E7EB"/>
        </w:pBdr>
        <w:spacing w:before="138" w:line="360" w:lineRule="auto"/>
        <w:ind w:right="346"/>
        <w:rPr>
          <w:b w:val="0"/>
          <w:bCs w:val="0"/>
        </w:rPr>
      </w:pPr>
      <w:r w:rsidRPr="00EA569C">
        <w:rPr>
          <w:b w:val="0"/>
          <w:bCs w:val="0"/>
        </w:rPr>
        <w:t>The research methodology involves collecting, categorizing, and analyzing relevant data from peer-reviewed academic journals, government publications, case studies, and industry reports. The goal of this study is to identify the most effective technologies for converting wet waste into fertilizer, assess their economic viability, measure their environmental impact, and explore policy measures that could facilitate their adoption.</w:t>
      </w:r>
    </w:p>
    <w:p w14:paraId="5E3C0451" w14:textId="77777777" w:rsidR="00EA569C" w:rsidRPr="008C1786" w:rsidRDefault="00EA569C" w:rsidP="00310535">
      <w:pPr>
        <w:spacing w:before="138" w:line="360" w:lineRule="auto"/>
        <w:ind w:left="360" w:right="346"/>
        <w:rPr>
          <w:sz w:val="24"/>
          <w:szCs w:val="24"/>
        </w:rPr>
      </w:pPr>
      <w:r w:rsidRPr="00393BC7">
        <w:rPr>
          <w:sz w:val="24"/>
          <w:szCs w:val="24"/>
        </w:rPr>
        <w:t>In addition to secondary data analysis, this study incorporates </w:t>
      </w:r>
      <w:r w:rsidRPr="00393BC7">
        <w:rPr>
          <w:b/>
          <w:bCs/>
          <w:sz w:val="24"/>
          <w:szCs w:val="24"/>
        </w:rPr>
        <w:t>primary data analysis</w:t>
      </w:r>
      <w:r w:rsidRPr="00393BC7">
        <w:rPr>
          <w:sz w:val="24"/>
          <w:szCs w:val="24"/>
        </w:rPr>
        <w:t> to gain firsthand insights into public interest, perceptions, and potential market demand for wet waste fertilizers. A structured survey was conducted to collect responses from individuals across various demographics. This section outlines the methodology employed for primary data collection, analysis, and interpretation.</w:t>
      </w:r>
    </w:p>
    <w:p w14:paraId="70FCED2C" w14:textId="77777777" w:rsidR="00EA569C" w:rsidRPr="00393BC7" w:rsidRDefault="00EA569C" w:rsidP="00310535">
      <w:pPr>
        <w:spacing w:before="138" w:line="360" w:lineRule="auto"/>
        <w:ind w:left="360" w:right="346"/>
        <w:rPr>
          <w:sz w:val="24"/>
          <w:szCs w:val="24"/>
        </w:rPr>
      </w:pPr>
    </w:p>
    <w:p w14:paraId="119DB1D4" w14:textId="3FFFD474" w:rsidR="00454290" w:rsidRPr="00E4504B" w:rsidRDefault="007E1703" w:rsidP="00310535">
      <w:pPr>
        <w:tabs>
          <w:tab w:val="left" w:pos="1801"/>
        </w:tabs>
        <w:spacing w:before="138" w:line="357" w:lineRule="auto"/>
        <w:ind w:left="360" w:right="346"/>
        <w:jc w:val="both"/>
        <w:rPr>
          <w:b/>
          <w:sz w:val="24"/>
          <w:szCs w:val="24"/>
        </w:rPr>
      </w:pPr>
      <w:r>
        <w:rPr>
          <w:b/>
          <w:bCs/>
          <w:sz w:val="24"/>
          <w:szCs w:val="24"/>
        </w:rPr>
        <w:t xml:space="preserve">   </w:t>
      </w:r>
      <w:r w:rsidR="00FB21A9" w:rsidRPr="003F505D">
        <w:rPr>
          <w:b/>
          <w:bCs/>
          <w:sz w:val="24"/>
          <w:szCs w:val="24"/>
        </w:rPr>
        <w:t>DATA</w:t>
      </w:r>
      <w:r w:rsidR="00FB21A9" w:rsidRPr="003F505D">
        <w:rPr>
          <w:b/>
          <w:bCs/>
          <w:spacing w:val="-3"/>
          <w:sz w:val="24"/>
          <w:szCs w:val="24"/>
        </w:rPr>
        <w:t xml:space="preserve"> </w:t>
      </w:r>
      <w:r w:rsidR="00FB21A9" w:rsidRPr="003F505D">
        <w:rPr>
          <w:b/>
          <w:bCs/>
          <w:sz w:val="24"/>
          <w:szCs w:val="24"/>
        </w:rPr>
        <w:t>FINDINGS</w:t>
      </w:r>
      <w:r w:rsidR="00FB21A9" w:rsidRPr="003F505D">
        <w:rPr>
          <w:b/>
          <w:bCs/>
          <w:spacing w:val="-1"/>
          <w:sz w:val="24"/>
          <w:szCs w:val="24"/>
        </w:rPr>
        <w:t xml:space="preserve"> </w:t>
      </w:r>
      <w:r w:rsidR="00FB21A9" w:rsidRPr="003F505D">
        <w:rPr>
          <w:b/>
          <w:bCs/>
          <w:sz w:val="24"/>
          <w:szCs w:val="24"/>
        </w:rPr>
        <w:t>AND</w:t>
      </w:r>
      <w:r w:rsidR="00FB21A9" w:rsidRPr="003F505D">
        <w:rPr>
          <w:b/>
          <w:bCs/>
          <w:spacing w:val="-2"/>
          <w:sz w:val="24"/>
          <w:szCs w:val="24"/>
        </w:rPr>
        <w:t xml:space="preserve"> REFERENCES:</w:t>
      </w:r>
    </w:p>
    <w:p w14:paraId="113F4A70" w14:textId="6F3107BB" w:rsidR="00454290" w:rsidRPr="00EA569C" w:rsidRDefault="00FB21A9" w:rsidP="00310535">
      <w:pPr>
        <w:pStyle w:val="BodyText"/>
        <w:spacing w:before="138"/>
        <w:ind w:left="360" w:right="346"/>
        <w:rPr>
          <w:b/>
          <w:bCs/>
        </w:rPr>
      </w:pPr>
      <w:r w:rsidRPr="00E4504B">
        <w:rPr>
          <w:noProof/>
        </w:rPr>
        <mc:AlternateContent>
          <mc:Choice Requires="wps">
            <w:drawing>
              <wp:anchor distT="0" distB="0" distL="0" distR="0" simplePos="0" relativeHeight="487591424" behindDoc="1" locked="0" layoutInCell="1" allowOverlap="1" wp14:anchorId="6DFB2846" wp14:editId="47C6260D">
                <wp:simplePos x="0" y="0"/>
                <wp:positionH relativeFrom="page">
                  <wp:posOffset>439216</wp:posOffset>
                </wp:positionH>
                <wp:positionV relativeFrom="paragraph">
                  <wp:posOffset>104132</wp:posOffset>
                </wp:positionV>
                <wp:extent cx="6897370" cy="9525"/>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7370" cy="9525"/>
                        </a:xfrm>
                        <a:custGeom>
                          <a:avLst/>
                          <a:gdLst/>
                          <a:ahLst/>
                          <a:cxnLst/>
                          <a:rect l="l" t="t" r="r" b="b"/>
                          <a:pathLst>
                            <a:path w="6897370" h="9525">
                              <a:moveTo>
                                <a:pt x="6896988" y="0"/>
                              </a:moveTo>
                              <a:lnTo>
                                <a:pt x="0" y="0"/>
                              </a:lnTo>
                              <a:lnTo>
                                <a:pt x="0" y="9143"/>
                              </a:lnTo>
                              <a:lnTo>
                                <a:pt x="6896988" y="9143"/>
                              </a:lnTo>
                              <a:lnTo>
                                <a:pt x="68969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EF6CA9" id="Graphic 21" o:spid="_x0000_s1026" style="position:absolute;margin-left:34.6pt;margin-top:8.2pt;width:543.1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68973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" path="m6896988,l,,,9143r6896988,l6896988,xe" fillcolor="black" stroked="f">
                <v:path arrowok="t"/>
                <w10:wrap type="topAndBottom" anchorx="page"/>
              </v:shape>
            </w:pict>
          </mc:Fallback>
        </mc:AlternateContent>
      </w:r>
      <w:r w:rsidR="00AA6B05" w:rsidRPr="00E4504B">
        <w:t xml:space="preserve">   </w:t>
      </w:r>
      <w:r w:rsidR="00FB3C89" w:rsidRPr="00E4504B">
        <w:t xml:space="preserve"> </w:t>
      </w:r>
      <w:r w:rsidRPr="00EA569C">
        <w:rPr>
          <w:b/>
          <w:bCs/>
        </w:rPr>
        <w:t xml:space="preserve">FIG 1: </w:t>
      </w:r>
      <w:r w:rsidR="00EA569C" w:rsidRPr="00EA569C">
        <w:rPr>
          <w:b/>
          <w:bCs/>
        </w:rPr>
        <w:t xml:space="preserve"> DISTRIBUTION OF OVERALL INTEREST IN WET WASTE FERTILIZER</w:t>
      </w:r>
    </w:p>
    <w:p w14:paraId="4B02AFFF" w14:textId="0B0B0E55" w:rsidR="00EA569C" w:rsidRPr="00E4504B" w:rsidRDefault="00EA569C" w:rsidP="00310535">
      <w:pPr>
        <w:pStyle w:val="BodyText"/>
        <w:spacing w:before="138"/>
        <w:ind w:left="360" w:right="346"/>
      </w:pPr>
      <w:r w:rsidRPr="008C1786">
        <w:rPr>
          <w:noProof/>
        </w:rPr>
        <w:drawing>
          <wp:anchor distT="0" distB="0" distL="114300" distR="114300" simplePos="0" relativeHeight="487595008" behindDoc="1" locked="0" layoutInCell="1" allowOverlap="1" wp14:anchorId="668121AB" wp14:editId="2213AEC9">
            <wp:simplePos x="0" y="0"/>
            <wp:positionH relativeFrom="column">
              <wp:posOffset>419100</wp:posOffset>
            </wp:positionH>
            <wp:positionV relativeFrom="paragraph">
              <wp:posOffset>93980</wp:posOffset>
            </wp:positionV>
            <wp:extent cx="6115050" cy="2533650"/>
            <wp:effectExtent l="0" t="0" r="0" b="0"/>
            <wp:wrapTight wrapText="bothSides">
              <wp:wrapPolygon edited="0">
                <wp:start x="0" y="0"/>
                <wp:lineTo x="0" y="21438"/>
                <wp:lineTo x="21533" y="21438"/>
                <wp:lineTo x="21533" y="0"/>
                <wp:lineTo x="0" y="0"/>
              </wp:wrapPolygon>
            </wp:wrapTight>
            <wp:docPr id="1699579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7783D" w14:textId="163504EF" w:rsidR="00454290" w:rsidRPr="00E4504B" w:rsidRDefault="00454290" w:rsidP="00310535">
      <w:pPr>
        <w:pStyle w:val="BodyText"/>
        <w:spacing w:before="138"/>
        <w:ind w:left="360" w:right="346"/>
      </w:pPr>
    </w:p>
    <w:p w14:paraId="7B420E14" w14:textId="5752E8E1" w:rsidR="00FB3C89" w:rsidRPr="00E4504B" w:rsidRDefault="00FB3C89" w:rsidP="00310535">
      <w:pPr>
        <w:spacing w:before="138"/>
        <w:ind w:left="360" w:right="346"/>
        <w:rPr>
          <w:b/>
          <w:sz w:val="24"/>
          <w:szCs w:val="24"/>
          <w:u w:val="single"/>
        </w:rPr>
      </w:pPr>
    </w:p>
    <w:p w14:paraId="4E517F06" w14:textId="24EAD134" w:rsidR="00FB3C89" w:rsidRPr="00E4504B" w:rsidRDefault="00FB3C89" w:rsidP="00310535">
      <w:pPr>
        <w:spacing w:before="138"/>
        <w:ind w:left="360" w:right="346"/>
        <w:rPr>
          <w:b/>
          <w:sz w:val="24"/>
          <w:szCs w:val="24"/>
          <w:u w:val="single"/>
        </w:rPr>
      </w:pPr>
    </w:p>
    <w:p w14:paraId="3C9D4F4B" w14:textId="77777777" w:rsidR="007E1703" w:rsidRDefault="007E1703" w:rsidP="00310535">
      <w:pPr>
        <w:spacing w:before="138"/>
        <w:ind w:left="360" w:right="346"/>
        <w:rPr>
          <w:b/>
          <w:sz w:val="24"/>
          <w:szCs w:val="24"/>
          <w:u w:val="single"/>
        </w:rPr>
      </w:pPr>
    </w:p>
    <w:p w14:paraId="302D9564" w14:textId="77777777" w:rsidR="007E1703" w:rsidRDefault="007E1703" w:rsidP="00310535">
      <w:pPr>
        <w:spacing w:before="138"/>
        <w:ind w:left="360" w:right="346"/>
        <w:rPr>
          <w:b/>
          <w:sz w:val="24"/>
          <w:szCs w:val="24"/>
          <w:u w:val="single"/>
        </w:rPr>
      </w:pPr>
    </w:p>
    <w:p w14:paraId="3BF87BB5" w14:textId="77777777" w:rsidR="007E1703" w:rsidRDefault="007E1703" w:rsidP="00310535">
      <w:pPr>
        <w:spacing w:before="138"/>
        <w:ind w:left="360" w:right="346"/>
        <w:rPr>
          <w:b/>
          <w:sz w:val="24"/>
          <w:szCs w:val="24"/>
          <w:u w:val="single"/>
        </w:rPr>
      </w:pPr>
    </w:p>
    <w:p w14:paraId="349AEB7F" w14:textId="77777777" w:rsidR="007E1703" w:rsidRDefault="007E1703" w:rsidP="00310535">
      <w:pPr>
        <w:spacing w:before="138"/>
        <w:ind w:left="360" w:right="346"/>
        <w:rPr>
          <w:b/>
          <w:sz w:val="24"/>
          <w:szCs w:val="24"/>
          <w:u w:val="single"/>
        </w:rPr>
      </w:pPr>
    </w:p>
    <w:p w14:paraId="322395F1" w14:textId="77777777" w:rsidR="007E1703" w:rsidRDefault="007E1703" w:rsidP="00310535">
      <w:pPr>
        <w:spacing w:before="138"/>
        <w:ind w:left="360" w:right="346"/>
        <w:rPr>
          <w:b/>
          <w:sz w:val="24"/>
          <w:szCs w:val="24"/>
          <w:u w:val="single"/>
        </w:rPr>
      </w:pPr>
    </w:p>
    <w:p w14:paraId="2545862F" w14:textId="77777777" w:rsidR="007E1703" w:rsidRDefault="007E1703" w:rsidP="008F46BC">
      <w:pPr>
        <w:spacing w:before="138"/>
        <w:ind w:right="346"/>
        <w:rPr>
          <w:b/>
          <w:sz w:val="24"/>
          <w:szCs w:val="24"/>
          <w:u w:val="single"/>
        </w:rPr>
      </w:pPr>
    </w:p>
    <w:p w14:paraId="536C95EC" w14:textId="462F726C" w:rsidR="00454290" w:rsidRPr="00E4504B" w:rsidRDefault="00FB21A9" w:rsidP="00310535">
      <w:pPr>
        <w:spacing w:before="138"/>
        <w:ind w:left="360" w:right="346"/>
        <w:rPr>
          <w:b/>
          <w:sz w:val="24"/>
          <w:szCs w:val="24"/>
        </w:rPr>
      </w:pPr>
      <w:r w:rsidRPr="00E4504B">
        <w:rPr>
          <w:b/>
          <w:sz w:val="24"/>
          <w:szCs w:val="24"/>
          <w:u w:val="single"/>
        </w:rPr>
        <w:t>Key</w:t>
      </w:r>
      <w:r w:rsidRPr="00E4504B">
        <w:rPr>
          <w:b/>
          <w:spacing w:val="6"/>
          <w:sz w:val="24"/>
          <w:szCs w:val="24"/>
          <w:u w:val="single"/>
        </w:rPr>
        <w:t xml:space="preserve"> </w:t>
      </w:r>
      <w:r w:rsidRPr="00E4504B">
        <w:rPr>
          <w:b/>
          <w:spacing w:val="-2"/>
          <w:sz w:val="24"/>
          <w:szCs w:val="24"/>
          <w:u w:val="single"/>
        </w:rPr>
        <w:t>Observations</w:t>
      </w:r>
    </w:p>
    <w:p w14:paraId="1267E28D" w14:textId="77777777" w:rsidR="00EA569C" w:rsidRPr="00393BC7" w:rsidRDefault="00EA569C" w:rsidP="00310535">
      <w:pPr>
        <w:spacing w:before="138" w:line="360" w:lineRule="auto"/>
        <w:ind w:left="360" w:right="346" w:firstLine="302"/>
        <w:rPr>
          <w:sz w:val="24"/>
          <w:szCs w:val="24"/>
        </w:rPr>
      </w:pPr>
      <w:r w:rsidRPr="00393BC7">
        <w:rPr>
          <w:sz w:val="24"/>
          <w:szCs w:val="24"/>
        </w:rPr>
        <w:t xml:space="preserve">The bar chart shows the distribution of respondents' interest in wet waste fertilizer, categorized into four levels </w:t>
      </w:r>
      <w:r w:rsidRPr="008C1786">
        <w:rPr>
          <w:sz w:val="24"/>
          <w:szCs w:val="24"/>
        </w:rPr>
        <w:t>(1</w:t>
      </w:r>
      <w:r w:rsidRPr="00393BC7">
        <w:rPr>
          <w:sz w:val="24"/>
          <w:szCs w:val="24"/>
        </w:rPr>
        <w:t xml:space="preserve"> = Very Interested, 2 = Interested, 3 = Neutral, </w:t>
      </w:r>
      <w:r w:rsidRPr="008C1786">
        <w:rPr>
          <w:sz w:val="24"/>
          <w:szCs w:val="24"/>
        </w:rPr>
        <w:t>0</w:t>
      </w:r>
      <w:r w:rsidRPr="00393BC7">
        <w:rPr>
          <w:sz w:val="24"/>
          <w:szCs w:val="24"/>
        </w:rPr>
        <w:t xml:space="preserve"> = Not Interested). The highest number of respondents </w:t>
      </w:r>
      <w:r w:rsidRPr="00393BC7">
        <w:rPr>
          <w:sz w:val="24"/>
          <w:szCs w:val="24"/>
        </w:rPr>
        <w:lastRenderedPageBreak/>
        <w:t>falls under "Very Interested," followed by "Interested," while fewer respondents are neutral or not interested.</w:t>
      </w:r>
    </w:p>
    <w:p w14:paraId="366AFBA9" w14:textId="77777777" w:rsidR="00EA569C" w:rsidRPr="00393BC7" w:rsidRDefault="00EA569C" w:rsidP="00310535">
      <w:pPr>
        <w:spacing w:before="138" w:line="360" w:lineRule="auto"/>
        <w:ind w:left="360" w:right="346" w:firstLine="360"/>
        <w:rPr>
          <w:sz w:val="24"/>
          <w:szCs w:val="24"/>
        </w:rPr>
      </w:pPr>
      <w:r w:rsidRPr="00393BC7">
        <w:rPr>
          <w:sz w:val="24"/>
          <w:szCs w:val="24"/>
        </w:rPr>
        <w:t>Analysis:</w:t>
      </w:r>
    </w:p>
    <w:p w14:paraId="41456453" w14:textId="77777777" w:rsidR="00EA569C" w:rsidRPr="00393BC7" w:rsidRDefault="00EA569C" w:rsidP="00310535">
      <w:pPr>
        <w:widowControl/>
        <w:numPr>
          <w:ilvl w:val="0"/>
          <w:numId w:val="17"/>
        </w:numPr>
        <w:autoSpaceDE/>
        <w:autoSpaceDN/>
        <w:spacing w:before="138" w:line="360" w:lineRule="auto"/>
        <w:ind w:left="720" w:right="346"/>
        <w:rPr>
          <w:sz w:val="24"/>
          <w:szCs w:val="24"/>
        </w:rPr>
      </w:pPr>
      <w:r w:rsidRPr="00393BC7">
        <w:rPr>
          <w:sz w:val="24"/>
          <w:szCs w:val="24"/>
        </w:rPr>
        <w:t>A significant proportion of the population (categories 1 and 2) demonstrates a strong interest in wet waste fertilizer. This indicates a potential market for organic fertilizers derived from wet waste.</w:t>
      </w:r>
    </w:p>
    <w:p w14:paraId="1E26AD81" w14:textId="77777777" w:rsidR="00EA569C" w:rsidRPr="00393BC7" w:rsidRDefault="00EA569C" w:rsidP="00310535">
      <w:pPr>
        <w:widowControl/>
        <w:numPr>
          <w:ilvl w:val="0"/>
          <w:numId w:val="17"/>
        </w:numPr>
        <w:autoSpaceDE/>
        <w:autoSpaceDN/>
        <w:spacing w:before="138" w:line="360" w:lineRule="auto"/>
        <w:ind w:left="720" w:right="346"/>
        <w:rPr>
          <w:sz w:val="24"/>
          <w:szCs w:val="24"/>
        </w:rPr>
      </w:pPr>
      <w:r w:rsidRPr="00393BC7">
        <w:rPr>
          <w:sz w:val="24"/>
          <w:szCs w:val="24"/>
        </w:rPr>
        <w:t>The smaller number of respondents in the "Neutral" and "Not Interested" categories suggests that targeted awareness campaigns could further increase interest among these groups.</w:t>
      </w:r>
    </w:p>
    <w:p w14:paraId="4CDAF02D" w14:textId="77777777" w:rsidR="00EA569C" w:rsidRPr="00393BC7" w:rsidRDefault="00EA569C" w:rsidP="00310535">
      <w:pPr>
        <w:widowControl/>
        <w:numPr>
          <w:ilvl w:val="0"/>
          <w:numId w:val="17"/>
        </w:numPr>
        <w:autoSpaceDE/>
        <w:autoSpaceDN/>
        <w:spacing w:before="138" w:line="360" w:lineRule="auto"/>
        <w:ind w:left="720" w:right="346"/>
        <w:rPr>
          <w:sz w:val="24"/>
          <w:szCs w:val="24"/>
        </w:rPr>
      </w:pPr>
      <w:r w:rsidRPr="00393BC7">
        <w:rPr>
          <w:sz w:val="24"/>
          <w:szCs w:val="24"/>
        </w:rPr>
        <w:t>This distribution supports the feasibility of your idea, as there is already a baseline level of interest among potential customers.</w:t>
      </w:r>
    </w:p>
    <w:p w14:paraId="08F973E3" w14:textId="5004F826" w:rsidR="00EA569C" w:rsidRPr="00EA569C" w:rsidRDefault="00FB21A9" w:rsidP="00310535">
      <w:pPr>
        <w:spacing w:before="138" w:line="360" w:lineRule="auto"/>
        <w:ind w:left="360" w:right="346" w:firstLine="360"/>
        <w:rPr>
          <w:b/>
          <w:bCs/>
          <w:sz w:val="24"/>
          <w:szCs w:val="24"/>
        </w:rPr>
      </w:pPr>
      <w:r w:rsidRPr="00EA569C">
        <w:rPr>
          <w:b/>
          <w:bCs/>
        </w:rPr>
        <w:t>FIG</w:t>
      </w:r>
      <w:r w:rsidRPr="00EA569C">
        <w:rPr>
          <w:b/>
          <w:bCs/>
          <w:spacing w:val="-8"/>
        </w:rPr>
        <w:t xml:space="preserve"> </w:t>
      </w:r>
      <w:r w:rsidRPr="00EA569C">
        <w:rPr>
          <w:b/>
          <w:bCs/>
        </w:rPr>
        <w:t>2:</w:t>
      </w:r>
      <w:r w:rsidRPr="00EA569C">
        <w:rPr>
          <w:b/>
          <w:bCs/>
          <w:spacing w:val="-12"/>
        </w:rPr>
        <w:t xml:space="preserve"> </w:t>
      </w:r>
      <w:r w:rsidR="00EA569C" w:rsidRPr="00EA569C">
        <w:rPr>
          <w:b/>
          <w:bCs/>
          <w:sz w:val="24"/>
          <w:szCs w:val="24"/>
        </w:rPr>
        <w:t>MEAN INTEREST LEVEL IN WET WASTE FERTILIZER BY AGE GROUP</w:t>
      </w:r>
    </w:p>
    <w:p w14:paraId="11477754" w14:textId="64DF883B" w:rsidR="00454290" w:rsidRPr="00E4504B" w:rsidRDefault="00454290" w:rsidP="00310535">
      <w:pPr>
        <w:pStyle w:val="Heading1"/>
        <w:spacing w:before="138" w:line="360" w:lineRule="auto"/>
        <w:ind w:right="346"/>
        <w:jc w:val="both"/>
      </w:pPr>
    </w:p>
    <w:p w14:paraId="7DB98B5B" w14:textId="56CD56DB" w:rsidR="00454290" w:rsidRPr="00E4504B" w:rsidRDefault="00EA569C" w:rsidP="00310535">
      <w:pPr>
        <w:pStyle w:val="BodyText"/>
        <w:spacing w:before="138"/>
        <w:ind w:left="360" w:right="346"/>
        <w:rPr>
          <w:b/>
        </w:rPr>
      </w:pPr>
      <w:r w:rsidRPr="008C1786">
        <w:rPr>
          <w:noProof/>
        </w:rPr>
        <w:drawing>
          <wp:inline distT="0" distB="0" distL="0" distR="0" wp14:anchorId="1E89FC22" wp14:editId="43A5CA6F">
            <wp:extent cx="6448425" cy="2476500"/>
            <wp:effectExtent l="0" t="0" r="9525" b="0"/>
            <wp:docPr id="21422384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8425" cy="2476500"/>
                    </a:xfrm>
                    <a:prstGeom prst="rect">
                      <a:avLst/>
                    </a:prstGeom>
                    <a:noFill/>
                    <a:ln>
                      <a:noFill/>
                    </a:ln>
                  </pic:spPr>
                </pic:pic>
              </a:graphicData>
            </a:graphic>
          </wp:inline>
        </w:drawing>
      </w:r>
    </w:p>
    <w:p w14:paraId="52242AF4" w14:textId="77777777" w:rsidR="00454290" w:rsidRPr="00E4504B" w:rsidRDefault="00454290" w:rsidP="00310535">
      <w:pPr>
        <w:pStyle w:val="BodyText"/>
        <w:spacing w:before="138"/>
        <w:ind w:left="360" w:right="346"/>
        <w:rPr>
          <w:b/>
        </w:rPr>
      </w:pPr>
    </w:p>
    <w:p w14:paraId="5090A716" w14:textId="77777777" w:rsidR="00454290" w:rsidRPr="00E4504B" w:rsidRDefault="00FB21A9" w:rsidP="00310535">
      <w:pPr>
        <w:spacing w:before="138"/>
        <w:ind w:left="360" w:right="346"/>
        <w:rPr>
          <w:b/>
          <w:sz w:val="24"/>
          <w:szCs w:val="24"/>
        </w:rPr>
      </w:pPr>
      <w:r w:rsidRPr="00E4504B">
        <w:rPr>
          <w:b/>
          <w:sz w:val="24"/>
          <w:szCs w:val="24"/>
          <w:u w:val="single"/>
        </w:rPr>
        <w:t>Key</w:t>
      </w:r>
      <w:r w:rsidRPr="00E4504B">
        <w:rPr>
          <w:b/>
          <w:spacing w:val="6"/>
          <w:sz w:val="24"/>
          <w:szCs w:val="24"/>
          <w:u w:val="single"/>
        </w:rPr>
        <w:t xml:space="preserve"> </w:t>
      </w:r>
      <w:r w:rsidRPr="00E4504B">
        <w:rPr>
          <w:b/>
          <w:spacing w:val="-2"/>
          <w:sz w:val="24"/>
          <w:szCs w:val="24"/>
          <w:u w:val="single"/>
        </w:rPr>
        <w:t>Inferences</w:t>
      </w:r>
      <w:r w:rsidRPr="00E4504B">
        <w:rPr>
          <w:b/>
          <w:spacing w:val="-2"/>
          <w:sz w:val="24"/>
          <w:szCs w:val="24"/>
        </w:rPr>
        <w:t>:</w:t>
      </w:r>
    </w:p>
    <w:p w14:paraId="17364099" w14:textId="77777777" w:rsidR="00EA569C" w:rsidRPr="00393BC7" w:rsidRDefault="00EA569C" w:rsidP="00310535">
      <w:pPr>
        <w:spacing w:before="138" w:line="360" w:lineRule="auto"/>
        <w:ind w:left="360" w:right="346"/>
        <w:rPr>
          <w:sz w:val="24"/>
          <w:szCs w:val="24"/>
        </w:rPr>
      </w:pPr>
      <w:r w:rsidRPr="00393BC7">
        <w:rPr>
          <w:sz w:val="24"/>
          <w:szCs w:val="24"/>
        </w:rPr>
        <w:t>The bar chart displays the mean interest levels across three age groups: 18–30, 31–45, and 46 and above. The highest mean interest level is observed in the "46 and above" group.</w:t>
      </w:r>
    </w:p>
    <w:p w14:paraId="1758E4A8" w14:textId="77777777" w:rsidR="00EA569C" w:rsidRPr="00393BC7" w:rsidRDefault="00EA569C" w:rsidP="00310535">
      <w:pPr>
        <w:spacing w:before="138" w:line="360" w:lineRule="auto"/>
        <w:ind w:left="360" w:right="346" w:firstLine="360"/>
        <w:rPr>
          <w:sz w:val="24"/>
          <w:szCs w:val="24"/>
        </w:rPr>
      </w:pPr>
      <w:r w:rsidRPr="00393BC7">
        <w:rPr>
          <w:sz w:val="24"/>
          <w:szCs w:val="24"/>
        </w:rPr>
        <w:t>Analysis:</w:t>
      </w:r>
    </w:p>
    <w:p w14:paraId="4848C7EA" w14:textId="77777777" w:rsidR="00EA569C" w:rsidRPr="00393BC7" w:rsidRDefault="00EA569C" w:rsidP="00310535">
      <w:pPr>
        <w:widowControl/>
        <w:numPr>
          <w:ilvl w:val="0"/>
          <w:numId w:val="18"/>
        </w:numPr>
        <w:autoSpaceDE/>
        <w:autoSpaceDN/>
        <w:spacing w:before="138" w:line="360" w:lineRule="auto"/>
        <w:ind w:right="346"/>
        <w:rPr>
          <w:sz w:val="24"/>
          <w:szCs w:val="24"/>
        </w:rPr>
      </w:pPr>
      <w:r w:rsidRPr="00393BC7">
        <w:rPr>
          <w:sz w:val="24"/>
          <w:szCs w:val="24"/>
        </w:rPr>
        <w:t>Older individuals (46+) show significantly higher interest compared to younger age groups. This could be due to greater awareness of environmental issues or direct involvement in agriculture-related activities.</w:t>
      </w:r>
    </w:p>
    <w:p w14:paraId="4EA4A25C" w14:textId="2ECA1EFB" w:rsidR="00BA5F35" w:rsidRDefault="00EA569C" w:rsidP="00BA5F35">
      <w:pPr>
        <w:widowControl/>
        <w:numPr>
          <w:ilvl w:val="0"/>
          <w:numId w:val="18"/>
        </w:numPr>
        <w:autoSpaceDE/>
        <w:autoSpaceDN/>
        <w:spacing w:before="138" w:line="360" w:lineRule="auto"/>
        <w:ind w:right="346"/>
        <w:rPr>
          <w:sz w:val="24"/>
          <w:szCs w:val="24"/>
        </w:rPr>
      </w:pPr>
      <w:r w:rsidRPr="00393BC7">
        <w:rPr>
          <w:sz w:val="24"/>
          <w:szCs w:val="24"/>
        </w:rPr>
        <w:t>The younger age groups (18–30 and 31–45) exhibit lower levels of interest, possibly due to limited exposure to sustainable practices or lesser involvement in farming activities.</w:t>
      </w:r>
    </w:p>
    <w:p w14:paraId="4E15E12F" w14:textId="77777777" w:rsidR="00BA5F35" w:rsidRPr="00BA5F35" w:rsidRDefault="00BA5F35" w:rsidP="00430AA1">
      <w:pPr>
        <w:widowControl/>
        <w:autoSpaceDE/>
        <w:autoSpaceDN/>
        <w:spacing w:before="138" w:line="360" w:lineRule="auto"/>
        <w:ind w:left="720" w:right="346"/>
        <w:rPr>
          <w:sz w:val="24"/>
          <w:szCs w:val="24"/>
        </w:rPr>
      </w:pPr>
    </w:p>
    <w:p w14:paraId="10B6864F" w14:textId="77777777" w:rsidR="00BA5F35" w:rsidRPr="00BA5F35" w:rsidRDefault="00BA5F35" w:rsidP="00BA5F35">
      <w:pPr>
        <w:widowControl/>
        <w:autoSpaceDE/>
        <w:autoSpaceDN/>
        <w:spacing w:before="138" w:line="360" w:lineRule="auto"/>
        <w:ind w:right="346"/>
        <w:rPr>
          <w:sz w:val="24"/>
          <w:szCs w:val="24"/>
        </w:rPr>
      </w:pPr>
    </w:p>
    <w:p w14:paraId="7266B87F" w14:textId="617842E9" w:rsidR="00454290" w:rsidRPr="00EA569C" w:rsidRDefault="00EA569C" w:rsidP="00310535">
      <w:pPr>
        <w:spacing w:before="138" w:line="360" w:lineRule="auto"/>
        <w:ind w:left="360" w:right="346" w:firstLine="720"/>
        <w:rPr>
          <w:b/>
          <w:bCs/>
          <w:sz w:val="24"/>
          <w:szCs w:val="24"/>
        </w:rPr>
      </w:pPr>
      <w:r>
        <w:rPr>
          <w:b/>
          <w:bCs/>
          <w:sz w:val="24"/>
          <w:szCs w:val="24"/>
        </w:rPr>
        <w:t>TABLE1:</w:t>
      </w:r>
      <w:r w:rsidRPr="00884C4C">
        <w:rPr>
          <w:b/>
          <w:bCs/>
          <w:sz w:val="24"/>
          <w:szCs w:val="24"/>
        </w:rPr>
        <w:t xml:space="preserve"> </w:t>
      </w:r>
      <w:r w:rsidRPr="008C1786">
        <w:rPr>
          <w:b/>
          <w:bCs/>
          <w:sz w:val="24"/>
          <w:szCs w:val="24"/>
        </w:rPr>
        <w:t>ORGANIC FERTILIZER SALES VS. KEY VARIABLES</w:t>
      </w:r>
    </w:p>
    <w:p w14:paraId="69C0C896" w14:textId="6E2DDD15" w:rsidR="00454290" w:rsidRPr="00E4504B" w:rsidRDefault="00454290" w:rsidP="00310535">
      <w:pPr>
        <w:pStyle w:val="BodyText"/>
        <w:spacing w:before="138"/>
        <w:ind w:left="360" w:right="346"/>
        <w:rPr>
          <w:b/>
        </w:rPr>
      </w:pPr>
    </w:p>
    <w:tbl>
      <w:tblPr>
        <w:tblW w:w="8943"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43"/>
        <w:gridCol w:w="1883"/>
        <w:gridCol w:w="1509"/>
        <w:gridCol w:w="1697"/>
        <w:gridCol w:w="1790"/>
        <w:gridCol w:w="1963"/>
      </w:tblGrid>
      <w:tr w:rsidR="00EA569C" w:rsidRPr="008C1786" w14:paraId="4C00D274" w14:textId="77777777" w:rsidTr="00310535">
        <w:trPr>
          <w:trHeight w:val="401"/>
          <w:tblHeader/>
        </w:trPr>
        <w:tc>
          <w:tcPr>
            <w:tcW w:w="1102" w:type="dxa"/>
            <w:hideMark/>
          </w:tcPr>
          <w:p w14:paraId="77ADFD10" w14:textId="77777777" w:rsidR="00EA569C" w:rsidRPr="008C1786" w:rsidRDefault="00EA569C" w:rsidP="00310535">
            <w:pPr>
              <w:spacing w:before="138" w:line="360" w:lineRule="auto"/>
              <w:ind w:left="360" w:right="346"/>
              <w:rPr>
                <w:b/>
                <w:bCs/>
                <w:sz w:val="24"/>
                <w:szCs w:val="24"/>
              </w:rPr>
            </w:pPr>
            <w:r w:rsidRPr="008C1786">
              <w:rPr>
                <w:b/>
                <w:bCs/>
                <w:sz w:val="24"/>
                <w:szCs w:val="24"/>
              </w:rPr>
              <w:t>Year</w:t>
            </w:r>
          </w:p>
        </w:tc>
        <w:tc>
          <w:tcPr>
            <w:tcW w:w="0" w:type="auto"/>
            <w:hideMark/>
          </w:tcPr>
          <w:p w14:paraId="68D2377C" w14:textId="77777777" w:rsidR="00EA569C" w:rsidRPr="008C1786" w:rsidRDefault="00EA569C" w:rsidP="00310535">
            <w:pPr>
              <w:spacing w:before="138" w:line="360" w:lineRule="auto"/>
              <w:ind w:left="360" w:right="346"/>
              <w:rPr>
                <w:b/>
                <w:bCs/>
                <w:sz w:val="24"/>
                <w:szCs w:val="24"/>
              </w:rPr>
            </w:pPr>
            <w:r w:rsidRPr="008C1786">
              <w:rPr>
                <w:b/>
                <w:bCs/>
                <w:sz w:val="24"/>
                <w:szCs w:val="24"/>
              </w:rPr>
              <w:t>Production Volume (tons)</w:t>
            </w:r>
          </w:p>
        </w:tc>
        <w:tc>
          <w:tcPr>
            <w:tcW w:w="0" w:type="auto"/>
            <w:hideMark/>
          </w:tcPr>
          <w:p w14:paraId="63A786CE" w14:textId="77777777" w:rsidR="00EA569C" w:rsidRPr="008C1786" w:rsidRDefault="00EA569C" w:rsidP="00310535">
            <w:pPr>
              <w:spacing w:before="138" w:line="360" w:lineRule="auto"/>
              <w:ind w:left="360" w:right="346"/>
              <w:rPr>
                <w:b/>
                <w:bCs/>
                <w:sz w:val="24"/>
                <w:szCs w:val="24"/>
              </w:rPr>
            </w:pPr>
            <w:r w:rsidRPr="008C1786">
              <w:rPr>
                <w:b/>
                <w:bCs/>
                <w:sz w:val="24"/>
                <w:szCs w:val="24"/>
              </w:rPr>
              <w:t>Market Price ($/kg)</w:t>
            </w:r>
          </w:p>
        </w:tc>
        <w:tc>
          <w:tcPr>
            <w:tcW w:w="0" w:type="auto"/>
            <w:hideMark/>
          </w:tcPr>
          <w:p w14:paraId="2CEB8938" w14:textId="77777777" w:rsidR="00EA569C" w:rsidRPr="008C1786" w:rsidRDefault="00EA569C" w:rsidP="00310535">
            <w:pPr>
              <w:spacing w:before="138" w:line="360" w:lineRule="auto"/>
              <w:ind w:left="360" w:right="346"/>
              <w:rPr>
                <w:b/>
                <w:bCs/>
                <w:sz w:val="24"/>
                <w:szCs w:val="24"/>
              </w:rPr>
            </w:pPr>
            <w:r w:rsidRPr="008C1786">
              <w:rPr>
                <w:b/>
                <w:bCs/>
                <w:sz w:val="24"/>
                <w:szCs w:val="24"/>
              </w:rPr>
              <w:t>Fertilizer Sales Revenue ($)</w:t>
            </w:r>
          </w:p>
        </w:tc>
        <w:tc>
          <w:tcPr>
            <w:tcW w:w="0" w:type="auto"/>
            <w:hideMark/>
          </w:tcPr>
          <w:p w14:paraId="62FBF0E6" w14:textId="77777777" w:rsidR="00EA569C" w:rsidRPr="008C1786" w:rsidRDefault="00EA569C" w:rsidP="00310535">
            <w:pPr>
              <w:spacing w:before="138" w:line="360" w:lineRule="auto"/>
              <w:ind w:left="360" w:right="346"/>
              <w:rPr>
                <w:b/>
                <w:bCs/>
                <w:sz w:val="24"/>
                <w:szCs w:val="24"/>
              </w:rPr>
            </w:pPr>
            <w:r w:rsidRPr="008C1786">
              <w:rPr>
                <w:b/>
                <w:bCs/>
                <w:sz w:val="24"/>
                <w:szCs w:val="24"/>
              </w:rPr>
              <w:t>Landfill Waste Reduction (tons)</w:t>
            </w:r>
          </w:p>
        </w:tc>
        <w:tc>
          <w:tcPr>
            <w:tcW w:w="0" w:type="auto"/>
            <w:hideMark/>
          </w:tcPr>
          <w:p w14:paraId="7655934C" w14:textId="77777777" w:rsidR="00EA569C" w:rsidRPr="008C1786" w:rsidRDefault="00EA569C" w:rsidP="00310535">
            <w:pPr>
              <w:spacing w:before="138" w:line="360" w:lineRule="auto"/>
              <w:ind w:left="360" w:right="346"/>
              <w:rPr>
                <w:b/>
                <w:bCs/>
                <w:sz w:val="24"/>
                <w:szCs w:val="24"/>
              </w:rPr>
            </w:pPr>
            <w:r w:rsidRPr="008C1786">
              <w:rPr>
                <w:b/>
                <w:bCs/>
                <w:sz w:val="24"/>
                <w:szCs w:val="24"/>
              </w:rPr>
              <w:t xml:space="preserve">Greenhouse Gas Emissions Reduced (kg </w:t>
            </w:r>
            <w:proofErr w:type="spellStart"/>
            <w:r w:rsidRPr="008C1786">
              <w:rPr>
                <w:b/>
                <w:bCs/>
                <w:sz w:val="24"/>
                <w:szCs w:val="24"/>
              </w:rPr>
              <w:t>CO₂e</w:t>
            </w:r>
            <w:proofErr w:type="spellEnd"/>
            <w:r w:rsidRPr="008C1786">
              <w:rPr>
                <w:b/>
                <w:bCs/>
                <w:sz w:val="24"/>
                <w:szCs w:val="24"/>
              </w:rPr>
              <w:t>)</w:t>
            </w:r>
          </w:p>
        </w:tc>
      </w:tr>
      <w:tr w:rsidR="00EA569C" w:rsidRPr="008C1786" w14:paraId="6FEAA6C7" w14:textId="77777777" w:rsidTr="00310535">
        <w:trPr>
          <w:trHeight w:val="200"/>
        </w:trPr>
        <w:tc>
          <w:tcPr>
            <w:tcW w:w="1102" w:type="dxa"/>
            <w:tcMar>
              <w:top w:w="137" w:type="dxa"/>
              <w:left w:w="15" w:type="dxa"/>
              <w:bottom w:w="137" w:type="dxa"/>
              <w:right w:w="15" w:type="dxa"/>
            </w:tcMar>
            <w:vAlign w:val="bottom"/>
            <w:hideMark/>
          </w:tcPr>
          <w:p w14:paraId="5696921E" w14:textId="77777777" w:rsidR="00EA569C" w:rsidRPr="008C1786" w:rsidRDefault="00EA569C" w:rsidP="00310535">
            <w:pPr>
              <w:spacing w:before="138" w:line="360" w:lineRule="auto"/>
              <w:ind w:left="360" w:right="346"/>
              <w:rPr>
                <w:b/>
                <w:bCs/>
                <w:sz w:val="24"/>
                <w:szCs w:val="24"/>
              </w:rPr>
            </w:pPr>
            <w:r w:rsidRPr="008C1786">
              <w:rPr>
                <w:b/>
                <w:bCs/>
                <w:sz w:val="24"/>
                <w:szCs w:val="24"/>
              </w:rPr>
              <w:t>2018</w:t>
            </w:r>
          </w:p>
        </w:tc>
        <w:tc>
          <w:tcPr>
            <w:tcW w:w="0" w:type="auto"/>
            <w:tcMar>
              <w:top w:w="137" w:type="dxa"/>
              <w:left w:w="15" w:type="dxa"/>
              <w:bottom w:w="137" w:type="dxa"/>
              <w:right w:w="15" w:type="dxa"/>
            </w:tcMar>
            <w:vAlign w:val="bottom"/>
            <w:hideMark/>
          </w:tcPr>
          <w:p w14:paraId="69706AE7" w14:textId="77777777" w:rsidR="00EA569C" w:rsidRPr="008C1786" w:rsidRDefault="00EA569C" w:rsidP="00310535">
            <w:pPr>
              <w:spacing w:before="138" w:line="360" w:lineRule="auto"/>
              <w:ind w:left="360" w:right="346"/>
              <w:rPr>
                <w:b/>
                <w:bCs/>
                <w:sz w:val="24"/>
                <w:szCs w:val="24"/>
              </w:rPr>
            </w:pPr>
            <w:r w:rsidRPr="008C1786">
              <w:rPr>
                <w:b/>
                <w:bCs/>
                <w:sz w:val="24"/>
                <w:szCs w:val="24"/>
              </w:rPr>
              <w:t>500</w:t>
            </w:r>
          </w:p>
        </w:tc>
        <w:tc>
          <w:tcPr>
            <w:tcW w:w="0" w:type="auto"/>
            <w:tcMar>
              <w:top w:w="137" w:type="dxa"/>
              <w:left w:w="15" w:type="dxa"/>
              <w:bottom w:w="137" w:type="dxa"/>
              <w:right w:w="15" w:type="dxa"/>
            </w:tcMar>
            <w:vAlign w:val="bottom"/>
            <w:hideMark/>
          </w:tcPr>
          <w:p w14:paraId="18C2103D" w14:textId="77777777" w:rsidR="00EA569C" w:rsidRPr="008C1786" w:rsidRDefault="00EA569C" w:rsidP="00310535">
            <w:pPr>
              <w:spacing w:before="138" w:line="360" w:lineRule="auto"/>
              <w:ind w:left="360" w:right="346"/>
              <w:rPr>
                <w:b/>
                <w:bCs/>
                <w:sz w:val="24"/>
                <w:szCs w:val="24"/>
              </w:rPr>
            </w:pPr>
            <w:r w:rsidRPr="008C1786">
              <w:rPr>
                <w:b/>
                <w:bCs/>
                <w:sz w:val="24"/>
                <w:szCs w:val="24"/>
              </w:rPr>
              <w:t>0.50</w:t>
            </w:r>
          </w:p>
        </w:tc>
        <w:tc>
          <w:tcPr>
            <w:tcW w:w="0" w:type="auto"/>
            <w:tcMar>
              <w:top w:w="137" w:type="dxa"/>
              <w:left w:w="15" w:type="dxa"/>
              <w:bottom w:w="137" w:type="dxa"/>
              <w:right w:w="15" w:type="dxa"/>
            </w:tcMar>
            <w:vAlign w:val="bottom"/>
            <w:hideMark/>
          </w:tcPr>
          <w:p w14:paraId="67F5B259" w14:textId="77777777" w:rsidR="00EA569C" w:rsidRPr="008C1786" w:rsidRDefault="00EA569C" w:rsidP="00310535">
            <w:pPr>
              <w:spacing w:before="138" w:line="360" w:lineRule="auto"/>
              <w:ind w:left="360" w:right="346"/>
              <w:rPr>
                <w:b/>
                <w:bCs/>
                <w:sz w:val="24"/>
                <w:szCs w:val="24"/>
              </w:rPr>
            </w:pPr>
            <w:r w:rsidRPr="008C1786">
              <w:rPr>
                <w:b/>
                <w:bCs/>
                <w:sz w:val="24"/>
                <w:szCs w:val="24"/>
              </w:rPr>
              <w:t>250,000</w:t>
            </w:r>
          </w:p>
        </w:tc>
        <w:tc>
          <w:tcPr>
            <w:tcW w:w="0" w:type="auto"/>
            <w:tcMar>
              <w:top w:w="137" w:type="dxa"/>
              <w:left w:w="15" w:type="dxa"/>
              <w:bottom w:w="137" w:type="dxa"/>
              <w:right w:w="15" w:type="dxa"/>
            </w:tcMar>
            <w:vAlign w:val="bottom"/>
            <w:hideMark/>
          </w:tcPr>
          <w:p w14:paraId="57C7F764" w14:textId="77777777" w:rsidR="00EA569C" w:rsidRPr="008C1786" w:rsidRDefault="00EA569C" w:rsidP="00310535">
            <w:pPr>
              <w:spacing w:before="138" w:line="360" w:lineRule="auto"/>
              <w:ind w:left="360" w:right="346"/>
              <w:rPr>
                <w:b/>
                <w:bCs/>
                <w:sz w:val="24"/>
                <w:szCs w:val="24"/>
              </w:rPr>
            </w:pPr>
            <w:r w:rsidRPr="008C1786">
              <w:rPr>
                <w:b/>
                <w:bCs/>
                <w:sz w:val="24"/>
                <w:szCs w:val="24"/>
              </w:rPr>
              <w:t>1,200</w:t>
            </w:r>
          </w:p>
        </w:tc>
        <w:tc>
          <w:tcPr>
            <w:tcW w:w="0" w:type="auto"/>
            <w:tcMar>
              <w:top w:w="137" w:type="dxa"/>
              <w:left w:w="15" w:type="dxa"/>
              <w:bottom w:w="137" w:type="dxa"/>
              <w:right w:w="15" w:type="dxa"/>
            </w:tcMar>
            <w:vAlign w:val="bottom"/>
            <w:hideMark/>
          </w:tcPr>
          <w:p w14:paraId="2D6AA938" w14:textId="77777777" w:rsidR="00EA569C" w:rsidRPr="008C1786" w:rsidRDefault="00EA569C" w:rsidP="00310535">
            <w:pPr>
              <w:spacing w:before="138" w:line="360" w:lineRule="auto"/>
              <w:ind w:left="360" w:right="346"/>
              <w:rPr>
                <w:b/>
                <w:bCs/>
                <w:sz w:val="24"/>
                <w:szCs w:val="24"/>
              </w:rPr>
            </w:pPr>
            <w:r w:rsidRPr="008C1786">
              <w:rPr>
                <w:b/>
                <w:bCs/>
                <w:sz w:val="24"/>
                <w:szCs w:val="24"/>
              </w:rPr>
              <w:t>3,000</w:t>
            </w:r>
          </w:p>
        </w:tc>
      </w:tr>
      <w:tr w:rsidR="00EA569C" w:rsidRPr="008C1786" w14:paraId="32C80362" w14:textId="77777777" w:rsidTr="00310535">
        <w:trPr>
          <w:trHeight w:val="200"/>
        </w:trPr>
        <w:tc>
          <w:tcPr>
            <w:tcW w:w="1102" w:type="dxa"/>
            <w:tcMar>
              <w:top w:w="137" w:type="dxa"/>
              <w:left w:w="15" w:type="dxa"/>
              <w:bottom w:w="137" w:type="dxa"/>
              <w:right w:w="15" w:type="dxa"/>
            </w:tcMar>
            <w:vAlign w:val="bottom"/>
            <w:hideMark/>
          </w:tcPr>
          <w:p w14:paraId="180D0D8B" w14:textId="77777777" w:rsidR="00EA569C" w:rsidRPr="008C1786" w:rsidRDefault="00EA569C" w:rsidP="00310535">
            <w:pPr>
              <w:spacing w:before="138" w:line="360" w:lineRule="auto"/>
              <w:ind w:left="360" w:right="346"/>
              <w:rPr>
                <w:b/>
                <w:bCs/>
                <w:sz w:val="24"/>
                <w:szCs w:val="24"/>
              </w:rPr>
            </w:pPr>
            <w:r w:rsidRPr="008C1786">
              <w:rPr>
                <w:b/>
                <w:bCs/>
                <w:sz w:val="24"/>
                <w:szCs w:val="24"/>
              </w:rPr>
              <w:t>2019</w:t>
            </w:r>
          </w:p>
        </w:tc>
        <w:tc>
          <w:tcPr>
            <w:tcW w:w="0" w:type="auto"/>
            <w:tcMar>
              <w:top w:w="137" w:type="dxa"/>
              <w:left w:w="15" w:type="dxa"/>
              <w:bottom w:w="137" w:type="dxa"/>
              <w:right w:w="15" w:type="dxa"/>
            </w:tcMar>
            <w:vAlign w:val="bottom"/>
            <w:hideMark/>
          </w:tcPr>
          <w:p w14:paraId="47CD3AAD" w14:textId="77777777" w:rsidR="00EA569C" w:rsidRPr="008C1786" w:rsidRDefault="00EA569C" w:rsidP="00310535">
            <w:pPr>
              <w:spacing w:before="138" w:line="360" w:lineRule="auto"/>
              <w:ind w:left="360" w:right="346"/>
              <w:rPr>
                <w:b/>
                <w:bCs/>
                <w:sz w:val="24"/>
                <w:szCs w:val="24"/>
              </w:rPr>
            </w:pPr>
            <w:r w:rsidRPr="008C1786">
              <w:rPr>
                <w:b/>
                <w:bCs/>
                <w:sz w:val="24"/>
                <w:szCs w:val="24"/>
              </w:rPr>
              <w:t>750</w:t>
            </w:r>
          </w:p>
        </w:tc>
        <w:tc>
          <w:tcPr>
            <w:tcW w:w="0" w:type="auto"/>
            <w:tcMar>
              <w:top w:w="137" w:type="dxa"/>
              <w:left w:w="15" w:type="dxa"/>
              <w:bottom w:w="137" w:type="dxa"/>
              <w:right w:w="15" w:type="dxa"/>
            </w:tcMar>
            <w:vAlign w:val="bottom"/>
            <w:hideMark/>
          </w:tcPr>
          <w:p w14:paraId="2750ECFE" w14:textId="77777777" w:rsidR="00EA569C" w:rsidRPr="008C1786" w:rsidRDefault="00EA569C" w:rsidP="00310535">
            <w:pPr>
              <w:spacing w:before="138" w:line="360" w:lineRule="auto"/>
              <w:ind w:left="360" w:right="346"/>
              <w:rPr>
                <w:b/>
                <w:bCs/>
                <w:sz w:val="24"/>
                <w:szCs w:val="24"/>
              </w:rPr>
            </w:pPr>
            <w:r w:rsidRPr="008C1786">
              <w:rPr>
                <w:b/>
                <w:bCs/>
                <w:sz w:val="24"/>
                <w:szCs w:val="24"/>
              </w:rPr>
              <w:t>0.55</w:t>
            </w:r>
          </w:p>
        </w:tc>
        <w:tc>
          <w:tcPr>
            <w:tcW w:w="0" w:type="auto"/>
            <w:tcMar>
              <w:top w:w="137" w:type="dxa"/>
              <w:left w:w="15" w:type="dxa"/>
              <w:bottom w:w="137" w:type="dxa"/>
              <w:right w:w="15" w:type="dxa"/>
            </w:tcMar>
            <w:vAlign w:val="bottom"/>
            <w:hideMark/>
          </w:tcPr>
          <w:p w14:paraId="66A0A68F" w14:textId="77777777" w:rsidR="00EA569C" w:rsidRPr="008C1786" w:rsidRDefault="00EA569C" w:rsidP="00310535">
            <w:pPr>
              <w:spacing w:before="138" w:line="360" w:lineRule="auto"/>
              <w:ind w:left="360" w:right="346"/>
              <w:rPr>
                <w:b/>
                <w:bCs/>
                <w:sz w:val="24"/>
                <w:szCs w:val="24"/>
              </w:rPr>
            </w:pPr>
            <w:r w:rsidRPr="008C1786">
              <w:rPr>
                <w:b/>
                <w:bCs/>
                <w:sz w:val="24"/>
                <w:szCs w:val="24"/>
              </w:rPr>
              <w:t>412,500</w:t>
            </w:r>
          </w:p>
        </w:tc>
        <w:tc>
          <w:tcPr>
            <w:tcW w:w="0" w:type="auto"/>
            <w:tcMar>
              <w:top w:w="137" w:type="dxa"/>
              <w:left w:w="15" w:type="dxa"/>
              <w:bottom w:w="137" w:type="dxa"/>
              <w:right w:w="15" w:type="dxa"/>
            </w:tcMar>
            <w:vAlign w:val="bottom"/>
            <w:hideMark/>
          </w:tcPr>
          <w:p w14:paraId="3C22B76E" w14:textId="77777777" w:rsidR="00EA569C" w:rsidRPr="008C1786" w:rsidRDefault="00EA569C" w:rsidP="00310535">
            <w:pPr>
              <w:spacing w:before="138" w:line="360" w:lineRule="auto"/>
              <w:ind w:left="360" w:right="346"/>
              <w:rPr>
                <w:b/>
                <w:bCs/>
                <w:sz w:val="24"/>
                <w:szCs w:val="24"/>
              </w:rPr>
            </w:pPr>
            <w:r w:rsidRPr="008C1786">
              <w:rPr>
                <w:b/>
                <w:bCs/>
                <w:sz w:val="24"/>
                <w:szCs w:val="24"/>
              </w:rPr>
              <w:t>1,800</w:t>
            </w:r>
          </w:p>
        </w:tc>
        <w:tc>
          <w:tcPr>
            <w:tcW w:w="0" w:type="auto"/>
            <w:tcMar>
              <w:top w:w="137" w:type="dxa"/>
              <w:left w:w="15" w:type="dxa"/>
              <w:bottom w:w="137" w:type="dxa"/>
              <w:right w:w="15" w:type="dxa"/>
            </w:tcMar>
            <w:vAlign w:val="bottom"/>
            <w:hideMark/>
          </w:tcPr>
          <w:p w14:paraId="1AE3DDFD" w14:textId="77777777" w:rsidR="00EA569C" w:rsidRPr="008C1786" w:rsidRDefault="00EA569C" w:rsidP="00310535">
            <w:pPr>
              <w:spacing w:before="138" w:line="360" w:lineRule="auto"/>
              <w:ind w:left="360" w:right="346"/>
              <w:rPr>
                <w:b/>
                <w:bCs/>
                <w:sz w:val="24"/>
                <w:szCs w:val="24"/>
              </w:rPr>
            </w:pPr>
            <w:r w:rsidRPr="008C1786">
              <w:rPr>
                <w:b/>
                <w:bCs/>
                <w:sz w:val="24"/>
                <w:szCs w:val="24"/>
              </w:rPr>
              <w:t>4,500</w:t>
            </w:r>
          </w:p>
        </w:tc>
      </w:tr>
      <w:tr w:rsidR="00EA569C" w:rsidRPr="008C1786" w14:paraId="39A109C5" w14:textId="77777777" w:rsidTr="00310535">
        <w:trPr>
          <w:trHeight w:val="200"/>
        </w:trPr>
        <w:tc>
          <w:tcPr>
            <w:tcW w:w="1102" w:type="dxa"/>
            <w:tcMar>
              <w:top w:w="137" w:type="dxa"/>
              <w:left w:w="15" w:type="dxa"/>
              <w:bottom w:w="137" w:type="dxa"/>
              <w:right w:w="15" w:type="dxa"/>
            </w:tcMar>
            <w:vAlign w:val="bottom"/>
            <w:hideMark/>
          </w:tcPr>
          <w:p w14:paraId="3E36A397" w14:textId="77777777" w:rsidR="00EA569C" w:rsidRPr="008C1786" w:rsidRDefault="00EA569C" w:rsidP="00310535">
            <w:pPr>
              <w:spacing w:before="138" w:line="360" w:lineRule="auto"/>
              <w:ind w:left="360" w:right="346"/>
              <w:rPr>
                <w:b/>
                <w:bCs/>
                <w:sz w:val="24"/>
                <w:szCs w:val="24"/>
              </w:rPr>
            </w:pPr>
            <w:r w:rsidRPr="008C1786">
              <w:rPr>
                <w:b/>
                <w:bCs/>
                <w:sz w:val="24"/>
                <w:szCs w:val="24"/>
              </w:rPr>
              <w:t>2020</w:t>
            </w:r>
          </w:p>
        </w:tc>
        <w:tc>
          <w:tcPr>
            <w:tcW w:w="0" w:type="auto"/>
            <w:tcMar>
              <w:top w:w="137" w:type="dxa"/>
              <w:left w:w="15" w:type="dxa"/>
              <w:bottom w:w="137" w:type="dxa"/>
              <w:right w:w="15" w:type="dxa"/>
            </w:tcMar>
            <w:vAlign w:val="bottom"/>
            <w:hideMark/>
          </w:tcPr>
          <w:p w14:paraId="512E9B4A" w14:textId="77777777" w:rsidR="00EA569C" w:rsidRPr="008C1786" w:rsidRDefault="00EA569C" w:rsidP="00310535">
            <w:pPr>
              <w:spacing w:before="138" w:line="360" w:lineRule="auto"/>
              <w:ind w:left="360" w:right="346"/>
              <w:rPr>
                <w:b/>
                <w:bCs/>
                <w:sz w:val="24"/>
                <w:szCs w:val="24"/>
              </w:rPr>
            </w:pPr>
            <w:r w:rsidRPr="008C1786">
              <w:rPr>
                <w:b/>
                <w:bCs/>
                <w:sz w:val="24"/>
                <w:szCs w:val="24"/>
              </w:rPr>
              <w:t>1,000</w:t>
            </w:r>
          </w:p>
        </w:tc>
        <w:tc>
          <w:tcPr>
            <w:tcW w:w="0" w:type="auto"/>
            <w:tcMar>
              <w:top w:w="137" w:type="dxa"/>
              <w:left w:w="15" w:type="dxa"/>
              <w:bottom w:w="137" w:type="dxa"/>
              <w:right w:w="15" w:type="dxa"/>
            </w:tcMar>
            <w:vAlign w:val="bottom"/>
            <w:hideMark/>
          </w:tcPr>
          <w:p w14:paraId="04085202" w14:textId="77777777" w:rsidR="00EA569C" w:rsidRPr="008C1786" w:rsidRDefault="00EA569C" w:rsidP="00310535">
            <w:pPr>
              <w:spacing w:before="138" w:line="360" w:lineRule="auto"/>
              <w:ind w:left="360" w:right="346"/>
              <w:rPr>
                <w:b/>
                <w:bCs/>
                <w:sz w:val="24"/>
                <w:szCs w:val="24"/>
              </w:rPr>
            </w:pPr>
            <w:r w:rsidRPr="008C1786">
              <w:rPr>
                <w:b/>
                <w:bCs/>
                <w:sz w:val="24"/>
                <w:szCs w:val="24"/>
              </w:rPr>
              <w:t>0.60</w:t>
            </w:r>
          </w:p>
        </w:tc>
        <w:tc>
          <w:tcPr>
            <w:tcW w:w="0" w:type="auto"/>
            <w:tcMar>
              <w:top w:w="137" w:type="dxa"/>
              <w:left w:w="15" w:type="dxa"/>
              <w:bottom w:w="137" w:type="dxa"/>
              <w:right w:w="15" w:type="dxa"/>
            </w:tcMar>
            <w:vAlign w:val="bottom"/>
            <w:hideMark/>
          </w:tcPr>
          <w:p w14:paraId="4E3ECE53" w14:textId="77777777" w:rsidR="00EA569C" w:rsidRPr="008C1786" w:rsidRDefault="00EA569C" w:rsidP="00310535">
            <w:pPr>
              <w:spacing w:before="138" w:line="360" w:lineRule="auto"/>
              <w:ind w:left="360" w:right="346"/>
              <w:rPr>
                <w:b/>
                <w:bCs/>
                <w:sz w:val="24"/>
                <w:szCs w:val="24"/>
              </w:rPr>
            </w:pPr>
            <w:r w:rsidRPr="008C1786">
              <w:rPr>
                <w:b/>
                <w:bCs/>
                <w:sz w:val="24"/>
                <w:szCs w:val="24"/>
              </w:rPr>
              <w:t>600,000</w:t>
            </w:r>
          </w:p>
        </w:tc>
        <w:tc>
          <w:tcPr>
            <w:tcW w:w="0" w:type="auto"/>
            <w:tcMar>
              <w:top w:w="137" w:type="dxa"/>
              <w:left w:w="15" w:type="dxa"/>
              <w:bottom w:w="137" w:type="dxa"/>
              <w:right w:w="15" w:type="dxa"/>
            </w:tcMar>
            <w:vAlign w:val="bottom"/>
            <w:hideMark/>
          </w:tcPr>
          <w:p w14:paraId="5A7E1773" w14:textId="77777777" w:rsidR="00EA569C" w:rsidRPr="008C1786" w:rsidRDefault="00EA569C" w:rsidP="00310535">
            <w:pPr>
              <w:spacing w:before="138" w:line="360" w:lineRule="auto"/>
              <w:ind w:left="360" w:right="346"/>
              <w:rPr>
                <w:b/>
                <w:bCs/>
                <w:sz w:val="24"/>
                <w:szCs w:val="24"/>
              </w:rPr>
            </w:pPr>
            <w:r w:rsidRPr="008C1786">
              <w:rPr>
                <w:b/>
                <w:bCs/>
                <w:sz w:val="24"/>
                <w:szCs w:val="24"/>
              </w:rPr>
              <w:t>2,400</w:t>
            </w:r>
          </w:p>
        </w:tc>
        <w:tc>
          <w:tcPr>
            <w:tcW w:w="0" w:type="auto"/>
            <w:tcMar>
              <w:top w:w="137" w:type="dxa"/>
              <w:left w:w="15" w:type="dxa"/>
              <w:bottom w:w="137" w:type="dxa"/>
              <w:right w:w="15" w:type="dxa"/>
            </w:tcMar>
            <w:vAlign w:val="bottom"/>
            <w:hideMark/>
          </w:tcPr>
          <w:p w14:paraId="325673B1" w14:textId="77777777" w:rsidR="00EA569C" w:rsidRPr="008C1786" w:rsidRDefault="00EA569C" w:rsidP="00310535">
            <w:pPr>
              <w:spacing w:before="138" w:line="360" w:lineRule="auto"/>
              <w:ind w:left="360" w:right="346"/>
              <w:rPr>
                <w:b/>
                <w:bCs/>
                <w:sz w:val="24"/>
                <w:szCs w:val="24"/>
              </w:rPr>
            </w:pPr>
            <w:r w:rsidRPr="008C1786">
              <w:rPr>
                <w:b/>
                <w:bCs/>
                <w:sz w:val="24"/>
                <w:szCs w:val="24"/>
              </w:rPr>
              <w:t>6,000</w:t>
            </w:r>
          </w:p>
        </w:tc>
      </w:tr>
      <w:tr w:rsidR="00EA569C" w:rsidRPr="008C1786" w14:paraId="3BDC8CDF" w14:textId="77777777" w:rsidTr="00310535">
        <w:trPr>
          <w:trHeight w:val="200"/>
        </w:trPr>
        <w:tc>
          <w:tcPr>
            <w:tcW w:w="1102" w:type="dxa"/>
            <w:tcMar>
              <w:top w:w="137" w:type="dxa"/>
              <w:left w:w="15" w:type="dxa"/>
              <w:bottom w:w="137" w:type="dxa"/>
              <w:right w:w="15" w:type="dxa"/>
            </w:tcMar>
            <w:vAlign w:val="bottom"/>
            <w:hideMark/>
          </w:tcPr>
          <w:p w14:paraId="72009471" w14:textId="77777777" w:rsidR="00EA569C" w:rsidRPr="008C1786" w:rsidRDefault="00EA569C" w:rsidP="00310535">
            <w:pPr>
              <w:spacing w:before="138" w:line="360" w:lineRule="auto"/>
              <w:ind w:left="360" w:right="346"/>
              <w:rPr>
                <w:b/>
                <w:bCs/>
                <w:sz w:val="24"/>
                <w:szCs w:val="24"/>
              </w:rPr>
            </w:pPr>
            <w:r w:rsidRPr="008C1786">
              <w:rPr>
                <w:b/>
                <w:bCs/>
                <w:sz w:val="24"/>
                <w:szCs w:val="24"/>
              </w:rPr>
              <w:t>2021</w:t>
            </w:r>
          </w:p>
        </w:tc>
        <w:tc>
          <w:tcPr>
            <w:tcW w:w="0" w:type="auto"/>
            <w:tcMar>
              <w:top w:w="137" w:type="dxa"/>
              <w:left w:w="15" w:type="dxa"/>
              <w:bottom w:w="137" w:type="dxa"/>
              <w:right w:w="15" w:type="dxa"/>
            </w:tcMar>
            <w:vAlign w:val="bottom"/>
            <w:hideMark/>
          </w:tcPr>
          <w:p w14:paraId="1B4BB701" w14:textId="77777777" w:rsidR="00EA569C" w:rsidRPr="008C1786" w:rsidRDefault="00EA569C" w:rsidP="00310535">
            <w:pPr>
              <w:spacing w:before="138" w:line="360" w:lineRule="auto"/>
              <w:ind w:left="360" w:right="346"/>
              <w:rPr>
                <w:b/>
                <w:bCs/>
                <w:sz w:val="24"/>
                <w:szCs w:val="24"/>
              </w:rPr>
            </w:pPr>
            <w:r w:rsidRPr="008C1786">
              <w:rPr>
                <w:b/>
                <w:bCs/>
                <w:sz w:val="24"/>
                <w:szCs w:val="24"/>
              </w:rPr>
              <w:t>1,250</w:t>
            </w:r>
          </w:p>
        </w:tc>
        <w:tc>
          <w:tcPr>
            <w:tcW w:w="0" w:type="auto"/>
            <w:tcMar>
              <w:top w:w="137" w:type="dxa"/>
              <w:left w:w="15" w:type="dxa"/>
              <w:bottom w:w="137" w:type="dxa"/>
              <w:right w:w="15" w:type="dxa"/>
            </w:tcMar>
            <w:vAlign w:val="bottom"/>
            <w:hideMark/>
          </w:tcPr>
          <w:p w14:paraId="42B84FE5" w14:textId="77777777" w:rsidR="00EA569C" w:rsidRPr="008C1786" w:rsidRDefault="00EA569C" w:rsidP="00310535">
            <w:pPr>
              <w:spacing w:before="138" w:line="360" w:lineRule="auto"/>
              <w:ind w:left="360" w:right="346"/>
              <w:rPr>
                <w:b/>
                <w:bCs/>
                <w:sz w:val="24"/>
                <w:szCs w:val="24"/>
              </w:rPr>
            </w:pPr>
            <w:r w:rsidRPr="008C1786">
              <w:rPr>
                <w:b/>
                <w:bCs/>
                <w:sz w:val="24"/>
                <w:szCs w:val="24"/>
              </w:rPr>
              <w:t>0.65</w:t>
            </w:r>
          </w:p>
        </w:tc>
        <w:tc>
          <w:tcPr>
            <w:tcW w:w="0" w:type="auto"/>
            <w:tcMar>
              <w:top w:w="137" w:type="dxa"/>
              <w:left w:w="15" w:type="dxa"/>
              <w:bottom w:w="137" w:type="dxa"/>
              <w:right w:w="15" w:type="dxa"/>
            </w:tcMar>
            <w:vAlign w:val="bottom"/>
            <w:hideMark/>
          </w:tcPr>
          <w:p w14:paraId="33DDD650" w14:textId="77777777" w:rsidR="00EA569C" w:rsidRPr="008C1786" w:rsidRDefault="00EA569C" w:rsidP="00310535">
            <w:pPr>
              <w:spacing w:before="138" w:line="360" w:lineRule="auto"/>
              <w:ind w:left="360" w:right="346"/>
              <w:rPr>
                <w:b/>
                <w:bCs/>
                <w:sz w:val="24"/>
                <w:szCs w:val="24"/>
              </w:rPr>
            </w:pPr>
            <w:r w:rsidRPr="008C1786">
              <w:rPr>
                <w:b/>
                <w:bCs/>
                <w:sz w:val="24"/>
                <w:szCs w:val="24"/>
              </w:rPr>
              <w:t>812,500</w:t>
            </w:r>
          </w:p>
        </w:tc>
        <w:tc>
          <w:tcPr>
            <w:tcW w:w="0" w:type="auto"/>
            <w:tcMar>
              <w:top w:w="137" w:type="dxa"/>
              <w:left w:w="15" w:type="dxa"/>
              <w:bottom w:w="137" w:type="dxa"/>
              <w:right w:w="15" w:type="dxa"/>
            </w:tcMar>
            <w:vAlign w:val="bottom"/>
            <w:hideMark/>
          </w:tcPr>
          <w:p w14:paraId="607397E6" w14:textId="77777777" w:rsidR="00EA569C" w:rsidRPr="008C1786" w:rsidRDefault="00EA569C" w:rsidP="00310535">
            <w:pPr>
              <w:spacing w:before="138" w:line="360" w:lineRule="auto"/>
              <w:ind w:left="360" w:right="346"/>
              <w:rPr>
                <w:b/>
                <w:bCs/>
                <w:sz w:val="24"/>
                <w:szCs w:val="24"/>
              </w:rPr>
            </w:pPr>
            <w:r w:rsidRPr="008C1786">
              <w:rPr>
                <w:b/>
                <w:bCs/>
                <w:sz w:val="24"/>
                <w:szCs w:val="24"/>
              </w:rPr>
              <w:t>3,000</w:t>
            </w:r>
          </w:p>
        </w:tc>
        <w:tc>
          <w:tcPr>
            <w:tcW w:w="0" w:type="auto"/>
            <w:tcMar>
              <w:top w:w="137" w:type="dxa"/>
              <w:left w:w="15" w:type="dxa"/>
              <w:bottom w:w="137" w:type="dxa"/>
              <w:right w:w="15" w:type="dxa"/>
            </w:tcMar>
            <w:vAlign w:val="bottom"/>
            <w:hideMark/>
          </w:tcPr>
          <w:p w14:paraId="4D972E6B" w14:textId="77777777" w:rsidR="00EA569C" w:rsidRPr="008C1786" w:rsidRDefault="00EA569C" w:rsidP="00310535">
            <w:pPr>
              <w:spacing w:before="138" w:line="360" w:lineRule="auto"/>
              <w:ind w:left="360" w:right="346"/>
              <w:rPr>
                <w:b/>
                <w:bCs/>
                <w:sz w:val="24"/>
                <w:szCs w:val="24"/>
              </w:rPr>
            </w:pPr>
            <w:r w:rsidRPr="008C1786">
              <w:rPr>
                <w:b/>
                <w:bCs/>
                <w:sz w:val="24"/>
                <w:szCs w:val="24"/>
              </w:rPr>
              <w:t>7,500</w:t>
            </w:r>
          </w:p>
        </w:tc>
      </w:tr>
      <w:tr w:rsidR="00EA569C" w:rsidRPr="008C1786" w14:paraId="037C247D" w14:textId="77777777" w:rsidTr="00310535">
        <w:trPr>
          <w:trHeight w:val="206"/>
        </w:trPr>
        <w:tc>
          <w:tcPr>
            <w:tcW w:w="1102" w:type="dxa"/>
            <w:tcMar>
              <w:top w:w="137" w:type="dxa"/>
              <w:left w:w="15" w:type="dxa"/>
              <w:bottom w:w="137" w:type="dxa"/>
              <w:right w:w="15" w:type="dxa"/>
            </w:tcMar>
            <w:vAlign w:val="bottom"/>
            <w:hideMark/>
          </w:tcPr>
          <w:p w14:paraId="1715243A" w14:textId="77777777" w:rsidR="00EA569C" w:rsidRPr="008C1786" w:rsidRDefault="00EA569C" w:rsidP="00310535">
            <w:pPr>
              <w:spacing w:before="138" w:line="360" w:lineRule="auto"/>
              <w:ind w:left="360" w:right="346"/>
              <w:rPr>
                <w:b/>
                <w:bCs/>
                <w:sz w:val="24"/>
                <w:szCs w:val="24"/>
              </w:rPr>
            </w:pPr>
            <w:r w:rsidRPr="008C1786">
              <w:rPr>
                <w:b/>
                <w:bCs/>
                <w:sz w:val="24"/>
                <w:szCs w:val="24"/>
              </w:rPr>
              <w:t>2022</w:t>
            </w:r>
          </w:p>
        </w:tc>
        <w:tc>
          <w:tcPr>
            <w:tcW w:w="0" w:type="auto"/>
            <w:tcMar>
              <w:top w:w="137" w:type="dxa"/>
              <w:left w:w="15" w:type="dxa"/>
              <w:bottom w:w="137" w:type="dxa"/>
              <w:right w:w="15" w:type="dxa"/>
            </w:tcMar>
            <w:vAlign w:val="bottom"/>
            <w:hideMark/>
          </w:tcPr>
          <w:p w14:paraId="211B770D" w14:textId="77777777" w:rsidR="00EA569C" w:rsidRPr="008C1786" w:rsidRDefault="00EA569C" w:rsidP="00310535">
            <w:pPr>
              <w:spacing w:before="138" w:line="360" w:lineRule="auto"/>
              <w:ind w:left="360" w:right="346"/>
              <w:rPr>
                <w:b/>
                <w:bCs/>
                <w:sz w:val="24"/>
                <w:szCs w:val="24"/>
              </w:rPr>
            </w:pPr>
            <w:r w:rsidRPr="008C1786">
              <w:rPr>
                <w:b/>
                <w:bCs/>
                <w:sz w:val="24"/>
                <w:szCs w:val="24"/>
              </w:rPr>
              <w:t>1,500</w:t>
            </w:r>
          </w:p>
        </w:tc>
        <w:tc>
          <w:tcPr>
            <w:tcW w:w="0" w:type="auto"/>
            <w:tcMar>
              <w:top w:w="137" w:type="dxa"/>
              <w:left w:w="15" w:type="dxa"/>
              <w:bottom w:w="137" w:type="dxa"/>
              <w:right w:w="15" w:type="dxa"/>
            </w:tcMar>
            <w:vAlign w:val="bottom"/>
            <w:hideMark/>
          </w:tcPr>
          <w:p w14:paraId="35B2E71E" w14:textId="77777777" w:rsidR="00EA569C" w:rsidRPr="008C1786" w:rsidRDefault="00EA569C" w:rsidP="00310535">
            <w:pPr>
              <w:spacing w:before="138" w:line="360" w:lineRule="auto"/>
              <w:ind w:left="360" w:right="346"/>
              <w:rPr>
                <w:b/>
                <w:bCs/>
                <w:sz w:val="24"/>
                <w:szCs w:val="24"/>
              </w:rPr>
            </w:pPr>
            <w:r w:rsidRPr="008C1786">
              <w:rPr>
                <w:b/>
                <w:bCs/>
                <w:sz w:val="24"/>
                <w:szCs w:val="24"/>
              </w:rPr>
              <w:t>0.70</w:t>
            </w:r>
          </w:p>
        </w:tc>
        <w:tc>
          <w:tcPr>
            <w:tcW w:w="0" w:type="auto"/>
            <w:tcMar>
              <w:top w:w="137" w:type="dxa"/>
              <w:left w:w="15" w:type="dxa"/>
              <w:bottom w:w="137" w:type="dxa"/>
              <w:right w:w="15" w:type="dxa"/>
            </w:tcMar>
            <w:vAlign w:val="bottom"/>
            <w:hideMark/>
          </w:tcPr>
          <w:p w14:paraId="2B5948FC" w14:textId="77777777" w:rsidR="00EA569C" w:rsidRPr="008C1786" w:rsidRDefault="00EA569C" w:rsidP="00310535">
            <w:pPr>
              <w:spacing w:before="138" w:line="360" w:lineRule="auto"/>
              <w:ind w:left="360" w:right="346"/>
              <w:rPr>
                <w:b/>
                <w:bCs/>
                <w:sz w:val="24"/>
                <w:szCs w:val="24"/>
              </w:rPr>
            </w:pPr>
            <w:r w:rsidRPr="008C1786">
              <w:rPr>
                <w:b/>
                <w:bCs/>
                <w:sz w:val="24"/>
                <w:szCs w:val="24"/>
              </w:rPr>
              <w:t>1,050,000</w:t>
            </w:r>
          </w:p>
        </w:tc>
        <w:tc>
          <w:tcPr>
            <w:tcW w:w="0" w:type="auto"/>
            <w:tcMar>
              <w:top w:w="137" w:type="dxa"/>
              <w:left w:w="15" w:type="dxa"/>
              <w:bottom w:w="137" w:type="dxa"/>
              <w:right w:w="15" w:type="dxa"/>
            </w:tcMar>
            <w:vAlign w:val="bottom"/>
            <w:hideMark/>
          </w:tcPr>
          <w:p w14:paraId="1B51B248" w14:textId="77777777" w:rsidR="00EA569C" w:rsidRPr="008C1786" w:rsidRDefault="00EA569C" w:rsidP="00310535">
            <w:pPr>
              <w:spacing w:before="138" w:line="360" w:lineRule="auto"/>
              <w:ind w:left="360" w:right="346"/>
              <w:rPr>
                <w:b/>
                <w:bCs/>
                <w:sz w:val="24"/>
                <w:szCs w:val="24"/>
              </w:rPr>
            </w:pPr>
            <w:r w:rsidRPr="008C1786">
              <w:rPr>
                <w:b/>
                <w:bCs/>
                <w:sz w:val="24"/>
                <w:szCs w:val="24"/>
              </w:rPr>
              <w:t>3,600</w:t>
            </w:r>
          </w:p>
        </w:tc>
        <w:tc>
          <w:tcPr>
            <w:tcW w:w="0" w:type="auto"/>
            <w:tcMar>
              <w:top w:w="137" w:type="dxa"/>
              <w:left w:w="15" w:type="dxa"/>
              <w:bottom w:w="137" w:type="dxa"/>
              <w:right w:w="15" w:type="dxa"/>
            </w:tcMar>
            <w:vAlign w:val="bottom"/>
            <w:hideMark/>
          </w:tcPr>
          <w:p w14:paraId="2831399E" w14:textId="77777777" w:rsidR="00EA569C" w:rsidRPr="008C1786" w:rsidRDefault="00EA569C" w:rsidP="00310535">
            <w:pPr>
              <w:spacing w:before="138" w:line="360" w:lineRule="auto"/>
              <w:ind w:left="360" w:right="346"/>
              <w:rPr>
                <w:b/>
                <w:bCs/>
                <w:sz w:val="24"/>
                <w:szCs w:val="24"/>
              </w:rPr>
            </w:pPr>
            <w:r w:rsidRPr="008C1786">
              <w:rPr>
                <w:b/>
                <w:bCs/>
                <w:sz w:val="24"/>
                <w:szCs w:val="24"/>
              </w:rPr>
              <w:t>9,000</w:t>
            </w:r>
          </w:p>
        </w:tc>
      </w:tr>
      <w:tr w:rsidR="00EA569C" w:rsidRPr="008C1786" w14:paraId="6ACED0C9" w14:textId="77777777" w:rsidTr="00310535">
        <w:trPr>
          <w:trHeight w:val="200"/>
        </w:trPr>
        <w:tc>
          <w:tcPr>
            <w:tcW w:w="1102" w:type="dxa"/>
            <w:tcMar>
              <w:top w:w="137" w:type="dxa"/>
              <w:left w:w="15" w:type="dxa"/>
              <w:bottom w:w="137" w:type="dxa"/>
              <w:right w:w="15" w:type="dxa"/>
            </w:tcMar>
            <w:vAlign w:val="bottom"/>
            <w:hideMark/>
          </w:tcPr>
          <w:p w14:paraId="4C908AD4" w14:textId="77777777" w:rsidR="00EA569C" w:rsidRPr="008C1786" w:rsidRDefault="00EA569C" w:rsidP="00310535">
            <w:pPr>
              <w:spacing w:before="138" w:line="360" w:lineRule="auto"/>
              <w:ind w:left="360" w:right="346"/>
              <w:rPr>
                <w:b/>
                <w:bCs/>
                <w:sz w:val="24"/>
                <w:szCs w:val="24"/>
              </w:rPr>
            </w:pPr>
            <w:r w:rsidRPr="008C1786">
              <w:rPr>
                <w:b/>
                <w:bCs/>
                <w:sz w:val="24"/>
                <w:szCs w:val="24"/>
              </w:rPr>
              <w:t>2023</w:t>
            </w:r>
          </w:p>
        </w:tc>
        <w:tc>
          <w:tcPr>
            <w:tcW w:w="0" w:type="auto"/>
            <w:tcMar>
              <w:top w:w="137" w:type="dxa"/>
              <w:left w:w="15" w:type="dxa"/>
              <w:bottom w:w="137" w:type="dxa"/>
              <w:right w:w="15" w:type="dxa"/>
            </w:tcMar>
            <w:vAlign w:val="bottom"/>
            <w:hideMark/>
          </w:tcPr>
          <w:p w14:paraId="602AC26D" w14:textId="77777777" w:rsidR="00EA569C" w:rsidRPr="008C1786" w:rsidRDefault="00EA569C" w:rsidP="00310535">
            <w:pPr>
              <w:spacing w:before="138" w:line="360" w:lineRule="auto"/>
              <w:ind w:left="360" w:right="346"/>
              <w:rPr>
                <w:b/>
                <w:bCs/>
                <w:sz w:val="24"/>
                <w:szCs w:val="24"/>
              </w:rPr>
            </w:pPr>
            <w:r w:rsidRPr="008C1786">
              <w:rPr>
                <w:b/>
                <w:bCs/>
                <w:sz w:val="24"/>
                <w:szCs w:val="24"/>
              </w:rPr>
              <w:t>2,000</w:t>
            </w:r>
          </w:p>
        </w:tc>
        <w:tc>
          <w:tcPr>
            <w:tcW w:w="0" w:type="auto"/>
            <w:tcMar>
              <w:top w:w="137" w:type="dxa"/>
              <w:left w:w="15" w:type="dxa"/>
              <w:bottom w:w="137" w:type="dxa"/>
              <w:right w:w="15" w:type="dxa"/>
            </w:tcMar>
            <w:vAlign w:val="bottom"/>
            <w:hideMark/>
          </w:tcPr>
          <w:p w14:paraId="6371C083" w14:textId="77777777" w:rsidR="00EA569C" w:rsidRPr="008C1786" w:rsidRDefault="00EA569C" w:rsidP="00310535">
            <w:pPr>
              <w:spacing w:before="138" w:line="360" w:lineRule="auto"/>
              <w:ind w:left="360" w:right="346"/>
              <w:rPr>
                <w:b/>
                <w:bCs/>
                <w:sz w:val="24"/>
                <w:szCs w:val="24"/>
              </w:rPr>
            </w:pPr>
            <w:r w:rsidRPr="008C1786">
              <w:rPr>
                <w:b/>
                <w:bCs/>
                <w:sz w:val="24"/>
                <w:szCs w:val="24"/>
              </w:rPr>
              <w:t>0.75</w:t>
            </w:r>
          </w:p>
        </w:tc>
        <w:tc>
          <w:tcPr>
            <w:tcW w:w="0" w:type="auto"/>
            <w:tcMar>
              <w:top w:w="137" w:type="dxa"/>
              <w:left w:w="15" w:type="dxa"/>
              <w:bottom w:w="137" w:type="dxa"/>
              <w:right w:w="15" w:type="dxa"/>
            </w:tcMar>
            <w:vAlign w:val="bottom"/>
            <w:hideMark/>
          </w:tcPr>
          <w:p w14:paraId="1DF35788" w14:textId="77777777" w:rsidR="00EA569C" w:rsidRPr="008C1786" w:rsidRDefault="00EA569C" w:rsidP="00310535">
            <w:pPr>
              <w:spacing w:before="138" w:line="360" w:lineRule="auto"/>
              <w:ind w:left="360" w:right="346"/>
              <w:rPr>
                <w:b/>
                <w:bCs/>
                <w:sz w:val="24"/>
                <w:szCs w:val="24"/>
              </w:rPr>
            </w:pPr>
            <w:r w:rsidRPr="008C1786">
              <w:rPr>
                <w:b/>
                <w:bCs/>
                <w:sz w:val="24"/>
                <w:szCs w:val="24"/>
              </w:rPr>
              <w:t>1,500,000</w:t>
            </w:r>
          </w:p>
        </w:tc>
        <w:tc>
          <w:tcPr>
            <w:tcW w:w="0" w:type="auto"/>
            <w:tcMar>
              <w:top w:w="137" w:type="dxa"/>
              <w:left w:w="15" w:type="dxa"/>
              <w:bottom w:w="137" w:type="dxa"/>
              <w:right w:w="15" w:type="dxa"/>
            </w:tcMar>
            <w:vAlign w:val="bottom"/>
            <w:hideMark/>
          </w:tcPr>
          <w:p w14:paraId="1B71AC23" w14:textId="77777777" w:rsidR="00EA569C" w:rsidRPr="008C1786" w:rsidRDefault="00EA569C" w:rsidP="00310535">
            <w:pPr>
              <w:spacing w:before="138" w:line="360" w:lineRule="auto"/>
              <w:ind w:left="360" w:right="346"/>
              <w:rPr>
                <w:b/>
                <w:bCs/>
                <w:sz w:val="24"/>
                <w:szCs w:val="24"/>
              </w:rPr>
            </w:pPr>
            <w:r w:rsidRPr="008C1786">
              <w:rPr>
                <w:b/>
                <w:bCs/>
                <w:sz w:val="24"/>
                <w:szCs w:val="24"/>
              </w:rPr>
              <w:t>4,800</w:t>
            </w:r>
          </w:p>
        </w:tc>
        <w:tc>
          <w:tcPr>
            <w:tcW w:w="0" w:type="auto"/>
            <w:tcMar>
              <w:top w:w="137" w:type="dxa"/>
              <w:left w:w="15" w:type="dxa"/>
              <w:bottom w:w="137" w:type="dxa"/>
              <w:right w:w="15" w:type="dxa"/>
            </w:tcMar>
            <w:vAlign w:val="bottom"/>
            <w:hideMark/>
          </w:tcPr>
          <w:p w14:paraId="72E5893D" w14:textId="77777777" w:rsidR="00EA569C" w:rsidRPr="008C1786" w:rsidRDefault="00EA569C" w:rsidP="00310535">
            <w:pPr>
              <w:spacing w:before="138" w:line="360" w:lineRule="auto"/>
              <w:ind w:left="360" w:right="346"/>
              <w:rPr>
                <w:b/>
                <w:bCs/>
                <w:sz w:val="24"/>
                <w:szCs w:val="24"/>
              </w:rPr>
            </w:pPr>
            <w:r w:rsidRPr="008C1786">
              <w:rPr>
                <w:b/>
                <w:bCs/>
                <w:sz w:val="24"/>
                <w:szCs w:val="24"/>
              </w:rPr>
              <w:t>12,000</w:t>
            </w:r>
          </w:p>
        </w:tc>
      </w:tr>
    </w:tbl>
    <w:p w14:paraId="4AA28C95" w14:textId="6C6B568F" w:rsidR="00454290" w:rsidRDefault="00454290" w:rsidP="00310535">
      <w:pPr>
        <w:pStyle w:val="BodyText"/>
        <w:spacing w:before="138"/>
        <w:ind w:left="360" w:right="346"/>
        <w:rPr>
          <w:b/>
        </w:rPr>
      </w:pPr>
    </w:p>
    <w:p w14:paraId="30FB60BC" w14:textId="61B120DB" w:rsidR="00003EF3" w:rsidRDefault="00003EF3" w:rsidP="00BA5F35">
      <w:pPr>
        <w:tabs>
          <w:tab w:val="left" w:pos="5205"/>
        </w:tabs>
        <w:spacing w:before="138" w:line="360" w:lineRule="auto"/>
        <w:ind w:left="360" w:right="346" w:firstLine="720"/>
        <w:rPr>
          <w:b/>
          <w:bCs/>
          <w:sz w:val="24"/>
          <w:szCs w:val="24"/>
        </w:rPr>
      </w:pPr>
      <w:r w:rsidRPr="008C1786">
        <w:rPr>
          <w:b/>
          <w:bCs/>
          <w:sz w:val="24"/>
          <w:szCs w:val="24"/>
        </w:rPr>
        <w:t xml:space="preserve">TABLE </w:t>
      </w:r>
      <w:r>
        <w:rPr>
          <w:b/>
          <w:bCs/>
          <w:sz w:val="24"/>
          <w:szCs w:val="24"/>
        </w:rPr>
        <w:t>2</w:t>
      </w:r>
      <w:r w:rsidRPr="008C1786">
        <w:rPr>
          <w:b/>
          <w:bCs/>
          <w:sz w:val="24"/>
          <w:szCs w:val="24"/>
        </w:rPr>
        <w:t>. OLS Regression Results</w:t>
      </w:r>
      <w:r w:rsidR="00BA5F35">
        <w:rPr>
          <w:b/>
          <w:bCs/>
          <w:sz w:val="24"/>
          <w:szCs w:val="24"/>
        </w:rPr>
        <w:tab/>
      </w:r>
    </w:p>
    <w:tbl>
      <w:tblPr>
        <w:tblW w:w="11089" w:type="dxa"/>
        <w:tblCellSpacing w:w="15" w:type="dxa"/>
        <w:tblInd w:w="197"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592"/>
        <w:gridCol w:w="1190"/>
        <w:gridCol w:w="1137"/>
        <w:gridCol w:w="787"/>
        <w:gridCol w:w="831"/>
        <w:gridCol w:w="3552"/>
      </w:tblGrid>
      <w:tr w:rsidR="00BA5F35" w:rsidRPr="008C1786" w14:paraId="743D8E40" w14:textId="77777777" w:rsidTr="00430AA1">
        <w:trPr>
          <w:tblHeader/>
          <w:tblCellSpacing w:w="15" w:type="dxa"/>
        </w:trPr>
        <w:tc>
          <w:tcPr>
            <w:tcW w:w="0" w:type="auto"/>
            <w:vAlign w:val="center"/>
            <w:hideMark/>
          </w:tcPr>
          <w:p w14:paraId="21F6D04A" w14:textId="77777777" w:rsidR="00BA5F35" w:rsidRPr="008C1786" w:rsidRDefault="00BA5F35" w:rsidP="00430AA1">
            <w:pPr>
              <w:spacing w:line="360" w:lineRule="auto"/>
              <w:rPr>
                <w:b/>
                <w:bCs/>
                <w:sz w:val="24"/>
                <w:szCs w:val="24"/>
              </w:rPr>
            </w:pPr>
            <w:r w:rsidRPr="008C1786">
              <w:rPr>
                <w:b/>
                <w:bCs/>
                <w:sz w:val="24"/>
                <w:szCs w:val="24"/>
              </w:rPr>
              <w:t>Predictor</w:t>
            </w:r>
          </w:p>
        </w:tc>
        <w:tc>
          <w:tcPr>
            <w:tcW w:w="0" w:type="auto"/>
            <w:tcBorders>
              <w:left w:val="single" w:sz="4" w:space="0" w:color="auto"/>
            </w:tcBorders>
            <w:vAlign w:val="center"/>
            <w:hideMark/>
          </w:tcPr>
          <w:p w14:paraId="14A173FD" w14:textId="77777777" w:rsidR="00BA5F35" w:rsidRPr="008C1786" w:rsidRDefault="00BA5F35" w:rsidP="00430AA1">
            <w:pPr>
              <w:spacing w:line="360" w:lineRule="auto"/>
              <w:rPr>
                <w:b/>
                <w:bCs/>
                <w:sz w:val="24"/>
                <w:szCs w:val="24"/>
              </w:rPr>
            </w:pPr>
            <w:r w:rsidRPr="008C1786">
              <w:rPr>
                <w:b/>
                <w:bCs/>
                <w:sz w:val="24"/>
                <w:szCs w:val="24"/>
              </w:rPr>
              <w:t>Coefficient</w:t>
            </w:r>
          </w:p>
        </w:tc>
        <w:tc>
          <w:tcPr>
            <w:tcW w:w="0" w:type="auto"/>
            <w:tcBorders>
              <w:left w:val="single" w:sz="4" w:space="0" w:color="auto"/>
            </w:tcBorders>
            <w:vAlign w:val="center"/>
            <w:hideMark/>
          </w:tcPr>
          <w:p w14:paraId="10EB60DE" w14:textId="77777777" w:rsidR="00BA5F35" w:rsidRPr="008C1786" w:rsidRDefault="00BA5F35" w:rsidP="00430AA1">
            <w:pPr>
              <w:spacing w:line="360" w:lineRule="auto"/>
              <w:rPr>
                <w:b/>
                <w:bCs/>
                <w:sz w:val="24"/>
                <w:szCs w:val="24"/>
              </w:rPr>
            </w:pPr>
            <w:r w:rsidRPr="008C1786">
              <w:rPr>
                <w:b/>
                <w:bCs/>
                <w:sz w:val="24"/>
                <w:szCs w:val="24"/>
              </w:rPr>
              <w:t>Std. Error</w:t>
            </w:r>
          </w:p>
        </w:tc>
        <w:tc>
          <w:tcPr>
            <w:tcW w:w="0" w:type="auto"/>
            <w:tcBorders>
              <w:left w:val="single" w:sz="4" w:space="0" w:color="auto"/>
              <w:right w:val="single" w:sz="4" w:space="0" w:color="auto"/>
            </w:tcBorders>
            <w:vAlign w:val="center"/>
            <w:hideMark/>
          </w:tcPr>
          <w:p w14:paraId="30EFE1B7" w14:textId="77777777" w:rsidR="00BA5F35" w:rsidRPr="008C1786" w:rsidRDefault="00BA5F35" w:rsidP="00430AA1">
            <w:pPr>
              <w:spacing w:line="360" w:lineRule="auto"/>
              <w:rPr>
                <w:b/>
                <w:bCs/>
                <w:sz w:val="24"/>
                <w:szCs w:val="24"/>
              </w:rPr>
            </w:pPr>
            <w:r w:rsidRPr="008C1786">
              <w:rPr>
                <w:b/>
                <w:bCs/>
                <w:sz w:val="24"/>
                <w:szCs w:val="24"/>
              </w:rPr>
              <w:t>t-value</w:t>
            </w:r>
          </w:p>
        </w:tc>
        <w:tc>
          <w:tcPr>
            <w:tcW w:w="0" w:type="auto"/>
            <w:tcBorders>
              <w:right w:val="single" w:sz="4" w:space="0" w:color="auto"/>
            </w:tcBorders>
            <w:vAlign w:val="center"/>
            <w:hideMark/>
          </w:tcPr>
          <w:p w14:paraId="7DB304BD" w14:textId="77777777" w:rsidR="00BA5F35" w:rsidRPr="008C1786" w:rsidRDefault="00BA5F35" w:rsidP="00430AA1">
            <w:pPr>
              <w:spacing w:line="360" w:lineRule="auto"/>
              <w:rPr>
                <w:b/>
                <w:bCs/>
                <w:sz w:val="24"/>
                <w:szCs w:val="24"/>
              </w:rPr>
            </w:pPr>
            <w:r w:rsidRPr="008C1786">
              <w:rPr>
                <w:b/>
                <w:bCs/>
                <w:sz w:val="24"/>
                <w:szCs w:val="24"/>
              </w:rPr>
              <w:t>p-value</w:t>
            </w:r>
          </w:p>
        </w:tc>
        <w:tc>
          <w:tcPr>
            <w:tcW w:w="0" w:type="auto"/>
            <w:vAlign w:val="center"/>
            <w:hideMark/>
          </w:tcPr>
          <w:p w14:paraId="57C9D001" w14:textId="77777777" w:rsidR="00BA5F35" w:rsidRPr="008C1786" w:rsidRDefault="00BA5F35" w:rsidP="00430AA1">
            <w:pPr>
              <w:spacing w:line="360" w:lineRule="auto"/>
              <w:rPr>
                <w:b/>
                <w:bCs/>
                <w:sz w:val="24"/>
                <w:szCs w:val="24"/>
              </w:rPr>
            </w:pPr>
            <w:r w:rsidRPr="008C1786">
              <w:rPr>
                <w:b/>
                <w:bCs/>
                <w:sz w:val="24"/>
                <w:szCs w:val="24"/>
              </w:rPr>
              <w:t>[0.025, 0.975] Confidence Interval</w:t>
            </w:r>
          </w:p>
        </w:tc>
      </w:tr>
      <w:tr w:rsidR="00BA5F35" w:rsidRPr="008C1786" w14:paraId="3AD2A551" w14:textId="77777777" w:rsidTr="00430AA1">
        <w:trPr>
          <w:tblCellSpacing w:w="15" w:type="dxa"/>
        </w:trPr>
        <w:tc>
          <w:tcPr>
            <w:tcW w:w="0" w:type="auto"/>
            <w:tcBorders>
              <w:top w:val="single" w:sz="4" w:space="0" w:color="auto"/>
              <w:bottom w:val="single" w:sz="4" w:space="0" w:color="auto"/>
            </w:tcBorders>
            <w:vAlign w:val="center"/>
            <w:hideMark/>
          </w:tcPr>
          <w:p w14:paraId="78872FEC" w14:textId="77777777" w:rsidR="00BA5F35" w:rsidRPr="008C1786" w:rsidRDefault="00BA5F35" w:rsidP="00430AA1">
            <w:pPr>
              <w:spacing w:line="360" w:lineRule="auto"/>
              <w:rPr>
                <w:sz w:val="24"/>
                <w:szCs w:val="24"/>
              </w:rPr>
            </w:pPr>
            <w:r w:rsidRPr="008C1786">
              <w:rPr>
                <w:sz w:val="24"/>
                <w:szCs w:val="24"/>
              </w:rPr>
              <w:t>Constant</w:t>
            </w:r>
          </w:p>
        </w:tc>
        <w:tc>
          <w:tcPr>
            <w:tcW w:w="0" w:type="auto"/>
            <w:tcBorders>
              <w:top w:val="single" w:sz="4" w:space="0" w:color="auto"/>
              <w:left w:val="single" w:sz="4" w:space="0" w:color="auto"/>
              <w:bottom w:val="single" w:sz="4" w:space="0" w:color="auto"/>
            </w:tcBorders>
            <w:vAlign w:val="center"/>
            <w:hideMark/>
          </w:tcPr>
          <w:p w14:paraId="7546688B" w14:textId="77777777" w:rsidR="00BA5F35" w:rsidRPr="008C1786" w:rsidRDefault="00BA5F35" w:rsidP="00430AA1">
            <w:pPr>
              <w:spacing w:line="360" w:lineRule="auto"/>
              <w:rPr>
                <w:sz w:val="24"/>
                <w:szCs w:val="24"/>
              </w:rPr>
            </w:pPr>
            <w:r w:rsidRPr="008C1786">
              <w:rPr>
                <w:sz w:val="24"/>
                <w:szCs w:val="24"/>
              </w:rPr>
              <w:t>4.25e+05</w:t>
            </w:r>
          </w:p>
        </w:tc>
        <w:tc>
          <w:tcPr>
            <w:tcW w:w="0" w:type="auto"/>
            <w:tcBorders>
              <w:top w:val="single" w:sz="4" w:space="0" w:color="auto"/>
              <w:left w:val="single" w:sz="4" w:space="0" w:color="auto"/>
              <w:bottom w:val="single" w:sz="4" w:space="0" w:color="auto"/>
            </w:tcBorders>
            <w:vAlign w:val="center"/>
            <w:hideMark/>
          </w:tcPr>
          <w:p w14:paraId="2925876C" w14:textId="77777777" w:rsidR="00BA5F35" w:rsidRPr="008C1786" w:rsidRDefault="00BA5F35" w:rsidP="00430AA1">
            <w:pPr>
              <w:spacing w:line="360" w:lineRule="auto"/>
              <w:rPr>
                <w:sz w:val="24"/>
                <w:szCs w:val="24"/>
              </w:rPr>
            </w:pPr>
            <w:r w:rsidRPr="008C1786">
              <w:rPr>
                <w:sz w:val="24"/>
                <w:szCs w:val="24"/>
              </w:rPr>
              <w:t>3.85e+05</w:t>
            </w:r>
          </w:p>
        </w:tc>
        <w:tc>
          <w:tcPr>
            <w:tcW w:w="0" w:type="auto"/>
            <w:tcBorders>
              <w:top w:val="single" w:sz="4" w:space="0" w:color="auto"/>
              <w:left w:val="single" w:sz="4" w:space="0" w:color="auto"/>
              <w:bottom w:val="single" w:sz="4" w:space="0" w:color="auto"/>
              <w:right w:val="single" w:sz="4" w:space="0" w:color="auto"/>
            </w:tcBorders>
            <w:vAlign w:val="center"/>
            <w:hideMark/>
          </w:tcPr>
          <w:p w14:paraId="1FC8F581" w14:textId="77777777" w:rsidR="00BA5F35" w:rsidRPr="008C1786" w:rsidRDefault="00BA5F35" w:rsidP="00430AA1">
            <w:pPr>
              <w:spacing w:line="360" w:lineRule="auto"/>
              <w:rPr>
                <w:sz w:val="24"/>
                <w:szCs w:val="24"/>
              </w:rPr>
            </w:pPr>
            <w:r w:rsidRPr="008C1786">
              <w:rPr>
                <w:sz w:val="24"/>
                <w:szCs w:val="24"/>
              </w:rPr>
              <w:t>1.104</w:t>
            </w:r>
          </w:p>
        </w:tc>
        <w:tc>
          <w:tcPr>
            <w:tcW w:w="0" w:type="auto"/>
            <w:tcBorders>
              <w:top w:val="single" w:sz="4" w:space="0" w:color="auto"/>
              <w:bottom w:val="single" w:sz="4" w:space="0" w:color="auto"/>
              <w:right w:val="single" w:sz="4" w:space="0" w:color="auto"/>
            </w:tcBorders>
            <w:vAlign w:val="center"/>
            <w:hideMark/>
          </w:tcPr>
          <w:p w14:paraId="7B7F2356" w14:textId="77777777" w:rsidR="00BA5F35" w:rsidRPr="008C1786" w:rsidRDefault="00BA5F35" w:rsidP="00430AA1">
            <w:pPr>
              <w:spacing w:line="360" w:lineRule="auto"/>
              <w:rPr>
                <w:sz w:val="24"/>
                <w:szCs w:val="24"/>
              </w:rPr>
            </w:pPr>
            <w:r w:rsidRPr="008C1786">
              <w:rPr>
                <w:sz w:val="24"/>
                <w:szCs w:val="24"/>
              </w:rPr>
              <w:t>0.350</w:t>
            </w:r>
          </w:p>
        </w:tc>
        <w:tc>
          <w:tcPr>
            <w:tcW w:w="0" w:type="auto"/>
            <w:tcBorders>
              <w:top w:val="single" w:sz="4" w:space="0" w:color="auto"/>
              <w:bottom w:val="single" w:sz="4" w:space="0" w:color="auto"/>
            </w:tcBorders>
            <w:vAlign w:val="center"/>
            <w:hideMark/>
          </w:tcPr>
          <w:p w14:paraId="577B9366" w14:textId="77777777" w:rsidR="00BA5F35" w:rsidRPr="008C1786" w:rsidRDefault="00BA5F35" w:rsidP="00430AA1">
            <w:pPr>
              <w:spacing w:line="360" w:lineRule="auto"/>
              <w:rPr>
                <w:sz w:val="24"/>
                <w:szCs w:val="24"/>
              </w:rPr>
            </w:pPr>
            <w:r w:rsidRPr="008C1786">
              <w:rPr>
                <w:sz w:val="24"/>
                <w:szCs w:val="24"/>
              </w:rPr>
              <w:t>[-8.01e+05, 1.65e+06]</w:t>
            </w:r>
          </w:p>
        </w:tc>
      </w:tr>
      <w:tr w:rsidR="00BA5F35" w:rsidRPr="008C1786" w14:paraId="1C4AC232" w14:textId="77777777" w:rsidTr="00430AA1">
        <w:trPr>
          <w:tblCellSpacing w:w="15" w:type="dxa"/>
        </w:trPr>
        <w:tc>
          <w:tcPr>
            <w:tcW w:w="0" w:type="auto"/>
            <w:tcBorders>
              <w:bottom w:val="single" w:sz="4" w:space="0" w:color="auto"/>
            </w:tcBorders>
            <w:vAlign w:val="center"/>
            <w:hideMark/>
          </w:tcPr>
          <w:p w14:paraId="3E1CF888" w14:textId="77777777" w:rsidR="00BA5F35" w:rsidRPr="008C1786" w:rsidRDefault="00BA5F35" w:rsidP="00430AA1">
            <w:pPr>
              <w:spacing w:line="360" w:lineRule="auto"/>
              <w:rPr>
                <w:sz w:val="24"/>
                <w:szCs w:val="24"/>
              </w:rPr>
            </w:pPr>
            <w:r w:rsidRPr="008C1786">
              <w:rPr>
                <w:sz w:val="24"/>
                <w:szCs w:val="24"/>
              </w:rPr>
              <w:t>Production_Volume_tons</w:t>
            </w:r>
          </w:p>
        </w:tc>
        <w:tc>
          <w:tcPr>
            <w:tcW w:w="0" w:type="auto"/>
            <w:tcBorders>
              <w:left w:val="single" w:sz="4" w:space="0" w:color="auto"/>
              <w:bottom w:val="single" w:sz="4" w:space="0" w:color="auto"/>
            </w:tcBorders>
            <w:vAlign w:val="center"/>
            <w:hideMark/>
          </w:tcPr>
          <w:p w14:paraId="787746A7" w14:textId="77777777" w:rsidR="00BA5F35" w:rsidRPr="008C1786" w:rsidRDefault="00BA5F35" w:rsidP="00430AA1">
            <w:pPr>
              <w:spacing w:line="360" w:lineRule="auto"/>
              <w:rPr>
                <w:sz w:val="24"/>
                <w:szCs w:val="24"/>
              </w:rPr>
            </w:pPr>
            <w:r w:rsidRPr="008C1786">
              <w:rPr>
                <w:sz w:val="24"/>
                <w:szCs w:val="24"/>
              </w:rPr>
              <w:t>25.7250</w:t>
            </w:r>
          </w:p>
        </w:tc>
        <w:tc>
          <w:tcPr>
            <w:tcW w:w="0" w:type="auto"/>
            <w:tcBorders>
              <w:left w:val="single" w:sz="4" w:space="0" w:color="auto"/>
              <w:bottom w:val="single" w:sz="4" w:space="0" w:color="auto"/>
            </w:tcBorders>
            <w:vAlign w:val="center"/>
            <w:hideMark/>
          </w:tcPr>
          <w:p w14:paraId="12DE7F4A" w14:textId="77777777" w:rsidR="00BA5F35" w:rsidRPr="008C1786" w:rsidRDefault="00BA5F35" w:rsidP="00430AA1">
            <w:pPr>
              <w:spacing w:line="360" w:lineRule="auto"/>
              <w:rPr>
                <w:sz w:val="24"/>
                <w:szCs w:val="24"/>
              </w:rPr>
            </w:pPr>
            <w:r w:rsidRPr="008C1786">
              <w:rPr>
                <w:sz w:val="24"/>
                <w:szCs w:val="24"/>
              </w:rPr>
              <w:t>3.661</w:t>
            </w:r>
          </w:p>
        </w:tc>
        <w:tc>
          <w:tcPr>
            <w:tcW w:w="0" w:type="auto"/>
            <w:tcBorders>
              <w:left w:val="single" w:sz="4" w:space="0" w:color="auto"/>
              <w:bottom w:val="single" w:sz="4" w:space="0" w:color="auto"/>
              <w:right w:val="single" w:sz="4" w:space="0" w:color="auto"/>
            </w:tcBorders>
            <w:vAlign w:val="center"/>
            <w:hideMark/>
          </w:tcPr>
          <w:p w14:paraId="7CC5EEDB" w14:textId="77777777" w:rsidR="00BA5F35" w:rsidRPr="008C1786" w:rsidRDefault="00BA5F35" w:rsidP="00430AA1">
            <w:pPr>
              <w:spacing w:line="360" w:lineRule="auto"/>
              <w:rPr>
                <w:sz w:val="24"/>
                <w:szCs w:val="24"/>
              </w:rPr>
            </w:pPr>
            <w:r w:rsidRPr="008C1786">
              <w:rPr>
                <w:sz w:val="24"/>
                <w:szCs w:val="24"/>
              </w:rPr>
              <w:t>7.028</w:t>
            </w:r>
          </w:p>
        </w:tc>
        <w:tc>
          <w:tcPr>
            <w:tcW w:w="0" w:type="auto"/>
            <w:tcBorders>
              <w:bottom w:val="single" w:sz="4" w:space="0" w:color="auto"/>
              <w:right w:val="single" w:sz="4" w:space="0" w:color="auto"/>
            </w:tcBorders>
            <w:vAlign w:val="center"/>
            <w:hideMark/>
          </w:tcPr>
          <w:p w14:paraId="50693182" w14:textId="77777777" w:rsidR="00BA5F35" w:rsidRPr="008C1786" w:rsidRDefault="00BA5F35" w:rsidP="00430AA1">
            <w:pPr>
              <w:spacing w:line="360" w:lineRule="auto"/>
              <w:rPr>
                <w:sz w:val="24"/>
                <w:szCs w:val="24"/>
              </w:rPr>
            </w:pPr>
            <w:r w:rsidRPr="008C1786">
              <w:rPr>
                <w:sz w:val="24"/>
                <w:szCs w:val="24"/>
              </w:rPr>
              <w:t>0.006</w:t>
            </w:r>
          </w:p>
        </w:tc>
        <w:tc>
          <w:tcPr>
            <w:tcW w:w="0" w:type="auto"/>
            <w:tcBorders>
              <w:bottom w:val="single" w:sz="4" w:space="0" w:color="auto"/>
            </w:tcBorders>
            <w:vAlign w:val="center"/>
            <w:hideMark/>
          </w:tcPr>
          <w:p w14:paraId="6E9D1C12" w14:textId="77777777" w:rsidR="00BA5F35" w:rsidRPr="008C1786" w:rsidRDefault="00BA5F35" w:rsidP="00430AA1">
            <w:pPr>
              <w:spacing w:line="360" w:lineRule="auto"/>
              <w:rPr>
                <w:sz w:val="24"/>
                <w:szCs w:val="24"/>
              </w:rPr>
            </w:pPr>
            <w:r w:rsidRPr="008C1786">
              <w:rPr>
                <w:sz w:val="24"/>
                <w:szCs w:val="24"/>
              </w:rPr>
              <w:t>[14.076, 37.374]</w:t>
            </w:r>
          </w:p>
        </w:tc>
      </w:tr>
      <w:tr w:rsidR="00BA5F35" w:rsidRPr="008C1786" w14:paraId="60E7E856" w14:textId="77777777" w:rsidTr="00430AA1">
        <w:trPr>
          <w:tblCellSpacing w:w="15" w:type="dxa"/>
        </w:trPr>
        <w:tc>
          <w:tcPr>
            <w:tcW w:w="0" w:type="auto"/>
            <w:vAlign w:val="center"/>
            <w:hideMark/>
          </w:tcPr>
          <w:p w14:paraId="7B08C21D" w14:textId="77777777" w:rsidR="00BA5F35" w:rsidRPr="008C1786" w:rsidRDefault="00BA5F35" w:rsidP="00430AA1">
            <w:pPr>
              <w:spacing w:line="360" w:lineRule="auto"/>
              <w:rPr>
                <w:sz w:val="24"/>
                <w:szCs w:val="24"/>
              </w:rPr>
            </w:pPr>
            <w:r w:rsidRPr="008C1786">
              <w:rPr>
                <w:sz w:val="24"/>
                <w:szCs w:val="24"/>
              </w:rPr>
              <w:t>Market_Price_per_kg</w:t>
            </w:r>
          </w:p>
        </w:tc>
        <w:tc>
          <w:tcPr>
            <w:tcW w:w="0" w:type="auto"/>
            <w:tcBorders>
              <w:left w:val="single" w:sz="4" w:space="0" w:color="auto"/>
            </w:tcBorders>
            <w:vAlign w:val="center"/>
            <w:hideMark/>
          </w:tcPr>
          <w:p w14:paraId="1A0BDD74" w14:textId="77777777" w:rsidR="00BA5F35" w:rsidRPr="008C1786" w:rsidRDefault="00BA5F35" w:rsidP="00430AA1">
            <w:pPr>
              <w:spacing w:line="360" w:lineRule="auto"/>
              <w:rPr>
                <w:sz w:val="24"/>
                <w:szCs w:val="24"/>
              </w:rPr>
            </w:pPr>
            <w:r w:rsidRPr="008C1786">
              <w:rPr>
                <w:sz w:val="24"/>
                <w:szCs w:val="24"/>
              </w:rPr>
              <w:t>-1.5e+06</w:t>
            </w:r>
          </w:p>
        </w:tc>
        <w:tc>
          <w:tcPr>
            <w:tcW w:w="0" w:type="auto"/>
            <w:tcBorders>
              <w:left w:val="single" w:sz="4" w:space="0" w:color="auto"/>
            </w:tcBorders>
            <w:vAlign w:val="center"/>
            <w:hideMark/>
          </w:tcPr>
          <w:p w14:paraId="543B7BFD" w14:textId="77777777" w:rsidR="00BA5F35" w:rsidRPr="008C1786" w:rsidRDefault="00BA5F35" w:rsidP="00430AA1">
            <w:pPr>
              <w:spacing w:line="360" w:lineRule="auto"/>
              <w:rPr>
                <w:sz w:val="24"/>
                <w:szCs w:val="24"/>
              </w:rPr>
            </w:pPr>
            <w:r w:rsidRPr="008C1786">
              <w:rPr>
                <w:sz w:val="24"/>
                <w:szCs w:val="24"/>
              </w:rPr>
              <w:t>9.04e+05</w:t>
            </w:r>
          </w:p>
        </w:tc>
        <w:tc>
          <w:tcPr>
            <w:tcW w:w="0" w:type="auto"/>
            <w:tcBorders>
              <w:left w:val="single" w:sz="4" w:space="0" w:color="auto"/>
              <w:right w:val="single" w:sz="4" w:space="0" w:color="auto"/>
            </w:tcBorders>
            <w:vAlign w:val="center"/>
            <w:hideMark/>
          </w:tcPr>
          <w:p w14:paraId="09107261" w14:textId="77777777" w:rsidR="00BA5F35" w:rsidRPr="008C1786" w:rsidRDefault="00BA5F35" w:rsidP="00430AA1">
            <w:pPr>
              <w:spacing w:line="360" w:lineRule="auto"/>
              <w:rPr>
                <w:sz w:val="24"/>
                <w:szCs w:val="24"/>
              </w:rPr>
            </w:pPr>
            <w:r w:rsidRPr="008C1786">
              <w:rPr>
                <w:sz w:val="24"/>
                <w:szCs w:val="24"/>
              </w:rPr>
              <w:t>-1.660</w:t>
            </w:r>
          </w:p>
        </w:tc>
        <w:tc>
          <w:tcPr>
            <w:tcW w:w="0" w:type="auto"/>
            <w:tcBorders>
              <w:right w:val="single" w:sz="4" w:space="0" w:color="auto"/>
            </w:tcBorders>
            <w:vAlign w:val="center"/>
            <w:hideMark/>
          </w:tcPr>
          <w:p w14:paraId="5700A211" w14:textId="77777777" w:rsidR="00BA5F35" w:rsidRPr="008C1786" w:rsidRDefault="00BA5F35" w:rsidP="00430AA1">
            <w:pPr>
              <w:spacing w:line="360" w:lineRule="auto"/>
              <w:rPr>
                <w:sz w:val="24"/>
                <w:szCs w:val="24"/>
              </w:rPr>
            </w:pPr>
            <w:r w:rsidRPr="008C1786">
              <w:rPr>
                <w:sz w:val="24"/>
                <w:szCs w:val="24"/>
              </w:rPr>
              <w:t>0.196</w:t>
            </w:r>
          </w:p>
        </w:tc>
        <w:tc>
          <w:tcPr>
            <w:tcW w:w="0" w:type="auto"/>
            <w:vAlign w:val="center"/>
            <w:hideMark/>
          </w:tcPr>
          <w:p w14:paraId="4E56542C" w14:textId="77777777" w:rsidR="00BA5F35" w:rsidRPr="008C1786" w:rsidRDefault="00BA5F35" w:rsidP="00430AA1">
            <w:pPr>
              <w:spacing w:line="360" w:lineRule="auto"/>
              <w:rPr>
                <w:sz w:val="24"/>
                <w:szCs w:val="24"/>
              </w:rPr>
            </w:pPr>
            <w:r w:rsidRPr="008C1786">
              <w:rPr>
                <w:sz w:val="24"/>
                <w:szCs w:val="24"/>
              </w:rPr>
              <w:t>[-4.38e+06, 1.38e+06]</w:t>
            </w:r>
          </w:p>
        </w:tc>
      </w:tr>
      <w:tr w:rsidR="00BA5F35" w:rsidRPr="008C1786" w14:paraId="4F4DDE8E" w14:textId="77777777" w:rsidTr="00430AA1">
        <w:trPr>
          <w:tblCellSpacing w:w="15" w:type="dxa"/>
        </w:trPr>
        <w:tc>
          <w:tcPr>
            <w:tcW w:w="0" w:type="auto"/>
            <w:tcBorders>
              <w:top w:val="single" w:sz="4" w:space="0" w:color="auto"/>
            </w:tcBorders>
            <w:vAlign w:val="center"/>
            <w:hideMark/>
          </w:tcPr>
          <w:p w14:paraId="3BC9089A" w14:textId="77777777" w:rsidR="00BA5F35" w:rsidRPr="008C1786" w:rsidRDefault="00BA5F35" w:rsidP="00430AA1">
            <w:pPr>
              <w:spacing w:line="360" w:lineRule="auto"/>
              <w:rPr>
                <w:sz w:val="24"/>
                <w:szCs w:val="24"/>
              </w:rPr>
            </w:pPr>
            <w:r w:rsidRPr="008C1786">
              <w:rPr>
                <w:sz w:val="24"/>
                <w:szCs w:val="24"/>
              </w:rPr>
              <w:t>Landfill_Waste_Reduction_tons</w:t>
            </w:r>
          </w:p>
        </w:tc>
        <w:tc>
          <w:tcPr>
            <w:tcW w:w="0" w:type="auto"/>
            <w:tcBorders>
              <w:top w:val="single" w:sz="4" w:space="0" w:color="auto"/>
              <w:left w:val="single" w:sz="4" w:space="0" w:color="auto"/>
            </w:tcBorders>
            <w:vAlign w:val="center"/>
            <w:hideMark/>
          </w:tcPr>
          <w:p w14:paraId="2A5BE239" w14:textId="77777777" w:rsidR="00BA5F35" w:rsidRPr="008C1786" w:rsidRDefault="00BA5F35" w:rsidP="00430AA1">
            <w:pPr>
              <w:spacing w:line="360" w:lineRule="auto"/>
              <w:rPr>
                <w:sz w:val="24"/>
                <w:szCs w:val="24"/>
              </w:rPr>
            </w:pPr>
            <w:r w:rsidRPr="008C1786">
              <w:rPr>
                <w:sz w:val="24"/>
                <w:szCs w:val="24"/>
              </w:rPr>
              <w:t>61.7400</w:t>
            </w:r>
          </w:p>
        </w:tc>
        <w:tc>
          <w:tcPr>
            <w:tcW w:w="0" w:type="auto"/>
            <w:tcBorders>
              <w:top w:val="single" w:sz="4" w:space="0" w:color="auto"/>
              <w:left w:val="single" w:sz="4" w:space="0" w:color="auto"/>
            </w:tcBorders>
            <w:vAlign w:val="center"/>
            <w:hideMark/>
          </w:tcPr>
          <w:p w14:paraId="22027C3A" w14:textId="77777777" w:rsidR="00BA5F35" w:rsidRPr="008C1786" w:rsidRDefault="00BA5F35" w:rsidP="00430AA1">
            <w:pPr>
              <w:spacing w:line="360" w:lineRule="auto"/>
              <w:rPr>
                <w:sz w:val="24"/>
                <w:szCs w:val="24"/>
              </w:rPr>
            </w:pPr>
            <w:r w:rsidRPr="008C1786">
              <w:rPr>
                <w:sz w:val="24"/>
                <w:szCs w:val="24"/>
              </w:rPr>
              <w:t>8.785</w:t>
            </w:r>
          </w:p>
        </w:tc>
        <w:tc>
          <w:tcPr>
            <w:tcW w:w="0" w:type="auto"/>
            <w:tcBorders>
              <w:top w:val="single" w:sz="4" w:space="0" w:color="auto"/>
              <w:left w:val="single" w:sz="4" w:space="0" w:color="auto"/>
              <w:right w:val="single" w:sz="4" w:space="0" w:color="auto"/>
            </w:tcBorders>
            <w:vAlign w:val="center"/>
            <w:hideMark/>
          </w:tcPr>
          <w:p w14:paraId="5464768A" w14:textId="77777777" w:rsidR="00BA5F35" w:rsidRPr="008C1786" w:rsidRDefault="00BA5F35" w:rsidP="00430AA1">
            <w:pPr>
              <w:spacing w:line="360" w:lineRule="auto"/>
              <w:rPr>
                <w:sz w:val="24"/>
                <w:szCs w:val="24"/>
              </w:rPr>
            </w:pPr>
            <w:r w:rsidRPr="008C1786">
              <w:rPr>
                <w:sz w:val="24"/>
                <w:szCs w:val="24"/>
              </w:rPr>
              <w:t>7.028</w:t>
            </w:r>
          </w:p>
        </w:tc>
        <w:tc>
          <w:tcPr>
            <w:tcW w:w="0" w:type="auto"/>
            <w:tcBorders>
              <w:top w:val="single" w:sz="4" w:space="0" w:color="auto"/>
              <w:right w:val="single" w:sz="4" w:space="0" w:color="auto"/>
            </w:tcBorders>
            <w:vAlign w:val="center"/>
            <w:hideMark/>
          </w:tcPr>
          <w:p w14:paraId="2D247230" w14:textId="77777777" w:rsidR="00BA5F35" w:rsidRPr="008C1786" w:rsidRDefault="00BA5F35" w:rsidP="00430AA1">
            <w:pPr>
              <w:spacing w:line="360" w:lineRule="auto"/>
              <w:rPr>
                <w:sz w:val="24"/>
                <w:szCs w:val="24"/>
              </w:rPr>
            </w:pPr>
            <w:r w:rsidRPr="008C1786">
              <w:rPr>
                <w:sz w:val="24"/>
                <w:szCs w:val="24"/>
              </w:rPr>
              <w:t>0.006</w:t>
            </w:r>
          </w:p>
        </w:tc>
        <w:tc>
          <w:tcPr>
            <w:tcW w:w="0" w:type="auto"/>
            <w:tcBorders>
              <w:top w:val="single" w:sz="4" w:space="0" w:color="auto"/>
            </w:tcBorders>
            <w:vAlign w:val="center"/>
            <w:hideMark/>
          </w:tcPr>
          <w:p w14:paraId="6A3D5E0C" w14:textId="77777777" w:rsidR="00BA5F35" w:rsidRPr="008C1786" w:rsidRDefault="00BA5F35" w:rsidP="00430AA1">
            <w:pPr>
              <w:spacing w:line="360" w:lineRule="auto"/>
              <w:rPr>
                <w:sz w:val="24"/>
                <w:szCs w:val="24"/>
              </w:rPr>
            </w:pPr>
            <w:r w:rsidRPr="008C1786">
              <w:rPr>
                <w:sz w:val="24"/>
                <w:szCs w:val="24"/>
              </w:rPr>
              <w:t>[33.781, 89.699]</w:t>
            </w:r>
          </w:p>
        </w:tc>
      </w:tr>
      <w:tr w:rsidR="00BA5F35" w:rsidRPr="008C1786" w14:paraId="0869E770" w14:textId="77777777" w:rsidTr="00430AA1">
        <w:trPr>
          <w:tblCellSpacing w:w="15" w:type="dxa"/>
        </w:trPr>
        <w:tc>
          <w:tcPr>
            <w:tcW w:w="0" w:type="auto"/>
            <w:tcBorders>
              <w:top w:val="single" w:sz="4" w:space="0" w:color="auto"/>
              <w:bottom w:val="single" w:sz="4" w:space="0" w:color="auto"/>
            </w:tcBorders>
            <w:vAlign w:val="center"/>
            <w:hideMark/>
          </w:tcPr>
          <w:p w14:paraId="795FD283" w14:textId="77777777" w:rsidR="00BA5F35" w:rsidRPr="008C1786" w:rsidRDefault="00BA5F35" w:rsidP="00430AA1">
            <w:pPr>
              <w:spacing w:line="360" w:lineRule="auto"/>
              <w:rPr>
                <w:sz w:val="24"/>
                <w:szCs w:val="24"/>
              </w:rPr>
            </w:pPr>
            <w:r w:rsidRPr="008C1786">
              <w:rPr>
                <w:sz w:val="24"/>
                <w:szCs w:val="24"/>
              </w:rPr>
              <w:t>GHG_Emissions_Reduced_kgCO2e</w:t>
            </w:r>
          </w:p>
        </w:tc>
        <w:tc>
          <w:tcPr>
            <w:tcW w:w="0" w:type="auto"/>
            <w:tcBorders>
              <w:top w:val="single" w:sz="4" w:space="0" w:color="auto"/>
              <w:left w:val="single" w:sz="4" w:space="0" w:color="auto"/>
              <w:bottom w:val="single" w:sz="4" w:space="0" w:color="auto"/>
            </w:tcBorders>
            <w:vAlign w:val="center"/>
            <w:hideMark/>
          </w:tcPr>
          <w:p w14:paraId="6C1BDF20" w14:textId="77777777" w:rsidR="00BA5F35" w:rsidRPr="008C1786" w:rsidRDefault="00BA5F35" w:rsidP="00430AA1">
            <w:pPr>
              <w:spacing w:line="360" w:lineRule="auto"/>
              <w:rPr>
                <w:sz w:val="24"/>
                <w:szCs w:val="24"/>
              </w:rPr>
            </w:pPr>
            <w:r w:rsidRPr="008C1786">
              <w:rPr>
                <w:sz w:val="24"/>
                <w:szCs w:val="24"/>
              </w:rPr>
              <w:t>154.3499</w:t>
            </w:r>
          </w:p>
        </w:tc>
        <w:tc>
          <w:tcPr>
            <w:tcW w:w="0" w:type="auto"/>
            <w:tcBorders>
              <w:top w:val="single" w:sz="4" w:space="0" w:color="auto"/>
              <w:left w:val="single" w:sz="4" w:space="0" w:color="auto"/>
              <w:bottom w:val="single" w:sz="4" w:space="0" w:color="auto"/>
            </w:tcBorders>
            <w:vAlign w:val="center"/>
            <w:hideMark/>
          </w:tcPr>
          <w:p w14:paraId="044BD26E" w14:textId="77777777" w:rsidR="00BA5F35" w:rsidRPr="008C1786" w:rsidRDefault="00BA5F35" w:rsidP="00430AA1">
            <w:pPr>
              <w:spacing w:line="360" w:lineRule="auto"/>
              <w:rPr>
                <w:sz w:val="24"/>
                <w:szCs w:val="24"/>
              </w:rPr>
            </w:pPr>
            <w:r w:rsidRPr="008C1786">
              <w:rPr>
                <w:sz w:val="24"/>
                <w:szCs w:val="24"/>
              </w:rPr>
              <w:t>21.963</w:t>
            </w:r>
          </w:p>
        </w:tc>
        <w:tc>
          <w:tcPr>
            <w:tcW w:w="0" w:type="auto"/>
            <w:tcBorders>
              <w:top w:val="single" w:sz="4" w:space="0" w:color="auto"/>
              <w:left w:val="single" w:sz="4" w:space="0" w:color="auto"/>
              <w:bottom w:val="single" w:sz="4" w:space="0" w:color="auto"/>
              <w:right w:val="single" w:sz="4" w:space="0" w:color="auto"/>
            </w:tcBorders>
            <w:vAlign w:val="center"/>
            <w:hideMark/>
          </w:tcPr>
          <w:p w14:paraId="6BD4668D" w14:textId="77777777" w:rsidR="00BA5F35" w:rsidRPr="008C1786" w:rsidRDefault="00BA5F35" w:rsidP="00430AA1">
            <w:pPr>
              <w:spacing w:line="360" w:lineRule="auto"/>
              <w:rPr>
                <w:sz w:val="24"/>
                <w:szCs w:val="24"/>
              </w:rPr>
            </w:pPr>
            <w:r w:rsidRPr="008C1786">
              <w:rPr>
                <w:sz w:val="24"/>
                <w:szCs w:val="24"/>
              </w:rPr>
              <w:t>7.028</w:t>
            </w:r>
          </w:p>
        </w:tc>
        <w:tc>
          <w:tcPr>
            <w:tcW w:w="0" w:type="auto"/>
            <w:tcBorders>
              <w:top w:val="single" w:sz="4" w:space="0" w:color="auto"/>
              <w:bottom w:val="single" w:sz="4" w:space="0" w:color="auto"/>
              <w:right w:val="single" w:sz="4" w:space="0" w:color="auto"/>
            </w:tcBorders>
            <w:vAlign w:val="center"/>
            <w:hideMark/>
          </w:tcPr>
          <w:p w14:paraId="4E6F2FF3" w14:textId="77777777" w:rsidR="00BA5F35" w:rsidRPr="008C1786" w:rsidRDefault="00BA5F35" w:rsidP="00430AA1">
            <w:pPr>
              <w:spacing w:line="360" w:lineRule="auto"/>
              <w:rPr>
                <w:sz w:val="24"/>
                <w:szCs w:val="24"/>
              </w:rPr>
            </w:pPr>
            <w:r w:rsidRPr="008C1786">
              <w:rPr>
                <w:sz w:val="24"/>
                <w:szCs w:val="24"/>
              </w:rPr>
              <w:t>0.006</w:t>
            </w:r>
          </w:p>
        </w:tc>
        <w:tc>
          <w:tcPr>
            <w:tcW w:w="0" w:type="auto"/>
            <w:tcBorders>
              <w:top w:val="single" w:sz="4" w:space="0" w:color="auto"/>
              <w:bottom w:val="single" w:sz="4" w:space="0" w:color="auto"/>
            </w:tcBorders>
            <w:vAlign w:val="center"/>
            <w:hideMark/>
          </w:tcPr>
          <w:p w14:paraId="1A8F5984" w14:textId="77777777" w:rsidR="00BA5F35" w:rsidRPr="008C1786" w:rsidRDefault="00BA5F35" w:rsidP="00430AA1">
            <w:pPr>
              <w:spacing w:line="360" w:lineRule="auto"/>
              <w:rPr>
                <w:sz w:val="24"/>
                <w:szCs w:val="24"/>
              </w:rPr>
            </w:pPr>
            <w:r w:rsidRPr="008C1786">
              <w:rPr>
                <w:sz w:val="24"/>
                <w:szCs w:val="24"/>
              </w:rPr>
              <w:t>[84.453, 224.247]</w:t>
            </w:r>
          </w:p>
        </w:tc>
      </w:tr>
      <w:tr w:rsidR="00BA5F35" w:rsidRPr="008C1786" w14:paraId="764D65AC" w14:textId="77777777" w:rsidTr="00430AA1">
        <w:tblPrEx>
          <w:tblCellSpacing w:w="0" w:type="nil"/>
          <w:tblBorders>
            <w:left w:val="none" w:sz="0" w:space="0" w:color="auto"/>
            <w:bottom w:val="none" w:sz="0" w:space="0" w:color="auto"/>
            <w:right w:val="none" w:sz="0" w:space="0" w:color="auto"/>
          </w:tblBorders>
          <w:tblCellMar>
            <w:top w:w="0" w:type="dxa"/>
            <w:left w:w="108" w:type="dxa"/>
            <w:bottom w:w="0" w:type="dxa"/>
            <w:right w:w="108" w:type="dxa"/>
          </w:tblCellMar>
          <w:tblLook w:val="0000" w:firstRow="0" w:lastRow="0" w:firstColumn="0" w:lastColumn="0" w:noHBand="0" w:noVBand="0"/>
        </w:tblPrEx>
        <w:trPr>
          <w:trHeight w:val="100"/>
        </w:trPr>
        <w:tc>
          <w:tcPr>
            <w:tcW w:w="11029" w:type="dxa"/>
            <w:gridSpan w:val="6"/>
          </w:tcPr>
          <w:p w14:paraId="61E055EE" w14:textId="77777777" w:rsidR="00BA5F35" w:rsidRPr="008C1786" w:rsidRDefault="00BA5F35" w:rsidP="00430AA1">
            <w:pPr>
              <w:spacing w:line="360" w:lineRule="auto"/>
              <w:rPr>
                <w:sz w:val="24"/>
                <w:szCs w:val="24"/>
              </w:rPr>
            </w:pPr>
          </w:p>
        </w:tc>
      </w:tr>
    </w:tbl>
    <w:p w14:paraId="3A49C7D4" w14:textId="77777777" w:rsidR="00003EF3" w:rsidRPr="00E4504B" w:rsidRDefault="00003EF3" w:rsidP="00A16BD2">
      <w:pPr>
        <w:pStyle w:val="BodyText"/>
        <w:spacing w:before="138"/>
        <w:ind w:right="346"/>
        <w:rPr>
          <w:b/>
        </w:rPr>
      </w:pPr>
    </w:p>
    <w:p w14:paraId="50CF80A4" w14:textId="77777777" w:rsidR="00454290" w:rsidRPr="00E4504B" w:rsidRDefault="00454290" w:rsidP="00310535">
      <w:pPr>
        <w:pStyle w:val="BodyText"/>
        <w:spacing w:before="138"/>
        <w:ind w:left="360" w:right="346"/>
        <w:rPr>
          <w:b/>
        </w:rPr>
      </w:pPr>
    </w:p>
    <w:p w14:paraId="7B1E74A3" w14:textId="334FBD0F" w:rsidR="00454290" w:rsidRPr="00E4504B" w:rsidRDefault="00FB21A9" w:rsidP="00310535">
      <w:pPr>
        <w:spacing w:before="138"/>
        <w:ind w:left="360" w:right="346" w:firstLine="720"/>
        <w:rPr>
          <w:b/>
          <w:sz w:val="24"/>
          <w:szCs w:val="24"/>
        </w:rPr>
      </w:pPr>
      <w:r w:rsidRPr="00E4504B">
        <w:rPr>
          <w:b/>
          <w:sz w:val="24"/>
          <w:szCs w:val="24"/>
          <w:u w:val="single"/>
        </w:rPr>
        <w:t>Key</w:t>
      </w:r>
      <w:r w:rsidRPr="00E4504B">
        <w:rPr>
          <w:b/>
          <w:spacing w:val="6"/>
          <w:sz w:val="24"/>
          <w:szCs w:val="24"/>
          <w:u w:val="single"/>
        </w:rPr>
        <w:t xml:space="preserve"> </w:t>
      </w:r>
      <w:r w:rsidRPr="00E4504B">
        <w:rPr>
          <w:b/>
          <w:spacing w:val="-2"/>
          <w:sz w:val="24"/>
          <w:szCs w:val="24"/>
          <w:u w:val="single"/>
        </w:rPr>
        <w:t>Inferences:</w:t>
      </w:r>
    </w:p>
    <w:p w14:paraId="75BE9145" w14:textId="012FF41D" w:rsidR="00003EF3" w:rsidRPr="008C1786" w:rsidRDefault="0083258B" w:rsidP="00310535">
      <w:pPr>
        <w:spacing w:before="138" w:line="360" w:lineRule="auto"/>
        <w:ind w:left="360" w:right="346"/>
        <w:rPr>
          <w:sz w:val="24"/>
          <w:szCs w:val="24"/>
        </w:rPr>
      </w:pPr>
      <w:r>
        <w:rPr>
          <w:sz w:val="24"/>
          <w:szCs w:val="24"/>
        </w:rPr>
        <w:t xml:space="preserve">     </w:t>
      </w:r>
      <w:r w:rsidR="00003EF3" w:rsidRPr="008C1786">
        <w:rPr>
          <w:sz w:val="24"/>
          <w:szCs w:val="24"/>
        </w:rPr>
        <w:t xml:space="preserve">An ordinary least squares (OLS) regression was conducted to assess the impact of several predictors on </w:t>
      </w:r>
      <w:r w:rsidR="00003EF3" w:rsidRPr="008C1786">
        <w:rPr>
          <w:b/>
          <w:bCs/>
          <w:sz w:val="24"/>
          <w:szCs w:val="24"/>
        </w:rPr>
        <w:t>Fertilizer_Sales_Revenue</w:t>
      </w:r>
      <w:r w:rsidR="00003EF3" w:rsidRPr="008C1786">
        <w:rPr>
          <w:sz w:val="24"/>
          <w:szCs w:val="24"/>
        </w:rPr>
        <w:t>. The regression model shows an R-squared value of 0.998 (Adjusted R-squared = 0.996), indicating that approximately 99.8% of the variability in fertilizer sales revenue is explained by the predictors in the model. The overall F-statistic (711.8) is statistically significant (p = 9.64e-05), suggesting that the model provides a good fit to the data.</w:t>
      </w:r>
    </w:p>
    <w:p w14:paraId="2AD80CF6" w14:textId="77777777" w:rsidR="00003EF3" w:rsidRPr="008C1786" w:rsidRDefault="00003EF3" w:rsidP="00310535">
      <w:pPr>
        <w:spacing w:before="138" w:line="360" w:lineRule="auto"/>
        <w:ind w:left="360" w:right="346"/>
        <w:rPr>
          <w:sz w:val="24"/>
          <w:szCs w:val="24"/>
        </w:rPr>
      </w:pPr>
      <w:r w:rsidRPr="008C1786">
        <w:rPr>
          <w:sz w:val="24"/>
          <w:szCs w:val="24"/>
        </w:rPr>
        <w:t xml:space="preserve">In the regression output, </w:t>
      </w:r>
      <w:r w:rsidRPr="008C1786">
        <w:rPr>
          <w:b/>
          <w:bCs/>
          <w:sz w:val="24"/>
          <w:szCs w:val="24"/>
        </w:rPr>
        <w:t>Production_Volume_tons</w:t>
      </w:r>
      <w:r w:rsidRPr="008C1786">
        <w:rPr>
          <w:sz w:val="24"/>
          <w:szCs w:val="24"/>
        </w:rPr>
        <w:t xml:space="preserve"> has a positive and statistically significant coefficient (coef = 25.7250, p = 0.006), meaning that an increase in production volume is associated with higher sales revenue. </w:t>
      </w:r>
      <w:r w:rsidRPr="008C1786">
        <w:rPr>
          <w:b/>
          <w:bCs/>
          <w:sz w:val="24"/>
          <w:szCs w:val="24"/>
        </w:rPr>
        <w:t>Landfill_Waste_Reduction_tons</w:t>
      </w:r>
      <w:r w:rsidRPr="008C1786">
        <w:rPr>
          <w:sz w:val="24"/>
          <w:szCs w:val="24"/>
        </w:rPr>
        <w:t xml:space="preserve"> also has a significant positive effect (coef = 61.7400, p = 0.006), and </w:t>
      </w:r>
      <w:r w:rsidRPr="008C1786">
        <w:rPr>
          <w:b/>
          <w:bCs/>
          <w:sz w:val="24"/>
          <w:szCs w:val="24"/>
        </w:rPr>
        <w:t>GHG_Emissions_Reduced_kgCO2e</w:t>
      </w:r>
      <w:r w:rsidRPr="008C1786">
        <w:rPr>
          <w:sz w:val="24"/>
          <w:szCs w:val="24"/>
        </w:rPr>
        <w:t xml:space="preserve"> has a significant positive impact (coef = 154.3499, p = 0.006) on sales revenue. In contrast, the coefficient for </w:t>
      </w:r>
      <w:r w:rsidRPr="008C1786">
        <w:rPr>
          <w:b/>
          <w:bCs/>
          <w:sz w:val="24"/>
          <w:szCs w:val="24"/>
        </w:rPr>
        <w:t>Market_Price_per_kg</w:t>
      </w:r>
      <w:r w:rsidRPr="008C1786">
        <w:rPr>
          <w:sz w:val="24"/>
          <w:szCs w:val="24"/>
        </w:rPr>
        <w:t xml:space="preserve"> is not statistically significant (coef = -1.5e+06, p = 0.196), suggesting that within the current model context, variations in market price do not significantly predict fertilizer sales revenue. The intercept, while estimated at 425,000, is also not statistically significant (p = 0.350).</w:t>
      </w:r>
    </w:p>
    <w:p w14:paraId="0D184AED" w14:textId="468DBD4C" w:rsidR="00454290" w:rsidRPr="00E4504B" w:rsidRDefault="00FB21A9" w:rsidP="00310535">
      <w:pPr>
        <w:pStyle w:val="Heading1"/>
        <w:spacing w:before="138"/>
        <w:ind w:right="346"/>
      </w:pPr>
      <w:r w:rsidRPr="00E4504B">
        <w:rPr>
          <w:spacing w:val="-2"/>
        </w:rPr>
        <w:t>SUGGESTIONS:</w:t>
      </w:r>
    </w:p>
    <w:p w14:paraId="0A7B1BEF" w14:textId="77777777" w:rsidR="00003EF3" w:rsidRPr="008C1786" w:rsidRDefault="00003EF3" w:rsidP="00310535">
      <w:pPr>
        <w:widowControl/>
        <w:numPr>
          <w:ilvl w:val="0"/>
          <w:numId w:val="19"/>
        </w:numPr>
        <w:pBdr>
          <w:top w:val="none" w:sz="0" w:space="0" w:color="E5E7EB"/>
          <w:left w:val="none" w:sz="0" w:space="0" w:color="E5E7EB"/>
          <w:bottom w:val="none" w:sz="0" w:space="0" w:color="E5E7EB"/>
          <w:right w:val="none" w:sz="0" w:space="0" w:color="E5E7EB"/>
          <w:between w:val="none" w:sz="0" w:space="0" w:color="E5E7EB"/>
        </w:pBdr>
        <w:autoSpaceDE/>
        <w:autoSpaceDN/>
        <w:spacing w:before="138" w:line="360" w:lineRule="auto"/>
        <w:ind w:right="346"/>
        <w:rPr>
          <w:sz w:val="24"/>
          <w:szCs w:val="24"/>
        </w:rPr>
      </w:pPr>
      <w:r w:rsidRPr="008C1786">
        <w:rPr>
          <w:sz w:val="24"/>
          <w:szCs w:val="24"/>
        </w:rPr>
        <w:t>Integrated Waste Management Systems: Implement integrated systems that combine waste collection, processing, and conversion into fertilizers. This approach ensures efficiency and maximizes resource recovery.</w:t>
      </w:r>
    </w:p>
    <w:p w14:paraId="2FEB48E3" w14:textId="77777777" w:rsidR="00003EF3" w:rsidRPr="008C1786" w:rsidRDefault="00003EF3" w:rsidP="00310535">
      <w:pPr>
        <w:widowControl/>
        <w:numPr>
          <w:ilvl w:val="0"/>
          <w:numId w:val="19"/>
        </w:numPr>
        <w:pBdr>
          <w:top w:val="none" w:sz="0" w:space="0" w:color="E5E7EB"/>
          <w:left w:val="none" w:sz="0" w:space="0" w:color="E5E7EB"/>
          <w:bottom w:val="none" w:sz="0" w:space="0" w:color="E5E7EB"/>
          <w:right w:val="none" w:sz="0" w:space="0" w:color="E5E7EB"/>
          <w:between w:val="none" w:sz="0" w:space="0" w:color="E5E7EB"/>
        </w:pBdr>
        <w:autoSpaceDE/>
        <w:autoSpaceDN/>
        <w:spacing w:before="138" w:line="360" w:lineRule="auto"/>
        <w:ind w:right="346"/>
        <w:rPr>
          <w:sz w:val="24"/>
          <w:szCs w:val="24"/>
        </w:rPr>
      </w:pPr>
      <w:r w:rsidRPr="008C1786">
        <w:rPr>
          <w:sz w:val="24"/>
          <w:szCs w:val="24"/>
        </w:rPr>
        <w:t>Technological Upgradation: Invest in upgrading existing waste management infrastructure to incorporate advanced technologies like anaerobic digestion and subcritical water treatment.</w:t>
      </w:r>
    </w:p>
    <w:p w14:paraId="7057F49E" w14:textId="77777777" w:rsidR="00003EF3" w:rsidRPr="008C1786" w:rsidRDefault="00003EF3" w:rsidP="00310535">
      <w:pPr>
        <w:widowControl/>
        <w:numPr>
          <w:ilvl w:val="0"/>
          <w:numId w:val="19"/>
        </w:numPr>
        <w:pBdr>
          <w:top w:val="none" w:sz="0" w:space="0" w:color="E5E7EB"/>
          <w:left w:val="none" w:sz="0" w:space="0" w:color="E5E7EB"/>
          <w:bottom w:val="none" w:sz="0" w:space="0" w:color="E5E7EB"/>
          <w:right w:val="none" w:sz="0" w:space="0" w:color="E5E7EB"/>
          <w:between w:val="none" w:sz="0" w:space="0" w:color="E5E7EB"/>
        </w:pBdr>
        <w:autoSpaceDE/>
        <w:autoSpaceDN/>
        <w:spacing w:before="138" w:line="360" w:lineRule="auto"/>
        <w:ind w:right="346"/>
        <w:rPr>
          <w:sz w:val="24"/>
          <w:szCs w:val="24"/>
        </w:rPr>
      </w:pPr>
      <w:r w:rsidRPr="008C1786">
        <w:rPr>
          <w:sz w:val="24"/>
          <w:szCs w:val="24"/>
        </w:rPr>
        <w:t>Policy Incentives: Offer financial incentives to farmers and communities adopting organic fertilizers, such as subsidies or tax breaks, to encourage widespread adoption.</w:t>
      </w:r>
    </w:p>
    <w:p w14:paraId="2C112E3D" w14:textId="48CD2BA9" w:rsidR="00454290" w:rsidRPr="00E4504B" w:rsidRDefault="00306C52" w:rsidP="00310535">
      <w:pPr>
        <w:pStyle w:val="Heading1"/>
        <w:spacing w:before="138"/>
        <w:ind w:right="346"/>
      </w:pPr>
      <w:r w:rsidRPr="00E4504B">
        <w:rPr>
          <w:spacing w:val="-2"/>
        </w:rPr>
        <w:t xml:space="preserve">      </w:t>
      </w:r>
      <w:r w:rsidR="00FB21A9" w:rsidRPr="00E4504B">
        <w:rPr>
          <w:spacing w:val="-2"/>
        </w:rPr>
        <w:t>CONCLUSION:</w:t>
      </w:r>
    </w:p>
    <w:p w14:paraId="2F45EF25" w14:textId="77777777" w:rsidR="00003EF3" w:rsidRPr="008C1786" w:rsidRDefault="00003EF3" w:rsidP="00310535">
      <w:pPr>
        <w:pBdr>
          <w:top w:val="none" w:sz="0" w:space="0" w:color="E5E7EB"/>
          <w:left w:val="none" w:sz="0" w:space="0" w:color="E5E7EB"/>
          <w:bottom w:val="none" w:sz="0" w:space="0" w:color="E5E7EB"/>
          <w:right w:val="none" w:sz="0" w:space="0" w:color="E5E7EB"/>
          <w:between w:val="none" w:sz="0" w:space="0" w:color="E5E7EB"/>
        </w:pBdr>
        <w:spacing w:before="138" w:line="360" w:lineRule="auto"/>
        <w:ind w:left="360" w:right="346"/>
        <w:rPr>
          <w:sz w:val="24"/>
          <w:szCs w:val="24"/>
        </w:rPr>
      </w:pPr>
      <w:r w:rsidRPr="008C1786">
        <w:rPr>
          <w:sz w:val="24"/>
          <w:szCs w:val="24"/>
        </w:rPr>
        <w:t>This research has comprehensively explored the potential of converting wet waste into fertilizer as a sustainable waste management strategy. By leveraging advanced technologies such as anaerobic digestion, composting, and subcritical water treatment, it is possible to transform wet waste into high-quality organic fertilizers that enhance soil health and agricultural productivity while reducing environmental degradation.</w:t>
      </w:r>
    </w:p>
    <w:p w14:paraId="4F5727EA" w14:textId="3BEC077B" w:rsidR="00003EF3" w:rsidRDefault="00FB21A9" w:rsidP="00BA5F35">
      <w:pPr>
        <w:pStyle w:val="Heading1"/>
        <w:spacing w:before="138"/>
        <w:ind w:right="346"/>
        <w:rPr>
          <w:spacing w:val="-2"/>
        </w:rPr>
      </w:pPr>
      <w:r w:rsidRPr="00E4504B">
        <w:rPr>
          <w:spacing w:val="-2"/>
        </w:rPr>
        <w:t>REFERENCE</w:t>
      </w:r>
      <w:r w:rsidR="00A92543" w:rsidRPr="00E4504B">
        <w:rPr>
          <w:spacing w:val="-2"/>
        </w:rPr>
        <w:t>S</w:t>
      </w:r>
      <w:r w:rsidRPr="00E4504B">
        <w:rPr>
          <w:spacing w:val="-2"/>
        </w:rPr>
        <w:t>:</w:t>
      </w:r>
    </w:p>
    <w:p w14:paraId="4222572B" w14:textId="3214E608" w:rsidR="00003EF3" w:rsidRPr="0079572F" w:rsidRDefault="00003EF3" w:rsidP="00BA5F35">
      <w:pPr>
        <w:spacing w:before="138" w:line="276" w:lineRule="auto"/>
        <w:ind w:left="360" w:right="346"/>
        <w:rPr>
          <w:sz w:val="24"/>
          <w:szCs w:val="24"/>
        </w:rPr>
      </w:pPr>
      <w:r>
        <w:rPr>
          <w:sz w:val="24"/>
          <w:szCs w:val="24"/>
        </w:rPr>
        <w:t xml:space="preserve">1. </w:t>
      </w:r>
      <w:proofErr w:type="spellStart"/>
      <w:r w:rsidRPr="0079572F">
        <w:rPr>
          <w:sz w:val="24"/>
          <w:szCs w:val="24"/>
        </w:rPr>
        <w:t>P.</w:t>
      </w:r>
      <w:proofErr w:type="gramStart"/>
      <w:r w:rsidRPr="0079572F">
        <w:rPr>
          <w:sz w:val="24"/>
          <w:szCs w:val="24"/>
        </w:rPr>
        <w:t>B.Londhe</w:t>
      </w:r>
      <w:proofErr w:type="spellEnd"/>
      <w:proofErr w:type="gramEnd"/>
      <w:r w:rsidRPr="0079572F">
        <w:rPr>
          <w:sz w:val="24"/>
          <w:szCs w:val="24"/>
        </w:rPr>
        <w:t xml:space="preserve">, &amp; </w:t>
      </w:r>
      <w:proofErr w:type="spellStart"/>
      <w:r w:rsidRPr="0079572F">
        <w:rPr>
          <w:sz w:val="24"/>
          <w:szCs w:val="24"/>
        </w:rPr>
        <w:t>S.M.Bhosale</w:t>
      </w:r>
      <w:proofErr w:type="spellEnd"/>
      <w:r w:rsidRPr="0079572F">
        <w:rPr>
          <w:sz w:val="24"/>
          <w:szCs w:val="24"/>
        </w:rPr>
        <w:t xml:space="preserve">. (2015). RECYCLING OF SOLID WASTES INTO ORGANIC FERTILIZERS USING </w:t>
      </w:r>
      <w:proofErr w:type="gramStart"/>
      <w:r w:rsidRPr="0079572F">
        <w:rPr>
          <w:sz w:val="24"/>
          <w:szCs w:val="24"/>
        </w:rPr>
        <w:t>LOW COST</w:t>
      </w:r>
      <w:proofErr w:type="gramEnd"/>
      <w:r w:rsidRPr="0079572F">
        <w:rPr>
          <w:sz w:val="24"/>
          <w:szCs w:val="24"/>
        </w:rPr>
        <w:t xml:space="preserve"> TREATMENT: VERMICOMPOSTING. </w:t>
      </w:r>
      <w:r w:rsidRPr="0079572F">
        <w:rPr>
          <w:i/>
          <w:sz w:val="24"/>
          <w:szCs w:val="24"/>
        </w:rPr>
        <w:t>Zenodo (CERN European Organization for Nuclear Research)</w:t>
      </w:r>
      <w:r w:rsidRPr="0079572F">
        <w:rPr>
          <w:sz w:val="24"/>
          <w:szCs w:val="24"/>
        </w:rPr>
        <w:t>. https://doi.org/10.5281/zenodo.1471032</w:t>
      </w:r>
    </w:p>
    <w:p w14:paraId="43F666E2" w14:textId="363533E7" w:rsidR="00003EF3" w:rsidRPr="0079572F" w:rsidRDefault="00003EF3" w:rsidP="00BA5F35">
      <w:pPr>
        <w:spacing w:before="138" w:line="276" w:lineRule="auto"/>
        <w:ind w:left="360" w:right="346"/>
        <w:rPr>
          <w:sz w:val="24"/>
          <w:szCs w:val="24"/>
        </w:rPr>
      </w:pPr>
      <w:r>
        <w:rPr>
          <w:sz w:val="24"/>
          <w:szCs w:val="24"/>
        </w:rPr>
        <w:lastRenderedPageBreak/>
        <w:t xml:space="preserve"> 2. </w:t>
      </w:r>
      <w:proofErr w:type="spellStart"/>
      <w:r w:rsidRPr="0079572F">
        <w:rPr>
          <w:sz w:val="24"/>
          <w:szCs w:val="24"/>
        </w:rPr>
        <w:t>Sudharmaidevi</w:t>
      </w:r>
      <w:proofErr w:type="spellEnd"/>
      <w:r w:rsidRPr="0079572F">
        <w:rPr>
          <w:sz w:val="24"/>
          <w:szCs w:val="24"/>
        </w:rPr>
        <w:t xml:space="preserve">, C. R., </w:t>
      </w:r>
      <w:proofErr w:type="spellStart"/>
      <w:r w:rsidRPr="0079572F">
        <w:rPr>
          <w:sz w:val="24"/>
          <w:szCs w:val="24"/>
        </w:rPr>
        <w:t>Thampatti</w:t>
      </w:r>
      <w:proofErr w:type="spellEnd"/>
      <w:r w:rsidRPr="0079572F">
        <w:rPr>
          <w:sz w:val="24"/>
          <w:szCs w:val="24"/>
        </w:rPr>
        <w:t xml:space="preserve">, K. C. M., &amp; </w:t>
      </w:r>
      <w:proofErr w:type="spellStart"/>
      <w:r w:rsidRPr="0079572F">
        <w:rPr>
          <w:sz w:val="24"/>
          <w:szCs w:val="24"/>
        </w:rPr>
        <w:t>Saifudeen</w:t>
      </w:r>
      <w:proofErr w:type="spellEnd"/>
      <w:r w:rsidRPr="0079572F">
        <w:rPr>
          <w:sz w:val="24"/>
          <w:szCs w:val="24"/>
        </w:rPr>
        <w:t xml:space="preserve">, N. (2016). Rapid production of organic fertilizer from degradable waste by thermochemical processing. </w:t>
      </w:r>
      <w:r w:rsidRPr="0079572F">
        <w:rPr>
          <w:i/>
          <w:sz w:val="24"/>
          <w:szCs w:val="24"/>
        </w:rPr>
        <w:t>International Journal of Recycling of Organic Waste in Agriculture</w:t>
      </w:r>
      <w:r w:rsidRPr="0079572F">
        <w:rPr>
          <w:sz w:val="24"/>
          <w:szCs w:val="24"/>
        </w:rPr>
        <w:t xml:space="preserve">, </w:t>
      </w:r>
      <w:r w:rsidRPr="0079572F">
        <w:rPr>
          <w:i/>
          <w:sz w:val="24"/>
          <w:szCs w:val="24"/>
        </w:rPr>
        <w:t>6</w:t>
      </w:r>
      <w:r w:rsidRPr="0079572F">
        <w:rPr>
          <w:sz w:val="24"/>
          <w:szCs w:val="24"/>
        </w:rPr>
        <w:t>(1), 1–11. https://doi.org/10.1007/s40093-016-0147-1</w:t>
      </w:r>
    </w:p>
    <w:p w14:paraId="0B834E98" w14:textId="68E7D638" w:rsidR="00003EF3" w:rsidRPr="0079572F" w:rsidRDefault="00003EF3" w:rsidP="00BA5F35">
      <w:pPr>
        <w:spacing w:before="138" w:line="276" w:lineRule="auto"/>
        <w:ind w:left="360" w:right="346"/>
        <w:rPr>
          <w:sz w:val="24"/>
          <w:szCs w:val="24"/>
        </w:rPr>
      </w:pPr>
      <w:r>
        <w:rPr>
          <w:sz w:val="24"/>
          <w:szCs w:val="24"/>
        </w:rPr>
        <w:t xml:space="preserve">3. </w:t>
      </w:r>
      <w:r w:rsidRPr="0079572F">
        <w:rPr>
          <w:sz w:val="24"/>
          <w:szCs w:val="24"/>
        </w:rPr>
        <w:t xml:space="preserve">Chew, K. W., Chia, S. R., Yen, H.-W., </w:t>
      </w:r>
      <w:proofErr w:type="spellStart"/>
      <w:r w:rsidRPr="0079572F">
        <w:rPr>
          <w:sz w:val="24"/>
          <w:szCs w:val="24"/>
        </w:rPr>
        <w:t>Nomanbhay</w:t>
      </w:r>
      <w:proofErr w:type="spellEnd"/>
      <w:r w:rsidRPr="0079572F">
        <w:rPr>
          <w:sz w:val="24"/>
          <w:szCs w:val="24"/>
        </w:rPr>
        <w:t xml:space="preserve">, S., Ho, Y.-C., &amp; Show, P. L. (2019). Transformation of Biomass Waste into Sustainable Organic Fertilizers. </w:t>
      </w:r>
      <w:r w:rsidRPr="0079572F">
        <w:rPr>
          <w:i/>
          <w:sz w:val="24"/>
          <w:szCs w:val="24"/>
        </w:rPr>
        <w:t>Sustainability</w:t>
      </w:r>
      <w:r w:rsidRPr="0079572F">
        <w:rPr>
          <w:sz w:val="24"/>
          <w:szCs w:val="24"/>
        </w:rPr>
        <w:t xml:space="preserve">, </w:t>
      </w:r>
      <w:r w:rsidRPr="0079572F">
        <w:rPr>
          <w:i/>
          <w:sz w:val="24"/>
          <w:szCs w:val="24"/>
        </w:rPr>
        <w:t>11</w:t>
      </w:r>
      <w:r w:rsidRPr="0079572F">
        <w:rPr>
          <w:sz w:val="24"/>
          <w:szCs w:val="24"/>
        </w:rPr>
        <w:t xml:space="preserve">(8), 2266. </w:t>
      </w:r>
      <w:hyperlink r:id="rId9" w:history="1">
        <w:r w:rsidRPr="00E009AC">
          <w:rPr>
            <w:rStyle w:val="Hyperlink"/>
            <w:sz w:val="24"/>
            <w:szCs w:val="24"/>
          </w:rPr>
          <w:t>https://doi.org/10.3390/su11082266</w:t>
        </w:r>
      </w:hyperlink>
    </w:p>
    <w:p w14:paraId="49C57A59" w14:textId="6351B27B" w:rsidR="00003EF3" w:rsidRDefault="00003EF3" w:rsidP="00BA5F35">
      <w:pPr>
        <w:spacing w:before="138" w:line="276" w:lineRule="auto"/>
        <w:ind w:left="360" w:right="346"/>
        <w:rPr>
          <w:sz w:val="24"/>
          <w:szCs w:val="24"/>
        </w:rPr>
      </w:pPr>
      <w:r>
        <w:rPr>
          <w:sz w:val="24"/>
          <w:szCs w:val="24"/>
        </w:rPr>
        <w:t xml:space="preserve">4. </w:t>
      </w:r>
      <w:r w:rsidRPr="0079572F">
        <w:rPr>
          <w:sz w:val="24"/>
          <w:szCs w:val="24"/>
        </w:rPr>
        <w:t xml:space="preserve">Orner, K. D., Smith, S., Breunig, H. M., Scown, C. D., &amp; Nelson, K. L. (2021). </w:t>
      </w:r>
      <w:r w:rsidRPr="0079572F">
        <w:rPr>
          <w:i/>
          <w:sz w:val="24"/>
          <w:szCs w:val="24"/>
        </w:rPr>
        <w:t>Fertilizer demand and potential supply through nutrient recovery from organic waste digestate in California</w:t>
      </w:r>
      <w:r w:rsidRPr="0079572F">
        <w:rPr>
          <w:sz w:val="24"/>
          <w:szCs w:val="24"/>
        </w:rPr>
        <w:t xml:space="preserve">. </w:t>
      </w:r>
      <w:r w:rsidRPr="0079572F">
        <w:rPr>
          <w:i/>
          <w:sz w:val="24"/>
          <w:szCs w:val="24"/>
        </w:rPr>
        <w:t>206</w:t>
      </w:r>
      <w:r w:rsidRPr="0079572F">
        <w:rPr>
          <w:sz w:val="24"/>
          <w:szCs w:val="24"/>
        </w:rPr>
        <w:t xml:space="preserve">, 117717–117717. </w:t>
      </w:r>
      <w:hyperlink r:id="rId10" w:history="1">
        <w:r w:rsidRPr="00E009AC">
          <w:rPr>
            <w:rStyle w:val="Hyperlink"/>
            <w:sz w:val="24"/>
            <w:szCs w:val="24"/>
          </w:rPr>
          <w:t>https://doi.org/10.1016/j.watres.2021.117717</w:t>
        </w:r>
      </w:hyperlink>
    </w:p>
    <w:p w14:paraId="4BE47326" w14:textId="77777777" w:rsidR="00BA5F35" w:rsidRPr="0079572F" w:rsidRDefault="00BA5F35" w:rsidP="00BA5F35">
      <w:pPr>
        <w:spacing w:before="138" w:line="276" w:lineRule="auto"/>
        <w:ind w:left="360" w:right="346"/>
        <w:rPr>
          <w:sz w:val="24"/>
          <w:szCs w:val="24"/>
        </w:rPr>
      </w:pPr>
    </w:p>
    <w:p w14:paraId="7E5D8808" w14:textId="5DF38C14" w:rsidR="00003EF3" w:rsidRPr="0079572F" w:rsidRDefault="00003EF3" w:rsidP="00BA5F35">
      <w:pPr>
        <w:spacing w:before="138" w:line="276" w:lineRule="auto"/>
        <w:ind w:left="360" w:right="346"/>
        <w:rPr>
          <w:sz w:val="24"/>
          <w:szCs w:val="24"/>
        </w:rPr>
      </w:pPr>
      <w:r>
        <w:rPr>
          <w:sz w:val="24"/>
          <w:szCs w:val="24"/>
        </w:rPr>
        <w:t xml:space="preserve">5. </w:t>
      </w:r>
      <w:proofErr w:type="gramStart"/>
      <w:r w:rsidRPr="0079572F">
        <w:rPr>
          <w:sz w:val="24"/>
          <w:szCs w:val="24"/>
        </w:rPr>
        <w:t>Ojukwu ,</w:t>
      </w:r>
      <w:proofErr w:type="gramEnd"/>
      <w:r w:rsidRPr="0079572F">
        <w:rPr>
          <w:sz w:val="24"/>
          <w:szCs w:val="24"/>
        </w:rPr>
        <w:t xml:space="preserve"> U., &amp; </w:t>
      </w:r>
      <w:proofErr w:type="spellStart"/>
      <w:r w:rsidRPr="0079572F">
        <w:rPr>
          <w:sz w:val="24"/>
          <w:szCs w:val="24"/>
        </w:rPr>
        <w:t>Egbuchulam</w:t>
      </w:r>
      <w:proofErr w:type="spellEnd"/>
      <w:r w:rsidRPr="0079572F">
        <w:rPr>
          <w:sz w:val="24"/>
          <w:szCs w:val="24"/>
        </w:rPr>
        <w:t xml:space="preserve">, S. (2020). Production and Characterization of Organic Fertilizer from Organic Wastes [Review of </w:t>
      </w:r>
      <w:r w:rsidRPr="0079572F">
        <w:rPr>
          <w:i/>
          <w:sz w:val="24"/>
          <w:szCs w:val="24"/>
        </w:rPr>
        <w:t xml:space="preserve">Production and Characterization of Organic Fertilizer from Organic </w:t>
      </w:r>
      <w:proofErr w:type="gramStart"/>
      <w:r w:rsidRPr="0079572F">
        <w:rPr>
          <w:i/>
          <w:sz w:val="24"/>
          <w:szCs w:val="24"/>
        </w:rPr>
        <w:t xml:space="preserve">Wastes </w:t>
      </w:r>
      <w:r w:rsidRPr="0079572F">
        <w:rPr>
          <w:sz w:val="24"/>
          <w:szCs w:val="24"/>
        </w:rPr>
        <w:t>]</w:t>
      </w:r>
      <w:proofErr w:type="gramEnd"/>
      <w:r w:rsidRPr="0079572F">
        <w:rPr>
          <w:sz w:val="24"/>
          <w:szCs w:val="24"/>
        </w:rPr>
        <w:t xml:space="preserve">. </w:t>
      </w:r>
      <w:r w:rsidRPr="0079572F">
        <w:rPr>
          <w:i/>
          <w:sz w:val="24"/>
          <w:szCs w:val="24"/>
        </w:rPr>
        <w:t xml:space="preserve">International Journal of Agriculture and </w:t>
      </w:r>
      <w:proofErr w:type="gramStart"/>
      <w:r w:rsidRPr="0079572F">
        <w:rPr>
          <w:i/>
          <w:sz w:val="24"/>
          <w:szCs w:val="24"/>
        </w:rPr>
        <w:t xml:space="preserve">Biosciences </w:t>
      </w:r>
      <w:r w:rsidRPr="0079572F">
        <w:rPr>
          <w:sz w:val="24"/>
          <w:szCs w:val="24"/>
        </w:rPr>
        <w:t>.</w:t>
      </w:r>
      <w:proofErr w:type="gramEnd"/>
    </w:p>
    <w:p w14:paraId="22C29D16" w14:textId="4763E275" w:rsidR="00003EF3" w:rsidRPr="0079572F" w:rsidRDefault="00003EF3" w:rsidP="00BA5F35">
      <w:pPr>
        <w:spacing w:before="138" w:line="276" w:lineRule="auto"/>
        <w:ind w:left="360" w:right="346"/>
        <w:rPr>
          <w:sz w:val="24"/>
          <w:szCs w:val="24"/>
        </w:rPr>
      </w:pPr>
      <w:r>
        <w:rPr>
          <w:sz w:val="24"/>
          <w:szCs w:val="24"/>
        </w:rPr>
        <w:t xml:space="preserve">6. </w:t>
      </w:r>
      <w:proofErr w:type="spellStart"/>
      <w:r w:rsidRPr="0079572F">
        <w:rPr>
          <w:sz w:val="24"/>
          <w:szCs w:val="24"/>
        </w:rPr>
        <w:t>Pandji</w:t>
      </w:r>
      <w:proofErr w:type="spellEnd"/>
      <w:r w:rsidRPr="0079572F">
        <w:rPr>
          <w:sz w:val="24"/>
          <w:szCs w:val="24"/>
        </w:rPr>
        <w:t xml:space="preserve"> </w:t>
      </w:r>
      <w:proofErr w:type="spellStart"/>
      <w:r w:rsidRPr="0079572F">
        <w:rPr>
          <w:sz w:val="24"/>
          <w:szCs w:val="24"/>
        </w:rPr>
        <w:t>Prawisudha</w:t>
      </w:r>
      <w:proofErr w:type="spellEnd"/>
      <w:r w:rsidRPr="0079572F">
        <w:rPr>
          <w:sz w:val="24"/>
          <w:szCs w:val="24"/>
        </w:rPr>
        <w:t xml:space="preserve">, Ghani Rais Azka, Budi Triyono, &amp; Pasek, A. D. (2018). Multi-production of solid fuel and liquid fertilizer from organic waste by employing wet torrefaction process. </w:t>
      </w:r>
      <w:r w:rsidRPr="0079572F">
        <w:rPr>
          <w:i/>
          <w:sz w:val="24"/>
          <w:szCs w:val="24"/>
        </w:rPr>
        <w:t>AIP Conference Proceedings</w:t>
      </w:r>
      <w:r w:rsidRPr="0079572F">
        <w:rPr>
          <w:sz w:val="24"/>
          <w:szCs w:val="24"/>
        </w:rPr>
        <w:t xml:space="preserve">, </w:t>
      </w:r>
      <w:r w:rsidRPr="0079572F">
        <w:rPr>
          <w:i/>
          <w:sz w:val="24"/>
          <w:szCs w:val="24"/>
        </w:rPr>
        <w:t>1984</w:t>
      </w:r>
      <w:r w:rsidRPr="0079572F">
        <w:rPr>
          <w:sz w:val="24"/>
          <w:szCs w:val="24"/>
        </w:rPr>
        <w:t xml:space="preserve">, 030008–030008. </w:t>
      </w:r>
      <w:hyperlink r:id="rId11" w:history="1">
        <w:r w:rsidRPr="00E009AC">
          <w:rPr>
            <w:rStyle w:val="Hyperlink"/>
            <w:sz w:val="24"/>
            <w:szCs w:val="24"/>
          </w:rPr>
          <w:t>https://doi.org/10.1063/1.5046629</w:t>
        </w:r>
      </w:hyperlink>
    </w:p>
    <w:p w14:paraId="75CBA3F0" w14:textId="2FDCDF00" w:rsidR="00003EF3" w:rsidRPr="0079572F" w:rsidRDefault="00003EF3" w:rsidP="00BA5F35">
      <w:pPr>
        <w:spacing w:before="138" w:line="276" w:lineRule="auto"/>
        <w:ind w:left="360" w:right="346"/>
        <w:rPr>
          <w:sz w:val="24"/>
          <w:szCs w:val="24"/>
        </w:rPr>
      </w:pPr>
      <w:r>
        <w:rPr>
          <w:sz w:val="24"/>
          <w:szCs w:val="24"/>
        </w:rPr>
        <w:t xml:space="preserve">7. </w:t>
      </w:r>
      <w:r w:rsidRPr="0079572F">
        <w:rPr>
          <w:sz w:val="24"/>
          <w:szCs w:val="24"/>
        </w:rPr>
        <w:t xml:space="preserve">Udara S P R Arachchige, Ranaweera, S. J., A </w:t>
      </w:r>
      <w:proofErr w:type="spellStart"/>
      <w:r w:rsidRPr="0079572F">
        <w:rPr>
          <w:sz w:val="24"/>
          <w:szCs w:val="24"/>
        </w:rPr>
        <w:t>A</w:t>
      </w:r>
      <w:proofErr w:type="spellEnd"/>
      <w:r w:rsidRPr="0079572F">
        <w:rPr>
          <w:sz w:val="24"/>
          <w:szCs w:val="24"/>
        </w:rPr>
        <w:t xml:space="preserve"> L T </w:t>
      </w:r>
      <w:proofErr w:type="spellStart"/>
      <w:r w:rsidRPr="0079572F">
        <w:rPr>
          <w:sz w:val="24"/>
          <w:szCs w:val="24"/>
        </w:rPr>
        <w:t>Ampemohotti</w:t>
      </w:r>
      <w:proofErr w:type="spellEnd"/>
      <w:r w:rsidRPr="0079572F">
        <w:rPr>
          <w:sz w:val="24"/>
          <w:szCs w:val="24"/>
        </w:rPr>
        <w:t xml:space="preserve">, Sumedha R G </w:t>
      </w:r>
      <w:proofErr w:type="spellStart"/>
      <w:r w:rsidRPr="0079572F">
        <w:rPr>
          <w:sz w:val="24"/>
          <w:szCs w:val="24"/>
        </w:rPr>
        <w:t>Weliwaththage</w:t>
      </w:r>
      <w:proofErr w:type="spellEnd"/>
      <w:r w:rsidRPr="0079572F">
        <w:rPr>
          <w:sz w:val="24"/>
          <w:szCs w:val="24"/>
        </w:rPr>
        <w:t xml:space="preserve">, &amp; Jaliya Weerakoon. (2020). </w:t>
      </w:r>
      <w:r w:rsidRPr="0079572F">
        <w:rPr>
          <w:i/>
          <w:sz w:val="24"/>
          <w:szCs w:val="24"/>
        </w:rPr>
        <w:t>Development of an Organic Fertilizer</w:t>
      </w:r>
      <w:r w:rsidRPr="0079572F">
        <w:rPr>
          <w:sz w:val="24"/>
          <w:szCs w:val="24"/>
        </w:rPr>
        <w:t xml:space="preserve">. </w:t>
      </w:r>
      <w:r w:rsidRPr="0079572F">
        <w:rPr>
          <w:i/>
          <w:sz w:val="24"/>
          <w:szCs w:val="24"/>
        </w:rPr>
        <w:t>1</w:t>
      </w:r>
      <w:r w:rsidRPr="0079572F">
        <w:rPr>
          <w:sz w:val="24"/>
          <w:szCs w:val="24"/>
        </w:rPr>
        <w:t xml:space="preserve">(1), 1–7. </w:t>
      </w:r>
      <w:hyperlink r:id="rId12" w:history="1">
        <w:r w:rsidRPr="00E009AC">
          <w:rPr>
            <w:rStyle w:val="Hyperlink"/>
            <w:sz w:val="24"/>
            <w:szCs w:val="24"/>
          </w:rPr>
          <w:t>https://doi.org/10.1016/0305-0491(75)90096-6</w:t>
        </w:r>
      </w:hyperlink>
      <w:r w:rsidRPr="0079572F">
        <w:rPr>
          <w:sz w:val="24"/>
          <w:szCs w:val="24"/>
        </w:rPr>
        <w:t>.</w:t>
      </w:r>
    </w:p>
    <w:p w14:paraId="3F45EBAA" w14:textId="19B78102" w:rsidR="00003EF3" w:rsidRPr="0079572F" w:rsidRDefault="00003EF3" w:rsidP="00BA5F35">
      <w:pPr>
        <w:spacing w:before="138" w:line="276" w:lineRule="auto"/>
        <w:ind w:left="360" w:right="346"/>
        <w:rPr>
          <w:sz w:val="24"/>
          <w:szCs w:val="24"/>
        </w:rPr>
      </w:pPr>
      <w:r>
        <w:rPr>
          <w:sz w:val="24"/>
          <w:szCs w:val="24"/>
        </w:rPr>
        <w:t xml:space="preserve">8. </w:t>
      </w:r>
      <w:r w:rsidRPr="0079572F">
        <w:rPr>
          <w:sz w:val="24"/>
          <w:szCs w:val="24"/>
        </w:rPr>
        <w:t xml:space="preserve">Syeda Azeem Unnisa. (2015, August 1). </w:t>
      </w:r>
      <w:r w:rsidRPr="0079572F">
        <w:rPr>
          <w:i/>
          <w:sz w:val="24"/>
          <w:szCs w:val="24"/>
        </w:rPr>
        <w:t xml:space="preserve">Liquid Fertilizer </w:t>
      </w:r>
      <w:proofErr w:type="gramStart"/>
      <w:r w:rsidRPr="0079572F">
        <w:rPr>
          <w:i/>
          <w:sz w:val="24"/>
          <w:szCs w:val="24"/>
        </w:rPr>
        <w:t>From</w:t>
      </w:r>
      <w:proofErr w:type="gramEnd"/>
      <w:r w:rsidRPr="0079572F">
        <w:rPr>
          <w:i/>
          <w:sz w:val="24"/>
          <w:szCs w:val="24"/>
        </w:rPr>
        <w:t xml:space="preserve"> Food Waste - A Sustainable Approach</w:t>
      </w:r>
      <w:r w:rsidRPr="0079572F">
        <w:rPr>
          <w:sz w:val="24"/>
          <w:szCs w:val="24"/>
        </w:rPr>
        <w:t xml:space="preserve">. </w:t>
      </w:r>
      <w:hyperlink r:id="rId13">
        <w:r w:rsidRPr="0079572F">
          <w:rPr>
            <w:color w:val="1155CC"/>
            <w:sz w:val="24"/>
            <w:szCs w:val="24"/>
            <w:u w:val="single"/>
          </w:rPr>
          <w:t>https://www.researchgate.net/publication/301548337_Liquid_Fertilizer_From_Food_Waste_-_A_Sustainable_Approach?enrichId=rgreq-c2b245da7759984fc53901fb2701b132-XXX&amp;enrichSource=Y292ZXJQYWdlOzMwMTU0ODMzNztBUzozNTMyNDc0Njc0NTg1NjRAMTQ2MTIzMjE2NzMzMw%3D%3D&amp;el=1_x_2&amp;_esc=publicationCoverPdf</w:t>
        </w:r>
      </w:hyperlink>
    </w:p>
    <w:p w14:paraId="4AD49D19" w14:textId="5A55695A" w:rsidR="00003EF3" w:rsidRPr="0079572F" w:rsidRDefault="00003EF3" w:rsidP="00BA5F35">
      <w:pPr>
        <w:spacing w:before="138" w:line="276" w:lineRule="auto"/>
        <w:ind w:left="360" w:right="346"/>
        <w:rPr>
          <w:sz w:val="24"/>
          <w:szCs w:val="24"/>
        </w:rPr>
      </w:pPr>
      <w:r>
        <w:rPr>
          <w:sz w:val="24"/>
          <w:szCs w:val="24"/>
        </w:rPr>
        <w:t xml:space="preserve">9. </w:t>
      </w:r>
      <w:proofErr w:type="spellStart"/>
      <w:r w:rsidRPr="0079572F">
        <w:rPr>
          <w:sz w:val="24"/>
          <w:szCs w:val="24"/>
        </w:rPr>
        <w:t>Huzir</w:t>
      </w:r>
      <w:proofErr w:type="spellEnd"/>
      <w:r w:rsidRPr="0079572F">
        <w:rPr>
          <w:sz w:val="24"/>
          <w:szCs w:val="24"/>
        </w:rPr>
        <w:t xml:space="preserve">, N. M., Hussin, M. H., Rosly, M. B., Amin, A. N. R., </w:t>
      </w:r>
      <w:proofErr w:type="spellStart"/>
      <w:r w:rsidRPr="0079572F">
        <w:rPr>
          <w:sz w:val="24"/>
          <w:szCs w:val="24"/>
        </w:rPr>
        <w:t>Asmadi</w:t>
      </w:r>
      <w:proofErr w:type="spellEnd"/>
      <w:r w:rsidRPr="0079572F">
        <w:rPr>
          <w:sz w:val="24"/>
          <w:szCs w:val="24"/>
        </w:rPr>
        <w:t xml:space="preserve">, A. A., Md Ali, A. H., </w:t>
      </w:r>
      <w:proofErr w:type="spellStart"/>
      <w:r w:rsidRPr="0079572F">
        <w:rPr>
          <w:sz w:val="24"/>
          <w:szCs w:val="24"/>
        </w:rPr>
        <w:t>Balasundram</w:t>
      </w:r>
      <w:proofErr w:type="spellEnd"/>
      <w:r w:rsidRPr="0079572F">
        <w:rPr>
          <w:sz w:val="24"/>
          <w:szCs w:val="24"/>
        </w:rPr>
        <w:t xml:space="preserve">, V., Yen, L. P., Goto, M., &amp; </w:t>
      </w:r>
      <w:proofErr w:type="spellStart"/>
      <w:r w:rsidRPr="0079572F">
        <w:rPr>
          <w:sz w:val="24"/>
          <w:szCs w:val="24"/>
        </w:rPr>
        <w:t>Tamunaidu</w:t>
      </w:r>
      <w:proofErr w:type="spellEnd"/>
      <w:r w:rsidRPr="0079572F">
        <w:rPr>
          <w:sz w:val="24"/>
          <w:szCs w:val="24"/>
        </w:rPr>
        <w:t xml:space="preserve">, P. (2023). Rapid production of organic fertilizer using subcritical water treatment on waste biomass. </w:t>
      </w:r>
      <w:r w:rsidRPr="0079572F">
        <w:rPr>
          <w:i/>
          <w:sz w:val="24"/>
          <w:szCs w:val="24"/>
        </w:rPr>
        <w:t>IOP Conference Series: Earth and Environmental Science</w:t>
      </w:r>
      <w:r w:rsidRPr="0079572F">
        <w:rPr>
          <w:sz w:val="24"/>
          <w:szCs w:val="24"/>
        </w:rPr>
        <w:t xml:space="preserve">, </w:t>
      </w:r>
      <w:r w:rsidRPr="0079572F">
        <w:rPr>
          <w:i/>
          <w:sz w:val="24"/>
          <w:szCs w:val="24"/>
        </w:rPr>
        <w:t>1143</w:t>
      </w:r>
      <w:r w:rsidRPr="0079572F">
        <w:rPr>
          <w:sz w:val="24"/>
          <w:szCs w:val="24"/>
        </w:rPr>
        <w:t xml:space="preserve">(1), 012026. </w:t>
      </w:r>
      <w:hyperlink r:id="rId14">
        <w:r w:rsidRPr="0079572F">
          <w:rPr>
            <w:color w:val="1155CC"/>
            <w:sz w:val="24"/>
            <w:szCs w:val="24"/>
            <w:u w:val="single"/>
          </w:rPr>
          <w:t>https://doi.org/10.1088/1755-1315/1143/1/012026</w:t>
        </w:r>
      </w:hyperlink>
    </w:p>
    <w:p w14:paraId="41FEB3A6" w14:textId="4F49B945" w:rsidR="00003EF3" w:rsidRDefault="00003EF3" w:rsidP="00BA5F35">
      <w:pPr>
        <w:spacing w:before="138" w:line="276" w:lineRule="auto"/>
        <w:ind w:left="360" w:right="346"/>
        <w:rPr>
          <w:sz w:val="24"/>
          <w:szCs w:val="24"/>
        </w:rPr>
      </w:pPr>
      <w:r>
        <w:rPr>
          <w:sz w:val="24"/>
          <w:szCs w:val="24"/>
        </w:rPr>
        <w:t xml:space="preserve">10. </w:t>
      </w:r>
      <w:r w:rsidRPr="0079572F">
        <w:rPr>
          <w:sz w:val="24"/>
          <w:szCs w:val="24"/>
        </w:rPr>
        <w:t xml:space="preserve">O </w:t>
      </w:r>
      <w:proofErr w:type="spellStart"/>
      <w:r w:rsidRPr="0079572F">
        <w:rPr>
          <w:sz w:val="24"/>
          <w:szCs w:val="24"/>
        </w:rPr>
        <w:t>Mulyani</w:t>
      </w:r>
      <w:proofErr w:type="spellEnd"/>
      <w:r w:rsidRPr="0079572F">
        <w:rPr>
          <w:sz w:val="24"/>
          <w:szCs w:val="24"/>
        </w:rPr>
        <w:t xml:space="preserve">, Y </w:t>
      </w:r>
      <w:proofErr w:type="spellStart"/>
      <w:r w:rsidRPr="0079572F">
        <w:rPr>
          <w:sz w:val="24"/>
          <w:szCs w:val="24"/>
        </w:rPr>
        <w:t>Machfud</w:t>
      </w:r>
      <w:proofErr w:type="spellEnd"/>
      <w:r w:rsidRPr="0079572F">
        <w:rPr>
          <w:sz w:val="24"/>
          <w:szCs w:val="24"/>
        </w:rPr>
        <w:t xml:space="preserve">, Setiawan, A., &amp; Joy, B. (2019). Potential of local organic matters in </w:t>
      </w:r>
      <w:proofErr w:type="spellStart"/>
      <w:r w:rsidRPr="0079572F">
        <w:rPr>
          <w:sz w:val="24"/>
          <w:szCs w:val="24"/>
        </w:rPr>
        <w:t>Jatinangor</w:t>
      </w:r>
      <w:proofErr w:type="spellEnd"/>
      <w:r w:rsidRPr="0079572F">
        <w:rPr>
          <w:sz w:val="24"/>
          <w:szCs w:val="24"/>
        </w:rPr>
        <w:t xml:space="preserve"> West Java Indonesia as raw materials for organic fertilizer. </w:t>
      </w:r>
      <w:r w:rsidRPr="0079572F">
        <w:rPr>
          <w:i/>
          <w:sz w:val="24"/>
          <w:szCs w:val="24"/>
        </w:rPr>
        <w:t>IOP Conference Series Earth and Environmental Science</w:t>
      </w:r>
      <w:r w:rsidRPr="0079572F">
        <w:rPr>
          <w:sz w:val="24"/>
          <w:szCs w:val="24"/>
        </w:rPr>
        <w:t xml:space="preserve">, </w:t>
      </w:r>
      <w:r w:rsidRPr="0079572F">
        <w:rPr>
          <w:i/>
          <w:sz w:val="24"/>
          <w:szCs w:val="24"/>
        </w:rPr>
        <w:t>393</w:t>
      </w:r>
      <w:r w:rsidRPr="0079572F">
        <w:rPr>
          <w:sz w:val="24"/>
          <w:szCs w:val="24"/>
        </w:rPr>
        <w:t xml:space="preserve">, 012048–012048. </w:t>
      </w:r>
      <w:hyperlink r:id="rId15" w:history="1">
        <w:r w:rsidRPr="005E6C47">
          <w:rPr>
            <w:rStyle w:val="Hyperlink"/>
            <w:sz w:val="24"/>
            <w:szCs w:val="24"/>
          </w:rPr>
          <w:t>https://doi.org/10.1088/1755-1315/393/1/012048</w:t>
        </w:r>
      </w:hyperlink>
    </w:p>
    <w:p w14:paraId="6C7D9ADB" w14:textId="77777777" w:rsidR="005431FF" w:rsidRDefault="005431FF" w:rsidP="00310535">
      <w:pPr>
        <w:pStyle w:val="BodyText"/>
        <w:spacing w:before="138" w:line="360" w:lineRule="auto"/>
        <w:ind w:left="360" w:right="346"/>
        <w:jc w:val="both"/>
      </w:pPr>
      <w:r w:rsidRPr="005431FF">
        <w:t xml:space="preserve">ACKNOWLEDGEMENT: </w:t>
      </w:r>
    </w:p>
    <w:p w14:paraId="621572C7" w14:textId="566B4687" w:rsidR="00454290" w:rsidRPr="00E4504B" w:rsidRDefault="005431FF" w:rsidP="00310535">
      <w:pPr>
        <w:pStyle w:val="BodyText"/>
        <w:spacing w:before="138" w:line="360" w:lineRule="auto"/>
        <w:ind w:left="360" w:right="346"/>
        <w:jc w:val="both"/>
      </w:pPr>
      <w:r w:rsidRPr="005431FF">
        <w:t>We would like to express our special thanks of gratitude to CMS Business School for providing us with such a great project. We would like to extend our gratitude to our mentor for her able guidance and support. Her support and suggestions proved valuable in enabling the successful completion of this project.</w:t>
      </w:r>
    </w:p>
    <w:sectPr w:rsidR="00454290" w:rsidRPr="00E4504B">
      <w:pgSz w:w="12240" w:h="15840"/>
      <w:pgMar w:top="1820" w:right="360" w:bottom="280" w:left="36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22EE9" w14:textId="77777777" w:rsidR="007C7416" w:rsidRDefault="007C7416" w:rsidP="00A85F95">
      <w:r>
        <w:separator/>
      </w:r>
    </w:p>
  </w:endnote>
  <w:endnote w:type="continuationSeparator" w:id="0">
    <w:p w14:paraId="4257D39E" w14:textId="77777777" w:rsidR="007C7416" w:rsidRDefault="007C7416" w:rsidP="00A8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F5A30" w14:textId="77777777" w:rsidR="007C7416" w:rsidRDefault="007C7416" w:rsidP="00A85F95">
      <w:r>
        <w:separator/>
      </w:r>
    </w:p>
  </w:footnote>
  <w:footnote w:type="continuationSeparator" w:id="0">
    <w:p w14:paraId="0FAF98C7" w14:textId="77777777" w:rsidR="007C7416" w:rsidRDefault="007C7416" w:rsidP="00A85F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12B6"/>
    <w:multiLevelType w:val="multilevel"/>
    <w:tmpl w:val="0C30F5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08746DC"/>
    <w:multiLevelType w:val="hybridMultilevel"/>
    <w:tmpl w:val="4B766BB8"/>
    <w:lvl w:ilvl="0" w:tplc="FED84D06">
      <w:start w:val="1"/>
      <w:numFmt w:val="decimal"/>
      <w:lvlText w:val="%1."/>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786AE48A">
      <w:numFmt w:val="bullet"/>
      <w:lvlText w:val="•"/>
      <w:lvlJc w:val="left"/>
      <w:pPr>
        <w:ind w:left="2124" w:hanging="720"/>
      </w:pPr>
      <w:rPr>
        <w:rFonts w:hint="default"/>
        <w:lang w:val="en-US" w:eastAsia="en-US" w:bidi="ar-SA"/>
      </w:rPr>
    </w:lvl>
    <w:lvl w:ilvl="2" w:tplc="1B34E894">
      <w:numFmt w:val="bullet"/>
      <w:lvlText w:val="•"/>
      <w:lvlJc w:val="left"/>
      <w:pPr>
        <w:ind w:left="3168" w:hanging="720"/>
      </w:pPr>
      <w:rPr>
        <w:rFonts w:hint="default"/>
        <w:lang w:val="en-US" w:eastAsia="en-US" w:bidi="ar-SA"/>
      </w:rPr>
    </w:lvl>
    <w:lvl w:ilvl="3" w:tplc="3DBA81C0">
      <w:numFmt w:val="bullet"/>
      <w:lvlText w:val="•"/>
      <w:lvlJc w:val="left"/>
      <w:pPr>
        <w:ind w:left="4212" w:hanging="720"/>
      </w:pPr>
      <w:rPr>
        <w:rFonts w:hint="default"/>
        <w:lang w:val="en-US" w:eastAsia="en-US" w:bidi="ar-SA"/>
      </w:rPr>
    </w:lvl>
    <w:lvl w:ilvl="4" w:tplc="0A70A894">
      <w:numFmt w:val="bullet"/>
      <w:lvlText w:val="•"/>
      <w:lvlJc w:val="left"/>
      <w:pPr>
        <w:ind w:left="5256" w:hanging="720"/>
      </w:pPr>
      <w:rPr>
        <w:rFonts w:hint="default"/>
        <w:lang w:val="en-US" w:eastAsia="en-US" w:bidi="ar-SA"/>
      </w:rPr>
    </w:lvl>
    <w:lvl w:ilvl="5" w:tplc="C5A4CFBE">
      <w:numFmt w:val="bullet"/>
      <w:lvlText w:val="•"/>
      <w:lvlJc w:val="left"/>
      <w:pPr>
        <w:ind w:left="6300" w:hanging="720"/>
      </w:pPr>
      <w:rPr>
        <w:rFonts w:hint="default"/>
        <w:lang w:val="en-US" w:eastAsia="en-US" w:bidi="ar-SA"/>
      </w:rPr>
    </w:lvl>
    <w:lvl w:ilvl="6" w:tplc="2A6A67DE">
      <w:numFmt w:val="bullet"/>
      <w:lvlText w:val="•"/>
      <w:lvlJc w:val="left"/>
      <w:pPr>
        <w:ind w:left="7344" w:hanging="720"/>
      </w:pPr>
      <w:rPr>
        <w:rFonts w:hint="default"/>
        <w:lang w:val="en-US" w:eastAsia="en-US" w:bidi="ar-SA"/>
      </w:rPr>
    </w:lvl>
    <w:lvl w:ilvl="7" w:tplc="23803EDE">
      <w:numFmt w:val="bullet"/>
      <w:lvlText w:val="•"/>
      <w:lvlJc w:val="left"/>
      <w:pPr>
        <w:ind w:left="8388" w:hanging="720"/>
      </w:pPr>
      <w:rPr>
        <w:rFonts w:hint="default"/>
        <w:lang w:val="en-US" w:eastAsia="en-US" w:bidi="ar-SA"/>
      </w:rPr>
    </w:lvl>
    <w:lvl w:ilvl="8" w:tplc="218C6620">
      <w:numFmt w:val="bullet"/>
      <w:lvlText w:val="•"/>
      <w:lvlJc w:val="left"/>
      <w:pPr>
        <w:ind w:left="9432" w:hanging="720"/>
      </w:pPr>
      <w:rPr>
        <w:rFonts w:hint="default"/>
        <w:lang w:val="en-US" w:eastAsia="en-US" w:bidi="ar-SA"/>
      </w:rPr>
    </w:lvl>
  </w:abstractNum>
  <w:abstractNum w:abstractNumId="2" w15:restartNumberingAfterBreak="0">
    <w:nsid w:val="173879B0"/>
    <w:multiLevelType w:val="hybridMultilevel"/>
    <w:tmpl w:val="547C826C"/>
    <w:lvl w:ilvl="0" w:tplc="0DEC801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1" w:tplc="AB80D2BA">
      <w:numFmt w:val="bullet"/>
      <w:lvlText w:val="•"/>
      <w:lvlJc w:val="left"/>
      <w:pPr>
        <w:ind w:left="2124" w:hanging="360"/>
      </w:pPr>
      <w:rPr>
        <w:rFonts w:hint="default"/>
        <w:lang w:val="en-US" w:eastAsia="en-US" w:bidi="ar-SA"/>
      </w:rPr>
    </w:lvl>
    <w:lvl w:ilvl="2" w:tplc="CA4C4ED8">
      <w:numFmt w:val="bullet"/>
      <w:lvlText w:val="•"/>
      <w:lvlJc w:val="left"/>
      <w:pPr>
        <w:ind w:left="3168" w:hanging="360"/>
      </w:pPr>
      <w:rPr>
        <w:rFonts w:hint="default"/>
        <w:lang w:val="en-US" w:eastAsia="en-US" w:bidi="ar-SA"/>
      </w:rPr>
    </w:lvl>
    <w:lvl w:ilvl="3" w:tplc="22DA6400">
      <w:numFmt w:val="bullet"/>
      <w:lvlText w:val="•"/>
      <w:lvlJc w:val="left"/>
      <w:pPr>
        <w:ind w:left="4212" w:hanging="360"/>
      </w:pPr>
      <w:rPr>
        <w:rFonts w:hint="default"/>
        <w:lang w:val="en-US" w:eastAsia="en-US" w:bidi="ar-SA"/>
      </w:rPr>
    </w:lvl>
    <w:lvl w:ilvl="4" w:tplc="C3C85C6C">
      <w:numFmt w:val="bullet"/>
      <w:lvlText w:val="•"/>
      <w:lvlJc w:val="left"/>
      <w:pPr>
        <w:ind w:left="5256" w:hanging="360"/>
      </w:pPr>
      <w:rPr>
        <w:rFonts w:hint="default"/>
        <w:lang w:val="en-US" w:eastAsia="en-US" w:bidi="ar-SA"/>
      </w:rPr>
    </w:lvl>
    <w:lvl w:ilvl="5" w:tplc="F8D473A6">
      <w:numFmt w:val="bullet"/>
      <w:lvlText w:val="•"/>
      <w:lvlJc w:val="left"/>
      <w:pPr>
        <w:ind w:left="6300" w:hanging="360"/>
      </w:pPr>
      <w:rPr>
        <w:rFonts w:hint="default"/>
        <w:lang w:val="en-US" w:eastAsia="en-US" w:bidi="ar-SA"/>
      </w:rPr>
    </w:lvl>
    <w:lvl w:ilvl="6" w:tplc="36641A54">
      <w:numFmt w:val="bullet"/>
      <w:lvlText w:val="•"/>
      <w:lvlJc w:val="left"/>
      <w:pPr>
        <w:ind w:left="7344" w:hanging="360"/>
      </w:pPr>
      <w:rPr>
        <w:rFonts w:hint="default"/>
        <w:lang w:val="en-US" w:eastAsia="en-US" w:bidi="ar-SA"/>
      </w:rPr>
    </w:lvl>
    <w:lvl w:ilvl="7" w:tplc="47588598">
      <w:numFmt w:val="bullet"/>
      <w:lvlText w:val="•"/>
      <w:lvlJc w:val="left"/>
      <w:pPr>
        <w:ind w:left="8388" w:hanging="360"/>
      </w:pPr>
      <w:rPr>
        <w:rFonts w:hint="default"/>
        <w:lang w:val="en-US" w:eastAsia="en-US" w:bidi="ar-SA"/>
      </w:rPr>
    </w:lvl>
    <w:lvl w:ilvl="8" w:tplc="89BEDC48">
      <w:numFmt w:val="bullet"/>
      <w:lvlText w:val="•"/>
      <w:lvlJc w:val="left"/>
      <w:pPr>
        <w:ind w:left="9432" w:hanging="360"/>
      </w:pPr>
      <w:rPr>
        <w:rFonts w:hint="default"/>
        <w:lang w:val="en-US" w:eastAsia="en-US" w:bidi="ar-SA"/>
      </w:rPr>
    </w:lvl>
  </w:abstractNum>
  <w:abstractNum w:abstractNumId="3" w15:restartNumberingAfterBreak="0">
    <w:nsid w:val="178C0D52"/>
    <w:multiLevelType w:val="multilevel"/>
    <w:tmpl w:val="84C64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117AAF"/>
    <w:multiLevelType w:val="hybridMultilevel"/>
    <w:tmpl w:val="DA322C58"/>
    <w:lvl w:ilvl="0" w:tplc="9A10C1BC">
      <w:start w:val="1"/>
      <w:numFmt w:val="lowerLetter"/>
      <w:lvlText w:val="%1."/>
      <w:lvlJc w:val="left"/>
      <w:pPr>
        <w:ind w:left="10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DE6A3750">
      <w:numFmt w:val="bullet"/>
      <w:lvlText w:val="•"/>
      <w:lvlJc w:val="left"/>
      <w:pPr>
        <w:ind w:left="2124" w:hanging="360"/>
      </w:pPr>
      <w:rPr>
        <w:rFonts w:hint="default"/>
        <w:lang w:val="en-US" w:eastAsia="en-US" w:bidi="ar-SA"/>
      </w:rPr>
    </w:lvl>
    <w:lvl w:ilvl="2" w:tplc="81F8AE58">
      <w:numFmt w:val="bullet"/>
      <w:lvlText w:val="•"/>
      <w:lvlJc w:val="left"/>
      <w:pPr>
        <w:ind w:left="3168" w:hanging="360"/>
      </w:pPr>
      <w:rPr>
        <w:rFonts w:hint="default"/>
        <w:lang w:val="en-US" w:eastAsia="en-US" w:bidi="ar-SA"/>
      </w:rPr>
    </w:lvl>
    <w:lvl w:ilvl="3" w:tplc="DAA4812A">
      <w:numFmt w:val="bullet"/>
      <w:lvlText w:val="•"/>
      <w:lvlJc w:val="left"/>
      <w:pPr>
        <w:ind w:left="4212" w:hanging="360"/>
      </w:pPr>
      <w:rPr>
        <w:rFonts w:hint="default"/>
        <w:lang w:val="en-US" w:eastAsia="en-US" w:bidi="ar-SA"/>
      </w:rPr>
    </w:lvl>
    <w:lvl w:ilvl="4" w:tplc="C6F63D36">
      <w:numFmt w:val="bullet"/>
      <w:lvlText w:val="•"/>
      <w:lvlJc w:val="left"/>
      <w:pPr>
        <w:ind w:left="5256" w:hanging="360"/>
      </w:pPr>
      <w:rPr>
        <w:rFonts w:hint="default"/>
        <w:lang w:val="en-US" w:eastAsia="en-US" w:bidi="ar-SA"/>
      </w:rPr>
    </w:lvl>
    <w:lvl w:ilvl="5" w:tplc="BD1C5B8C">
      <w:numFmt w:val="bullet"/>
      <w:lvlText w:val="•"/>
      <w:lvlJc w:val="left"/>
      <w:pPr>
        <w:ind w:left="6300" w:hanging="360"/>
      </w:pPr>
      <w:rPr>
        <w:rFonts w:hint="default"/>
        <w:lang w:val="en-US" w:eastAsia="en-US" w:bidi="ar-SA"/>
      </w:rPr>
    </w:lvl>
    <w:lvl w:ilvl="6" w:tplc="6456C430">
      <w:numFmt w:val="bullet"/>
      <w:lvlText w:val="•"/>
      <w:lvlJc w:val="left"/>
      <w:pPr>
        <w:ind w:left="7344" w:hanging="360"/>
      </w:pPr>
      <w:rPr>
        <w:rFonts w:hint="default"/>
        <w:lang w:val="en-US" w:eastAsia="en-US" w:bidi="ar-SA"/>
      </w:rPr>
    </w:lvl>
    <w:lvl w:ilvl="7" w:tplc="E280C998">
      <w:numFmt w:val="bullet"/>
      <w:lvlText w:val="•"/>
      <w:lvlJc w:val="left"/>
      <w:pPr>
        <w:ind w:left="8388" w:hanging="360"/>
      </w:pPr>
      <w:rPr>
        <w:rFonts w:hint="default"/>
        <w:lang w:val="en-US" w:eastAsia="en-US" w:bidi="ar-SA"/>
      </w:rPr>
    </w:lvl>
    <w:lvl w:ilvl="8" w:tplc="4BFED232">
      <w:numFmt w:val="bullet"/>
      <w:lvlText w:val="•"/>
      <w:lvlJc w:val="left"/>
      <w:pPr>
        <w:ind w:left="9432" w:hanging="360"/>
      </w:pPr>
      <w:rPr>
        <w:rFonts w:hint="default"/>
        <w:lang w:val="en-US" w:eastAsia="en-US" w:bidi="ar-SA"/>
      </w:rPr>
    </w:lvl>
  </w:abstractNum>
  <w:abstractNum w:abstractNumId="5" w15:restartNumberingAfterBreak="0">
    <w:nsid w:val="22FA7739"/>
    <w:multiLevelType w:val="hybridMultilevel"/>
    <w:tmpl w:val="2818952E"/>
    <w:lvl w:ilvl="0" w:tplc="769CDFD4">
      <w:numFmt w:val="bullet"/>
      <w:lvlText w:val=""/>
      <w:lvlJc w:val="left"/>
      <w:pPr>
        <w:ind w:left="1080" w:hanging="360"/>
      </w:pPr>
      <w:rPr>
        <w:rFonts w:ascii="Symbol" w:eastAsia="Symbol" w:hAnsi="Symbol" w:cs="Symbol" w:hint="default"/>
        <w:spacing w:val="0"/>
        <w:w w:val="100"/>
        <w:lang w:val="en-US" w:eastAsia="en-US" w:bidi="ar-SA"/>
      </w:rPr>
    </w:lvl>
    <w:lvl w:ilvl="1" w:tplc="49FA4C32">
      <w:numFmt w:val="bullet"/>
      <w:lvlText w:val="o"/>
      <w:lvlJc w:val="left"/>
      <w:pPr>
        <w:ind w:left="1801" w:hanging="361"/>
      </w:pPr>
      <w:rPr>
        <w:rFonts w:ascii="Courier New" w:eastAsia="Courier New" w:hAnsi="Courier New" w:cs="Courier New" w:hint="default"/>
        <w:b w:val="0"/>
        <w:bCs w:val="0"/>
        <w:i w:val="0"/>
        <w:iCs w:val="0"/>
        <w:spacing w:val="0"/>
        <w:w w:val="100"/>
        <w:sz w:val="20"/>
        <w:szCs w:val="20"/>
        <w:lang w:val="en-US" w:eastAsia="en-US" w:bidi="ar-SA"/>
      </w:rPr>
    </w:lvl>
    <w:lvl w:ilvl="2" w:tplc="9B9E7732">
      <w:numFmt w:val="bullet"/>
      <w:lvlText w:val="•"/>
      <w:lvlJc w:val="left"/>
      <w:pPr>
        <w:ind w:left="2880" w:hanging="361"/>
      </w:pPr>
      <w:rPr>
        <w:rFonts w:hint="default"/>
        <w:lang w:val="en-US" w:eastAsia="en-US" w:bidi="ar-SA"/>
      </w:rPr>
    </w:lvl>
    <w:lvl w:ilvl="3" w:tplc="39804130">
      <w:numFmt w:val="bullet"/>
      <w:lvlText w:val="•"/>
      <w:lvlJc w:val="left"/>
      <w:pPr>
        <w:ind w:left="3960" w:hanging="361"/>
      </w:pPr>
      <w:rPr>
        <w:rFonts w:hint="default"/>
        <w:lang w:val="en-US" w:eastAsia="en-US" w:bidi="ar-SA"/>
      </w:rPr>
    </w:lvl>
    <w:lvl w:ilvl="4" w:tplc="5FD02CE0">
      <w:numFmt w:val="bullet"/>
      <w:lvlText w:val="•"/>
      <w:lvlJc w:val="left"/>
      <w:pPr>
        <w:ind w:left="5040" w:hanging="361"/>
      </w:pPr>
      <w:rPr>
        <w:rFonts w:hint="default"/>
        <w:lang w:val="en-US" w:eastAsia="en-US" w:bidi="ar-SA"/>
      </w:rPr>
    </w:lvl>
    <w:lvl w:ilvl="5" w:tplc="01A0BA7C">
      <w:numFmt w:val="bullet"/>
      <w:lvlText w:val="•"/>
      <w:lvlJc w:val="left"/>
      <w:pPr>
        <w:ind w:left="6120" w:hanging="361"/>
      </w:pPr>
      <w:rPr>
        <w:rFonts w:hint="default"/>
        <w:lang w:val="en-US" w:eastAsia="en-US" w:bidi="ar-SA"/>
      </w:rPr>
    </w:lvl>
    <w:lvl w:ilvl="6" w:tplc="DDCA39B6">
      <w:numFmt w:val="bullet"/>
      <w:lvlText w:val="•"/>
      <w:lvlJc w:val="left"/>
      <w:pPr>
        <w:ind w:left="7200" w:hanging="361"/>
      </w:pPr>
      <w:rPr>
        <w:rFonts w:hint="default"/>
        <w:lang w:val="en-US" w:eastAsia="en-US" w:bidi="ar-SA"/>
      </w:rPr>
    </w:lvl>
    <w:lvl w:ilvl="7" w:tplc="76C6EF22">
      <w:numFmt w:val="bullet"/>
      <w:lvlText w:val="•"/>
      <w:lvlJc w:val="left"/>
      <w:pPr>
        <w:ind w:left="8280" w:hanging="361"/>
      </w:pPr>
      <w:rPr>
        <w:rFonts w:hint="default"/>
        <w:lang w:val="en-US" w:eastAsia="en-US" w:bidi="ar-SA"/>
      </w:rPr>
    </w:lvl>
    <w:lvl w:ilvl="8" w:tplc="6F78A7C2">
      <w:numFmt w:val="bullet"/>
      <w:lvlText w:val="•"/>
      <w:lvlJc w:val="left"/>
      <w:pPr>
        <w:ind w:left="9360" w:hanging="361"/>
      </w:pPr>
      <w:rPr>
        <w:rFonts w:hint="default"/>
        <w:lang w:val="en-US" w:eastAsia="en-US" w:bidi="ar-SA"/>
      </w:rPr>
    </w:lvl>
  </w:abstractNum>
  <w:abstractNum w:abstractNumId="6" w15:restartNumberingAfterBreak="0">
    <w:nsid w:val="37A45645"/>
    <w:multiLevelType w:val="hybridMultilevel"/>
    <w:tmpl w:val="DD9ADF3A"/>
    <w:lvl w:ilvl="0" w:tplc="784440E6">
      <w:start w:val="1"/>
      <w:numFmt w:val="decimal"/>
      <w:lvlText w:val="%1."/>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4B8469A0">
      <w:numFmt w:val="bullet"/>
      <w:lvlText w:val="•"/>
      <w:lvlJc w:val="left"/>
      <w:pPr>
        <w:ind w:left="2124" w:hanging="720"/>
      </w:pPr>
      <w:rPr>
        <w:rFonts w:hint="default"/>
        <w:lang w:val="en-US" w:eastAsia="en-US" w:bidi="ar-SA"/>
      </w:rPr>
    </w:lvl>
    <w:lvl w:ilvl="2" w:tplc="ABB6170A">
      <w:numFmt w:val="bullet"/>
      <w:lvlText w:val="•"/>
      <w:lvlJc w:val="left"/>
      <w:pPr>
        <w:ind w:left="3168" w:hanging="720"/>
      </w:pPr>
      <w:rPr>
        <w:rFonts w:hint="default"/>
        <w:lang w:val="en-US" w:eastAsia="en-US" w:bidi="ar-SA"/>
      </w:rPr>
    </w:lvl>
    <w:lvl w:ilvl="3" w:tplc="320C7E0E">
      <w:numFmt w:val="bullet"/>
      <w:lvlText w:val="•"/>
      <w:lvlJc w:val="left"/>
      <w:pPr>
        <w:ind w:left="4212" w:hanging="720"/>
      </w:pPr>
      <w:rPr>
        <w:rFonts w:hint="default"/>
        <w:lang w:val="en-US" w:eastAsia="en-US" w:bidi="ar-SA"/>
      </w:rPr>
    </w:lvl>
    <w:lvl w:ilvl="4" w:tplc="75B66856">
      <w:numFmt w:val="bullet"/>
      <w:lvlText w:val="•"/>
      <w:lvlJc w:val="left"/>
      <w:pPr>
        <w:ind w:left="5256" w:hanging="720"/>
      </w:pPr>
      <w:rPr>
        <w:rFonts w:hint="default"/>
        <w:lang w:val="en-US" w:eastAsia="en-US" w:bidi="ar-SA"/>
      </w:rPr>
    </w:lvl>
    <w:lvl w:ilvl="5" w:tplc="4D344BAC">
      <w:numFmt w:val="bullet"/>
      <w:lvlText w:val="•"/>
      <w:lvlJc w:val="left"/>
      <w:pPr>
        <w:ind w:left="6300" w:hanging="720"/>
      </w:pPr>
      <w:rPr>
        <w:rFonts w:hint="default"/>
        <w:lang w:val="en-US" w:eastAsia="en-US" w:bidi="ar-SA"/>
      </w:rPr>
    </w:lvl>
    <w:lvl w:ilvl="6" w:tplc="534CEAC6">
      <w:numFmt w:val="bullet"/>
      <w:lvlText w:val="•"/>
      <w:lvlJc w:val="left"/>
      <w:pPr>
        <w:ind w:left="7344" w:hanging="720"/>
      </w:pPr>
      <w:rPr>
        <w:rFonts w:hint="default"/>
        <w:lang w:val="en-US" w:eastAsia="en-US" w:bidi="ar-SA"/>
      </w:rPr>
    </w:lvl>
    <w:lvl w:ilvl="7" w:tplc="624A0E66">
      <w:numFmt w:val="bullet"/>
      <w:lvlText w:val="•"/>
      <w:lvlJc w:val="left"/>
      <w:pPr>
        <w:ind w:left="8388" w:hanging="720"/>
      </w:pPr>
      <w:rPr>
        <w:rFonts w:hint="default"/>
        <w:lang w:val="en-US" w:eastAsia="en-US" w:bidi="ar-SA"/>
      </w:rPr>
    </w:lvl>
    <w:lvl w:ilvl="8" w:tplc="E50C8D28">
      <w:numFmt w:val="bullet"/>
      <w:lvlText w:val="•"/>
      <w:lvlJc w:val="left"/>
      <w:pPr>
        <w:ind w:left="9432" w:hanging="720"/>
      </w:pPr>
      <w:rPr>
        <w:rFonts w:hint="default"/>
        <w:lang w:val="en-US" w:eastAsia="en-US" w:bidi="ar-SA"/>
      </w:rPr>
    </w:lvl>
  </w:abstractNum>
  <w:abstractNum w:abstractNumId="7" w15:restartNumberingAfterBreak="0">
    <w:nsid w:val="43DF7E0B"/>
    <w:multiLevelType w:val="hybridMultilevel"/>
    <w:tmpl w:val="5F5CB602"/>
    <w:lvl w:ilvl="0" w:tplc="0409000F">
      <w:start w:val="1"/>
      <w:numFmt w:val="decimal"/>
      <w:lvlText w:val="%1."/>
      <w:lvlJc w:val="left"/>
      <w:pPr>
        <w:ind w:left="3870" w:hanging="360"/>
      </w:p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8" w15:restartNumberingAfterBreak="0">
    <w:nsid w:val="497148C1"/>
    <w:multiLevelType w:val="hybridMultilevel"/>
    <w:tmpl w:val="C9B00334"/>
    <w:lvl w:ilvl="0" w:tplc="5C6AE4BC">
      <w:numFmt w:val="bullet"/>
      <w:lvlText w:val=""/>
      <w:lvlJc w:val="left"/>
      <w:pPr>
        <w:ind w:left="1801" w:hanging="361"/>
      </w:pPr>
      <w:rPr>
        <w:rFonts w:ascii="Symbol" w:eastAsia="Symbol" w:hAnsi="Symbol" w:cs="Symbol" w:hint="default"/>
        <w:b w:val="0"/>
        <w:bCs w:val="0"/>
        <w:i w:val="0"/>
        <w:iCs w:val="0"/>
        <w:spacing w:val="0"/>
        <w:w w:val="100"/>
        <w:sz w:val="24"/>
        <w:szCs w:val="24"/>
        <w:lang w:val="en-US" w:eastAsia="en-US" w:bidi="ar-SA"/>
      </w:rPr>
    </w:lvl>
    <w:lvl w:ilvl="1" w:tplc="9130421C">
      <w:numFmt w:val="bullet"/>
      <w:lvlText w:val="•"/>
      <w:lvlJc w:val="left"/>
      <w:pPr>
        <w:ind w:left="2772" w:hanging="361"/>
      </w:pPr>
      <w:rPr>
        <w:rFonts w:hint="default"/>
        <w:lang w:val="en-US" w:eastAsia="en-US" w:bidi="ar-SA"/>
      </w:rPr>
    </w:lvl>
    <w:lvl w:ilvl="2" w:tplc="A42CBA48">
      <w:numFmt w:val="bullet"/>
      <w:lvlText w:val="•"/>
      <w:lvlJc w:val="left"/>
      <w:pPr>
        <w:ind w:left="3744" w:hanging="361"/>
      </w:pPr>
      <w:rPr>
        <w:rFonts w:hint="default"/>
        <w:lang w:val="en-US" w:eastAsia="en-US" w:bidi="ar-SA"/>
      </w:rPr>
    </w:lvl>
    <w:lvl w:ilvl="3" w:tplc="F0DE089A">
      <w:numFmt w:val="bullet"/>
      <w:lvlText w:val="•"/>
      <w:lvlJc w:val="left"/>
      <w:pPr>
        <w:ind w:left="4716" w:hanging="361"/>
      </w:pPr>
      <w:rPr>
        <w:rFonts w:hint="default"/>
        <w:lang w:val="en-US" w:eastAsia="en-US" w:bidi="ar-SA"/>
      </w:rPr>
    </w:lvl>
    <w:lvl w:ilvl="4" w:tplc="71345F5C">
      <w:numFmt w:val="bullet"/>
      <w:lvlText w:val="•"/>
      <w:lvlJc w:val="left"/>
      <w:pPr>
        <w:ind w:left="5688" w:hanging="361"/>
      </w:pPr>
      <w:rPr>
        <w:rFonts w:hint="default"/>
        <w:lang w:val="en-US" w:eastAsia="en-US" w:bidi="ar-SA"/>
      </w:rPr>
    </w:lvl>
    <w:lvl w:ilvl="5" w:tplc="AF802FFA">
      <w:numFmt w:val="bullet"/>
      <w:lvlText w:val="•"/>
      <w:lvlJc w:val="left"/>
      <w:pPr>
        <w:ind w:left="6660" w:hanging="361"/>
      </w:pPr>
      <w:rPr>
        <w:rFonts w:hint="default"/>
        <w:lang w:val="en-US" w:eastAsia="en-US" w:bidi="ar-SA"/>
      </w:rPr>
    </w:lvl>
    <w:lvl w:ilvl="6" w:tplc="D6227C24">
      <w:numFmt w:val="bullet"/>
      <w:lvlText w:val="•"/>
      <w:lvlJc w:val="left"/>
      <w:pPr>
        <w:ind w:left="7632" w:hanging="361"/>
      </w:pPr>
      <w:rPr>
        <w:rFonts w:hint="default"/>
        <w:lang w:val="en-US" w:eastAsia="en-US" w:bidi="ar-SA"/>
      </w:rPr>
    </w:lvl>
    <w:lvl w:ilvl="7" w:tplc="0E6A486C">
      <w:numFmt w:val="bullet"/>
      <w:lvlText w:val="•"/>
      <w:lvlJc w:val="left"/>
      <w:pPr>
        <w:ind w:left="8604" w:hanging="361"/>
      </w:pPr>
      <w:rPr>
        <w:rFonts w:hint="default"/>
        <w:lang w:val="en-US" w:eastAsia="en-US" w:bidi="ar-SA"/>
      </w:rPr>
    </w:lvl>
    <w:lvl w:ilvl="8" w:tplc="C5560D46">
      <w:numFmt w:val="bullet"/>
      <w:lvlText w:val="•"/>
      <w:lvlJc w:val="left"/>
      <w:pPr>
        <w:ind w:left="9576" w:hanging="361"/>
      </w:pPr>
      <w:rPr>
        <w:rFonts w:hint="default"/>
        <w:lang w:val="en-US" w:eastAsia="en-US" w:bidi="ar-SA"/>
      </w:rPr>
    </w:lvl>
  </w:abstractNum>
  <w:abstractNum w:abstractNumId="9" w15:restartNumberingAfterBreak="0">
    <w:nsid w:val="5C9D40C3"/>
    <w:multiLevelType w:val="hybridMultilevel"/>
    <w:tmpl w:val="6E308904"/>
    <w:lvl w:ilvl="0" w:tplc="DE9475EE">
      <w:start w:val="16"/>
      <w:numFmt w:val="decimal"/>
      <w:lvlText w:val="%1"/>
      <w:lvlJc w:val="left"/>
      <w:pPr>
        <w:ind w:left="1080" w:hanging="360"/>
      </w:pPr>
      <w:rPr>
        <w:rFonts w:hint="default"/>
        <w:spacing w:val="0"/>
        <w:w w:val="100"/>
        <w:lang w:val="en-US" w:eastAsia="en-US" w:bidi="ar-SA"/>
      </w:rPr>
    </w:lvl>
    <w:lvl w:ilvl="1" w:tplc="B7F6E116">
      <w:start w:val="1"/>
      <w:numFmt w:val="lowerLetter"/>
      <w:lvlText w:val="%2."/>
      <w:lvlJc w:val="left"/>
      <w:pPr>
        <w:ind w:left="1801" w:hanging="361"/>
      </w:pPr>
      <w:rPr>
        <w:rFonts w:ascii="Times New Roman" w:eastAsia="Times New Roman" w:hAnsi="Times New Roman" w:cs="Times New Roman" w:hint="default"/>
        <w:b w:val="0"/>
        <w:bCs w:val="0"/>
        <w:i w:val="0"/>
        <w:iCs w:val="0"/>
        <w:spacing w:val="-1"/>
        <w:w w:val="100"/>
        <w:sz w:val="24"/>
        <w:szCs w:val="24"/>
        <w:lang w:val="en-US" w:eastAsia="en-US" w:bidi="ar-SA"/>
      </w:rPr>
    </w:lvl>
    <w:lvl w:ilvl="2" w:tplc="B006496A">
      <w:numFmt w:val="bullet"/>
      <w:lvlText w:val="•"/>
      <w:lvlJc w:val="left"/>
      <w:pPr>
        <w:ind w:left="2880" w:hanging="361"/>
      </w:pPr>
      <w:rPr>
        <w:rFonts w:hint="default"/>
        <w:lang w:val="en-US" w:eastAsia="en-US" w:bidi="ar-SA"/>
      </w:rPr>
    </w:lvl>
    <w:lvl w:ilvl="3" w:tplc="FBA0C59A">
      <w:numFmt w:val="bullet"/>
      <w:lvlText w:val="•"/>
      <w:lvlJc w:val="left"/>
      <w:pPr>
        <w:ind w:left="3960" w:hanging="361"/>
      </w:pPr>
      <w:rPr>
        <w:rFonts w:hint="default"/>
        <w:lang w:val="en-US" w:eastAsia="en-US" w:bidi="ar-SA"/>
      </w:rPr>
    </w:lvl>
    <w:lvl w:ilvl="4" w:tplc="2C2624D0">
      <w:numFmt w:val="bullet"/>
      <w:lvlText w:val="•"/>
      <w:lvlJc w:val="left"/>
      <w:pPr>
        <w:ind w:left="5040" w:hanging="361"/>
      </w:pPr>
      <w:rPr>
        <w:rFonts w:hint="default"/>
        <w:lang w:val="en-US" w:eastAsia="en-US" w:bidi="ar-SA"/>
      </w:rPr>
    </w:lvl>
    <w:lvl w:ilvl="5" w:tplc="A356818A">
      <w:numFmt w:val="bullet"/>
      <w:lvlText w:val="•"/>
      <w:lvlJc w:val="left"/>
      <w:pPr>
        <w:ind w:left="6120" w:hanging="361"/>
      </w:pPr>
      <w:rPr>
        <w:rFonts w:hint="default"/>
        <w:lang w:val="en-US" w:eastAsia="en-US" w:bidi="ar-SA"/>
      </w:rPr>
    </w:lvl>
    <w:lvl w:ilvl="6" w:tplc="14AA1BA4">
      <w:numFmt w:val="bullet"/>
      <w:lvlText w:val="•"/>
      <w:lvlJc w:val="left"/>
      <w:pPr>
        <w:ind w:left="7200" w:hanging="361"/>
      </w:pPr>
      <w:rPr>
        <w:rFonts w:hint="default"/>
        <w:lang w:val="en-US" w:eastAsia="en-US" w:bidi="ar-SA"/>
      </w:rPr>
    </w:lvl>
    <w:lvl w:ilvl="7" w:tplc="B0C2A620">
      <w:numFmt w:val="bullet"/>
      <w:lvlText w:val="•"/>
      <w:lvlJc w:val="left"/>
      <w:pPr>
        <w:ind w:left="8280" w:hanging="361"/>
      </w:pPr>
      <w:rPr>
        <w:rFonts w:hint="default"/>
        <w:lang w:val="en-US" w:eastAsia="en-US" w:bidi="ar-SA"/>
      </w:rPr>
    </w:lvl>
    <w:lvl w:ilvl="8" w:tplc="934E9EDA">
      <w:numFmt w:val="bullet"/>
      <w:lvlText w:val="•"/>
      <w:lvlJc w:val="left"/>
      <w:pPr>
        <w:ind w:left="9360" w:hanging="361"/>
      </w:pPr>
      <w:rPr>
        <w:rFonts w:hint="default"/>
        <w:lang w:val="en-US" w:eastAsia="en-US" w:bidi="ar-SA"/>
      </w:rPr>
    </w:lvl>
  </w:abstractNum>
  <w:abstractNum w:abstractNumId="10" w15:restartNumberingAfterBreak="0">
    <w:nsid w:val="60236C8A"/>
    <w:multiLevelType w:val="multilevel"/>
    <w:tmpl w:val="940C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C132CA"/>
    <w:multiLevelType w:val="hybridMultilevel"/>
    <w:tmpl w:val="69D0B428"/>
    <w:lvl w:ilvl="0" w:tplc="E2D6E602">
      <w:start w:val="1"/>
      <w:numFmt w:val="decimal"/>
      <w:lvlText w:val="%1."/>
      <w:lvlJc w:val="left"/>
      <w:pPr>
        <w:ind w:left="1080" w:hanging="360"/>
      </w:pPr>
      <w:rPr>
        <w:rFonts w:ascii="Times New Roman" w:eastAsia="Times New Roman" w:hAnsi="Times New Roman" w:cs="Times New Roman" w:hint="default"/>
        <w:b/>
        <w:bCs/>
        <w:i w:val="0"/>
        <w:iCs w:val="0"/>
        <w:spacing w:val="0"/>
        <w:w w:val="100"/>
        <w:sz w:val="24"/>
        <w:szCs w:val="24"/>
        <w:lang w:val="en-US" w:eastAsia="en-US" w:bidi="ar-SA"/>
      </w:rPr>
    </w:lvl>
    <w:lvl w:ilvl="1" w:tplc="5E6601A0">
      <w:numFmt w:val="bullet"/>
      <w:lvlText w:val="•"/>
      <w:lvlJc w:val="left"/>
      <w:pPr>
        <w:ind w:left="2124" w:hanging="360"/>
      </w:pPr>
      <w:rPr>
        <w:rFonts w:hint="default"/>
        <w:lang w:val="en-US" w:eastAsia="en-US" w:bidi="ar-SA"/>
      </w:rPr>
    </w:lvl>
    <w:lvl w:ilvl="2" w:tplc="BD3428CC">
      <w:numFmt w:val="bullet"/>
      <w:lvlText w:val="•"/>
      <w:lvlJc w:val="left"/>
      <w:pPr>
        <w:ind w:left="3168" w:hanging="360"/>
      </w:pPr>
      <w:rPr>
        <w:rFonts w:hint="default"/>
        <w:lang w:val="en-US" w:eastAsia="en-US" w:bidi="ar-SA"/>
      </w:rPr>
    </w:lvl>
    <w:lvl w:ilvl="3" w:tplc="A09C011C">
      <w:numFmt w:val="bullet"/>
      <w:lvlText w:val="•"/>
      <w:lvlJc w:val="left"/>
      <w:pPr>
        <w:ind w:left="4212" w:hanging="360"/>
      </w:pPr>
      <w:rPr>
        <w:rFonts w:hint="default"/>
        <w:lang w:val="en-US" w:eastAsia="en-US" w:bidi="ar-SA"/>
      </w:rPr>
    </w:lvl>
    <w:lvl w:ilvl="4" w:tplc="0FE66A94">
      <w:numFmt w:val="bullet"/>
      <w:lvlText w:val="•"/>
      <w:lvlJc w:val="left"/>
      <w:pPr>
        <w:ind w:left="5256" w:hanging="360"/>
      </w:pPr>
      <w:rPr>
        <w:rFonts w:hint="default"/>
        <w:lang w:val="en-US" w:eastAsia="en-US" w:bidi="ar-SA"/>
      </w:rPr>
    </w:lvl>
    <w:lvl w:ilvl="5" w:tplc="45320062">
      <w:numFmt w:val="bullet"/>
      <w:lvlText w:val="•"/>
      <w:lvlJc w:val="left"/>
      <w:pPr>
        <w:ind w:left="6300" w:hanging="360"/>
      </w:pPr>
      <w:rPr>
        <w:rFonts w:hint="default"/>
        <w:lang w:val="en-US" w:eastAsia="en-US" w:bidi="ar-SA"/>
      </w:rPr>
    </w:lvl>
    <w:lvl w:ilvl="6" w:tplc="1F4A9B5C">
      <w:numFmt w:val="bullet"/>
      <w:lvlText w:val="•"/>
      <w:lvlJc w:val="left"/>
      <w:pPr>
        <w:ind w:left="7344" w:hanging="360"/>
      </w:pPr>
      <w:rPr>
        <w:rFonts w:hint="default"/>
        <w:lang w:val="en-US" w:eastAsia="en-US" w:bidi="ar-SA"/>
      </w:rPr>
    </w:lvl>
    <w:lvl w:ilvl="7" w:tplc="B6B24AB6">
      <w:numFmt w:val="bullet"/>
      <w:lvlText w:val="•"/>
      <w:lvlJc w:val="left"/>
      <w:pPr>
        <w:ind w:left="8388" w:hanging="360"/>
      </w:pPr>
      <w:rPr>
        <w:rFonts w:hint="default"/>
        <w:lang w:val="en-US" w:eastAsia="en-US" w:bidi="ar-SA"/>
      </w:rPr>
    </w:lvl>
    <w:lvl w:ilvl="8" w:tplc="7AB85864">
      <w:numFmt w:val="bullet"/>
      <w:lvlText w:val="•"/>
      <w:lvlJc w:val="left"/>
      <w:pPr>
        <w:ind w:left="9432" w:hanging="360"/>
      </w:pPr>
      <w:rPr>
        <w:rFonts w:hint="default"/>
        <w:lang w:val="en-US" w:eastAsia="en-US" w:bidi="ar-SA"/>
      </w:rPr>
    </w:lvl>
  </w:abstractNum>
  <w:abstractNum w:abstractNumId="12" w15:restartNumberingAfterBreak="0">
    <w:nsid w:val="643D5410"/>
    <w:multiLevelType w:val="multilevel"/>
    <w:tmpl w:val="3EFC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B13394"/>
    <w:multiLevelType w:val="multilevel"/>
    <w:tmpl w:val="F1B4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F444D0"/>
    <w:multiLevelType w:val="hybridMultilevel"/>
    <w:tmpl w:val="28107B00"/>
    <w:lvl w:ilvl="0" w:tplc="267CB3C8">
      <w:start w:val="1"/>
      <w:numFmt w:val="decimal"/>
      <w:lvlText w:val="%1."/>
      <w:lvlJc w:val="left"/>
      <w:pPr>
        <w:ind w:left="108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8EA85E64">
      <w:start w:val="1"/>
      <w:numFmt w:val="decimal"/>
      <w:lvlText w:val="%2."/>
      <w:lvlJc w:val="left"/>
      <w:pPr>
        <w:ind w:left="1801" w:hanging="72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A3F09738">
      <w:start w:val="1"/>
      <w:numFmt w:val="decimal"/>
      <w:lvlText w:val="%3."/>
      <w:lvlJc w:val="left"/>
      <w:pPr>
        <w:ind w:left="1801" w:hanging="72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3" w:tplc="D33883CA">
      <w:start w:val="1"/>
      <w:numFmt w:val="decimal"/>
      <w:lvlText w:val="%4."/>
      <w:lvlJc w:val="left"/>
      <w:pPr>
        <w:ind w:left="180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4" w:tplc="72442B66">
      <w:start w:val="1"/>
      <w:numFmt w:val="decimal"/>
      <w:lvlText w:val="%5."/>
      <w:lvlJc w:val="left"/>
      <w:pPr>
        <w:ind w:left="2521" w:hanging="72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61127952">
      <w:start w:val="1"/>
      <w:numFmt w:val="decimal"/>
      <w:lvlText w:val="%6."/>
      <w:lvlJc w:val="left"/>
      <w:pPr>
        <w:ind w:left="1801"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6" w:tplc="DAF4701C">
      <w:numFmt w:val="bullet"/>
      <w:lvlText w:val="•"/>
      <w:lvlJc w:val="left"/>
      <w:pPr>
        <w:ind w:left="7020" w:hanging="721"/>
      </w:pPr>
      <w:rPr>
        <w:rFonts w:hint="default"/>
        <w:lang w:val="en-US" w:eastAsia="en-US" w:bidi="ar-SA"/>
      </w:rPr>
    </w:lvl>
    <w:lvl w:ilvl="7" w:tplc="66E49452">
      <w:numFmt w:val="bullet"/>
      <w:lvlText w:val="•"/>
      <w:lvlJc w:val="left"/>
      <w:pPr>
        <w:ind w:left="8145" w:hanging="721"/>
      </w:pPr>
      <w:rPr>
        <w:rFonts w:hint="default"/>
        <w:lang w:val="en-US" w:eastAsia="en-US" w:bidi="ar-SA"/>
      </w:rPr>
    </w:lvl>
    <w:lvl w:ilvl="8" w:tplc="96CECD2A">
      <w:numFmt w:val="bullet"/>
      <w:lvlText w:val="•"/>
      <w:lvlJc w:val="left"/>
      <w:pPr>
        <w:ind w:left="9270" w:hanging="721"/>
      </w:pPr>
      <w:rPr>
        <w:rFonts w:hint="default"/>
        <w:lang w:val="en-US" w:eastAsia="en-US" w:bidi="ar-SA"/>
      </w:rPr>
    </w:lvl>
  </w:abstractNum>
  <w:abstractNum w:abstractNumId="15" w15:restartNumberingAfterBreak="0">
    <w:nsid w:val="6D2D1D07"/>
    <w:multiLevelType w:val="hybridMultilevel"/>
    <w:tmpl w:val="BB14709A"/>
    <w:lvl w:ilvl="0" w:tplc="0B0C3D58">
      <w:start w:val="10"/>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705406FE"/>
    <w:multiLevelType w:val="hybridMultilevel"/>
    <w:tmpl w:val="F04C43B8"/>
    <w:lvl w:ilvl="0" w:tplc="6FAA2F10">
      <w:start w:val="1"/>
      <w:numFmt w:val="decimal"/>
      <w:lvlText w:val="%1."/>
      <w:lvlJc w:val="left"/>
      <w:pPr>
        <w:ind w:left="1080" w:hanging="720"/>
        <w:jc w:val="right"/>
      </w:pPr>
      <w:rPr>
        <w:rFonts w:hint="default"/>
        <w:spacing w:val="0"/>
        <w:w w:val="100"/>
        <w:lang w:val="en-US" w:eastAsia="en-US" w:bidi="ar-SA"/>
      </w:rPr>
    </w:lvl>
    <w:lvl w:ilvl="1" w:tplc="0068DCFE">
      <w:numFmt w:val="bullet"/>
      <w:lvlText w:val="•"/>
      <w:lvlJc w:val="left"/>
      <w:pPr>
        <w:ind w:left="2124" w:hanging="720"/>
      </w:pPr>
      <w:rPr>
        <w:rFonts w:hint="default"/>
        <w:lang w:val="en-US" w:eastAsia="en-US" w:bidi="ar-SA"/>
      </w:rPr>
    </w:lvl>
    <w:lvl w:ilvl="2" w:tplc="AEB6EC9A">
      <w:numFmt w:val="bullet"/>
      <w:lvlText w:val="•"/>
      <w:lvlJc w:val="left"/>
      <w:pPr>
        <w:ind w:left="3168" w:hanging="720"/>
      </w:pPr>
      <w:rPr>
        <w:rFonts w:hint="default"/>
        <w:lang w:val="en-US" w:eastAsia="en-US" w:bidi="ar-SA"/>
      </w:rPr>
    </w:lvl>
    <w:lvl w:ilvl="3" w:tplc="5D8AE932">
      <w:numFmt w:val="bullet"/>
      <w:lvlText w:val="•"/>
      <w:lvlJc w:val="left"/>
      <w:pPr>
        <w:ind w:left="4212" w:hanging="720"/>
      </w:pPr>
      <w:rPr>
        <w:rFonts w:hint="default"/>
        <w:lang w:val="en-US" w:eastAsia="en-US" w:bidi="ar-SA"/>
      </w:rPr>
    </w:lvl>
    <w:lvl w:ilvl="4" w:tplc="A386C8FE">
      <w:numFmt w:val="bullet"/>
      <w:lvlText w:val="•"/>
      <w:lvlJc w:val="left"/>
      <w:pPr>
        <w:ind w:left="5256" w:hanging="720"/>
      </w:pPr>
      <w:rPr>
        <w:rFonts w:hint="default"/>
        <w:lang w:val="en-US" w:eastAsia="en-US" w:bidi="ar-SA"/>
      </w:rPr>
    </w:lvl>
    <w:lvl w:ilvl="5" w:tplc="3F005A72">
      <w:numFmt w:val="bullet"/>
      <w:lvlText w:val="•"/>
      <w:lvlJc w:val="left"/>
      <w:pPr>
        <w:ind w:left="6300" w:hanging="720"/>
      </w:pPr>
      <w:rPr>
        <w:rFonts w:hint="default"/>
        <w:lang w:val="en-US" w:eastAsia="en-US" w:bidi="ar-SA"/>
      </w:rPr>
    </w:lvl>
    <w:lvl w:ilvl="6" w:tplc="49F0F8C6">
      <w:numFmt w:val="bullet"/>
      <w:lvlText w:val="•"/>
      <w:lvlJc w:val="left"/>
      <w:pPr>
        <w:ind w:left="7344" w:hanging="720"/>
      </w:pPr>
      <w:rPr>
        <w:rFonts w:hint="default"/>
        <w:lang w:val="en-US" w:eastAsia="en-US" w:bidi="ar-SA"/>
      </w:rPr>
    </w:lvl>
    <w:lvl w:ilvl="7" w:tplc="575247BA">
      <w:numFmt w:val="bullet"/>
      <w:lvlText w:val="•"/>
      <w:lvlJc w:val="left"/>
      <w:pPr>
        <w:ind w:left="8388" w:hanging="720"/>
      </w:pPr>
      <w:rPr>
        <w:rFonts w:hint="default"/>
        <w:lang w:val="en-US" w:eastAsia="en-US" w:bidi="ar-SA"/>
      </w:rPr>
    </w:lvl>
    <w:lvl w:ilvl="8" w:tplc="3692EA54">
      <w:numFmt w:val="bullet"/>
      <w:lvlText w:val="•"/>
      <w:lvlJc w:val="left"/>
      <w:pPr>
        <w:ind w:left="9432" w:hanging="720"/>
      </w:pPr>
      <w:rPr>
        <w:rFonts w:hint="default"/>
        <w:lang w:val="en-US" w:eastAsia="en-US" w:bidi="ar-SA"/>
      </w:rPr>
    </w:lvl>
  </w:abstractNum>
  <w:abstractNum w:abstractNumId="17" w15:restartNumberingAfterBreak="0">
    <w:nsid w:val="7A6A05AA"/>
    <w:multiLevelType w:val="multilevel"/>
    <w:tmpl w:val="1A44E8C2"/>
    <w:lvl w:ilvl="0">
      <w:start w:val="1"/>
      <w:numFmt w:val="decimal"/>
      <w:lvlText w:val="%1."/>
      <w:lvlJc w:val="left"/>
      <w:pPr>
        <w:ind w:left="720" w:hanging="360"/>
      </w:pPr>
      <w:rPr>
        <w:rFonts w:ascii="Roboto" w:eastAsia="Roboto" w:hAnsi="Roboto" w:cs="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7EF26F19"/>
    <w:multiLevelType w:val="multilevel"/>
    <w:tmpl w:val="B91E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49804">
    <w:abstractNumId w:val="11"/>
  </w:num>
  <w:num w:numId="2" w16cid:durableId="456026463">
    <w:abstractNumId w:val="1"/>
  </w:num>
  <w:num w:numId="3" w16cid:durableId="1376933203">
    <w:abstractNumId w:val="5"/>
  </w:num>
  <w:num w:numId="4" w16cid:durableId="537359541">
    <w:abstractNumId w:val="14"/>
  </w:num>
  <w:num w:numId="5" w16cid:durableId="1530409131">
    <w:abstractNumId w:val="6"/>
  </w:num>
  <w:num w:numId="6" w16cid:durableId="1766152494">
    <w:abstractNumId w:val="2"/>
  </w:num>
  <w:num w:numId="7" w16cid:durableId="1576743189">
    <w:abstractNumId w:val="4"/>
  </w:num>
  <w:num w:numId="8" w16cid:durableId="263614562">
    <w:abstractNumId w:val="8"/>
  </w:num>
  <w:num w:numId="9" w16cid:durableId="1189754324">
    <w:abstractNumId w:val="9"/>
  </w:num>
  <w:num w:numId="10" w16cid:durableId="1905946181">
    <w:abstractNumId w:val="16"/>
  </w:num>
  <w:num w:numId="11" w16cid:durableId="724065062">
    <w:abstractNumId w:val="15"/>
  </w:num>
  <w:num w:numId="12" w16cid:durableId="1424687879">
    <w:abstractNumId w:val="7"/>
  </w:num>
  <w:num w:numId="13" w16cid:durableId="335500345">
    <w:abstractNumId w:val="18"/>
  </w:num>
  <w:num w:numId="14" w16cid:durableId="1918511847">
    <w:abstractNumId w:val="12"/>
  </w:num>
  <w:num w:numId="15" w16cid:durableId="1439301633">
    <w:abstractNumId w:val="3"/>
  </w:num>
  <w:num w:numId="16" w16cid:durableId="1484203893">
    <w:abstractNumId w:val="13"/>
  </w:num>
  <w:num w:numId="17" w16cid:durableId="1892232009">
    <w:abstractNumId w:val="0"/>
  </w:num>
  <w:num w:numId="18" w16cid:durableId="1038966781">
    <w:abstractNumId w:val="10"/>
  </w:num>
  <w:num w:numId="19" w16cid:durableId="14375571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90"/>
    <w:rsid w:val="00000CF5"/>
    <w:rsid w:val="00003EF3"/>
    <w:rsid w:val="00115336"/>
    <w:rsid w:val="00124883"/>
    <w:rsid w:val="00124F36"/>
    <w:rsid w:val="001B014E"/>
    <w:rsid w:val="001C2236"/>
    <w:rsid w:val="001D68A6"/>
    <w:rsid w:val="001F191D"/>
    <w:rsid w:val="00306C52"/>
    <w:rsid w:val="00310535"/>
    <w:rsid w:val="00367D04"/>
    <w:rsid w:val="003D07A4"/>
    <w:rsid w:val="003F505D"/>
    <w:rsid w:val="00410AE1"/>
    <w:rsid w:val="00430AA1"/>
    <w:rsid w:val="004530B9"/>
    <w:rsid w:val="0045365C"/>
    <w:rsid w:val="00454290"/>
    <w:rsid w:val="0051383A"/>
    <w:rsid w:val="00524AA3"/>
    <w:rsid w:val="005431FF"/>
    <w:rsid w:val="005447AE"/>
    <w:rsid w:val="006C39A4"/>
    <w:rsid w:val="00720DD6"/>
    <w:rsid w:val="00775D90"/>
    <w:rsid w:val="007B662A"/>
    <w:rsid w:val="007C7416"/>
    <w:rsid w:val="007D4D33"/>
    <w:rsid w:val="007E1703"/>
    <w:rsid w:val="008219AB"/>
    <w:rsid w:val="0083258B"/>
    <w:rsid w:val="008F46BC"/>
    <w:rsid w:val="009847CD"/>
    <w:rsid w:val="009A1075"/>
    <w:rsid w:val="00A16BD2"/>
    <w:rsid w:val="00A85F95"/>
    <w:rsid w:val="00A92543"/>
    <w:rsid w:val="00A9378F"/>
    <w:rsid w:val="00AA6B05"/>
    <w:rsid w:val="00AD4194"/>
    <w:rsid w:val="00B10D77"/>
    <w:rsid w:val="00B453D1"/>
    <w:rsid w:val="00B4629B"/>
    <w:rsid w:val="00B62A6C"/>
    <w:rsid w:val="00BA5F35"/>
    <w:rsid w:val="00C00A8F"/>
    <w:rsid w:val="00C16301"/>
    <w:rsid w:val="00C16844"/>
    <w:rsid w:val="00C56B67"/>
    <w:rsid w:val="00C916A5"/>
    <w:rsid w:val="00CB4968"/>
    <w:rsid w:val="00CC7E52"/>
    <w:rsid w:val="00CE16B9"/>
    <w:rsid w:val="00D221DC"/>
    <w:rsid w:val="00D2346E"/>
    <w:rsid w:val="00D31ED4"/>
    <w:rsid w:val="00D333A7"/>
    <w:rsid w:val="00D67BD5"/>
    <w:rsid w:val="00E4504B"/>
    <w:rsid w:val="00EA569C"/>
    <w:rsid w:val="00ED7D48"/>
    <w:rsid w:val="00F231EB"/>
    <w:rsid w:val="00FB21A9"/>
    <w:rsid w:val="00FB3C89"/>
    <w:rsid w:val="00FD08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B3CB"/>
  <w15:docId w15:val="{71933409-FDBE-4EC6-BF09-38B16144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24"/>
      <w:szCs w:val="24"/>
    </w:rPr>
  </w:style>
  <w:style w:type="paragraph" w:styleId="Heading2">
    <w:name w:val="heading 2"/>
    <w:basedOn w:val="Normal"/>
    <w:uiPriority w:val="9"/>
    <w:unhideWhenUsed/>
    <w:qFormat/>
    <w:pPr>
      <w:ind w:left="360"/>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7"/>
      <w:jc w:val="center"/>
    </w:pPr>
    <w:rPr>
      <w:b/>
      <w:bCs/>
      <w:sz w:val="56"/>
      <w:szCs w:val="56"/>
    </w:rPr>
  </w:style>
  <w:style w:type="paragraph" w:styleId="ListParagraph">
    <w:name w:val="List Paragraph"/>
    <w:basedOn w:val="Normal"/>
    <w:uiPriority w:val="1"/>
    <w:qFormat/>
    <w:pPr>
      <w:ind w:left="1080" w:hanging="720"/>
    </w:pPr>
  </w:style>
  <w:style w:type="paragraph" w:customStyle="1" w:styleId="TableParagraph">
    <w:name w:val="Table Paragraph"/>
    <w:basedOn w:val="Normal"/>
    <w:uiPriority w:val="1"/>
    <w:qFormat/>
    <w:pPr>
      <w:spacing w:before="15"/>
    </w:pPr>
  </w:style>
  <w:style w:type="character" w:styleId="Hyperlink">
    <w:name w:val="Hyperlink"/>
    <w:basedOn w:val="DefaultParagraphFont"/>
    <w:uiPriority w:val="99"/>
    <w:unhideWhenUsed/>
    <w:rsid w:val="004530B9"/>
    <w:rPr>
      <w:color w:val="0000FF" w:themeColor="hyperlink"/>
      <w:u w:val="single"/>
    </w:rPr>
  </w:style>
  <w:style w:type="character" w:styleId="UnresolvedMention">
    <w:name w:val="Unresolved Mention"/>
    <w:basedOn w:val="DefaultParagraphFont"/>
    <w:uiPriority w:val="99"/>
    <w:semiHidden/>
    <w:unhideWhenUsed/>
    <w:rsid w:val="004530B9"/>
    <w:rPr>
      <w:color w:val="605E5C"/>
      <w:shd w:val="clear" w:color="auto" w:fill="E1DFDD"/>
    </w:rPr>
  </w:style>
  <w:style w:type="paragraph" w:styleId="Header">
    <w:name w:val="header"/>
    <w:basedOn w:val="Normal"/>
    <w:link w:val="HeaderChar"/>
    <w:uiPriority w:val="99"/>
    <w:unhideWhenUsed/>
    <w:rsid w:val="00A85F95"/>
    <w:pPr>
      <w:tabs>
        <w:tab w:val="center" w:pos="4680"/>
        <w:tab w:val="right" w:pos="9360"/>
      </w:tabs>
    </w:pPr>
  </w:style>
  <w:style w:type="character" w:customStyle="1" w:styleId="HeaderChar">
    <w:name w:val="Header Char"/>
    <w:basedOn w:val="DefaultParagraphFont"/>
    <w:link w:val="Header"/>
    <w:uiPriority w:val="99"/>
    <w:rsid w:val="00A85F95"/>
    <w:rPr>
      <w:rFonts w:ascii="Times New Roman" w:eastAsia="Times New Roman" w:hAnsi="Times New Roman" w:cs="Times New Roman"/>
    </w:rPr>
  </w:style>
  <w:style w:type="paragraph" w:styleId="Footer">
    <w:name w:val="footer"/>
    <w:basedOn w:val="Normal"/>
    <w:link w:val="FooterChar"/>
    <w:uiPriority w:val="99"/>
    <w:unhideWhenUsed/>
    <w:rsid w:val="00A85F95"/>
    <w:pPr>
      <w:tabs>
        <w:tab w:val="center" w:pos="4680"/>
        <w:tab w:val="right" w:pos="9360"/>
      </w:tabs>
    </w:pPr>
  </w:style>
  <w:style w:type="character" w:customStyle="1" w:styleId="FooterChar">
    <w:name w:val="Footer Char"/>
    <w:basedOn w:val="DefaultParagraphFont"/>
    <w:link w:val="Footer"/>
    <w:uiPriority w:val="99"/>
    <w:rsid w:val="00A85F9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searchgate.net/publication/301548337_Liquid_Fertilizer_From_Food_Waste_-_A_Sustainable_Approach?enrichId=rgreq-c2b245da7759984fc53901fb2701b132-XXX&amp;enrichSource=Y292ZXJQYWdlOzMwMTU0ODMzNztBUzozNTMyNDc0Njc0NTg1NjRAMTQ2MTIzMjE2NzMzMw%3D%3D&amp;el=1_x_2&amp;_esc=publicationCover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0305-0491(75)90096-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63/1.5046629" TargetMode="External"/><Relationship Id="rId5" Type="http://schemas.openxmlformats.org/officeDocument/2006/relationships/footnotes" Target="footnotes.xml"/><Relationship Id="rId15" Type="http://schemas.openxmlformats.org/officeDocument/2006/relationships/hyperlink" Target="https://doi.org/10.1088/1755-1315/393/1/012048" TargetMode="External"/><Relationship Id="rId10" Type="http://schemas.openxmlformats.org/officeDocument/2006/relationships/hyperlink" Target="https://doi.org/10.1016/j.watres.2021.117717" TargetMode="External"/><Relationship Id="rId4" Type="http://schemas.openxmlformats.org/officeDocument/2006/relationships/webSettings" Target="webSettings.xml"/><Relationship Id="rId9" Type="http://schemas.openxmlformats.org/officeDocument/2006/relationships/hyperlink" Target="https://doi.org/10.3390/su11082266" TargetMode="External"/><Relationship Id="rId14" Type="http://schemas.openxmlformats.org/officeDocument/2006/relationships/hyperlink" Target="https://doi.org/10.1088/1755-1315/1143/1/01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sharma</dc:creator>
  <cp:lastModifiedBy>J GANESH REDDY</cp:lastModifiedBy>
  <cp:revision>8</cp:revision>
  <dcterms:created xsi:type="dcterms:W3CDTF">2025-03-25T17:32:00Z</dcterms:created>
  <dcterms:modified xsi:type="dcterms:W3CDTF">2025-03-26T06:35:00Z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2016</vt:lpwstr>
  </property>
  <property fmtid="{D5CDD505-2E9C-101B-9397-08002B2CF9AE}" pid="4" name="LastSaved">
    <vt:filetime>2025-03-05T00:00:00Z</vt:filetime>
  </property>
  <property fmtid="{D5CDD505-2E9C-101B-9397-08002B2CF9AE}" pid="5" name="Producer">
    <vt:lpwstr>www.ilovepdf.com</vt:lpwstr>
  </property>
</Properties>
</file>