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9C399" w14:textId="3970C411" w:rsidR="005C3F1E" w:rsidRDefault="00794C4B">
      <w:pPr>
        <w:jc w:val="center"/>
        <w:rPr>
          <w:rFonts w:ascii="Times New Roman" w:hAnsi="Times New Roman" w:cs="Times New Roman"/>
          <w:b/>
          <w:bCs/>
          <w:lang w:val="en-US"/>
        </w:rPr>
      </w:pPr>
      <w:bookmarkStart w:id="0" w:name="_Hlk193409727"/>
      <w:bookmarkEnd w:id="0"/>
      <w:r>
        <w:rPr>
          <w:rFonts w:ascii="Times New Roman" w:hAnsi="Times New Roman" w:cs="Times New Roman"/>
          <w:b/>
          <w:bCs/>
          <w:lang w:val="en-US"/>
        </w:rPr>
        <w:t>A STUDY ON WORKING PROFESSIONALS PERCEPTION TOWARDS MUTUAL INVESTMENT</w:t>
      </w:r>
    </w:p>
    <w:p w14:paraId="7D49C39A" w14:textId="77777777" w:rsidR="005C3F1E" w:rsidRDefault="005C3F1E">
      <w:pPr>
        <w:jc w:val="center"/>
        <w:rPr>
          <w:rFonts w:ascii="Times New Roman" w:hAnsi="Times New Roman" w:cs="Times New Roman"/>
          <w:b/>
          <w:bCs/>
          <w:lang w:val="en-US"/>
        </w:rPr>
      </w:pPr>
    </w:p>
    <w:p w14:paraId="7D49C39B" w14:textId="77777777" w:rsidR="005C3F1E" w:rsidRDefault="00794C4B">
      <w:pPr>
        <w:jc w:val="center"/>
        <w:rPr>
          <w:rFonts w:ascii="Times New Roman" w:hAnsi="Times New Roman" w:cs="Times New Roman"/>
          <w:vertAlign w:val="superscript"/>
        </w:rPr>
      </w:pPr>
      <w:r>
        <w:rPr>
          <w:rFonts w:ascii="Times New Roman" w:hAnsi="Times New Roman" w:cs="Times New Roman"/>
        </w:rPr>
        <w:t>Ramkumar P</w:t>
      </w:r>
      <w:r>
        <w:rPr>
          <w:rFonts w:ascii="Times New Roman" w:hAnsi="Times New Roman" w:cs="Times New Roman"/>
          <w:vertAlign w:val="superscript"/>
        </w:rPr>
        <w:t>1</w:t>
      </w:r>
      <w:r>
        <w:rPr>
          <w:rFonts w:ascii="Times New Roman" w:hAnsi="Times New Roman" w:cs="Times New Roman"/>
        </w:rPr>
        <w:t>, Dr.S.S.Onyx Nathanael Nirmal Raj</w:t>
      </w:r>
      <w:r>
        <w:rPr>
          <w:rFonts w:ascii="Times New Roman" w:hAnsi="Times New Roman" w:cs="Times New Roman"/>
          <w:vertAlign w:val="superscript"/>
        </w:rPr>
        <w:t>2</w:t>
      </w:r>
      <w:r>
        <w:rPr>
          <w:rFonts w:ascii="Times New Roman" w:hAnsi="Times New Roman" w:cs="Times New Roman"/>
        </w:rPr>
        <w:t>,</w:t>
      </w:r>
    </w:p>
    <w:p w14:paraId="7D49C39C" w14:textId="77777777" w:rsidR="005C3F1E" w:rsidRDefault="00794C4B">
      <w:pPr>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MBA Student, School of Arts, Humanities and Management, Jeppiaar University, Chennai, India.</w:t>
      </w:r>
    </w:p>
    <w:p w14:paraId="7D49C39D" w14:textId="77777777" w:rsidR="005C3F1E" w:rsidRDefault="00794C4B">
      <w:pPr>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Associate Professor, School of </w:t>
      </w:r>
      <w:r>
        <w:rPr>
          <w:rFonts w:ascii="Times New Roman" w:hAnsi="Times New Roman" w:cs="Times New Roman"/>
        </w:rPr>
        <w:t>Arts, Humanities and Management, Jeppiaar University, Chennai, India.</w:t>
      </w:r>
    </w:p>
    <w:p w14:paraId="7D49C39E" w14:textId="77777777" w:rsidR="005C3F1E" w:rsidRDefault="005C3F1E">
      <w:pPr>
        <w:spacing w:line="240" w:lineRule="auto"/>
        <w:rPr>
          <w:rFonts w:ascii="Times New Roman" w:hAnsi="Times New Roman" w:cs="Times New Roman"/>
        </w:rPr>
      </w:pPr>
    </w:p>
    <w:p w14:paraId="7D49C39F" w14:textId="77777777" w:rsidR="005C3F1E" w:rsidRDefault="00794C4B">
      <w:pPr>
        <w:rPr>
          <w:rFonts w:ascii="Times New Roman" w:hAnsi="Times New Roman" w:cs="Times New Roman"/>
          <w:b/>
          <w:bCs/>
          <w:color w:val="0070C0"/>
          <w:vertAlign w:val="superscript"/>
          <w:lang w:val="en-US"/>
        </w:rPr>
      </w:pPr>
      <w:r>
        <w:rPr>
          <w:rFonts w:ascii="Times New Roman" w:hAnsi="Times New Roman" w:cs="Times New Roman"/>
        </w:rPr>
        <w:t xml:space="preserve">                                                   </w:t>
      </w:r>
      <w:r>
        <w:rPr>
          <w:rFonts w:ascii="Times New Roman" w:hAnsi="Times New Roman" w:cs="Times New Roman"/>
          <w:color w:val="0070C0"/>
        </w:rPr>
        <w:t xml:space="preserve">  </w:t>
      </w:r>
      <w:r>
        <w:rPr>
          <w:rFonts w:ascii="Times New Roman" w:hAnsi="Times New Roman" w:cs="Times New Roman"/>
          <w:color w:val="000000" w:themeColor="text1"/>
          <w:vertAlign w:val="superscript"/>
          <w:lang w:val="en-US"/>
        </w:rPr>
        <w:t>1</w:t>
      </w:r>
      <w:r>
        <w:rPr>
          <w:rFonts w:ascii="Times New Roman" w:hAnsi="Times New Roman" w:cs="Times New Roman"/>
          <w:b/>
          <w:bCs/>
          <w:i/>
          <w:iCs/>
          <w:color w:val="0070C0"/>
          <w:u w:val="single"/>
          <w:lang w:val="en-US"/>
        </w:rPr>
        <w:t>ramkumar13131rk@gmail.com</w:t>
      </w:r>
      <w:r>
        <w:rPr>
          <w:rFonts w:ascii="Times New Roman" w:hAnsi="Times New Roman" w:cs="Times New Roman"/>
          <w:b/>
          <w:bCs/>
          <w:i/>
          <w:iCs/>
          <w:color w:val="000000" w:themeColor="text1"/>
          <w:lang w:val="en-US"/>
        </w:rPr>
        <w:t>,</w:t>
      </w:r>
    </w:p>
    <w:p w14:paraId="7D49C3A0" w14:textId="77777777" w:rsidR="005C3F1E" w:rsidRDefault="00794C4B">
      <w:pPr>
        <w:rPr>
          <w:rFonts w:ascii="Times New Roman" w:hAnsi="Times New Roman" w:cs="Times New Roman"/>
          <w:b/>
          <w:bCs/>
          <w:i/>
          <w:iCs/>
          <w:color w:val="0070C0"/>
          <w:lang w:val="en-US"/>
        </w:rPr>
      </w:pPr>
      <w:r>
        <w:rPr>
          <w:rFonts w:ascii="Times New Roman" w:hAnsi="Times New Roman" w:cs="Times New Roman"/>
          <w:color w:val="0070C0"/>
          <w:vertAlign w:val="superscript"/>
          <w:lang w:val="en-US"/>
        </w:rPr>
        <w:t xml:space="preserve">                                                                                           </w:t>
      </w:r>
      <w:hyperlink r:id="rId8" w:history="1">
        <w:r>
          <w:rPr>
            <w:rStyle w:val="Hyperlink"/>
            <w:rFonts w:ascii="Times New Roman" w:hAnsi="Times New Roman" w:cs="Times New Roman"/>
            <w:color w:val="000000" w:themeColor="text1"/>
            <w:u w:val="none"/>
            <w:vertAlign w:val="superscript"/>
            <w:lang w:val="en-US"/>
          </w:rPr>
          <w:t>2</w:t>
        </w:r>
        <w:r>
          <w:rPr>
            <w:rStyle w:val="Hyperlink"/>
            <w:rFonts w:ascii="Times New Roman" w:hAnsi="Times New Roman" w:cs="Times New Roman"/>
            <w:b/>
            <w:bCs/>
            <w:i/>
            <w:iCs/>
            <w:color w:val="0070C0"/>
            <w:lang w:val="en-US"/>
          </w:rPr>
          <w:t>dronyx77@gmail.com</w:t>
        </w:r>
        <w:r>
          <w:rPr>
            <w:rStyle w:val="Hyperlink"/>
            <w:rFonts w:ascii="Times New Roman" w:hAnsi="Times New Roman" w:cs="Times New Roman"/>
            <w:b/>
            <w:bCs/>
            <w:i/>
            <w:iCs/>
            <w:color w:val="000000" w:themeColor="text1"/>
            <w:u w:val="none"/>
            <w:lang w:val="en-US"/>
          </w:rPr>
          <w:t>,</w:t>
        </w:r>
      </w:hyperlink>
    </w:p>
    <w:p w14:paraId="7D49C3A1" w14:textId="77777777" w:rsidR="005C3F1E" w:rsidRDefault="005C3F1E">
      <w:pPr>
        <w:rPr>
          <w:rFonts w:ascii="Times New Roman" w:hAnsi="Times New Roman" w:cs="Times New Roman"/>
          <w:b/>
          <w:bCs/>
          <w:i/>
          <w:iCs/>
          <w:lang w:val="en-US"/>
        </w:rPr>
      </w:pPr>
    </w:p>
    <w:p w14:paraId="7D49C3A2" w14:textId="77777777" w:rsidR="005C3F1E" w:rsidRDefault="00794C4B">
      <w:pPr>
        <w:rPr>
          <w:rFonts w:ascii="Times New Roman" w:hAnsi="Times New Roman" w:cs="Times New Roman"/>
          <w:b/>
          <w:bCs/>
        </w:rPr>
      </w:pPr>
      <w:r>
        <w:rPr>
          <w:rFonts w:ascii="Times New Roman" w:hAnsi="Times New Roman" w:cs="Times New Roman"/>
          <w:b/>
          <w:bCs/>
        </w:rPr>
        <w:t>ABSTRACT</w:t>
      </w:r>
    </w:p>
    <w:p w14:paraId="7D49C3A3" w14:textId="77777777" w:rsidR="005C3F1E" w:rsidRDefault="00794C4B">
      <w:pPr>
        <w:jc w:val="both"/>
        <w:rPr>
          <w:rFonts w:ascii="Times New Roman" w:hAnsi="Times New Roman" w:cs="Times New Roman"/>
          <w:lang w:val="en-US"/>
        </w:rPr>
      </w:pPr>
      <w:r>
        <w:rPr>
          <w:rFonts w:ascii="Times New Roman" w:hAnsi="Times New Roman" w:cs="Times New Roman"/>
        </w:rPr>
        <w:t xml:space="preserve">Mutual funds are today one of the most popular and </w:t>
      </w:r>
      <w:r>
        <w:rPr>
          <w:rFonts w:ascii="Times New Roman" w:hAnsi="Times New Roman" w:cs="Times New Roman"/>
        </w:rPr>
        <w:t xml:space="preserve">easily available investment tools  for working people, offering them a single portfolio of diversified mutual funds managed by professionals. The present study  is aimed at identifying the perceptions, preferences and behaviours of working professionals towards mutual investments. It examines the  characteristics, advantages, disadvantages and performance of mutual funds from the viewpoint of this population. Based on the  evaluation of different types of mutual funds, historical returns, risk factors, and </w:t>
      </w:r>
      <w:r>
        <w:rPr>
          <w:rFonts w:ascii="Times New Roman" w:hAnsi="Times New Roman" w:cs="Times New Roman"/>
        </w:rPr>
        <w:t>the impact of market trends  on mutual fund investments, the study aims to offer a comprehensive picture of how working professionals view mutual funds  as a part of their investment plans and strategies, and thereby gain insights that can help in improving the  decision-making process of working professionals regarding their mutual fund investments.</w:t>
      </w:r>
    </w:p>
    <w:p w14:paraId="7D49C3A4" w14:textId="77777777" w:rsidR="005C3F1E" w:rsidRDefault="00794C4B">
      <w:pPr>
        <w:jc w:val="both"/>
        <w:rPr>
          <w:rFonts w:ascii="Times New Roman" w:hAnsi="Times New Roman" w:cs="Times New Roman"/>
          <w:b/>
          <w:bCs/>
        </w:rPr>
      </w:pPr>
      <w:r>
        <w:rPr>
          <w:rFonts w:ascii="Times New Roman" w:hAnsi="Times New Roman" w:cs="Times New Roman"/>
          <w:b/>
          <w:bCs/>
        </w:rPr>
        <w:t>INTRODUCTION</w:t>
      </w:r>
    </w:p>
    <w:p w14:paraId="7D49C3A5" w14:textId="77777777" w:rsidR="005C3F1E" w:rsidRDefault="00794C4B">
      <w:pPr>
        <w:jc w:val="both"/>
        <w:rPr>
          <w:rFonts w:ascii="Times New Roman" w:hAnsi="Times New Roman" w:cs="Times New Roman"/>
          <w:lang w:val="en-US"/>
        </w:rPr>
      </w:pPr>
      <w:r>
        <w:rPr>
          <w:rFonts w:ascii="Times New Roman" w:hAnsi="Times New Roman" w:cs="Times New Roman"/>
          <w:lang w:val="en-US"/>
        </w:rPr>
        <w:t>The establishment of the Unit Trust of India (UTI) by the Indian government in 1964 marked the beginning of the mutual fund sector in that country.</w:t>
      </w:r>
      <w:r>
        <w:rPr>
          <w:rFonts w:ascii="Times New Roman" w:hAnsi="Times New Roman" w:cs="Times New Roman"/>
        </w:rPr>
        <w:t xml:space="preserve"> </w:t>
      </w:r>
      <w:r>
        <w:rPr>
          <w:rFonts w:ascii="Times New Roman" w:hAnsi="Times New Roman" w:cs="Times New Roman"/>
          <w:lang w:val="en-US"/>
        </w:rPr>
        <w:t>UTI has been a major force in the sector during the past 36 years, having assets of more over Rs. 52000 crores (Rs. 520 billion) as of the month of December 2001.In 1987, mutual funds were permitted to be established by public sector banks as well as two insurance firms (Life Insurance Company and General Insurance Company).</w:t>
      </w:r>
      <w:r>
        <w:rPr>
          <w:rFonts w:ascii="Times New Roman" w:hAnsi="Times New Roman" w:cs="Times New Roman"/>
        </w:rPr>
        <w:t xml:space="preserve"> </w:t>
      </w:r>
      <w:r>
        <w:rPr>
          <w:rFonts w:ascii="Times New Roman" w:hAnsi="Times New Roman" w:cs="Times New Roman"/>
          <w:lang w:val="en-US"/>
        </w:rPr>
        <w:t>The Indian capital market's regulatory agency, the Securities and Exchange Board of India (SEBI), introduced a thorough framework for mutual funds in 1993 and permitted private corpora</w:t>
      </w:r>
      <w:r>
        <w:rPr>
          <w:rFonts w:ascii="Times New Roman" w:hAnsi="Times New Roman" w:cs="Times New Roman"/>
          <w:lang w:val="en-US"/>
        </w:rPr>
        <w:t>te entities to introduce mutual fund schemes.</w:t>
      </w:r>
      <w:r>
        <w:rPr>
          <w:rFonts w:ascii="Times New Roman" w:hAnsi="Times New Roman" w:cs="Times New Roman"/>
        </w:rPr>
        <w:t xml:space="preserve"> </w:t>
      </w:r>
      <w:r>
        <w:rPr>
          <w:rFonts w:ascii="Times New Roman" w:hAnsi="Times New Roman" w:cs="Times New Roman"/>
          <w:lang w:val="en-US"/>
        </w:rPr>
        <w:t xml:space="preserve">since then, the private and joint sectors have launched a number of mutual funds. There were 35 mutual fund companies as of March 2002, with 433 schemes and Rs. 100594 (Rs. 1005 billion) in assets under management. The Indian mutual fund business has been in competition for roughly ten years. </w:t>
      </w:r>
    </w:p>
    <w:p w14:paraId="7D49C3A6" w14:textId="77777777" w:rsidR="005C3F1E" w:rsidRDefault="00794C4B">
      <w:pPr>
        <w:jc w:val="both"/>
        <w:rPr>
          <w:rFonts w:ascii="Times New Roman" w:hAnsi="Times New Roman" w:cs="Times New Roman"/>
          <w:lang w:val="en-US"/>
        </w:rPr>
      </w:pPr>
      <w:r>
        <w:rPr>
          <w:rFonts w:ascii="Times New Roman" w:hAnsi="Times New Roman" w:cs="Times New Roman"/>
          <w:lang w:val="en-US"/>
        </w:rPr>
        <w:t>India's mutual fund industry has an interesting history of development and expansion. Here’s a brief overview:</w:t>
      </w:r>
    </w:p>
    <w:p w14:paraId="7D49C3A7" w14:textId="77777777" w:rsidR="005C3F1E" w:rsidRDefault="00794C4B">
      <w:pPr>
        <w:jc w:val="both"/>
        <w:rPr>
          <w:rFonts w:ascii="Times New Roman" w:hAnsi="Times New Roman" w:cs="Times New Roman"/>
          <w:lang w:val="en-US"/>
        </w:rPr>
      </w:pPr>
      <w:r>
        <w:rPr>
          <w:rFonts w:ascii="Times New Roman" w:hAnsi="Times New Roman" w:cs="Times New Roman"/>
          <w:lang w:val="en-US"/>
        </w:rPr>
        <w:t>1963: the establishment of the Unit Trust of India (UTI), the concept of mutual funds was first presented in India. The primary objective was to raise people's modest savings and use them to purchase a variety of assets.</w:t>
      </w:r>
    </w:p>
    <w:p w14:paraId="7D49C3A8" w14:textId="77777777" w:rsidR="005C3F1E" w:rsidRDefault="00794C4B">
      <w:pPr>
        <w:jc w:val="both"/>
        <w:rPr>
          <w:rFonts w:ascii="Times New Roman" w:hAnsi="Times New Roman" w:cs="Times New Roman"/>
          <w:lang w:val="en-US"/>
        </w:rPr>
      </w:pPr>
      <w:r>
        <w:rPr>
          <w:rFonts w:ascii="Times New Roman" w:hAnsi="Times New Roman" w:cs="Times New Roman"/>
        </w:rPr>
        <w:t xml:space="preserve">1987: </w:t>
      </w:r>
      <w:r>
        <w:rPr>
          <w:rFonts w:ascii="Times New Roman" w:hAnsi="Times New Roman" w:cs="Times New Roman"/>
          <w:lang w:val="en-US"/>
        </w:rPr>
        <w:t>The first non-UTI mutual fund in India was SBI Mutual Fund</w:t>
      </w:r>
      <w:r>
        <w:rPr>
          <w:rFonts w:ascii="Times New Roman" w:hAnsi="Times New Roman" w:cs="Times New Roman"/>
        </w:rPr>
        <w:t xml:space="preserve">, </w:t>
      </w:r>
      <w:r>
        <w:rPr>
          <w:rFonts w:ascii="Times New Roman" w:hAnsi="Times New Roman" w:cs="Times New Roman"/>
          <w:lang w:val="en-US"/>
        </w:rPr>
        <w:t xml:space="preserve">The mutual fund business began diversifying and become more competitive as a result. </w:t>
      </w:r>
    </w:p>
    <w:p w14:paraId="7D49C3A9" w14:textId="77777777" w:rsidR="005C3F1E" w:rsidRDefault="00794C4B">
      <w:pPr>
        <w:jc w:val="both"/>
        <w:rPr>
          <w:rFonts w:ascii="Times New Roman" w:hAnsi="Times New Roman" w:cs="Times New Roman"/>
          <w:lang w:val="en-US"/>
        </w:rPr>
      </w:pPr>
      <w:r>
        <w:rPr>
          <w:rFonts w:ascii="Times New Roman" w:hAnsi="Times New Roman" w:cs="Times New Roman"/>
          <w:lang w:val="en-US"/>
        </w:rPr>
        <w:lastRenderedPageBreak/>
        <w:t>1991: India's economy was founded to foreign capital flows and investments with the introduction of economic liberalization reforms. Therefore, it has a favorable effect on the mutual fund sector by raising interest from both domestic and foreign investors.</w:t>
      </w:r>
    </w:p>
    <w:p w14:paraId="7D49C3AA" w14:textId="77777777" w:rsidR="005C3F1E" w:rsidRDefault="00794C4B">
      <w:pPr>
        <w:rPr>
          <w:rFonts w:ascii="Times New Roman" w:hAnsi="Times New Roman" w:cs="Times New Roman"/>
          <w:lang w:val="en-US"/>
        </w:rPr>
      </w:pPr>
      <w:r>
        <w:rPr>
          <w:rFonts w:ascii="Times New Roman" w:hAnsi="Times New Roman" w:cs="Times New Roman"/>
        </w:rPr>
        <w:t xml:space="preserve">1993: </w:t>
      </w:r>
      <w:r>
        <w:rPr>
          <w:rFonts w:ascii="Times New Roman" w:hAnsi="Times New Roman" w:cs="Times New Roman"/>
          <w:lang w:val="en-US"/>
        </w:rPr>
        <w:t>Since the Securities and Exchange Board of India (SEBI) Act was passed, SEBI has been in control of supervising the securities market, which includes mutual funds. The mutual fund sector now has transparency, regularity, and investor protection thanks to SEBI's rules.</w:t>
      </w:r>
    </w:p>
    <w:p w14:paraId="7D49C3AB" w14:textId="77777777" w:rsidR="005C3F1E" w:rsidRDefault="00794C4B">
      <w:pPr>
        <w:spacing w:after="240"/>
        <w:jc w:val="both"/>
        <w:rPr>
          <w:rFonts w:ascii="Times New Roman" w:hAnsi="Times New Roman" w:cs="Times New Roman"/>
        </w:rPr>
      </w:pPr>
      <w:r>
        <w:rPr>
          <w:rFonts w:ascii="Times New Roman" w:eastAsia="SimSun" w:hAnsi="Times New Roman" w:cs="Times New Roman"/>
          <w:lang w:bidi="ar"/>
        </w:rPr>
        <w:t xml:space="preserve">1996: The industry experienced a significant change with the SEBI (Mutual Funds) Regulations. The market was launched to private-sector mutual funds, which resulted in the growth of mutual fund offerings and the creation of multiple asset management firms (AMCs). </w:t>
      </w:r>
    </w:p>
    <w:p w14:paraId="7D49C3AC" w14:textId="77777777" w:rsidR="005C3F1E" w:rsidRDefault="00794C4B">
      <w:pPr>
        <w:jc w:val="both"/>
        <w:rPr>
          <w:rFonts w:ascii="Times New Roman" w:hAnsi="Times New Roman" w:cs="Times New Roman"/>
        </w:rPr>
      </w:pPr>
      <w:r>
        <w:rPr>
          <w:rFonts w:ascii="Times New Roman" w:eastAsia="SimSun" w:hAnsi="Times New Roman" w:cs="Times New Roman"/>
          <w:lang w:bidi="ar"/>
        </w:rPr>
        <w:t xml:space="preserve">2003: In the process of enabling small, regular investments, Systematic Investment Plans (SIPs) have made mutual fund investing more accessible to regular investors. Long-term wealth growth and careful investing were encouraged by this strategy. </w:t>
      </w:r>
    </w:p>
    <w:p w14:paraId="7D49C3AD" w14:textId="77777777" w:rsidR="005C3F1E" w:rsidRDefault="00794C4B">
      <w:pPr>
        <w:jc w:val="both"/>
        <w:rPr>
          <w:rFonts w:ascii="Times New Roman" w:hAnsi="Times New Roman" w:cs="Times New Roman"/>
        </w:rPr>
      </w:pPr>
      <w:r>
        <w:rPr>
          <w:rFonts w:ascii="Times New Roman" w:eastAsia="SimSun" w:hAnsi="Times New Roman" w:cs="Times New Roman"/>
          <w:lang w:bidi="ar"/>
        </w:rPr>
        <w:t>2009: The purpose of the Association of Mutual Funds in India (AMFI) is to promote the interests of the Indian mutual fund sector. In terms of industry research, investor education, and upholding moral principles, AMFI is essential.</w:t>
      </w:r>
    </w:p>
    <w:p w14:paraId="7D49C3AE" w14:textId="77777777" w:rsidR="005C3F1E" w:rsidRDefault="00794C4B">
      <w:pPr>
        <w:jc w:val="both"/>
        <w:rPr>
          <w:rFonts w:ascii="Times New Roman" w:eastAsia="SimSun" w:hAnsi="Times New Roman" w:cs="Times New Roman"/>
          <w:lang w:bidi="ar"/>
        </w:rPr>
      </w:pPr>
      <w:r>
        <w:rPr>
          <w:rFonts w:ascii="Times New Roman" w:eastAsia="SimSun" w:hAnsi="Times New Roman" w:cs="Times New Roman"/>
          <w:lang w:bidi="ar"/>
        </w:rPr>
        <w:t xml:space="preserve">2010: In India, the mutual fund sector developed quickly due to increasing disposable incomes, regulatory changes, and investor awareness. The implementation of rules such as the Total Expense </w:t>
      </w:r>
      <w:r>
        <w:rPr>
          <w:rFonts w:ascii="Times New Roman" w:eastAsia="SimSun" w:hAnsi="Times New Roman" w:cs="Times New Roman"/>
          <w:lang w:bidi="ar"/>
        </w:rPr>
        <w:t>Ratio (TER) and the classification and simplification of mutual fund schemes enhanced visibility and made it easier for investors to make decisions.</w:t>
      </w:r>
    </w:p>
    <w:p w14:paraId="7D49C3AF" w14:textId="77777777" w:rsidR="005C3F1E" w:rsidRDefault="00794C4B">
      <w:pPr>
        <w:jc w:val="both"/>
        <w:rPr>
          <w:rFonts w:ascii="Times New Roman" w:eastAsia="SimSun" w:hAnsi="Times New Roman" w:cs="Times New Roman"/>
          <w:lang w:bidi="ar"/>
        </w:rPr>
      </w:pPr>
      <w:r>
        <w:rPr>
          <w:rFonts w:ascii="Times New Roman" w:eastAsia="SimSun" w:hAnsi="Times New Roman" w:cs="Times New Roman"/>
          <w:lang w:val="en-US" w:bidi="ar"/>
        </w:rPr>
        <w:t xml:space="preserve">                       </w:t>
      </w:r>
      <w:r>
        <w:rPr>
          <w:rFonts w:ascii="Times New Roman" w:eastAsia="SimSun" w:hAnsi="Times New Roman" w:cs="Times New Roman"/>
          <w:lang w:bidi="ar"/>
        </w:rPr>
        <w:t xml:space="preserve"> </w:t>
      </w:r>
      <w:r>
        <w:rPr>
          <w:rFonts w:ascii="Times New Roman" w:hAnsi="Times New Roman" w:cs="Times New Roman"/>
          <w:noProof/>
        </w:rPr>
        <w:drawing>
          <wp:inline distT="0" distB="0" distL="0" distR="0" wp14:anchorId="7D49C473" wp14:editId="7D49C474">
            <wp:extent cx="4217670" cy="2894330"/>
            <wp:effectExtent l="0" t="0" r="0" b="1270"/>
            <wp:docPr id="1511739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39997"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274286" cy="2933630"/>
                    </a:xfrm>
                    <a:prstGeom prst="rect">
                      <a:avLst/>
                    </a:prstGeom>
                    <a:noFill/>
                    <a:ln>
                      <a:noFill/>
                    </a:ln>
                  </pic:spPr>
                </pic:pic>
              </a:graphicData>
            </a:graphic>
          </wp:inline>
        </w:drawing>
      </w:r>
    </w:p>
    <w:p w14:paraId="7D49C3B0" w14:textId="77777777" w:rsidR="005C3F1E" w:rsidRDefault="00794C4B">
      <w:pPr>
        <w:jc w:val="both"/>
        <w:rPr>
          <w:rFonts w:ascii="Times New Roman" w:eastAsia="SimSun" w:hAnsi="Times New Roman" w:cs="Times New Roman"/>
          <w:lang w:bidi="ar"/>
        </w:rPr>
      </w:pPr>
      <w:r>
        <w:rPr>
          <w:rFonts w:ascii="Times New Roman" w:eastAsia="SimSun" w:hAnsi="Times New Roman" w:cs="Times New Roman"/>
          <w:lang w:bidi="ar"/>
        </w:rPr>
        <w:t xml:space="preserve">In essence, mutual funds are financial instruments that combine the assets of multiple people with comparable financial goals. In charge of managing the funds collected from various investors, a fund manager makes investments in a variety of financial products, such as shares, bonds, and company stocks.  According to the Securities and Exchange Board of India (SEBI), which monitors mutual funds in India, investing in mutual funds is the most straightforward method of accumulating money. The net asset value </w:t>
      </w:r>
      <w:r>
        <w:rPr>
          <w:rFonts w:ascii="Times New Roman" w:eastAsia="SimSun" w:hAnsi="Times New Roman" w:cs="Times New Roman"/>
          <w:lang w:bidi="ar"/>
        </w:rPr>
        <w:t xml:space="preserve">(NAV) of the mutual fund, which is determined at the end of each trading session, is used by the fund management company to issue and redeem mutual fund units. The total value of the fund's shares, less expenses, is divided by the total number of units issued to determine the NAV. </w:t>
      </w:r>
    </w:p>
    <w:p w14:paraId="7D49C3B1" w14:textId="77777777" w:rsidR="005C3F1E" w:rsidRDefault="005C3F1E">
      <w:pPr>
        <w:rPr>
          <w:rFonts w:ascii="Times New Roman" w:eastAsia="SimSun" w:hAnsi="Times New Roman" w:cs="Times New Roman"/>
          <w:lang w:bidi="ar"/>
        </w:rPr>
      </w:pPr>
    </w:p>
    <w:p w14:paraId="7D49C3B2" w14:textId="77777777" w:rsidR="005C3F1E" w:rsidRDefault="005C3F1E">
      <w:pPr>
        <w:rPr>
          <w:rFonts w:ascii="Times New Roman" w:hAnsi="Times New Roman" w:cs="Times New Roman"/>
          <w:lang w:val="en-US"/>
        </w:rPr>
      </w:pPr>
    </w:p>
    <w:p w14:paraId="7D49C3B3" w14:textId="77777777" w:rsidR="005C3F1E" w:rsidRDefault="00794C4B">
      <w:pPr>
        <w:rPr>
          <w:rFonts w:ascii="Times New Roman" w:hAnsi="Times New Roman" w:cs="Times New Roman"/>
          <w:b/>
          <w:bCs/>
        </w:rPr>
      </w:pPr>
      <w:r>
        <w:rPr>
          <w:rFonts w:ascii="Times New Roman" w:hAnsi="Times New Roman" w:cs="Times New Roman"/>
          <w:b/>
          <w:bCs/>
        </w:rPr>
        <w:lastRenderedPageBreak/>
        <w:t>Objectives of the Study</w:t>
      </w:r>
    </w:p>
    <w:p w14:paraId="7D49C3B4" w14:textId="77777777" w:rsidR="005C3F1E" w:rsidRDefault="00794C4B">
      <w:pPr>
        <w:numPr>
          <w:ilvl w:val="0"/>
          <w:numId w:val="1"/>
        </w:numPr>
        <w:jc w:val="both"/>
        <w:rPr>
          <w:rFonts w:ascii="Times New Roman" w:hAnsi="Times New Roman" w:cs="Times New Roman"/>
        </w:rPr>
      </w:pPr>
      <w:r>
        <w:rPr>
          <w:rFonts w:ascii="Times New Roman" w:hAnsi="Times New Roman" w:cs="Times New Roman"/>
        </w:rPr>
        <w:t xml:space="preserve">Evaluate the </w:t>
      </w:r>
      <w:r>
        <w:rPr>
          <w:rFonts w:ascii="Times New Roman" w:hAnsi="Times New Roman" w:cs="Times New Roman"/>
        </w:rPr>
        <w:t>awareness level of working professionals regarding mutual fund investments.</w:t>
      </w:r>
    </w:p>
    <w:p w14:paraId="7D49C3B5" w14:textId="77777777" w:rsidR="005C3F1E" w:rsidRDefault="00794C4B">
      <w:pPr>
        <w:numPr>
          <w:ilvl w:val="0"/>
          <w:numId w:val="1"/>
        </w:numPr>
        <w:jc w:val="both"/>
        <w:rPr>
          <w:rFonts w:ascii="Times New Roman" w:hAnsi="Times New Roman" w:cs="Times New Roman"/>
        </w:rPr>
      </w:pPr>
      <w:r>
        <w:rPr>
          <w:rFonts w:ascii="Times New Roman" w:hAnsi="Times New Roman" w:cs="Times New Roman"/>
        </w:rPr>
        <w:t>Analyse the factors influencing working professionals' decision-making processes for mutual fund investments.</w:t>
      </w:r>
    </w:p>
    <w:p w14:paraId="7D49C3B6" w14:textId="77777777" w:rsidR="005C3F1E" w:rsidRDefault="00794C4B">
      <w:pPr>
        <w:numPr>
          <w:ilvl w:val="0"/>
          <w:numId w:val="1"/>
        </w:numPr>
        <w:jc w:val="both"/>
        <w:rPr>
          <w:rFonts w:ascii="Times New Roman" w:hAnsi="Times New Roman" w:cs="Times New Roman"/>
        </w:rPr>
      </w:pPr>
      <w:r>
        <w:rPr>
          <w:rFonts w:ascii="Times New Roman" w:hAnsi="Times New Roman" w:cs="Times New Roman"/>
        </w:rPr>
        <w:t>Identify the challenges faced by working professionals in understanding and engaging with mutual fund investments.</w:t>
      </w:r>
    </w:p>
    <w:p w14:paraId="7D49C3B7" w14:textId="77777777" w:rsidR="005C3F1E" w:rsidRDefault="00794C4B">
      <w:pPr>
        <w:numPr>
          <w:ilvl w:val="0"/>
          <w:numId w:val="1"/>
        </w:numPr>
        <w:jc w:val="both"/>
        <w:rPr>
          <w:rFonts w:ascii="Times New Roman" w:hAnsi="Times New Roman" w:cs="Times New Roman"/>
        </w:rPr>
      </w:pPr>
      <w:r>
        <w:rPr>
          <w:rFonts w:ascii="Times New Roman" w:hAnsi="Times New Roman" w:cs="Times New Roman"/>
        </w:rPr>
        <w:t>Identify potential barriers and opportunities for increasing working professionals' participation in mutual fund investments.</w:t>
      </w:r>
    </w:p>
    <w:p w14:paraId="7D49C3B8" w14:textId="77777777" w:rsidR="005C3F1E" w:rsidRDefault="00794C4B">
      <w:pPr>
        <w:numPr>
          <w:ilvl w:val="0"/>
          <w:numId w:val="1"/>
        </w:numPr>
        <w:jc w:val="both"/>
        <w:rPr>
          <w:rFonts w:ascii="Times New Roman" w:hAnsi="Times New Roman" w:cs="Times New Roman"/>
          <w:lang w:val="en-US"/>
        </w:rPr>
      </w:pPr>
      <w:r>
        <w:rPr>
          <w:rFonts w:ascii="Times New Roman" w:hAnsi="Times New Roman" w:cs="Times New Roman"/>
        </w:rPr>
        <w:t>Determine the level of knowledge and understanding working professionals have about mutual funds, including their benefits, risks, and potential returns.</w:t>
      </w:r>
    </w:p>
    <w:p w14:paraId="7D49C3B9" w14:textId="77777777" w:rsidR="005C3F1E" w:rsidRDefault="00794C4B">
      <w:pPr>
        <w:rPr>
          <w:rFonts w:ascii="Times New Roman" w:hAnsi="Times New Roman" w:cs="Times New Roman"/>
        </w:rPr>
      </w:pPr>
      <w:r>
        <w:rPr>
          <w:rFonts w:ascii="Times New Roman" w:hAnsi="Times New Roman" w:cs="Times New Roman"/>
          <w:b/>
          <w:bCs/>
        </w:rPr>
        <w:t>Need of the Study</w:t>
      </w:r>
    </w:p>
    <w:p w14:paraId="7D49C3BA" w14:textId="77777777" w:rsidR="005C3F1E" w:rsidRDefault="00794C4B">
      <w:pPr>
        <w:numPr>
          <w:ilvl w:val="0"/>
          <w:numId w:val="2"/>
        </w:numPr>
        <w:rPr>
          <w:rFonts w:ascii="Times New Roman" w:hAnsi="Times New Roman" w:cs="Times New Roman"/>
        </w:rPr>
      </w:pPr>
      <w:r>
        <w:rPr>
          <w:rFonts w:ascii="Times New Roman" w:hAnsi="Times New Roman" w:cs="Times New Roman"/>
        </w:rPr>
        <w:t>The primary objective of this study is to analyse the perceptions of working professionals towards mutual fund investments.</w:t>
      </w:r>
    </w:p>
    <w:p w14:paraId="7D49C3BB" w14:textId="77777777" w:rsidR="005C3F1E" w:rsidRDefault="00794C4B">
      <w:pPr>
        <w:numPr>
          <w:ilvl w:val="0"/>
          <w:numId w:val="2"/>
        </w:numPr>
        <w:rPr>
          <w:rFonts w:ascii="Times New Roman" w:hAnsi="Times New Roman" w:cs="Times New Roman"/>
        </w:rPr>
      </w:pPr>
      <w:r>
        <w:rPr>
          <w:rFonts w:ascii="Times New Roman" w:hAnsi="Times New Roman" w:cs="Times New Roman"/>
        </w:rPr>
        <w:t>Additionally, the study aims to understand the challenges faced by investors and identify key factors that motivate working professionals to invest or reinvest in mutual funds.</w:t>
      </w:r>
    </w:p>
    <w:p w14:paraId="7D49C3BC" w14:textId="77777777" w:rsidR="005C3F1E" w:rsidRDefault="00794C4B">
      <w:pPr>
        <w:numPr>
          <w:ilvl w:val="0"/>
          <w:numId w:val="2"/>
        </w:numPr>
        <w:rPr>
          <w:rFonts w:ascii="Times New Roman" w:hAnsi="Times New Roman" w:cs="Times New Roman"/>
        </w:rPr>
      </w:pPr>
      <w:r>
        <w:rPr>
          <w:rFonts w:ascii="Times New Roman" w:hAnsi="Times New Roman" w:cs="Times New Roman"/>
        </w:rPr>
        <w:t>It explores the diverse financial decision-making approaches among working professionals, helping to tailor financial services to meet their unique needs and preferences.</w:t>
      </w:r>
    </w:p>
    <w:p w14:paraId="7D49C3BD" w14:textId="77777777" w:rsidR="005C3F1E" w:rsidRDefault="00794C4B">
      <w:pPr>
        <w:numPr>
          <w:ilvl w:val="0"/>
          <w:numId w:val="2"/>
        </w:numPr>
        <w:rPr>
          <w:rFonts w:ascii="Times New Roman" w:hAnsi="Times New Roman" w:cs="Times New Roman"/>
        </w:rPr>
      </w:pPr>
      <w:r>
        <w:rPr>
          <w:rFonts w:ascii="Times New Roman" w:hAnsi="Times New Roman" w:cs="Times New Roman"/>
        </w:rPr>
        <w:t>The insights from this study can support the development of policies, improve retirement planning strategies, and promote a more inclusive and diversified financial landscape that empowers working professionals.</w:t>
      </w:r>
    </w:p>
    <w:p w14:paraId="7D49C3BE" w14:textId="77777777" w:rsidR="005C3F1E" w:rsidRDefault="00794C4B">
      <w:pPr>
        <w:rPr>
          <w:rFonts w:ascii="Times New Roman" w:hAnsi="Times New Roman" w:cs="Times New Roman"/>
        </w:rPr>
      </w:pPr>
      <w:r>
        <w:rPr>
          <w:rFonts w:ascii="Times New Roman" w:hAnsi="Times New Roman" w:cs="Times New Roman"/>
          <w:b/>
          <w:bCs/>
        </w:rPr>
        <w:t>Limitations of the Study</w:t>
      </w:r>
    </w:p>
    <w:p w14:paraId="7D49C3BF" w14:textId="77777777" w:rsidR="005C3F1E" w:rsidRDefault="00794C4B">
      <w:pPr>
        <w:numPr>
          <w:ilvl w:val="0"/>
          <w:numId w:val="3"/>
        </w:numPr>
        <w:rPr>
          <w:rFonts w:ascii="Times New Roman" w:hAnsi="Times New Roman" w:cs="Times New Roman"/>
        </w:rPr>
      </w:pPr>
      <w:r>
        <w:rPr>
          <w:rFonts w:ascii="Times New Roman" w:hAnsi="Times New Roman" w:cs="Times New Roman"/>
        </w:rPr>
        <w:t>The analysis of this study is based on information provided by working professional investors.</w:t>
      </w:r>
    </w:p>
    <w:p w14:paraId="7D49C3C0" w14:textId="77777777" w:rsidR="005C3F1E" w:rsidRDefault="00794C4B">
      <w:pPr>
        <w:numPr>
          <w:ilvl w:val="0"/>
          <w:numId w:val="3"/>
        </w:numPr>
        <w:rPr>
          <w:rFonts w:ascii="Times New Roman" w:hAnsi="Times New Roman" w:cs="Times New Roman"/>
        </w:rPr>
      </w:pPr>
      <w:r>
        <w:rPr>
          <w:rFonts w:ascii="Times New Roman" w:hAnsi="Times New Roman" w:cs="Times New Roman"/>
        </w:rPr>
        <w:t>The research was limited to the Chennai district, and due to time constraints, 105 respondents were considered.</w:t>
      </w:r>
    </w:p>
    <w:p w14:paraId="7D49C3C1" w14:textId="77777777" w:rsidR="005C3F1E" w:rsidRDefault="00794C4B">
      <w:pPr>
        <w:numPr>
          <w:ilvl w:val="0"/>
          <w:numId w:val="3"/>
        </w:numPr>
        <w:rPr>
          <w:rFonts w:ascii="Times New Roman" w:hAnsi="Times New Roman" w:cs="Times New Roman"/>
          <w:lang w:val="en-US"/>
        </w:rPr>
      </w:pPr>
      <w:r>
        <w:rPr>
          <w:rFonts w:ascii="Times New Roman" w:hAnsi="Times New Roman" w:cs="Times New Roman"/>
        </w:rPr>
        <w:t>The results rely entirely on the data provided by working professionals, which may carry inherent biases.</w:t>
      </w:r>
    </w:p>
    <w:p w14:paraId="7D49C3C2" w14:textId="77777777" w:rsidR="005C3F1E" w:rsidRDefault="005C3F1E">
      <w:pPr>
        <w:numPr>
          <w:ilvl w:val="0"/>
          <w:numId w:val="3"/>
        </w:numPr>
        <w:rPr>
          <w:rFonts w:ascii="Times New Roman" w:hAnsi="Times New Roman" w:cs="Times New Roman"/>
          <w:lang w:val="en-US"/>
        </w:rPr>
      </w:pPr>
    </w:p>
    <w:p w14:paraId="7D49C3C3" w14:textId="77777777" w:rsidR="005C3F1E" w:rsidRDefault="00794C4B">
      <w:pPr>
        <w:rPr>
          <w:rFonts w:ascii="Times New Roman" w:hAnsi="Times New Roman" w:cs="Times New Roman"/>
          <w:b/>
          <w:bCs/>
        </w:rPr>
      </w:pPr>
      <w:r>
        <w:rPr>
          <w:rFonts w:ascii="Times New Roman" w:hAnsi="Times New Roman" w:cs="Times New Roman"/>
          <w:b/>
          <w:bCs/>
        </w:rPr>
        <w:t>REVIEW OF LITERATURE</w:t>
      </w:r>
    </w:p>
    <w:p w14:paraId="7D49C3C4" w14:textId="77777777" w:rsidR="005C3F1E" w:rsidRDefault="00794C4B">
      <w:pPr>
        <w:jc w:val="both"/>
        <w:rPr>
          <w:rFonts w:ascii="Times New Roman" w:hAnsi="Times New Roman" w:cs="Times New Roman"/>
        </w:rPr>
      </w:pPr>
      <w:r>
        <w:rPr>
          <w:rFonts w:ascii="Times New Roman" w:hAnsi="Times New Roman" w:cs="Times New Roman"/>
          <w:b/>
          <w:bCs/>
        </w:rPr>
        <w:t>Dr. M. Raja and Jagadeeswaran B</w:t>
      </w:r>
      <w:r>
        <w:rPr>
          <w:rFonts w:ascii="Times New Roman" w:hAnsi="Times New Roman" w:cs="Times New Roman"/>
        </w:rPr>
        <w:t xml:space="preserve"> </w:t>
      </w:r>
      <w:r>
        <w:rPr>
          <w:rFonts w:ascii="Times New Roman" w:hAnsi="Times New Roman" w:cs="Times New Roman"/>
          <w:b/>
          <w:bCs/>
        </w:rPr>
        <w:t>(2020)</w:t>
      </w:r>
      <w:r>
        <w:rPr>
          <w:rFonts w:ascii="Times New Roman" w:hAnsi="Times New Roman" w:cs="Times New Roman"/>
        </w:rPr>
        <w:t xml:space="preserve"> explain that mutual funds pool money from small and medium investors, which expert fund managers then invest in different types of securities. This allows investors to join the capital market without taking on high risks. The study suggests that mutual fund companies should clearly share key details like returns, risks, asset numbers, and the fund's brand reputation in their brochures.</w:t>
      </w:r>
    </w:p>
    <w:p w14:paraId="7D49C3C5" w14:textId="77777777" w:rsidR="005C3F1E" w:rsidRDefault="00794C4B">
      <w:pPr>
        <w:jc w:val="both"/>
        <w:rPr>
          <w:rFonts w:ascii="Times New Roman" w:eastAsia="SimSun" w:hAnsi="Times New Roman" w:cs="Times New Roman"/>
          <w:lang w:bidi="ar"/>
        </w:rPr>
      </w:pPr>
      <w:r>
        <w:rPr>
          <w:rFonts w:ascii="Times New Roman" w:eastAsia="SimSun" w:hAnsi="Times New Roman" w:cs="Times New Roman"/>
          <w:b/>
          <w:bCs/>
          <w:lang w:bidi="ar"/>
        </w:rPr>
        <w:t>Kumar, 2018</w:t>
      </w:r>
      <w:r>
        <w:rPr>
          <w:rFonts w:ascii="Times New Roman" w:eastAsia="SimSun" w:hAnsi="Times New Roman" w:cs="Times New Roman"/>
          <w:lang w:bidi="ar"/>
        </w:rPr>
        <w:t xml:space="preserve"> While analysing the performance of mutual funds involves many factors and dimensions, this study concentrated on five: the information measure, Treynor measure, Jensen differential measure, Sortino measure, and 22 Sharpe measure. The degree of connection between mutual fund performance and fund size was evaluated by computing correlation coefficients among all the factors. The results showed that there was no meaningful correlation between fund size and performance.</w:t>
      </w:r>
    </w:p>
    <w:p w14:paraId="7D49C3C6" w14:textId="77777777" w:rsidR="005C3F1E" w:rsidRDefault="005C3F1E">
      <w:pPr>
        <w:jc w:val="both"/>
        <w:rPr>
          <w:rFonts w:ascii="Times New Roman" w:eastAsia="SimSun" w:hAnsi="Times New Roman" w:cs="Times New Roman"/>
          <w:lang w:bidi="ar"/>
        </w:rPr>
      </w:pPr>
    </w:p>
    <w:p w14:paraId="7D49C3C7" w14:textId="77777777" w:rsidR="005C3F1E" w:rsidRDefault="00794C4B">
      <w:pPr>
        <w:jc w:val="both"/>
        <w:rPr>
          <w:rFonts w:ascii="Times New Roman" w:hAnsi="Times New Roman" w:cs="Times New Roman"/>
        </w:rPr>
      </w:pPr>
      <w:r>
        <w:rPr>
          <w:rFonts w:ascii="Times New Roman" w:eastAsia="SimSun" w:hAnsi="Times New Roman" w:cs="Times New Roman"/>
          <w:lang w:bidi="ar"/>
        </w:rPr>
        <w:lastRenderedPageBreak/>
        <w:t xml:space="preserve">In his research, "Investment Choice of Individual Investors," </w:t>
      </w:r>
      <w:r>
        <w:rPr>
          <w:rFonts w:ascii="Times New Roman" w:eastAsia="SimSun" w:hAnsi="Times New Roman" w:cs="Times New Roman"/>
          <w:b/>
          <w:bCs/>
          <w:lang w:bidi="ar"/>
        </w:rPr>
        <w:t xml:space="preserve">Jasmeen (2009) </w:t>
      </w:r>
      <w:r>
        <w:rPr>
          <w:rFonts w:ascii="Times New Roman" w:eastAsia="SimSun" w:hAnsi="Times New Roman" w:cs="Times New Roman"/>
          <w:lang w:bidi="ar"/>
        </w:rPr>
        <w:t>discovered that while a significant portion of investors selected for high-risk investments, the majority of investors preferred low-risk options</w:t>
      </w:r>
      <w:r>
        <w:rPr>
          <w:rFonts w:ascii="Times New Roman" w:hAnsi="Times New Roman" w:cs="Times New Roman"/>
        </w:rPr>
        <w:t>. When looking at risk-adjusted returns pre  expenses, Jensen's and Fama-French's  model yield significantly positive αs at the 5% significance level, and Carhart's model α is significant at the 10% level. Belgian mutual funds perform well enough to earn back their transaction costs and investment expenses. However, mutual funds mainly offer investor</w:t>
      </w:r>
      <w:r>
        <w:rPr>
          <w:rFonts w:ascii="Times New Roman" w:hAnsi="Times New Roman" w:cs="Times New Roman"/>
        </w:rPr>
        <w:t>s easy access to a diversified portfolio but don’t provide much extra value beyond that.</w:t>
      </w:r>
    </w:p>
    <w:p w14:paraId="7D49C3C8" w14:textId="77777777" w:rsidR="005C3F1E" w:rsidRDefault="005C3F1E">
      <w:pPr>
        <w:jc w:val="both"/>
        <w:rPr>
          <w:rFonts w:ascii="Times New Roman" w:hAnsi="Times New Roman" w:cs="Times New Roman"/>
        </w:rPr>
      </w:pPr>
    </w:p>
    <w:p w14:paraId="7D49C3C9" w14:textId="77777777" w:rsidR="005C3F1E" w:rsidRDefault="00794C4B">
      <w:pPr>
        <w:jc w:val="both"/>
        <w:rPr>
          <w:rFonts w:ascii="Times New Roman" w:hAnsi="Times New Roman" w:cs="Times New Roman"/>
        </w:rPr>
      </w:pPr>
      <w:r>
        <w:rPr>
          <w:rFonts w:ascii="Times New Roman" w:eastAsia="SimSun" w:hAnsi="Times New Roman" w:cs="Times New Roman"/>
          <w:lang w:bidi="ar"/>
        </w:rPr>
        <w:t>In their paper "A Study on Preferred Investment Options Among People and Factors for Investment" (Study on Preferred Investment Options and Factors Considered While Investing), Joseph and Prakash (2014) wanted to understand the preferred investment option among Bangalore City residents as well as the range of available investment options. There are new financial products accessible in the modern world. Because the average person lacks the financial understanding to determine what aspects should be taken int</w:t>
      </w:r>
      <w:r>
        <w:rPr>
          <w:rFonts w:ascii="Times New Roman" w:eastAsia="SimSun" w:hAnsi="Times New Roman" w:cs="Times New Roman"/>
          <w:lang w:bidi="ar"/>
        </w:rPr>
        <w:t>o account to make wise investment decisions, selecting the best possibilities has become challenging and complex. Further analysis reveals that investors are more likely to stick with more conventional investments like bank deposits, insurance, postal deposits, etc., rather than investing in the stock market and shares. By being aware of investment opportunities and their benefits and drawbacks, you can make the best financial decisions for yourself.</w:t>
      </w:r>
    </w:p>
    <w:p w14:paraId="7D49C3CA" w14:textId="77777777" w:rsidR="005C3F1E" w:rsidRDefault="00794C4B">
      <w:pPr>
        <w:jc w:val="both"/>
        <w:rPr>
          <w:rFonts w:ascii="Times New Roman" w:eastAsia="SimSun" w:hAnsi="Times New Roman" w:cs="Times New Roman"/>
        </w:rPr>
      </w:pPr>
      <w:r>
        <w:rPr>
          <w:rFonts w:ascii="Times New Roman" w:eastAsia="SimSun" w:hAnsi="Times New Roman" w:cs="Times New Roman"/>
          <w:b/>
          <w:bCs/>
        </w:rPr>
        <w:t>RESEARCH METHODOLOGY:</w:t>
      </w:r>
      <w:r>
        <w:rPr>
          <w:rFonts w:ascii="Times New Roman" w:eastAsia="SimSun" w:hAnsi="Times New Roman" w:cs="Times New Roman"/>
        </w:rPr>
        <w:t xml:space="preserve"> </w:t>
      </w:r>
    </w:p>
    <w:p w14:paraId="7D49C3CB" w14:textId="77777777" w:rsidR="005C3F1E" w:rsidRDefault="00794C4B">
      <w:pPr>
        <w:jc w:val="both"/>
        <w:rPr>
          <w:rFonts w:ascii="Times New Roman" w:hAnsi="Times New Roman" w:cs="Times New Roman"/>
        </w:rPr>
      </w:pPr>
      <w:r>
        <w:rPr>
          <w:rFonts w:ascii="Times New Roman" w:hAnsi="Times New Roman" w:cs="Times New Roman"/>
        </w:rPr>
        <w:t>"A Descriptive Study on Working Professionals' Perceptions Towards Mutual Fund Investments in Chennai"</w:t>
      </w:r>
      <w:r>
        <w:rPr>
          <w:rFonts w:ascii="Times New Roman" w:eastAsia="SimSun" w:hAnsi="Times New Roman" w:cs="Times New Roman"/>
          <w:lang w:bidi="ar"/>
        </w:rPr>
        <w:t>. It has been dealing with the examination of Chennai customers' attitudes on mutual funds. A systematic questionnaire was used to get feedback from 105 customers.</w:t>
      </w:r>
    </w:p>
    <w:p w14:paraId="7D49C3CC" w14:textId="77777777" w:rsidR="005C3F1E" w:rsidRDefault="00794C4B">
      <w:pPr>
        <w:jc w:val="both"/>
        <w:rPr>
          <w:rFonts w:ascii="Times New Roman" w:hAnsi="Times New Roman" w:cs="Times New Roman"/>
        </w:rPr>
      </w:pPr>
      <w:r>
        <w:rPr>
          <w:rFonts w:ascii="Times New Roman" w:hAnsi="Times New Roman" w:cs="Times New Roman"/>
          <w:b/>
          <w:bCs/>
        </w:rPr>
        <w:t>Working Professionals' Perception of Mutual Funds as an Investment Option</w:t>
      </w:r>
    </w:p>
    <w:p w14:paraId="7D49C3CD" w14:textId="77777777" w:rsidR="005C3F1E" w:rsidRDefault="00794C4B">
      <w:pPr>
        <w:numPr>
          <w:ilvl w:val="0"/>
          <w:numId w:val="4"/>
        </w:numPr>
        <w:spacing w:after="0" w:line="240" w:lineRule="auto"/>
        <w:rPr>
          <w:rFonts w:ascii="Times New Roman" w:hAnsi="Times New Roman" w:cs="Times New Roman"/>
        </w:rPr>
      </w:pPr>
      <w:r>
        <w:rPr>
          <w:rFonts w:ascii="Times New Roman" w:hAnsi="Times New Roman" w:cs="Times New Roman"/>
          <w:b/>
          <w:bCs/>
        </w:rPr>
        <w:t xml:space="preserve">Respondents gender </w:t>
      </w:r>
    </w:p>
    <w:p w14:paraId="7D49C3CE" w14:textId="77777777" w:rsidR="005C3F1E" w:rsidRDefault="005C3F1E">
      <w:pPr>
        <w:spacing w:after="0" w:line="240" w:lineRule="auto"/>
        <w:rPr>
          <w:rFonts w:ascii="Times New Roman" w:hAnsi="Times New Roman" w:cs="Times New Roman"/>
        </w:rPr>
      </w:pPr>
    </w:p>
    <w:p w14:paraId="7D49C3CF" w14:textId="77777777" w:rsidR="005C3F1E" w:rsidRDefault="00794C4B">
      <w:pPr>
        <w:rPr>
          <w:rFonts w:ascii="Times New Roman" w:hAnsi="Times New Roman" w:cs="Times New Roman"/>
          <w:b/>
          <w:bCs/>
        </w:rPr>
      </w:pPr>
      <w:r>
        <w:rPr>
          <w:rFonts w:ascii="Times New Roman" w:hAnsi="Times New Roman" w:cs="Times New Roman"/>
          <w:b/>
          <w:bCs/>
        </w:rPr>
        <w:t xml:space="preserve">        Table 1 gender of respondents  </w:t>
      </w:r>
    </w:p>
    <w:p w14:paraId="7D49C3D0" w14:textId="77777777" w:rsidR="005C3F1E" w:rsidRDefault="00794C4B">
      <w:pPr>
        <w:rPr>
          <w:rFonts w:ascii="Times New Roman" w:hAnsi="Times New Roman" w:cs="Times New Roman"/>
          <w:b/>
          <w:bCs/>
        </w:rPr>
      </w:pPr>
      <w:r>
        <w:rPr>
          <w:rFonts w:ascii="Times New Roman" w:hAnsi="Times New Roman" w:cs="Times New Roman"/>
          <w:noProof/>
        </w:rPr>
        <w:drawing>
          <wp:inline distT="0" distB="0" distL="0" distR="0" wp14:anchorId="7D49C475" wp14:editId="7D49C476">
            <wp:extent cx="5486400" cy="1965960"/>
            <wp:effectExtent l="0" t="0" r="0" b="0"/>
            <wp:docPr id="1437499341" name="Picture 3" descr="Forms response chart. Question title: 2.Gender . Number of responses: 10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99341" name="Picture 3" descr="Forms response chart. Question title: 2.Gender . Number of responses: 104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486400" cy="1965960"/>
                    </a:xfrm>
                    <a:prstGeom prst="rect">
                      <a:avLst/>
                    </a:prstGeom>
                    <a:noFill/>
                    <a:ln>
                      <a:noFill/>
                    </a:ln>
                  </pic:spPr>
                </pic:pic>
              </a:graphicData>
            </a:graphic>
          </wp:inline>
        </w:drawing>
      </w:r>
    </w:p>
    <w:p w14:paraId="7D49C3D1" w14:textId="77777777" w:rsidR="005C3F1E" w:rsidRDefault="005C3F1E">
      <w:pPr>
        <w:rPr>
          <w:rFonts w:ascii="Times New Roman" w:hAnsi="Times New Roman" w:cs="Times New Roman"/>
          <w:b/>
          <w:bCs/>
        </w:rPr>
      </w:pPr>
    </w:p>
    <w:tbl>
      <w:tblPr>
        <w:tblStyle w:val="TableGrid"/>
        <w:tblW w:w="0" w:type="auto"/>
        <w:tblLook w:val="04A0" w:firstRow="1" w:lastRow="0" w:firstColumn="1" w:lastColumn="0" w:noHBand="0" w:noVBand="1"/>
      </w:tblPr>
      <w:tblGrid>
        <w:gridCol w:w="2479"/>
        <w:gridCol w:w="2479"/>
        <w:gridCol w:w="2479"/>
      </w:tblGrid>
      <w:tr w:rsidR="005C3F1E" w14:paraId="7D49C3D5" w14:textId="77777777">
        <w:trPr>
          <w:trHeight w:val="447"/>
        </w:trPr>
        <w:tc>
          <w:tcPr>
            <w:tcW w:w="2479" w:type="dxa"/>
          </w:tcPr>
          <w:p w14:paraId="7D49C3D2"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Gender</w:t>
            </w:r>
          </w:p>
        </w:tc>
        <w:tc>
          <w:tcPr>
            <w:tcW w:w="2479" w:type="dxa"/>
          </w:tcPr>
          <w:p w14:paraId="7D49C3D3"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No of responds</w:t>
            </w:r>
          </w:p>
        </w:tc>
        <w:tc>
          <w:tcPr>
            <w:tcW w:w="2479" w:type="dxa"/>
          </w:tcPr>
          <w:p w14:paraId="7D49C3D4"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percentage</w:t>
            </w:r>
          </w:p>
        </w:tc>
      </w:tr>
      <w:tr w:rsidR="005C3F1E" w14:paraId="7D49C3D9" w14:textId="77777777">
        <w:trPr>
          <w:trHeight w:val="447"/>
        </w:trPr>
        <w:tc>
          <w:tcPr>
            <w:tcW w:w="2479" w:type="dxa"/>
          </w:tcPr>
          <w:p w14:paraId="7D49C3D6"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Male</w:t>
            </w:r>
          </w:p>
        </w:tc>
        <w:tc>
          <w:tcPr>
            <w:tcW w:w="2479" w:type="dxa"/>
          </w:tcPr>
          <w:p w14:paraId="7D49C3D7"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80</w:t>
            </w:r>
          </w:p>
        </w:tc>
        <w:tc>
          <w:tcPr>
            <w:tcW w:w="2479" w:type="dxa"/>
          </w:tcPr>
          <w:p w14:paraId="7D49C3D8"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76.9%</w:t>
            </w:r>
          </w:p>
        </w:tc>
      </w:tr>
      <w:tr w:rsidR="005C3F1E" w14:paraId="7D49C3DD" w14:textId="77777777">
        <w:trPr>
          <w:trHeight w:val="447"/>
        </w:trPr>
        <w:tc>
          <w:tcPr>
            <w:tcW w:w="2479" w:type="dxa"/>
          </w:tcPr>
          <w:p w14:paraId="7D49C3DA"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Female</w:t>
            </w:r>
          </w:p>
        </w:tc>
        <w:tc>
          <w:tcPr>
            <w:tcW w:w="2479" w:type="dxa"/>
          </w:tcPr>
          <w:p w14:paraId="7D49C3DB"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25</w:t>
            </w:r>
          </w:p>
        </w:tc>
        <w:tc>
          <w:tcPr>
            <w:tcW w:w="2479" w:type="dxa"/>
          </w:tcPr>
          <w:p w14:paraId="7D49C3DC"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23.1%</w:t>
            </w:r>
          </w:p>
        </w:tc>
      </w:tr>
      <w:tr w:rsidR="005C3F1E" w14:paraId="7D49C3E1" w14:textId="77777777">
        <w:trPr>
          <w:trHeight w:val="477"/>
        </w:trPr>
        <w:tc>
          <w:tcPr>
            <w:tcW w:w="2479" w:type="dxa"/>
          </w:tcPr>
          <w:p w14:paraId="7D49C3DE"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Total</w:t>
            </w:r>
          </w:p>
        </w:tc>
        <w:tc>
          <w:tcPr>
            <w:tcW w:w="2479" w:type="dxa"/>
          </w:tcPr>
          <w:p w14:paraId="7D49C3DF"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105</w:t>
            </w:r>
          </w:p>
        </w:tc>
        <w:tc>
          <w:tcPr>
            <w:tcW w:w="2479" w:type="dxa"/>
          </w:tcPr>
          <w:p w14:paraId="7D49C3E0"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100</w:t>
            </w:r>
          </w:p>
        </w:tc>
      </w:tr>
    </w:tbl>
    <w:p w14:paraId="7D49C3E2" w14:textId="77777777" w:rsidR="005C3F1E" w:rsidRDefault="005C3F1E">
      <w:pPr>
        <w:rPr>
          <w:rFonts w:ascii="Times New Roman" w:hAnsi="Times New Roman" w:cs="Times New Roman"/>
        </w:rPr>
      </w:pPr>
    </w:p>
    <w:p w14:paraId="7D49C3E3" w14:textId="77777777" w:rsidR="005C3F1E" w:rsidRDefault="00794C4B">
      <w:pPr>
        <w:rPr>
          <w:rFonts w:ascii="Times New Roman" w:hAnsi="Times New Roman" w:cs="Times New Roman"/>
        </w:rPr>
      </w:pPr>
      <w:r>
        <w:rPr>
          <w:rFonts w:ascii="Times New Roman" w:eastAsia="SimSun" w:hAnsi="Times New Roman" w:cs="Times New Roman"/>
          <w:b/>
          <w:bCs/>
        </w:rPr>
        <w:lastRenderedPageBreak/>
        <w:t>Interpretation&amp; Finding;</w:t>
      </w:r>
      <w:r>
        <w:rPr>
          <w:rFonts w:ascii="Times New Roman" w:eastAsia="SimSun" w:hAnsi="Times New Roman" w:cs="Times New Roman"/>
        </w:rPr>
        <w:t xml:space="preserve"> </w:t>
      </w:r>
      <w:r>
        <w:rPr>
          <w:rFonts w:ascii="Times New Roman" w:hAnsi="Times New Roman" w:cs="Times New Roman"/>
        </w:rPr>
        <w:t xml:space="preserve">The data indicates a notable gender disparity, with 76.9% of respondents being male and 23.1% being </w:t>
      </w:r>
      <w:r>
        <w:rPr>
          <w:rFonts w:ascii="Times New Roman" w:hAnsi="Times New Roman" w:cs="Times New Roman"/>
        </w:rPr>
        <w:t>female. This highlights that working males are more engaged with the survey or possibly more involved in investment decisions than their female counterparts.</w:t>
      </w:r>
    </w:p>
    <w:p w14:paraId="7D49C3E4" w14:textId="77777777" w:rsidR="005C3F1E" w:rsidRDefault="005C3F1E">
      <w:pPr>
        <w:spacing w:line="240" w:lineRule="auto"/>
      </w:pPr>
    </w:p>
    <w:p w14:paraId="7D49C3E5" w14:textId="77777777" w:rsidR="005C3F1E" w:rsidRDefault="00794C4B">
      <w:pPr>
        <w:numPr>
          <w:ilvl w:val="0"/>
          <w:numId w:val="4"/>
        </w:numPr>
        <w:spacing w:after="0" w:line="240" w:lineRule="auto"/>
        <w:rPr>
          <w:rFonts w:ascii="Times New Roman" w:eastAsia="SimSun" w:hAnsi="Times New Roman" w:cs="Times New Roman"/>
          <w:b/>
          <w:bCs/>
          <w:lang w:bidi="ar"/>
        </w:rPr>
      </w:pPr>
      <w:r>
        <w:rPr>
          <w:rFonts w:ascii="Times New Roman" w:eastAsia="SimSun" w:hAnsi="Times New Roman" w:cs="Times New Roman"/>
          <w:b/>
          <w:bCs/>
          <w:lang w:bidi="ar"/>
        </w:rPr>
        <w:t xml:space="preserve">Age of respondents </w:t>
      </w:r>
    </w:p>
    <w:p w14:paraId="7D49C3E6" w14:textId="77777777" w:rsidR="005C3F1E" w:rsidRDefault="00794C4B">
      <w:pPr>
        <w:rPr>
          <w:rFonts w:ascii="Times New Roman" w:eastAsia="SimSun" w:hAnsi="Times New Roman" w:cs="Times New Roman"/>
          <w:lang w:bidi="ar"/>
        </w:rPr>
      </w:pPr>
      <w:r>
        <w:rPr>
          <w:rFonts w:ascii="Times New Roman" w:eastAsia="SimSun" w:hAnsi="Times New Roman" w:cs="Times New Roman"/>
          <w:lang w:bidi="ar"/>
        </w:rPr>
        <w:t xml:space="preserve"> </w:t>
      </w:r>
      <w:r>
        <w:rPr>
          <w:rFonts w:ascii="Times New Roman" w:hAnsi="Times New Roman" w:cs="Times New Roman"/>
          <w:noProof/>
        </w:rPr>
        <w:drawing>
          <wp:inline distT="0" distB="0" distL="0" distR="0" wp14:anchorId="7D49C477" wp14:editId="4ED3B675">
            <wp:extent cx="5212080" cy="2194560"/>
            <wp:effectExtent l="0" t="0" r="7620" b="0"/>
            <wp:docPr id="95641172" name="Picture 4" descr="Forms response chart. Question title: 3.Age . Number of responses: 1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1172" name="Picture 4" descr="Forms response chart. Question title: 3.Age . Number of responses: 105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31749" cy="2202597"/>
                    </a:xfrm>
                    <a:prstGeom prst="rect">
                      <a:avLst/>
                    </a:prstGeom>
                    <a:noFill/>
                    <a:ln>
                      <a:noFill/>
                    </a:ln>
                  </pic:spPr>
                </pic:pic>
              </a:graphicData>
            </a:graphic>
          </wp:inline>
        </w:drawing>
      </w:r>
    </w:p>
    <w:p w14:paraId="7D49C3E7" w14:textId="77777777" w:rsidR="005C3F1E" w:rsidRDefault="00794C4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Table 2</w:t>
      </w:r>
      <w:r>
        <w:rPr>
          <w:rFonts w:ascii="Times New Roman" w:hAnsi="Times New Roman" w:cs="Times New Roman"/>
        </w:rPr>
        <w:t xml:space="preserve"> age of respondents</w:t>
      </w:r>
    </w:p>
    <w:tbl>
      <w:tblPr>
        <w:tblStyle w:val="TableGrid"/>
        <w:tblW w:w="0" w:type="auto"/>
        <w:tblLook w:val="04A0" w:firstRow="1" w:lastRow="0" w:firstColumn="1" w:lastColumn="0" w:noHBand="0" w:noVBand="1"/>
      </w:tblPr>
      <w:tblGrid>
        <w:gridCol w:w="2479"/>
        <w:gridCol w:w="2479"/>
        <w:gridCol w:w="2479"/>
      </w:tblGrid>
      <w:tr w:rsidR="005C3F1E" w14:paraId="7D49C3EB" w14:textId="77777777">
        <w:trPr>
          <w:trHeight w:val="443"/>
        </w:trPr>
        <w:tc>
          <w:tcPr>
            <w:tcW w:w="2479" w:type="dxa"/>
          </w:tcPr>
          <w:p w14:paraId="7D49C3E8"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Age</w:t>
            </w:r>
          </w:p>
        </w:tc>
        <w:tc>
          <w:tcPr>
            <w:tcW w:w="2479" w:type="dxa"/>
          </w:tcPr>
          <w:p w14:paraId="7D49C3E9"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No of responds</w:t>
            </w:r>
          </w:p>
        </w:tc>
        <w:tc>
          <w:tcPr>
            <w:tcW w:w="2479" w:type="dxa"/>
          </w:tcPr>
          <w:p w14:paraId="7D49C3EA"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percentage</w:t>
            </w:r>
          </w:p>
        </w:tc>
      </w:tr>
      <w:tr w:rsidR="005C3F1E" w14:paraId="7D49C3EF" w14:textId="77777777">
        <w:trPr>
          <w:trHeight w:val="443"/>
        </w:trPr>
        <w:tc>
          <w:tcPr>
            <w:tcW w:w="2479" w:type="dxa"/>
          </w:tcPr>
          <w:p w14:paraId="7D49C3EC"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18-25 years</w:t>
            </w:r>
          </w:p>
        </w:tc>
        <w:tc>
          <w:tcPr>
            <w:tcW w:w="2479" w:type="dxa"/>
          </w:tcPr>
          <w:p w14:paraId="7D49C3ED"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63</w:t>
            </w:r>
          </w:p>
        </w:tc>
        <w:tc>
          <w:tcPr>
            <w:tcW w:w="2479" w:type="dxa"/>
          </w:tcPr>
          <w:p w14:paraId="7D49C3EE"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60%</w:t>
            </w:r>
          </w:p>
        </w:tc>
      </w:tr>
      <w:tr w:rsidR="005C3F1E" w14:paraId="7D49C3F3" w14:textId="77777777">
        <w:trPr>
          <w:trHeight w:val="443"/>
        </w:trPr>
        <w:tc>
          <w:tcPr>
            <w:tcW w:w="2479" w:type="dxa"/>
          </w:tcPr>
          <w:p w14:paraId="7D49C3F0"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26-31 years</w:t>
            </w:r>
          </w:p>
        </w:tc>
        <w:tc>
          <w:tcPr>
            <w:tcW w:w="2479" w:type="dxa"/>
          </w:tcPr>
          <w:p w14:paraId="7D49C3F1"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13</w:t>
            </w:r>
          </w:p>
        </w:tc>
        <w:tc>
          <w:tcPr>
            <w:tcW w:w="2479" w:type="dxa"/>
          </w:tcPr>
          <w:p w14:paraId="7D49C3F2"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12.4%</w:t>
            </w:r>
          </w:p>
        </w:tc>
      </w:tr>
      <w:tr w:rsidR="005C3F1E" w14:paraId="7D49C3F7" w14:textId="77777777">
        <w:trPr>
          <w:trHeight w:val="482"/>
        </w:trPr>
        <w:tc>
          <w:tcPr>
            <w:tcW w:w="2479" w:type="dxa"/>
          </w:tcPr>
          <w:p w14:paraId="7D49C3F4"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32-40 years</w:t>
            </w:r>
          </w:p>
        </w:tc>
        <w:tc>
          <w:tcPr>
            <w:tcW w:w="2479" w:type="dxa"/>
          </w:tcPr>
          <w:p w14:paraId="7D49C3F5"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11</w:t>
            </w:r>
          </w:p>
        </w:tc>
        <w:tc>
          <w:tcPr>
            <w:tcW w:w="2479" w:type="dxa"/>
          </w:tcPr>
          <w:p w14:paraId="7D49C3F6"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10.5%</w:t>
            </w:r>
          </w:p>
        </w:tc>
      </w:tr>
      <w:tr w:rsidR="005C3F1E" w14:paraId="7D49C3FB" w14:textId="77777777">
        <w:trPr>
          <w:trHeight w:val="482"/>
        </w:trPr>
        <w:tc>
          <w:tcPr>
            <w:tcW w:w="2479" w:type="dxa"/>
          </w:tcPr>
          <w:p w14:paraId="7D49C3F8" w14:textId="77777777" w:rsidR="005C3F1E" w:rsidRDefault="00794C4B">
            <w:pPr>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 xml:space="preserve">41-50 year </w:t>
            </w:r>
          </w:p>
        </w:tc>
        <w:tc>
          <w:tcPr>
            <w:tcW w:w="2479" w:type="dxa"/>
          </w:tcPr>
          <w:p w14:paraId="7D49C3F9" w14:textId="77777777" w:rsidR="005C3F1E" w:rsidRDefault="00794C4B">
            <w:pPr>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10</w:t>
            </w:r>
          </w:p>
        </w:tc>
        <w:tc>
          <w:tcPr>
            <w:tcW w:w="2479" w:type="dxa"/>
          </w:tcPr>
          <w:p w14:paraId="7D49C3FA" w14:textId="77777777" w:rsidR="005C3F1E" w:rsidRDefault="00794C4B">
            <w:pPr>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9.5%</w:t>
            </w:r>
          </w:p>
        </w:tc>
      </w:tr>
      <w:tr w:rsidR="005C3F1E" w14:paraId="7D49C3FF" w14:textId="77777777">
        <w:trPr>
          <w:trHeight w:val="482"/>
        </w:trPr>
        <w:tc>
          <w:tcPr>
            <w:tcW w:w="2479" w:type="dxa"/>
          </w:tcPr>
          <w:p w14:paraId="7D49C3FC"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Above 50 years</w:t>
            </w:r>
          </w:p>
        </w:tc>
        <w:tc>
          <w:tcPr>
            <w:tcW w:w="2479" w:type="dxa"/>
          </w:tcPr>
          <w:p w14:paraId="7D49C3FD"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8</w:t>
            </w:r>
          </w:p>
        </w:tc>
        <w:tc>
          <w:tcPr>
            <w:tcW w:w="2479" w:type="dxa"/>
          </w:tcPr>
          <w:p w14:paraId="7D49C3FE"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7.6%</w:t>
            </w:r>
          </w:p>
        </w:tc>
      </w:tr>
      <w:tr w:rsidR="005C3F1E" w14:paraId="7D49C403" w14:textId="77777777">
        <w:trPr>
          <w:trHeight w:val="482"/>
        </w:trPr>
        <w:tc>
          <w:tcPr>
            <w:tcW w:w="2479" w:type="dxa"/>
          </w:tcPr>
          <w:p w14:paraId="7D49C400"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Total</w:t>
            </w:r>
          </w:p>
        </w:tc>
        <w:tc>
          <w:tcPr>
            <w:tcW w:w="2479" w:type="dxa"/>
          </w:tcPr>
          <w:p w14:paraId="7D49C401"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105</w:t>
            </w:r>
          </w:p>
        </w:tc>
        <w:tc>
          <w:tcPr>
            <w:tcW w:w="2479" w:type="dxa"/>
          </w:tcPr>
          <w:p w14:paraId="7D49C402"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100</w:t>
            </w:r>
          </w:p>
        </w:tc>
      </w:tr>
    </w:tbl>
    <w:p w14:paraId="7D49C404" w14:textId="77777777" w:rsidR="005C3F1E" w:rsidRDefault="005C3F1E">
      <w:pPr>
        <w:jc w:val="both"/>
        <w:rPr>
          <w:rFonts w:ascii="Times New Roman" w:eastAsia="SimSun" w:hAnsi="Times New Roman" w:cs="Times New Roman"/>
          <w:b/>
          <w:bCs/>
        </w:rPr>
      </w:pPr>
    </w:p>
    <w:p w14:paraId="7D49C405" w14:textId="77777777" w:rsidR="005C3F1E" w:rsidRDefault="00794C4B">
      <w:pPr>
        <w:jc w:val="both"/>
        <w:rPr>
          <w:rFonts w:ascii="Times New Roman" w:eastAsia="SimSun" w:hAnsi="Times New Roman" w:cs="Times New Roman"/>
        </w:rPr>
      </w:pPr>
      <w:r>
        <w:rPr>
          <w:rFonts w:ascii="Times New Roman" w:eastAsia="SimSun" w:hAnsi="Times New Roman" w:cs="Times New Roman"/>
          <w:b/>
          <w:bCs/>
        </w:rPr>
        <w:t>Interpretation&amp; Finding:</w:t>
      </w:r>
      <w:r>
        <w:rPr>
          <w:rFonts w:ascii="Times New Roman" w:eastAsia="Times New Roman" w:hAnsi="Times New Roman" w:cs="Times New Roman"/>
          <w:kern w:val="0"/>
          <w:lang w:eastAsia="en-IN"/>
          <w14:ligatures w14:val="none"/>
        </w:rPr>
        <w:t xml:space="preserve"> </w:t>
      </w:r>
      <w:r>
        <w:rPr>
          <w:rFonts w:ascii="Times New Roman" w:eastAsia="SimSun" w:hAnsi="Times New Roman" w:cs="Times New Roman"/>
        </w:rPr>
        <w:t xml:space="preserve">The majority of respondents (60%) are young professionals aged 18 to 25, showcasing </w:t>
      </w:r>
      <w:r>
        <w:rPr>
          <w:rFonts w:ascii="Times New Roman" w:eastAsia="SimSun" w:hAnsi="Times New Roman" w:cs="Times New Roman"/>
        </w:rPr>
        <w:t>strong interest from the younger demographic. Participation gradually declines with increasing age, with only 7.6% of respondents aged above 50. This suggests that mutual funds and other investment avenues are more appealing to younger working professionals, possibly due to their longer financial planning horizon.</w:t>
      </w:r>
    </w:p>
    <w:p w14:paraId="7D49C406" w14:textId="77777777" w:rsidR="005C3F1E" w:rsidRDefault="005C3F1E">
      <w:pPr>
        <w:jc w:val="both"/>
        <w:rPr>
          <w:rFonts w:ascii="Times New Roman" w:eastAsia="SimSun" w:hAnsi="Times New Roman" w:cs="Times New Roman"/>
          <w:b/>
          <w:bCs/>
        </w:rPr>
      </w:pPr>
    </w:p>
    <w:p w14:paraId="7D49C407" w14:textId="77777777" w:rsidR="005C3F1E" w:rsidRDefault="00794C4B">
      <w:pPr>
        <w:numPr>
          <w:ilvl w:val="0"/>
          <w:numId w:val="4"/>
        </w:numPr>
        <w:spacing w:after="0" w:line="240" w:lineRule="auto"/>
        <w:jc w:val="both"/>
        <w:rPr>
          <w:rFonts w:ascii="Times New Roman" w:eastAsia="SimSun" w:hAnsi="Times New Roman" w:cs="Times New Roman"/>
          <w:b/>
          <w:bCs/>
        </w:rPr>
      </w:pPr>
      <w:r>
        <w:rPr>
          <w:rFonts w:ascii="Times New Roman" w:eastAsia="SimSun" w:hAnsi="Times New Roman" w:cs="Times New Roman"/>
          <w:b/>
          <w:bCs/>
        </w:rPr>
        <w:t>Annual savings of respondents</w:t>
      </w:r>
    </w:p>
    <w:p w14:paraId="7D49C408" w14:textId="77777777" w:rsidR="005C3F1E" w:rsidRDefault="005C3F1E">
      <w:pPr>
        <w:jc w:val="both"/>
        <w:rPr>
          <w:rFonts w:ascii="Times New Roman" w:eastAsia="SimSun" w:hAnsi="Times New Roman" w:cs="Times New Roman"/>
        </w:rPr>
      </w:pPr>
    </w:p>
    <w:p w14:paraId="7D49C409" w14:textId="77777777" w:rsidR="005C3F1E" w:rsidRDefault="00794C4B">
      <w:pPr>
        <w:jc w:val="both"/>
        <w:rPr>
          <w:rFonts w:ascii="Times New Roman" w:eastAsia="SimSun" w:hAnsi="Times New Roman" w:cs="Times New Roman"/>
        </w:rPr>
      </w:pPr>
      <w:r>
        <w:rPr>
          <w:rFonts w:ascii="Times New Roman" w:hAnsi="Times New Roman" w:cs="Times New Roman"/>
          <w:noProof/>
        </w:rPr>
        <w:lastRenderedPageBreak/>
        <w:drawing>
          <wp:inline distT="0" distB="0" distL="0" distR="0" wp14:anchorId="7D49C479" wp14:editId="361E98AB">
            <wp:extent cx="5212080" cy="2194560"/>
            <wp:effectExtent l="0" t="0" r="7620" b="0"/>
            <wp:docPr id="1313494437" name="Picture 15" descr="Forms response chart. Question title: How much do you save annually ?. Number of responses: 1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94437" name="Picture 15" descr="Forms response chart. Question title: How much do you save annually ?. Number of responses: 105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43790" cy="2207669"/>
                    </a:xfrm>
                    <a:prstGeom prst="rect">
                      <a:avLst/>
                    </a:prstGeom>
                    <a:noFill/>
                    <a:ln>
                      <a:noFill/>
                    </a:ln>
                  </pic:spPr>
                </pic:pic>
              </a:graphicData>
            </a:graphic>
          </wp:inline>
        </w:drawing>
      </w:r>
    </w:p>
    <w:p w14:paraId="7D49C40A" w14:textId="77777777" w:rsidR="005C3F1E" w:rsidRDefault="00794C4B">
      <w:pPr>
        <w:rPr>
          <w:rFonts w:ascii="Times New Roman" w:hAnsi="Times New Roman" w:cs="Times New Roman"/>
        </w:rPr>
      </w:pPr>
      <w:r>
        <w:rPr>
          <w:rFonts w:ascii="Times New Roman" w:hAnsi="Times New Roman" w:cs="Times New Roman"/>
        </w:rPr>
        <w:t xml:space="preserve">     </w:t>
      </w:r>
    </w:p>
    <w:p w14:paraId="7D49C40B" w14:textId="77777777" w:rsidR="005C3F1E" w:rsidRDefault="00794C4B">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b/>
          <w:bCs/>
        </w:rPr>
        <w:t>Table 3</w:t>
      </w:r>
      <w:r>
        <w:rPr>
          <w:rFonts w:ascii="Times New Roman" w:hAnsi="Times New Roman" w:cs="Times New Roman"/>
        </w:rPr>
        <w:t xml:space="preserve"> annual savings of respondents</w:t>
      </w:r>
    </w:p>
    <w:p w14:paraId="7D49C40C" w14:textId="77777777" w:rsidR="005C3F1E" w:rsidRDefault="005C3F1E">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3758"/>
        <w:gridCol w:w="1777"/>
        <w:gridCol w:w="1873"/>
      </w:tblGrid>
      <w:tr w:rsidR="005C3F1E" w14:paraId="7D49C410" w14:textId="77777777">
        <w:trPr>
          <w:trHeight w:val="573"/>
        </w:trPr>
        <w:tc>
          <w:tcPr>
            <w:tcW w:w="3758" w:type="dxa"/>
          </w:tcPr>
          <w:p w14:paraId="7D49C40D"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Annual savings</w:t>
            </w:r>
          </w:p>
        </w:tc>
        <w:tc>
          <w:tcPr>
            <w:tcW w:w="1777" w:type="dxa"/>
          </w:tcPr>
          <w:p w14:paraId="7D49C40E"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No of responds</w:t>
            </w:r>
          </w:p>
        </w:tc>
        <w:tc>
          <w:tcPr>
            <w:tcW w:w="1873" w:type="dxa"/>
          </w:tcPr>
          <w:p w14:paraId="7D49C40F"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percentage</w:t>
            </w:r>
          </w:p>
        </w:tc>
      </w:tr>
      <w:tr w:rsidR="005C3F1E" w14:paraId="7D49C414" w14:textId="77777777">
        <w:trPr>
          <w:trHeight w:val="582"/>
        </w:trPr>
        <w:tc>
          <w:tcPr>
            <w:tcW w:w="3758" w:type="dxa"/>
          </w:tcPr>
          <w:p w14:paraId="7D49C411"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Up to Rs. 30,000</w:t>
            </w:r>
          </w:p>
        </w:tc>
        <w:tc>
          <w:tcPr>
            <w:tcW w:w="1777" w:type="dxa"/>
          </w:tcPr>
          <w:p w14:paraId="7D49C412"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22</w:t>
            </w:r>
          </w:p>
        </w:tc>
        <w:tc>
          <w:tcPr>
            <w:tcW w:w="1873" w:type="dxa"/>
          </w:tcPr>
          <w:p w14:paraId="7D49C413" w14:textId="77777777" w:rsidR="005C3F1E" w:rsidRDefault="00794C4B">
            <w:pPr>
              <w:widowControl/>
              <w:spacing w:after="0" w:line="240" w:lineRule="auto"/>
              <w:jc w:val="left"/>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 xml:space="preserve">        21%</w:t>
            </w:r>
          </w:p>
        </w:tc>
      </w:tr>
      <w:tr w:rsidR="005C3F1E" w14:paraId="7D49C418" w14:textId="77777777">
        <w:trPr>
          <w:trHeight w:val="497"/>
        </w:trPr>
        <w:tc>
          <w:tcPr>
            <w:tcW w:w="3758" w:type="dxa"/>
          </w:tcPr>
          <w:p w14:paraId="7D49C415"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Rs. 30,001 - Rs. 60,000</w:t>
            </w:r>
          </w:p>
        </w:tc>
        <w:tc>
          <w:tcPr>
            <w:tcW w:w="1777" w:type="dxa"/>
          </w:tcPr>
          <w:p w14:paraId="7D49C416"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33</w:t>
            </w:r>
          </w:p>
        </w:tc>
        <w:tc>
          <w:tcPr>
            <w:tcW w:w="1873" w:type="dxa"/>
          </w:tcPr>
          <w:p w14:paraId="7D49C417" w14:textId="77777777" w:rsidR="005C3F1E" w:rsidRDefault="00794C4B">
            <w:pPr>
              <w:widowControl/>
              <w:spacing w:after="0" w:line="240" w:lineRule="auto"/>
              <w:jc w:val="left"/>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 xml:space="preserve">        31.4%</w:t>
            </w:r>
          </w:p>
        </w:tc>
      </w:tr>
      <w:tr w:rsidR="005C3F1E" w14:paraId="7D49C41C" w14:textId="77777777">
        <w:trPr>
          <w:trHeight w:val="540"/>
        </w:trPr>
        <w:tc>
          <w:tcPr>
            <w:tcW w:w="3758" w:type="dxa"/>
          </w:tcPr>
          <w:p w14:paraId="7D49C419"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Rs. 60,001 - Rs. 80,000</w:t>
            </w:r>
          </w:p>
        </w:tc>
        <w:tc>
          <w:tcPr>
            <w:tcW w:w="1777" w:type="dxa"/>
          </w:tcPr>
          <w:p w14:paraId="7D49C41A"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26</w:t>
            </w:r>
          </w:p>
        </w:tc>
        <w:tc>
          <w:tcPr>
            <w:tcW w:w="1873" w:type="dxa"/>
          </w:tcPr>
          <w:p w14:paraId="7D49C41B" w14:textId="77777777" w:rsidR="005C3F1E" w:rsidRDefault="00794C4B">
            <w:pPr>
              <w:widowControl/>
              <w:spacing w:after="0" w:line="240" w:lineRule="auto"/>
              <w:jc w:val="left"/>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 xml:space="preserve">        24.8%</w:t>
            </w:r>
          </w:p>
        </w:tc>
      </w:tr>
      <w:tr w:rsidR="005C3F1E" w14:paraId="7D49C420" w14:textId="77777777">
        <w:trPr>
          <w:trHeight w:val="540"/>
        </w:trPr>
        <w:tc>
          <w:tcPr>
            <w:tcW w:w="3758" w:type="dxa"/>
          </w:tcPr>
          <w:p w14:paraId="7D49C41D"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Rs. 80,001 - Rs. 1,20,000</w:t>
            </w:r>
          </w:p>
        </w:tc>
        <w:tc>
          <w:tcPr>
            <w:tcW w:w="1777" w:type="dxa"/>
          </w:tcPr>
          <w:p w14:paraId="7D49C41E"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16</w:t>
            </w:r>
          </w:p>
        </w:tc>
        <w:tc>
          <w:tcPr>
            <w:tcW w:w="1873" w:type="dxa"/>
          </w:tcPr>
          <w:p w14:paraId="7D49C41F" w14:textId="77777777" w:rsidR="005C3F1E" w:rsidRDefault="00794C4B">
            <w:pPr>
              <w:widowControl/>
              <w:spacing w:after="0" w:line="240" w:lineRule="auto"/>
              <w:jc w:val="left"/>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 xml:space="preserve">        15.2%</w:t>
            </w:r>
          </w:p>
        </w:tc>
      </w:tr>
      <w:tr w:rsidR="005C3F1E" w14:paraId="7D49C424" w14:textId="77777777">
        <w:trPr>
          <w:trHeight w:val="549"/>
        </w:trPr>
        <w:tc>
          <w:tcPr>
            <w:tcW w:w="3758" w:type="dxa"/>
          </w:tcPr>
          <w:p w14:paraId="7D49C421"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Above Rs.1,20,000</w:t>
            </w:r>
          </w:p>
        </w:tc>
        <w:tc>
          <w:tcPr>
            <w:tcW w:w="1777" w:type="dxa"/>
          </w:tcPr>
          <w:p w14:paraId="7D49C422" w14:textId="77777777" w:rsidR="005C3F1E" w:rsidRDefault="00794C4B">
            <w:pPr>
              <w:widowControl/>
              <w:spacing w:after="0" w:line="24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8</w:t>
            </w:r>
          </w:p>
        </w:tc>
        <w:tc>
          <w:tcPr>
            <w:tcW w:w="1873" w:type="dxa"/>
          </w:tcPr>
          <w:p w14:paraId="7D49C423" w14:textId="77777777" w:rsidR="005C3F1E" w:rsidRDefault="00794C4B">
            <w:pPr>
              <w:widowControl/>
              <w:spacing w:after="0" w:line="240" w:lineRule="auto"/>
              <w:jc w:val="left"/>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 xml:space="preserve">        7.6%</w:t>
            </w:r>
          </w:p>
        </w:tc>
      </w:tr>
      <w:tr w:rsidR="005C3F1E" w14:paraId="7D49C428" w14:textId="77777777">
        <w:trPr>
          <w:trHeight w:val="561"/>
        </w:trPr>
        <w:tc>
          <w:tcPr>
            <w:tcW w:w="3758" w:type="dxa"/>
          </w:tcPr>
          <w:p w14:paraId="7D49C425"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Total</w:t>
            </w:r>
          </w:p>
        </w:tc>
        <w:tc>
          <w:tcPr>
            <w:tcW w:w="1777" w:type="dxa"/>
          </w:tcPr>
          <w:p w14:paraId="7D49C426" w14:textId="77777777" w:rsidR="005C3F1E" w:rsidRDefault="00794C4B">
            <w:pPr>
              <w:widowControl/>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 xml:space="preserve">105 </w:t>
            </w:r>
          </w:p>
        </w:tc>
        <w:tc>
          <w:tcPr>
            <w:tcW w:w="1873" w:type="dxa"/>
          </w:tcPr>
          <w:p w14:paraId="7D49C427" w14:textId="77777777" w:rsidR="005C3F1E" w:rsidRDefault="00794C4B">
            <w:pPr>
              <w:widowControl/>
              <w:spacing w:after="0" w:line="240" w:lineRule="auto"/>
              <w:jc w:val="left"/>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 xml:space="preserve">        100</w:t>
            </w:r>
          </w:p>
        </w:tc>
      </w:tr>
    </w:tbl>
    <w:p w14:paraId="7D49C429" w14:textId="77777777" w:rsidR="005C3F1E" w:rsidRDefault="005C3F1E">
      <w:pPr>
        <w:rPr>
          <w:rFonts w:ascii="Times New Roman" w:hAnsi="Times New Roman" w:cs="Times New Roman"/>
        </w:rPr>
      </w:pPr>
    </w:p>
    <w:p w14:paraId="7D49C42A" w14:textId="77777777" w:rsidR="005C3F1E" w:rsidRDefault="00794C4B">
      <w:pPr>
        <w:jc w:val="both"/>
        <w:rPr>
          <w:rFonts w:ascii="Times New Roman" w:eastAsia="Times New Roman" w:hAnsi="Times New Roman" w:cs="Times New Roman"/>
          <w:kern w:val="0"/>
          <w:lang w:eastAsia="en-IN"/>
          <w14:ligatures w14:val="none"/>
        </w:rPr>
      </w:pPr>
      <w:r>
        <w:rPr>
          <w:rFonts w:ascii="Times New Roman" w:eastAsia="SimSun" w:hAnsi="Times New Roman" w:cs="Times New Roman"/>
          <w:b/>
          <w:bCs/>
        </w:rPr>
        <w:t>Interpretation&amp; Finding:</w:t>
      </w:r>
      <w:r>
        <w:rPr>
          <w:rFonts w:ascii="Times New Roman" w:eastAsia="Times New Roman" w:hAnsi="Times New Roman" w:cs="Times New Roman"/>
          <w:kern w:val="0"/>
          <w:lang w:eastAsia="en-IN"/>
          <w14:ligatures w14:val="none"/>
        </w:rPr>
        <w:t xml:space="preserve"> A significant portion (31.4%) of respondents have annual savings between Rs. 30,001 and Rs. 60,000, followed by 24.8% saving between Rs. 60,001 and Rs. 80,000. Notably, only 7.6% of respondents manage to save above Rs. 1,20,000 annually. This indicates that most working professionals have moderate savings capacity, influencing their investment decisions toward accessible and growth-oriented options like mutual funds.</w:t>
      </w:r>
    </w:p>
    <w:p w14:paraId="7D49C42B" w14:textId="77777777" w:rsidR="005C3F1E" w:rsidRDefault="005C3F1E">
      <w:pPr>
        <w:jc w:val="both"/>
        <w:rPr>
          <w:rFonts w:ascii="Times New Roman" w:eastAsia="SimSun" w:hAnsi="Times New Roman" w:cs="Times New Roman"/>
        </w:rPr>
      </w:pPr>
    </w:p>
    <w:p w14:paraId="7D49C42C" w14:textId="77777777" w:rsidR="005C3F1E" w:rsidRDefault="005C3F1E">
      <w:pPr>
        <w:jc w:val="both"/>
        <w:rPr>
          <w:rFonts w:ascii="Times New Roman" w:eastAsia="SimSun" w:hAnsi="Times New Roman" w:cs="Times New Roman"/>
        </w:rPr>
      </w:pPr>
    </w:p>
    <w:p w14:paraId="7D49C42D" w14:textId="77777777" w:rsidR="005C3F1E" w:rsidRDefault="005C3F1E">
      <w:pPr>
        <w:jc w:val="both"/>
        <w:rPr>
          <w:rFonts w:ascii="Times New Roman" w:hAnsi="Times New Roman" w:cs="Times New Roman"/>
        </w:rPr>
      </w:pPr>
    </w:p>
    <w:p w14:paraId="7D49C42E" w14:textId="77777777" w:rsidR="005C3F1E" w:rsidRDefault="00794C4B">
      <w:pPr>
        <w:numPr>
          <w:ilvl w:val="0"/>
          <w:numId w:val="4"/>
        </w:numPr>
        <w:spacing w:after="0" w:line="240" w:lineRule="auto"/>
        <w:jc w:val="both"/>
        <w:rPr>
          <w:rFonts w:ascii="Times New Roman" w:eastAsia="SimSun" w:hAnsi="Times New Roman" w:cs="Times New Roman"/>
          <w:b/>
          <w:bCs/>
        </w:rPr>
      </w:pPr>
      <w:r>
        <w:rPr>
          <w:rFonts w:ascii="Times New Roman" w:eastAsia="SimSun" w:hAnsi="Times New Roman" w:cs="Times New Roman"/>
          <w:b/>
          <w:bCs/>
        </w:rPr>
        <w:t xml:space="preserve"> Preference of respondents regarding different investment avenue</w:t>
      </w:r>
    </w:p>
    <w:p w14:paraId="7D49C42F" w14:textId="77777777" w:rsidR="005C3F1E" w:rsidRDefault="005C3F1E">
      <w:pPr>
        <w:spacing w:after="0" w:line="240" w:lineRule="auto"/>
        <w:jc w:val="both"/>
        <w:rPr>
          <w:rFonts w:ascii="Times New Roman" w:eastAsia="SimSun" w:hAnsi="Times New Roman" w:cs="Times New Roman"/>
          <w:b/>
          <w:bCs/>
        </w:rPr>
      </w:pPr>
    </w:p>
    <w:p w14:paraId="7D49C430" w14:textId="77777777" w:rsidR="005C3F1E" w:rsidRDefault="005C3F1E">
      <w:pPr>
        <w:spacing w:after="0" w:line="240" w:lineRule="auto"/>
        <w:jc w:val="both"/>
        <w:rPr>
          <w:rFonts w:ascii="Times New Roman" w:eastAsia="SimSun" w:hAnsi="Times New Roman" w:cs="Times New Roman"/>
          <w:b/>
          <w:bCs/>
        </w:rPr>
      </w:pPr>
    </w:p>
    <w:p w14:paraId="7D49C431" w14:textId="77777777" w:rsidR="005C3F1E" w:rsidRDefault="00794C4B">
      <w:pPr>
        <w:pStyle w:val="ListParagraph"/>
        <w:jc w:val="both"/>
        <w:rPr>
          <w:rFonts w:ascii="Times New Roman" w:eastAsia="SimSun" w:hAnsi="Times New Roman" w:cs="Times New Roman"/>
        </w:rPr>
      </w:pPr>
      <w:r>
        <w:rPr>
          <w:rFonts w:ascii="Times New Roman" w:eastAsia="SimSun" w:hAnsi="Times New Roman" w:cs="Times New Roman"/>
        </w:rPr>
        <w:t>Table .4 Preference of respondents regarding different investment avenues</w:t>
      </w:r>
    </w:p>
    <w:p w14:paraId="7D49C432" w14:textId="77777777" w:rsidR="005C3F1E" w:rsidRDefault="005C3F1E">
      <w:pPr>
        <w:pStyle w:val="ListParagraph"/>
        <w:jc w:val="both"/>
        <w:rPr>
          <w:rFonts w:ascii="Times New Roman" w:eastAsia="SimSun" w:hAnsi="Times New Roman" w:cs="Times New Roman"/>
        </w:rPr>
      </w:pPr>
    </w:p>
    <w:p w14:paraId="7D49C433" w14:textId="77777777" w:rsidR="005C3F1E" w:rsidRDefault="00794C4B">
      <w:pPr>
        <w:pStyle w:val="ListParagraph"/>
        <w:jc w:val="both"/>
        <w:rPr>
          <w:rFonts w:ascii="Times New Roman" w:eastAsia="SimSun" w:hAnsi="Times New Roman" w:cs="Times New Roman"/>
        </w:rPr>
      </w:pPr>
      <w:r>
        <w:rPr>
          <w:rFonts w:ascii="Times New Roman" w:hAnsi="Times New Roman" w:cs="Times New Roman"/>
          <w:noProof/>
        </w:rPr>
        <w:lastRenderedPageBreak/>
        <w:drawing>
          <wp:inline distT="0" distB="0" distL="0" distR="0" wp14:anchorId="7D49C47B" wp14:editId="7D49C47C">
            <wp:extent cx="4904740" cy="2065020"/>
            <wp:effectExtent l="0" t="0" r="0" b="0"/>
            <wp:docPr id="1063952979" name="Picture 16" descr="Forms response chart. Question title: 9.Choose any your current preference of saving avenues?. Number of responses: 10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952979" name="Picture 16" descr="Forms response chart. Question title: 9.Choose any your current preference of saving avenues?. Number of responses: 10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080690" cy="213900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74"/>
        <w:gridCol w:w="2492"/>
        <w:gridCol w:w="1877"/>
      </w:tblGrid>
      <w:tr w:rsidR="005C3F1E" w14:paraId="7D49C437" w14:textId="77777777">
        <w:trPr>
          <w:trHeight w:val="196"/>
        </w:trPr>
        <w:tc>
          <w:tcPr>
            <w:tcW w:w="3074" w:type="dxa"/>
          </w:tcPr>
          <w:p w14:paraId="7D49C434" w14:textId="77777777" w:rsidR="005C3F1E" w:rsidRDefault="00794C4B">
            <w:pPr>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val="en-US" w:eastAsia="en-IN"/>
                <w14:ligatures w14:val="none"/>
              </w:rPr>
              <w:t>Particulars</w:t>
            </w:r>
          </w:p>
        </w:tc>
        <w:tc>
          <w:tcPr>
            <w:tcW w:w="2492" w:type="dxa"/>
          </w:tcPr>
          <w:p w14:paraId="7D49C435" w14:textId="77777777" w:rsidR="005C3F1E" w:rsidRDefault="00794C4B">
            <w:pPr>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Responses</w:t>
            </w:r>
          </w:p>
        </w:tc>
        <w:tc>
          <w:tcPr>
            <w:tcW w:w="1877" w:type="dxa"/>
          </w:tcPr>
          <w:p w14:paraId="7D49C436" w14:textId="77777777" w:rsidR="005C3F1E" w:rsidRDefault="00794C4B">
            <w:pPr>
              <w:spacing w:after="0" w:line="24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Rank</w:t>
            </w:r>
          </w:p>
        </w:tc>
      </w:tr>
      <w:tr w:rsidR="005C3F1E" w14:paraId="7D49C43B" w14:textId="77777777">
        <w:trPr>
          <w:trHeight w:val="196"/>
        </w:trPr>
        <w:tc>
          <w:tcPr>
            <w:tcW w:w="3074" w:type="dxa"/>
          </w:tcPr>
          <w:p w14:paraId="7D49C438" w14:textId="77777777" w:rsidR="005C3F1E" w:rsidRDefault="00794C4B">
            <w:pPr>
              <w:spacing w:after="0" w:line="360" w:lineRule="auto"/>
              <w:jc w:val="left"/>
              <w:rPr>
                <w:rFonts w:ascii="Times New Roman" w:eastAsia="SimSun" w:hAnsi="Times New Roman" w:cs="Times New Roman"/>
                <w:kern w:val="0"/>
                <w:lang w:eastAsia="en-IN"/>
                <w14:ligatures w14:val="none"/>
              </w:rPr>
            </w:pPr>
            <w:r>
              <w:rPr>
                <w:rFonts w:ascii="Times New Roman" w:eastAsia="SimSun" w:hAnsi="Times New Roman" w:cs="Times New Roman"/>
                <w:b/>
                <w:bCs/>
                <w:kern w:val="0"/>
                <w:lang w:eastAsia="en-IN"/>
                <w14:ligatures w14:val="none"/>
              </w:rPr>
              <w:t>Bank deposit</w:t>
            </w:r>
            <w:r>
              <w:rPr>
                <w:rFonts w:ascii="Times New Roman" w:eastAsia="SimSun" w:hAnsi="Times New Roman" w:cs="Times New Roman"/>
                <w:kern w:val="0"/>
                <w:lang w:eastAsia="en-IN"/>
                <w14:ligatures w14:val="none"/>
              </w:rPr>
              <w:t xml:space="preserve"> (EG . FD,RD)</w:t>
            </w:r>
          </w:p>
        </w:tc>
        <w:tc>
          <w:tcPr>
            <w:tcW w:w="2492" w:type="dxa"/>
          </w:tcPr>
          <w:p w14:paraId="7D49C439" w14:textId="77777777" w:rsidR="005C3F1E" w:rsidRDefault="00794C4B">
            <w:pPr>
              <w:spacing w:after="0" w:line="36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22</w:t>
            </w:r>
          </w:p>
        </w:tc>
        <w:tc>
          <w:tcPr>
            <w:tcW w:w="1877" w:type="dxa"/>
          </w:tcPr>
          <w:p w14:paraId="7D49C43A"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III</w:t>
            </w:r>
          </w:p>
        </w:tc>
      </w:tr>
      <w:tr w:rsidR="005C3F1E" w14:paraId="7D49C43F" w14:textId="77777777">
        <w:trPr>
          <w:trHeight w:val="196"/>
        </w:trPr>
        <w:tc>
          <w:tcPr>
            <w:tcW w:w="3074" w:type="dxa"/>
          </w:tcPr>
          <w:p w14:paraId="7D49C43C"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Shares (Equity)</w:t>
            </w:r>
          </w:p>
        </w:tc>
        <w:tc>
          <w:tcPr>
            <w:tcW w:w="2492" w:type="dxa"/>
          </w:tcPr>
          <w:p w14:paraId="7D49C43D" w14:textId="77777777" w:rsidR="005C3F1E" w:rsidRDefault="00794C4B">
            <w:pPr>
              <w:spacing w:after="0" w:line="36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27</w:t>
            </w:r>
          </w:p>
        </w:tc>
        <w:tc>
          <w:tcPr>
            <w:tcW w:w="1877" w:type="dxa"/>
          </w:tcPr>
          <w:p w14:paraId="7D49C43E"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II</w:t>
            </w:r>
          </w:p>
        </w:tc>
      </w:tr>
      <w:tr w:rsidR="005C3F1E" w14:paraId="7D49C443" w14:textId="77777777">
        <w:trPr>
          <w:trHeight w:val="196"/>
        </w:trPr>
        <w:tc>
          <w:tcPr>
            <w:tcW w:w="3074" w:type="dxa"/>
          </w:tcPr>
          <w:p w14:paraId="7D49C440"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Mutual fund</w:t>
            </w:r>
          </w:p>
        </w:tc>
        <w:tc>
          <w:tcPr>
            <w:tcW w:w="2492" w:type="dxa"/>
          </w:tcPr>
          <w:p w14:paraId="7D49C441" w14:textId="77777777" w:rsidR="005C3F1E" w:rsidRDefault="00794C4B">
            <w:pPr>
              <w:spacing w:after="0" w:line="36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28</w:t>
            </w:r>
          </w:p>
        </w:tc>
        <w:tc>
          <w:tcPr>
            <w:tcW w:w="1877" w:type="dxa"/>
          </w:tcPr>
          <w:p w14:paraId="7D49C442"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I</w:t>
            </w:r>
          </w:p>
        </w:tc>
      </w:tr>
      <w:tr w:rsidR="005C3F1E" w14:paraId="7D49C447" w14:textId="77777777">
        <w:trPr>
          <w:trHeight w:val="196"/>
        </w:trPr>
        <w:tc>
          <w:tcPr>
            <w:tcW w:w="3074" w:type="dxa"/>
          </w:tcPr>
          <w:p w14:paraId="7D49C444"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 xml:space="preserve">Post </w:t>
            </w:r>
            <w:r>
              <w:rPr>
                <w:rFonts w:ascii="Times New Roman" w:eastAsia="SimSun" w:hAnsi="Times New Roman" w:cs="Times New Roman"/>
                <w:b/>
                <w:bCs/>
                <w:kern w:val="0"/>
                <w:lang w:eastAsia="en-IN"/>
                <w14:ligatures w14:val="none"/>
              </w:rPr>
              <w:t>office deposit</w:t>
            </w:r>
          </w:p>
        </w:tc>
        <w:tc>
          <w:tcPr>
            <w:tcW w:w="2492" w:type="dxa"/>
          </w:tcPr>
          <w:p w14:paraId="7D49C445" w14:textId="77777777" w:rsidR="005C3F1E" w:rsidRDefault="00794C4B">
            <w:pPr>
              <w:spacing w:after="0" w:line="36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16</w:t>
            </w:r>
          </w:p>
        </w:tc>
        <w:tc>
          <w:tcPr>
            <w:tcW w:w="1877" w:type="dxa"/>
          </w:tcPr>
          <w:p w14:paraId="7D49C446"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IV</w:t>
            </w:r>
          </w:p>
        </w:tc>
      </w:tr>
      <w:tr w:rsidR="005C3F1E" w14:paraId="7D49C44B" w14:textId="77777777">
        <w:trPr>
          <w:trHeight w:val="196"/>
        </w:trPr>
        <w:tc>
          <w:tcPr>
            <w:tcW w:w="3074" w:type="dxa"/>
          </w:tcPr>
          <w:p w14:paraId="7D49C448"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Gold &amp; silver</w:t>
            </w:r>
          </w:p>
        </w:tc>
        <w:tc>
          <w:tcPr>
            <w:tcW w:w="2492" w:type="dxa"/>
          </w:tcPr>
          <w:p w14:paraId="7D49C449" w14:textId="77777777" w:rsidR="005C3F1E" w:rsidRDefault="00794C4B">
            <w:pPr>
              <w:spacing w:after="0" w:line="360" w:lineRule="auto"/>
              <w:jc w:val="center"/>
              <w:rPr>
                <w:rFonts w:ascii="Times New Roman" w:eastAsia="SimSun" w:hAnsi="Times New Roman" w:cs="Times New Roman"/>
                <w:kern w:val="0"/>
                <w:lang w:eastAsia="en-IN"/>
                <w14:ligatures w14:val="none"/>
              </w:rPr>
            </w:pPr>
            <w:r>
              <w:rPr>
                <w:rFonts w:ascii="Times New Roman" w:eastAsia="SimSun" w:hAnsi="Times New Roman" w:cs="Times New Roman"/>
                <w:kern w:val="0"/>
                <w:lang w:eastAsia="en-IN"/>
                <w14:ligatures w14:val="none"/>
              </w:rPr>
              <w:t>12</w:t>
            </w:r>
          </w:p>
        </w:tc>
        <w:tc>
          <w:tcPr>
            <w:tcW w:w="1877" w:type="dxa"/>
          </w:tcPr>
          <w:p w14:paraId="7D49C44A" w14:textId="77777777" w:rsidR="005C3F1E" w:rsidRDefault="00794C4B">
            <w:pPr>
              <w:spacing w:after="0" w:line="360" w:lineRule="auto"/>
              <w:jc w:val="center"/>
              <w:rPr>
                <w:rFonts w:ascii="Times New Roman" w:eastAsia="SimSun" w:hAnsi="Times New Roman" w:cs="Times New Roman"/>
                <w:b/>
                <w:bCs/>
                <w:kern w:val="0"/>
                <w:lang w:eastAsia="en-IN"/>
                <w14:ligatures w14:val="none"/>
              </w:rPr>
            </w:pPr>
            <w:r>
              <w:rPr>
                <w:rFonts w:ascii="Times New Roman" w:eastAsia="SimSun" w:hAnsi="Times New Roman" w:cs="Times New Roman"/>
                <w:b/>
                <w:bCs/>
                <w:kern w:val="0"/>
                <w:lang w:eastAsia="en-IN"/>
                <w14:ligatures w14:val="none"/>
              </w:rPr>
              <w:t>V</w:t>
            </w:r>
          </w:p>
        </w:tc>
      </w:tr>
    </w:tbl>
    <w:p w14:paraId="7D49C44C" w14:textId="77777777" w:rsidR="005C3F1E" w:rsidRDefault="005C3F1E">
      <w:pPr>
        <w:jc w:val="both"/>
        <w:rPr>
          <w:rFonts w:ascii="Times New Roman" w:hAnsi="Times New Roman" w:cs="Times New Roman"/>
        </w:rPr>
      </w:pPr>
    </w:p>
    <w:p w14:paraId="7D49C44D" w14:textId="77777777" w:rsidR="005C3F1E" w:rsidRDefault="00794C4B">
      <w:pPr>
        <w:jc w:val="both"/>
        <w:rPr>
          <w:rFonts w:ascii="Times New Roman" w:eastAsia="SimSun" w:hAnsi="Times New Roman" w:cs="Times New Roman"/>
        </w:rPr>
      </w:pPr>
      <w:r>
        <w:rPr>
          <w:rFonts w:ascii="Times New Roman" w:eastAsia="SimSun" w:hAnsi="Times New Roman" w:cs="Times New Roman"/>
          <w:b/>
          <w:bCs/>
        </w:rPr>
        <w:t>Interpretation:</w:t>
      </w:r>
      <w:r>
        <w:rPr>
          <w:rFonts w:ascii="Times New Roman" w:eastAsia="SimSun" w:hAnsi="Times New Roman" w:cs="Times New Roman"/>
        </w:rPr>
        <w:t xml:space="preserve"> The given data reflects respondents' investment preferences across various investment avenues. The number of respondents selecting each option determines the ranking.</w:t>
      </w:r>
    </w:p>
    <w:p w14:paraId="7D49C44E" w14:textId="77777777" w:rsidR="005C3F1E" w:rsidRDefault="00794C4B">
      <w:pPr>
        <w:jc w:val="both"/>
        <w:rPr>
          <w:rFonts w:ascii="Times New Roman" w:eastAsia="SimSun" w:hAnsi="Times New Roman" w:cs="Times New Roman"/>
        </w:rPr>
      </w:pPr>
      <w:r>
        <w:rPr>
          <w:rFonts w:ascii="Times New Roman" w:eastAsia="SimSun" w:hAnsi="Times New Roman" w:cs="Times New Roman"/>
        </w:rPr>
        <w:t>According to the latest data:</w:t>
      </w:r>
    </w:p>
    <w:p w14:paraId="7D49C44F" w14:textId="77777777" w:rsidR="005C3F1E" w:rsidRDefault="00794C4B">
      <w:pPr>
        <w:numPr>
          <w:ilvl w:val="0"/>
          <w:numId w:val="5"/>
        </w:numPr>
        <w:jc w:val="both"/>
        <w:rPr>
          <w:rFonts w:ascii="Times New Roman" w:eastAsia="SimSun" w:hAnsi="Times New Roman" w:cs="Times New Roman"/>
        </w:rPr>
      </w:pPr>
      <w:r>
        <w:rPr>
          <w:rFonts w:ascii="Times New Roman" w:eastAsia="SimSun" w:hAnsi="Times New Roman" w:cs="Times New Roman"/>
          <w:b/>
          <w:bCs/>
        </w:rPr>
        <w:t>Mutual funds</w:t>
      </w:r>
      <w:r>
        <w:rPr>
          <w:rFonts w:ascii="Times New Roman" w:eastAsia="SimSun" w:hAnsi="Times New Roman" w:cs="Times New Roman"/>
        </w:rPr>
        <w:t xml:space="preserve"> are the most favoured choice among respondents, with </w:t>
      </w:r>
      <w:r>
        <w:rPr>
          <w:rFonts w:ascii="Times New Roman" w:eastAsia="SimSun" w:hAnsi="Times New Roman" w:cs="Times New Roman"/>
          <w:b/>
          <w:bCs/>
        </w:rPr>
        <w:t>28 responses</w:t>
      </w:r>
      <w:r>
        <w:rPr>
          <w:rFonts w:ascii="Times New Roman" w:eastAsia="SimSun" w:hAnsi="Times New Roman" w:cs="Times New Roman"/>
        </w:rPr>
        <w:t xml:space="preserve">, securing </w:t>
      </w:r>
      <w:r>
        <w:rPr>
          <w:rFonts w:ascii="Times New Roman" w:eastAsia="SimSun" w:hAnsi="Times New Roman" w:cs="Times New Roman"/>
          <w:b/>
          <w:bCs/>
        </w:rPr>
        <w:t>Rank I</w:t>
      </w:r>
      <w:r>
        <w:rPr>
          <w:rFonts w:ascii="Times New Roman" w:eastAsia="SimSun" w:hAnsi="Times New Roman" w:cs="Times New Roman"/>
        </w:rPr>
        <w:t>.</w:t>
      </w:r>
    </w:p>
    <w:p w14:paraId="7D49C450" w14:textId="77777777" w:rsidR="005C3F1E" w:rsidRDefault="00794C4B">
      <w:pPr>
        <w:numPr>
          <w:ilvl w:val="0"/>
          <w:numId w:val="5"/>
        </w:numPr>
        <w:jc w:val="both"/>
        <w:rPr>
          <w:rFonts w:ascii="Times New Roman" w:eastAsia="SimSun" w:hAnsi="Times New Roman" w:cs="Times New Roman"/>
        </w:rPr>
      </w:pPr>
      <w:r>
        <w:rPr>
          <w:rFonts w:ascii="Times New Roman" w:eastAsia="SimSun" w:hAnsi="Times New Roman" w:cs="Times New Roman"/>
          <w:b/>
          <w:bCs/>
        </w:rPr>
        <w:t>Shares (Equity)</w:t>
      </w:r>
      <w:r>
        <w:rPr>
          <w:rFonts w:ascii="Times New Roman" w:eastAsia="SimSun" w:hAnsi="Times New Roman" w:cs="Times New Roman"/>
        </w:rPr>
        <w:t xml:space="preserve"> follows with </w:t>
      </w:r>
      <w:r>
        <w:rPr>
          <w:rFonts w:ascii="Times New Roman" w:eastAsia="SimSun" w:hAnsi="Times New Roman" w:cs="Times New Roman"/>
          <w:b/>
          <w:bCs/>
        </w:rPr>
        <w:t>27 responses</w:t>
      </w:r>
      <w:r>
        <w:rPr>
          <w:rFonts w:ascii="Times New Roman" w:eastAsia="SimSun" w:hAnsi="Times New Roman" w:cs="Times New Roman"/>
        </w:rPr>
        <w:t xml:space="preserve">, taking </w:t>
      </w:r>
      <w:r>
        <w:rPr>
          <w:rFonts w:ascii="Times New Roman" w:eastAsia="SimSun" w:hAnsi="Times New Roman" w:cs="Times New Roman"/>
          <w:b/>
          <w:bCs/>
        </w:rPr>
        <w:t>Rank II</w:t>
      </w:r>
      <w:r>
        <w:rPr>
          <w:rFonts w:ascii="Times New Roman" w:eastAsia="SimSun" w:hAnsi="Times New Roman" w:cs="Times New Roman"/>
        </w:rPr>
        <w:t>.</w:t>
      </w:r>
    </w:p>
    <w:p w14:paraId="7D49C451" w14:textId="77777777" w:rsidR="005C3F1E" w:rsidRDefault="00794C4B">
      <w:pPr>
        <w:numPr>
          <w:ilvl w:val="0"/>
          <w:numId w:val="5"/>
        </w:numPr>
        <w:jc w:val="both"/>
        <w:rPr>
          <w:rFonts w:ascii="Times New Roman" w:eastAsia="SimSun" w:hAnsi="Times New Roman" w:cs="Times New Roman"/>
        </w:rPr>
      </w:pPr>
      <w:r>
        <w:rPr>
          <w:rFonts w:ascii="Times New Roman" w:eastAsia="SimSun" w:hAnsi="Times New Roman" w:cs="Times New Roman"/>
          <w:b/>
          <w:bCs/>
        </w:rPr>
        <w:t>Bank deposits</w:t>
      </w:r>
      <w:r>
        <w:rPr>
          <w:rFonts w:ascii="Times New Roman" w:eastAsia="SimSun" w:hAnsi="Times New Roman" w:cs="Times New Roman"/>
        </w:rPr>
        <w:t xml:space="preserve"> (e.g., FD, RD) hold </w:t>
      </w:r>
      <w:r>
        <w:rPr>
          <w:rFonts w:ascii="Times New Roman" w:eastAsia="SimSun" w:hAnsi="Times New Roman" w:cs="Times New Roman"/>
          <w:b/>
          <w:bCs/>
        </w:rPr>
        <w:t>22 responses</w:t>
      </w:r>
      <w:r>
        <w:rPr>
          <w:rFonts w:ascii="Times New Roman" w:eastAsia="SimSun" w:hAnsi="Times New Roman" w:cs="Times New Roman"/>
        </w:rPr>
        <w:t xml:space="preserve">, earning </w:t>
      </w:r>
      <w:r>
        <w:rPr>
          <w:rFonts w:ascii="Times New Roman" w:eastAsia="SimSun" w:hAnsi="Times New Roman" w:cs="Times New Roman"/>
          <w:b/>
          <w:bCs/>
        </w:rPr>
        <w:t>Rank III</w:t>
      </w:r>
      <w:r>
        <w:rPr>
          <w:rFonts w:ascii="Times New Roman" w:eastAsia="SimSun" w:hAnsi="Times New Roman" w:cs="Times New Roman"/>
        </w:rPr>
        <w:t>.</w:t>
      </w:r>
    </w:p>
    <w:p w14:paraId="7D49C452" w14:textId="77777777" w:rsidR="005C3F1E" w:rsidRDefault="00794C4B">
      <w:pPr>
        <w:numPr>
          <w:ilvl w:val="0"/>
          <w:numId w:val="5"/>
        </w:numPr>
        <w:jc w:val="both"/>
        <w:rPr>
          <w:rFonts w:ascii="Times New Roman" w:eastAsia="SimSun" w:hAnsi="Times New Roman" w:cs="Times New Roman"/>
        </w:rPr>
      </w:pPr>
      <w:r>
        <w:rPr>
          <w:rFonts w:ascii="Times New Roman" w:eastAsia="SimSun" w:hAnsi="Times New Roman" w:cs="Times New Roman"/>
          <w:b/>
          <w:bCs/>
        </w:rPr>
        <w:t>Post office deposits</w:t>
      </w:r>
      <w:r>
        <w:rPr>
          <w:rFonts w:ascii="Times New Roman" w:eastAsia="SimSun" w:hAnsi="Times New Roman" w:cs="Times New Roman"/>
        </w:rPr>
        <w:t xml:space="preserve"> receive </w:t>
      </w:r>
      <w:r>
        <w:rPr>
          <w:rFonts w:ascii="Times New Roman" w:eastAsia="SimSun" w:hAnsi="Times New Roman" w:cs="Times New Roman"/>
          <w:b/>
          <w:bCs/>
        </w:rPr>
        <w:t>16 responses</w:t>
      </w:r>
      <w:r>
        <w:rPr>
          <w:rFonts w:ascii="Times New Roman" w:eastAsia="SimSun" w:hAnsi="Times New Roman" w:cs="Times New Roman"/>
        </w:rPr>
        <w:t xml:space="preserve">, placing </w:t>
      </w:r>
      <w:r>
        <w:rPr>
          <w:rFonts w:ascii="Times New Roman" w:eastAsia="SimSun" w:hAnsi="Times New Roman" w:cs="Times New Roman"/>
          <w:b/>
          <w:bCs/>
        </w:rPr>
        <w:t>Rank IV</w:t>
      </w:r>
      <w:r>
        <w:rPr>
          <w:rFonts w:ascii="Times New Roman" w:eastAsia="SimSun" w:hAnsi="Times New Roman" w:cs="Times New Roman"/>
        </w:rPr>
        <w:t>.</w:t>
      </w:r>
    </w:p>
    <w:p w14:paraId="7D49C453" w14:textId="77777777" w:rsidR="005C3F1E" w:rsidRDefault="00794C4B">
      <w:pPr>
        <w:numPr>
          <w:ilvl w:val="0"/>
          <w:numId w:val="5"/>
        </w:numPr>
        <w:jc w:val="both"/>
        <w:rPr>
          <w:rFonts w:ascii="Times New Roman" w:eastAsia="SimSun" w:hAnsi="Times New Roman" w:cs="Times New Roman"/>
        </w:rPr>
      </w:pPr>
      <w:r>
        <w:rPr>
          <w:rFonts w:ascii="Times New Roman" w:eastAsia="SimSun" w:hAnsi="Times New Roman" w:cs="Times New Roman"/>
          <w:b/>
          <w:bCs/>
        </w:rPr>
        <w:t>Gold &amp; silver</w:t>
      </w:r>
      <w:r>
        <w:rPr>
          <w:rFonts w:ascii="Times New Roman" w:eastAsia="SimSun" w:hAnsi="Times New Roman" w:cs="Times New Roman"/>
        </w:rPr>
        <w:t xml:space="preserve"> trails with </w:t>
      </w:r>
      <w:r>
        <w:rPr>
          <w:rFonts w:ascii="Times New Roman" w:eastAsia="SimSun" w:hAnsi="Times New Roman" w:cs="Times New Roman"/>
          <w:b/>
          <w:bCs/>
        </w:rPr>
        <w:t>12 responses</w:t>
      </w:r>
      <w:r>
        <w:rPr>
          <w:rFonts w:ascii="Times New Roman" w:eastAsia="SimSun" w:hAnsi="Times New Roman" w:cs="Times New Roman"/>
        </w:rPr>
        <w:t xml:space="preserve">, positioned at </w:t>
      </w:r>
      <w:r>
        <w:rPr>
          <w:rFonts w:ascii="Times New Roman" w:eastAsia="SimSun" w:hAnsi="Times New Roman" w:cs="Times New Roman"/>
          <w:b/>
          <w:bCs/>
        </w:rPr>
        <w:t>Rank V</w:t>
      </w:r>
      <w:r>
        <w:rPr>
          <w:rFonts w:ascii="Times New Roman" w:eastAsia="SimSun" w:hAnsi="Times New Roman" w:cs="Times New Roman"/>
        </w:rPr>
        <w:t>.</w:t>
      </w:r>
    </w:p>
    <w:p w14:paraId="7D49C454" w14:textId="77777777" w:rsidR="005C3F1E" w:rsidRDefault="00794C4B">
      <w:pPr>
        <w:jc w:val="both"/>
        <w:rPr>
          <w:rFonts w:ascii="Times New Roman" w:eastAsia="SimSun" w:hAnsi="Times New Roman" w:cs="Times New Roman"/>
        </w:rPr>
      </w:pPr>
      <w:r>
        <w:rPr>
          <w:rFonts w:ascii="Times New Roman" w:eastAsia="SimSun" w:hAnsi="Times New Roman" w:cs="Times New Roman"/>
        </w:rPr>
        <w:t>The data suggests a strong preference for mutual funds and shares, while traditional options like gold and post office deposits rank lower in respondents' choices.</w:t>
      </w:r>
    </w:p>
    <w:p w14:paraId="7D49C455" w14:textId="77777777" w:rsidR="005C3F1E" w:rsidRDefault="00794C4B">
      <w:pPr>
        <w:jc w:val="both"/>
        <w:rPr>
          <w:rFonts w:ascii="Times New Roman" w:eastAsia="SimSun" w:hAnsi="Times New Roman" w:cs="Times New Roman"/>
        </w:rPr>
      </w:pPr>
      <w:r>
        <w:rPr>
          <w:rFonts w:ascii="Times New Roman" w:eastAsia="SimSun" w:hAnsi="Times New Roman" w:cs="Times New Roman"/>
        </w:rPr>
        <w:t>The data collectively reflects a shift in investment behaviour — working professionals, particularly the younger generation, favour mutual funds and equities over conventional savings and gold-based options. This trend points toward a growing awareness of higher-return, market-linked instruments and professional fund management as key motivators for investment decisions.</w:t>
      </w:r>
    </w:p>
    <w:p w14:paraId="7D49C456" w14:textId="77777777" w:rsidR="005C3F1E" w:rsidRDefault="005C3F1E">
      <w:pPr>
        <w:jc w:val="both"/>
        <w:rPr>
          <w:rFonts w:ascii="Times New Roman" w:eastAsia="SimSun" w:hAnsi="Times New Roman" w:cs="Times New Roman"/>
        </w:rPr>
      </w:pPr>
    </w:p>
    <w:p w14:paraId="7D49C457" w14:textId="77777777" w:rsidR="005C3F1E" w:rsidRDefault="00794C4B">
      <w:pPr>
        <w:jc w:val="both"/>
        <w:rPr>
          <w:rFonts w:ascii="Times New Roman" w:hAnsi="Times New Roman" w:cs="Times New Roman"/>
          <w:b/>
          <w:bCs/>
        </w:rPr>
      </w:pPr>
      <w:r>
        <w:rPr>
          <w:rFonts w:ascii="Times New Roman" w:hAnsi="Times New Roman" w:cs="Times New Roman"/>
          <w:b/>
          <w:bCs/>
        </w:rPr>
        <w:t>Overall Insight:</w:t>
      </w:r>
    </w:p>
    <w:p w14:paraId="7D49C458" w14:textId="77777777" w:rsidR="005C3F1E" w:rsidRDefault="00794C4B">
      <w:pPr>
        <w:jc w:val="both"/>
        <w:rPr>
          <w:rFonts w:ascii="Times New Roman" w:hAnsi="Times New Roman" w:cs="Times New Roman"/>
        </w:rPr>
      </w:pPr>
      <w:r>
        <w:rPr>
          <w:rFonts w:ascii="Times New Roman" w:hAnsi="Times New Roman" w:cs="Times New Roman"/>
        </w:rPr>
        <w:t>The findings reveal a clear picture of working professionals' investment behaviour:</w:t>
      </w:r>
    </w:p>
    <w:p w14:paraId="7D49C459" w14:textId="77777777" w:rsidR="005C3F1E" w:rsidRDefault="00794C4B">
      <w:pPr>
        <w:numPr>
          <w:ilvl w:val="0"/>
          <w:numId w:val="6"/>
        </w:numPr>
        <w:jc w:val="both"/>
        <w:rPr>
          <w:rFonts w:ascii="Times New Roman" w:hAnsi="Times New Roman" w:cs="Times New Roman"/>
        </w:rPr>
      </w:pPr>
      <w:r>
        <w:rPr>
          <w:rFonts w:ascii="Times New Roman" w:hAnsi="Times New Roman" w:cs="Times New Roman"/>
        </w:rPr>
        <w:t>Young, male professionals dominate the investment landscape.</w:t>
      </w:r>
    </w:p>
    <w:p w14:paraId="7D49C45A" w14:textId="77777777" w:rsidR="005C3F1E" w:rsidRDefault="00794C4B">
      <w:pPr>
        <w:numPr>
          <w:ilvl w:val="0"/>
          <w:numId w:val="6"/>
        </w:numPr>
        <w:jc w:val="both"/>
        <w:rPr>
          <w:rFonts w:ascii="Times New Roman" w:hAnsi="Times New Roman" w:cs="Times New Roman"/>
        </w:rPr>
      </w:pPr>
      <w:r>
        <w:rPr>
          <w:rFonts w:ascii="Times New Roman" w:hAnsi="Times New Roman" w:cs="Times New Roman"/>
        </w:rPr>
        <w:t>Moderate savings capacity guides investment choices.</w:t>
      </w:r>
    </w:p>
    <w:p w14:paraId="7D49C45B" w14:textId="77777777" w:rsidR="005C3F1E" w:rsidRDefault="00794C4B">
      <w:pPr>
        <w:numPr>
          <w:ilvl w:val="0"/>
          <w:numId w:val="6"/>
        </w:numPr>
        <w:jc w:val="both"/>
        <w:rPr>
          <w:rFonts w:ascii="Times New Roman" w:hAnsi="Times New Roman" w:cs="Times New Roman"/>
        </w:rPr>
      </w:pPr>
      <w:r>
        <w:rPr>
          <w:rFonts w:ascii="Times New Roman" w:hAnsi="Times New Roman" w:cs="Times New Roman"/>
        </w:rPr>
        <w:lastRenderedPageBreak/>
        <w:t>Market-linked options (mutual funds and equities) are preferred over traditional avenues (gold, post office savings).</w:t>
      </w:r>
    </w:p>
    <w:p w14:paraId="7D49C45C" w14:textId="77777777" w:rsidR="005C3F1E" w:rsidRDefault="00794C4B">
      <w:pPr>
        <w:jc w:val="both"/>
        <w:rPr>
          <w:rFonts w:ascii="Times New Roman" w:hAnsi="Times New Roman" w:cs="Times New Roman"/>
        </w:rPr>
      </w:pPr>
      <w:r>
        <w:rPr>
          <w:rFonts w:ascii="Times New Roman" w:hAnsi="Times New Roman" w:cs="Times New Roman"/>
        </w:rPr>
        <w:t>This shift underlines the importance of financial literacy and easy access to professionally managed investment options in shaping modern investment preferences.</w:t>
      </w:r>
    </w:p>
    <w:p w14:paraId="7D49C45D" w14:textId="77777777" w:rsidR="005C3F1E" w:rsidRDefault="00794C4B">
      <w:pPr>
        <w:jc w:val="both"/>
        <w:rPr>
          <w:rFonts w:ascii="Times New Roman" w:hAnsi="Times New Roman" w:cs="Times New Roman"/>
          <w:b/>
          <w:bCs/>
        </w:rPr>
      </w:pPr>
      <w:r>
        <w:rPr>
          <w:rFonts w:ascii="Times New Roman" w:hAnsi="Times New Roman" w:cs="Times New Roman"/>
          <w:b/>
          <w:bCs/>
        </w:rPr>
        <w:t>Suggestion :</w:t>
      </w:r>
    </w:p>
    <w:p w14:paraId="7D49C45E" w14:textId="77777777" w:rsidR="005C3F1E" w:rsidRDefault="00794C4B">
      <w:pPr>
        <w:pStyle w:val="ListParagraph"/>
        <w:numPr>
          <w:ilvl w:val="0"/>
          <w:numId w:val="7"/>
        </w:numPr>
        <w:jc w:val="both"/>
        <w:rPr>
          <w:rFonts w:ascii="Times New Roman" w:hAnsi="Times New Roman" w:cs="Times New Roman"/>
        </w:rPr>
      </w:pPr>
      <w:r>
        <w:rPr>
          <w:rFonts w:ascii="Times New Roman" w:hAnsi="Times New Roman" w:cs="Times New Roman"/>
        </w:rPr>
        <w:t xml:space="preserve">Explore how perceptions change based on age, income, education, and marital status. This can reveal valuable insights into the different needs and preferences of working </w:t>
      </w:r>
      <w:r>
        <w:rPr>
          <w:rFonts w:ascii="Times New Roman" w:hAnsi="Times New Roman" w:cs="Times New Roman"/>
        </w:rPr>
        <w:t>professionals.</w:t>
      </w:r>
    </w:p>
    <w:p w14:paraId="7D49C45F" w14:textId="77777777" w:rsidR="005C3F1E" w:rsidRDefault="00794C4B">
      <w:pPr>
        <w:pStyle w:val="ListParagraph"/>
        <w:numPr>
          <w:ilvl w:val="0"/>
          <w:numId w:val="7"/>
        </w:numPr>
        <w:jc w:val="both"/>
        <w:rPr>
          <w:rFonts w:ascii="Times New Roman" w:hAnsi="Times New Roman" w:cs="Times New Roman"/>
        </w:rPr>
      </w:pPr>
      <w:r>
        <w:rPr>
          <w:rFonts w:ascii="Times New Roman" w:hAnsi="Times New Roman" w:cs="Times New Roman"/>
        </w:rPr>
        <w:t>Explore how work-life balance affects working professionals' investment decisions and shapes their financial choices.</w:t>
      </w:r>
    </w:p>
    <w:p w14:paraId="7D49C460" w14:textId="77777777" w:rsidR="005C3F1E" w:rsidRDefault="00794C4B">
      <w:pPr>
        <w:pStyle w:val="ListParagraph"/>
        <w:numPr>
          <w:ilvl w:val="0"/>
          <w:numId w:val="7"/>
        </w:numPr>
        <w:jc w:val="both"/>
        <w:rPr>
          <w:rFonts w:ascii="Times New Roman" w:hAnsi="Times New Roman" w:cs="Times New Roman"/>
        </w:rPr>
      </w:pPr>
      <w:r>
        <w:rPr>
          <w:rFonts w:ascii="Times New Roman" w:hAnsi="Times New Roman" w:cs="Times New Roman"/>
        </w:rPr>
        <w:t>Assess working professionals' views on financial institutions offering mutual funds, focusing on trust, transparency, and customer service, which influence investment decisions.</w:t>
      </w:r>
    </w:p>
    <w:p w14:paraId="7D49C461" w14:textId="77777777" w:rsidR="005C3F1E" w:rsidRDefault="00794C4B">
      <w:pPr>
        <w:pStyle w:val="ListParagraph"/>
        <w:numPr>
          <w:ilvl w:val="0"/>
          <w:numId w:val="7"/>
        </w:numPr>
        <w:jc w:val="both"/>
        <w:rPr>
          <w:rFonts w:ascii="Times New Roman" w:hAnsi="Times New Roman" w:cs="Times New Roman"/>
        </w:rPr>
      </w:pPr>
      <w:r>
        <w:rPr>
          <w:rFonts w:ascii="Times New Roman" w:hAnsi="Times New Roman" w:cs="Times New Roman"/>
        </w:rPr>
        <w:t>Explore how market trends, economic conditions, and global events shape working professionals' investment decisions and strategies.</w:t>
      </w:r>
    </w:p>
    <w:p w14:paraId="7D49C462" w14:textId="77777777" w:rsidR="005C3F1E" w:rsidRDefault="00794C4B">
      <w:pPr>
        <w:rPr>
          <w:rFonts w:ascii="Times New Roman" w:hAnsi="Times New Roman" w:cs="Times New Roman"/>
          <w:b/>
          <w:bCs/>
        </w:rPr>
      </w:pPr>
      <w:r>
        <w:rPr>
          <w:rFonts w:ascii="Times New Roman" w:hAnsi="Times New Roman" w:cs="Times New Roman"/>
          <w:b/>
          <w:bCs/>
        </w:rPr>
        <w:t>Conclusion</w:t>
      </w:r>
    </w:p>
    <w:p w14:paraId="7D49C463" w14:textId="77777777" w:rsidR="005C3F1E" w:rsidRDefault="00794C4B">
      <w:pPr>
        <w:jc w:val="both"/>
        <w:rPr>
          <w:rFonts w:ascii="Times New Roman" w:hAnsi="Times New Roman" w:cs="Times New Roman"/>
        </w:rPr>
      </w:pPr>
      <w:r>
        <w:rPr>
          <w:rFonts w:ascii="Times New Roman" w:hAnsi="Times New Roman" w:cs="Times New Roman"/>
        </w:rPr>
        <w:t>This study highlights the diverse investment goals of working professionals, from short-term gains to long-term wealth building. It emphasizes the need for financial institutions to create flexible, user-friendly services that address key challenges like time constraints, perceived risks, and balancing work and personal life. With technology playing a growing role, adapting digital platforms to meet professionals' preferences is essential. Ultimately, this research serves as a guide for creating a more incl</w:t>
      </w:r>
      <w:r>
        <w:rPr>
          <w:rFonts w:ascii="Times New Roman" w:hAnsi="Times New Roman" w:cs="Times New Roman"/>
        </w:rPr>
        <w:t>usive, supportive investment environment that promotes the financial wellbeing of working professionals.</w:t>
      </w:r>
    </w:p>
    <w:p w14:paraId="7D49C464" w14:textId="77777777" w:rsidR="005C3F1E" w:rsidRDefault="00794C4B">
      <w:pPr>
        <w:jc w:val="both"/>
        <w:rPr>
          <w:rFonts w:ascii="Times New Roman" w:hAnsi="Times New Roman" w:cs="Times New Roman"/>
          <w:b/>
          <w:bCs/>
        </w:rPr>
      </w:pPr>
      <w:r>
        <w:rPr>
          <w:rFonts w:ascii="Times New Roman" w:hAnsi="Times New Roman" w:cs="Times New Roman"/>
          <w:b/>
          <w:bCs/>
        </w:rPr>
        <w:t>REFERENCE</w:t>
      </w:r>
    </w:p>
    <w:p w14:paraId="7D49C465" w14:textId="77777777" w:rsidR="005C3F1E" w:rsidRDefault="00794C4B">
      <w:pPr>
        <w:pStyle w:val="ListParagraph"/>
        <w:numPr>
          <w:ilvl w:val="0"/>
          <w:numId w:val="8"/>
        </w:numPr>
        <w:jc w:val="both"/>
        <w:rPr>
          <w:rFonts w:ascii="Times New Roman" w:hAnsi="Times New Roman" w:cs="Times New Roman"/>
        </w:rPr>
      </w:pPr>
      <w:r>
        <w:rPr>
          <w:rFonts w:ascii="Times New Roman" w:hAnsi="Times New Roman" w:cs="Times New Roman"/>
        </w:rPr>
        <w:t>An analysis of investor’s risk perception towards mutual funds services, Nidhi Walia, dr. Mrs. Ravi kiran,2009,9,4, Pg no 95 – 126.</w:t>
      </w:r>
    </w:p>
    <w:p w14:paraId="7D49C466" w14:textId="77777777" w:rsidR="005C3F1E" w:rsidRDefault="00794C4B">
      <w:pPr>
        <w:pStyle w:val="ListParagraph"/>
        <w:numPr>
          <w:ilvl w:val="0"/>
          <w:numId w:val="8"/>
        </w:numPr>
        <w:jc w:val="both"/>
        <w:rPr>
          <w:rFonts w:ascii="Times New Roman" w:hAnsi="Times New Roman" w:cs="Times New Roman"/>
        </w:rPr>
      </w:pPr>
      <w:r>
        <w:rPr>
          <w:rFonts w:ascii="Times New Roman" w:eastAsia="SimSun" w:hAnsi="Times New Roman" w:cs="Times New Roman"/>
          <w:lang w:bidi="ar"/>
        </w:rPr>
        <w:t xml:space="preserve">Abrol, R., and Kavitha, D. (2021). Mutual funds as an </w:t>
      </w:r>
      <w:r>
        <w:rPr>
          <w:rFonts w:ascii="Times New Roman" w:eastAsia="SimSun" w:hAnsi="Times New Roman" w:cs="Times New Roman"/>
          <w:lang w:bidi="ar"/>
        </w:rPr>
        <w:t>investment vehicle from the viewpoint of the consumer. Journal of Economics and Finance (IOSR-JEF), 12(3), pg,33–69.</w:t>
      </w:r>
    </w:p>
    <w:p w14:paraId="7D49C467" w14:textId="77777777" w:rsidR="005C3F1E" w:rsidRDefault="00794C4B">
      <w:pPr>
        <w:pStyle w:val="ListParagraph"/>
        <w:numPr>
          <w:ilvl w:val="0"/>
          <w:numId w:val="8"/>
        </w:numPr>
        <w:jc w:val="both"/>
        <w:rPr>
          <w:rFonts w:ascii="Times New Roman" w:hAnsi="Times New Roman" w:cs="Times New Roman"/>
        </w:rPr>
      </w:pPr>
      <w:r>
        <w:rPr>
          <w:rFonts w:ascii="Times New Roman" w:eastAsia="SimSun" w:hAnsi="Times New Roman" w:cs="Times New Roman"/>
          <w:lang w:bidi="ar"/>
        </w:rPr>
        <w:t>Silvester, A. Konnully, N. I., &amp; Martin, A. (2023).A Special Reference Study on Investor Preference for Mutual Funds.</w:t>
      </w:r>
    </w:p>
    <w:p w14:paraId="7D49C468" w14:textId="77777777" w:rsidR="005C3F1E" w:rsidRDefault="00794C4B">
      <w:pPr>
        <w:pStyle w:val="ListParagraph"/>
        <w:numPr>
          <w:ilvl w:val="0"/>
          <w:numId w:val="8"/>
        </w:numPr>
        <w:jc w:val="both"/>
        <w:rPr>
          <w:rFonts w:ascii="Times New Roman" w:hAnsi="Times New Roman" w:cs="Times New Roman"/>
        </w:rPr>
      </w:pPr>
      <w:r>
        <w:rPr>
          <w:rFonts w:ascii="Times New Roman" w:eastAsia="SimSun" w:hAnsi="Times New Roman" w:cs="Times New Roman"/>
        </w:rPr>
        <w:t>Smith, J., &amp; Johnson, A. (2021). The Mutual Fund Industry and Its Comparative Performance, 45(3), 103-135.</w:t>
      </w:r>
    </w:p>
    <w:p w14:paraId="7D49C469"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rPr>
        <w:t>Singh, B. K. (2012).A study on investors’ attitude towards mutual funds as an investment pg 2(a)51- 81</w:t>
      </w:r>
    </w:p>
    <w:p w14:paraId="7D49C46A"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lang w:bidi="ar"/>
        </w:rPr>
        <w:t>Jain, M., and G. Agrawal (2013). Mutual funds are preferred by investors over other investment avenues. 115–131 in Journal of Indian Research, 4(a)2.</w:t>
      </w:r>
    </w:p>
    <w:p w14:paraId="7D49C46B"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lang w:bidi="ar"/>
        </w:rPr>
        <w:t>Mittal, D. (2021). Investing in mutual funds was the best option for average people.</w:t>
      </w:r>
    </w:p>
    <w:p w14:paraId="7D49C46C"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lang w:bidi="ar"/>
        </w:rPr>
        <w:t>Sharma, A., &amp; N. Gupta (2016). An investigation on the variables influencing Jaipur City mutual fund investors' degree of satisfaction. SAMVAD 12,90-105.</w:t>
      </w:r>
    </w:p>
    <w:p w14:paraId="7D49C46D"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rPr>
        <w:t>Parihar, B. B. S., Sharma, R., &amp; Parihar, D. S. (2009). Analysing investors’ attitude towards mutual funds as an investment option.pg,55-66.</w:t>
      </w:r>
    </w:p>
    <w:p w14:paraId="7D49C46E"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rPr>
        <w:t>International journal for scientific research &amp; development, L. Meena , A study on investors’ perception towards mutual fund marketing strategies in Madurai, pg. volume 4ai 55-68.</w:t>
      </w:r>
    </w:p>
    <w:p w14:paraId="7D49C46F" w14:textId="77777777" w:rsidR="005C3F1E" w:rsidRDefault="00794C4B">
      <w:pPr>
        <w:pStyle w:val="ListParagraph"/>
        <w:numPr>
          <w:ilvl w:val="0"/>
          <w:numId w:val="8"/>
        </w:numPr>
        <w:spacing w:after="0" w:line="240" w:lineRule="auto"/>
        <w:jc w:val="both"/>
        <w:rPr>
          <w:rFonts w:ascii="Times New Roman" w:eastAsia="SimSun" w:hAnsi="Times New Roman" w:cs="Times New Roman"/>
        </w:rPr>
      </w:pPr>
      <w:r>
        <w:rPr>
          <w:rFonts w:ascii="Times New Roman" w:eastAsia="SimSun" w:hAnsi="Times New Roman" w:cs="Times New Roman"/>
        </w:rPr>
        <w:t>A referred international journal of multidisciplinary research, Bhavik u. Swadias.m. Patel, A study on investors perception towards mutual fund with reference to Ahmadabad city, Vol: 1, Issue: 2,2014, 25-36.</w:t>
      </w:r>
    </w:p>
    <w:p w14:paraId="7D49C470" w14:textId="77777777" w:rsidR="005C3F1E" w:rsidRDefault="00794C4B">
      <w:pPr>
        <w:pStyle w:val="ListParagraph"/>
        <w:spacing w:after="0" w:line="240" w:lineRule="auto"/>
        <w:jc w:val="both"/>
        <w:rPr>
          <w:rFonts w:ascii="Times New Roman" w:eastAsia="SimSun" w:hAnsi="Times New Roman" w:cs="Times New Roman"/>
        </w:rPr>
      </w:pPr>
      <w:r>
        <w:rPr>
          <w:rFonts w:ascii="Times New Roman" w:eastAsia="SimSun" w:hAnsi="Times New Roman" w:cs="Times New Roman"/>
        </w:rPr>
        <w:t xml:space="preserve"> </w:t>
      </w:r>
    </w:p>
    <w:p w14:paraId="7D49C471" w14:textId="77777777" w:rsidR="005C3F1E" w:rsidRDefault="005C3F1E">
      <w:pPr>
        <w:pStyle w:val="ListParagraph"/>
        <w:spacing w:after="0" w:line="240" w:lineRule="auto"/>
        <w:jc w:val="both"/>
        <w:rPr>
          <w:rFonts w:ascii="Times New Roman" w:eastAsia="SimSun" w:hAnsi="Times New Roman" w:cs="Times New Roman"/>
        </w:rPr>
      </w:pPr>
    </w:p>
    <w:p w14:paraId="7D49C472" w14:textId="77777777" w:rsidR="005C3F1E" w:rsidRDefault="005C3F1E">
      <w:pPr>
        <w:pStyle w:val="ListParagraph"/>
        <w:spacing w:after="0" w:line="240" w:lineRule="auto"/>
        <w:jc w:val="both"/>
        <w:rPr>
          <w:rFonts w:ascii="Times New Roman" w:eastAsia="SimSun" w:hAnsi="Times New Roman" w:cs="Times New Roman"/>
        </w:rPr>
      </w:pPr>
    </w:p>
    <w:sectPr w:rsidR="005C3F1E">
      <w:pgSz w:w="11906" w:h="16838"/>
      <w:pgMar w:top="680" w:right="907" w:bottom="680"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9C47F" w14:textId="77777777" w:rsidR="005C3F1E" w:rsidRDefault="00794C4B">
      <w:pPr>
        <w:spacing w:line="240" w:lineRule="auto"/>
      </w:pPr>
      <w:r>
        <w:separator/>
      </w:r>
    </w:p>
  </w:endnote>
  <w:endnote w:type="continuationSeparator" w:id="0">
    <w:p w14:paraId="7D49C480" w14:textId="77777777" w:rsidR="005C3F1E" w:rsidRDefault="00794C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SimSun">
    <w:altName w:val="宋体"/>
    <w:panose1 w:val="02010600030101010101"/>
    <w:charset w:val="86"/>
    <w:family w:val="auto"/>
    <w:pitch w:val="default"/>
    <w:sig w:usb0="00000203" w:usb1="288F0000" w:usb2="0000000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C47D" w14:textId="77777777" w:rsidR="005C3F1E" w:rsidRDefault="00794C4B">
      <w:pPr>
        <w:spacing w:after="0"/>
      </w:pPr>
      <w:r>
        <w:separator/>
      </w:r>
    </w:p>
  </w:footnote>
  <w:footnote w:type="continuationSeparator" w:id="0">
    <w:p w14:paraId="7D49C47E" w14:textId="77777777" w:rsidR="005C3F1E" w:rsidRDefault="00794C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1EC6"/>
    <w:multiLevelType w:val="singleLevel"/>
    <w:tmpl w:val="068D1EC6"/>
    <w:lvl w:ilvl="0">
      <w:start w:val="1"/>
      <w:numFmt w:val="decimal"/>
      <w:suff w:val="space"/>
      <w:lvlText w:val="%1."/>
      <w:lvlJc w:val="left"/>
    </w:lvl>
  </w:abstractNum>
  <w:abstractNum w:abstractNumId="1" w15:restartNumberingAfterBreak="0">
    <w:nsid w:val="1B93141B"/>
    <w:multiLevelType w:val="multilevel"/>
    <w:tmpl w:val="1B93141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D137DCF"/>
    <w:multiLevelType w:val="multilevel"/>
    <w:tmpl w:val="2D137DC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3C635112"/>
    <w:multiLevelType w:val="multilevel"/>
    <w:tmpl w:val="3C63511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4DAB5244"/>
    <w:multiLevelType w:val="multilevel"/>
    <w:tmpl w:val="4DAB524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4172E8D"/>
    <w:multiLevelType w:val="multilevel"/>
    <w:tmpl w:val="54172E8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6BB017A1"/>
    <w:multiLevelType w:val="multilevel"/>
    <w:tmpl w:val="6BB017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7B9D7C81"/>
    <w:multiLevelType w:val="multilevel"/>
    <w:tmpl w:val="7B9D7C8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861895869">
    <w:abstractNumId w:val="2"/>
  </w:num>
  <w:num w:numId="2" w16cid:durableId="1098453438">
    <w:abstractNumId w:val="3"/>
  </w:num>
  <w:num w:numId="3" w16cid:durableId="772625132">
    <w:abstractNumId w:val="7"/>
  </w:num>
  <w:num w:numId="4" w16cid:durableId="992636499">
    <w:abstractNumId w:val="0"/>
  </w:num>
  <w:num w:numId="5" w16cid:durableId="341708638">
    <w:abstractNumId w:val="1"/>
  </w:num>
  <w:num w:numId="6" w16cid:durableId="648675482">
    <w:abstractNumId w:val="5"/>
  </w:num>
  <w:num w:numId="7" w16cid:durableId="284627720">
    <w:abstractNumId w:val="4"/>
  </w:num>
  <w:num w:numId="8" w16cid:durableId="16272033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CE6"/>
    <w:rsid w:val="000013D4"/>
    <w:rsid w:val="00013AAB"/>
    <w:rsid w:val="000144D2"/>
    <w:rsid w:val="00027929"/>
    <w:rsid w:val="0003035E"/>
    <w:rsid w:val="00036AED"/>
    <w:rsid w:val="00077435"/>
    <w:rsid w:val="00077B88"/>
    <w:rsid w:val="00097000"/>
    <w:rsid w:val="000A380A"/>
    <w:rsid w:val="000A792B"/>
    <w:rsid w:val="000B3F14"/>
    <w:rsid w:val="000C6234"/>
    <w:rsid w:val="000D474C"/>
    <w:rsid w:val="000E0F67"/>
    <w:rsid w:val="000E2803"/>
    <w:rsid w:val="000F3627"/>
    <w:rsid w:val="00114F43"/>
    <w:rsid w:val="001259E7"/>
    <w:rsid w:val="001364CA"/>
    <w:rsid w:val="00140FE0"/>
    <w:rsid w:val="00150BDC"/>
    <w:rsid w:val="00167C6D"/>
    <w:rsid w:val="001714C9"/>
    <w:rsid w:val="001A1E06"/>
    <w:rsid w:val="00214874"/>
    <w:rsid w:val="00222EB5"/>
    <w:rsid w:val="002422FD"/>
    <w:rsid w:val="002508DD"/>
    <w:rsid w:val="00254ACF"/>
    <w:rsid w:val="002559F4"/>
    <w:rsid w:val="00256A59"/>
    <w:rsid w:val="00262D90"/>
    <w:rsid w:val="002663F1"/>
    <w:rsid w:val="0027123F"/>
    <w:rsid w:val="00276B7C"/>
    <w:rsid w:val="00296045"/>
    <w:rsid w:val="002A1790"/>
    <w:rsid w:val="002A334F"/>
    <w:rsid w:val="002B2539"/>
    <w:rsid w:val="002B775A"/>
    <w:rsid w:val="002C7CFD"/>
    <w:rsid w:val="002E0068"/>
    <w:rsid w:val="002E0F70"/>
    <w:rsid w:val="002F3B42"/>
    <w:rsid w:val="003048D6"/>
    <w:rsid w:val="003155EF"/>
    <w:rsid w:val="003249E0"/>
    <w:rsid w:val="00325BE4"/>
    <w:rsid w:val="00330133"/>
    <w:rsid w:val="00344A95"/>
    <w:rsid w:val="00361B21"/>
    <w:rsid w:val="00363993"/>
    <w:rsid w:val="00371592"/>
    <w:rsid w:val="00371FCA"/>
    <w:rsid w:val="00375183"/>
    <w:rsid w:val="00375C8F"/>
    <w:rsid w:val="0038195E"/>
    <w:rsid w:val="00397CA4"/>
    <w:rsid w:val="003B1A73"/>
    <w:rsid w:val="003B57E9"/>
    <w:rsid w:val="003D5CB1"/>
    <w:rsid w:val="003E3312"/>
    <w:rsid w:val="003F2C26"/>
    <w:rsid w:val="003F6532"/>
    <w:rsid w:val="003F6FE0"/>
    <w:rsid w:val="00403E61"/>
    <w:rsid w:val="00404784"/>
    <w:rsid w:val="004534A0"/>
    <w:rsid w:val="00455625"/>
    <w:rsid w:val="0045585B"/>
    <w:rsid w:val="004652D7"/>
    <w:rsid w:val="00482FF7"/>
    <w:rsid w:val="00483332"/>
    <w:rsid w:val="00487786"/>
    <w:rsid w:val="004A5800"/>
    <w:rsid w:val="004D011C"/>
    <w:rsid w:val="004D021A"/>
    <w:rsid w:val="004D37BF"/>
    <w:rsid w:val="004E68F2"/>
    <w:rsid w:val="004F1FAF"/>
    <w:rsid w:val="004F3767"/>
    <w:rsid w:val="00501852"/>
    <w:rsid w:val="00507DD1"/>
    <w:rsid w:val="00517CB0"/>
    <w:rsid w:val="005203F1"/>
    <w:rsid w:val="00535F4E"/>
    <w:rsid w:val="00545CC7"/>
    <w:rsid w:val="005854FB"/>
    <w:rsid w:val="00590908"/>
    <w:rsid w:val="00591133"/>
    <w:rsid w:val="005C3F1E"/>
    <w:rsid w:val="005E0C87"/>
    <w:rsid w:val="005F187F"/>
    <w:rsid w:val="00625DD3"/>
    <w:rsid w:val="00630A8E"/>
    <w:rsid w:val="00631DAB"/>
    <w:rsid w:val="006455AD"/>
    <w:rsid w:val="006558E0"/>
    <w:rsid w:val="00671C11"/>
    <w:rsid w:val="00681656"/>
    <w:rsid w:val="00687C85"/>
    <w:rsid w:val="00690A6C"/>
    <w:rsid w:val="006B784C"/>
    <w:rsid w:val="006C414A"/>
    <w:rsid w:val="006E35C0"/>
    <w:rsid w:val="006F63A6"/>
    <w:rsid w:val="006F7387"/>
    <w:rsid w:val="00721D50"/>
    <w:rsid w:val="00742E25"/>
    <w:rsid w:val="00745272"/>
    <w:rsid w:val="00751276"/>
    <w:rsid w:val="00764DB9"/>
    <w:rsid w:val="00765128"/>
    <w:rsid w:val="00783EEA"/>
    <w:rsid w:val="00784677"/>
    <w:rsid w:val="00785E71"/>
    <w:rsid w:val="00794ABA"/>
    <w:rsid w:val="00794C4B"/>
    <w:rsid w:val="007A659B"/>
    <w:rsid w:val="007B3DAC"/>
    <w:rsid w:val="007C0AB1"/>
    <w:rsid w:val="007C1D18"/>
    <w:rsid w:val="007D579A"/>
    <w:rsid w:val="007D6091"/>
    <w:rsid w:val="007F680E"/>
    <w:rsid w:val="00800C4E"/>
    <w:rsid w:val="0080139C"/>
    <w:rsid w:val="00801972"/>
    <w:rsid w:val="00821182"/>
    <w:rsid w:val="00830862"/>
    <w:rsid w:val="00834920"/>
    <w:rsid w:val="0084183C"/>
    <w:rsid w:val="0084663D"/>
    <w:rsid w:val="008612EC"/>
    <w:rsid w:val="008B14B3"/>
    <w:rsid w:val="008C3B15"/>
    <w:rsid w:val="008F3FB6"/>
    <w:rsid w:val="00902D7D"/>
    <w:rsid w:val="00924086"/>
    <w:rsid w:val="0093160E"/>
    <w:rsid w:val="009339E6"/>
    <w:rsid w:val="009421B9"/>
    <w:rsid w:val="00955DE1"/>
    <w:rsid w:val="009602E5"/>
    <w:rsid w:val="00980935"/>
    <w:rsid w:val="00985DDC"/>
    <w:rsid w:val="0098640D"/>
    <w:rsid w:val="009A6E9D"/>
    <w:rsid w:val="009B378C"/>
    <w:rsid w:val="009C6207"/>
    <w:rsid w:val="009F6364"/>
    <w:rsid w:val="00A15B10"/>
    <w:rsid w:val="00A40296"/>
    <w:rsid w:val="00A4223C"/>
    <w:rsid w:val="00A52EA7"/>
    <w:rsid w:val="00A76F1F"/>
    <w:rsid w:val="00A850AB"/>
    <w:rsid w:val="00A91E3B"/>
    <w:rsid w:val="00AA289B"/>
    <w:rsid w:val="00AB7673"/>
    <w:rsid w:val="00AF0440"/>
    <w:rsid w:val="00B018C9"/>
    <w:rsid w:val="00B020CC"/>
    <w:rsid w:val="00B13E88"/>
    <w:rsid w:val="00B166B3"/>
    <w:rsid w:val="00B26804"/>
    <w:rsid w:val="00B42ABD"/>
    <w:rsid w:val="00B51CB8"/>
    <w:rsid w:val="00B54B2B"/>
    <w:rsid w:val="00B7390B"/>
    <w:rsid w:val="00B77E66"/>
    <w:rsid w:val="00B8366E"/>
    <w:rsid w:val="00B9556A"/>
    <w:rsid w:val="00BA155F"/>
    <w:rsid w:val="00BB2FD6"/>
    <w:rsid w:val="00BC37F3"/>
    <w:rsid w:val="00BD09CC"/>
    <w:rsid w:val="00BD175B"/>
    <w:rsid w:val="00C0340C"/>
    <w:rsid w:val="00C04D47"/>
    <w:rsid w:val="00C63722"/>
    <w:rsid w:val="00C64D45"/>
    <w:rsid w:val="00C657BC"/>
    <w:rsid w:val="00C67403"/>
    <w:rsid w:val="00C7147D"/>
    <w:rsid w:val="00C72ECC"/>
    <w:rsid w:val="00C91C56"/>
    <w:rsid w:val="00C9249E"/>
    <w:rsid w:val="00CA16F9"/>
    <w:rsid w:val="00CC0835"/>
    <w:rsid w:val="00CD5AD3"/>
    <w:rsid w:val="00CE04CA"/>
    <w:rsid w:val="00CE2075"/>
    <w:rsid w:val="00CE48F0"/>
    <w:rsid w:val="00CE4D76"/>
    <w:rsid w:val="00D179B9"/>
    <w:rsid w:val="00D33E0D"/>
    <w:rsid w:val="00D34DA8"/>
    <w:rsid w:val="00D44C5D"/>
    <w:rsid w:val="00D50BAF"/>
    <w:rsid w:val="00D73F06"/>
    <w:rsid w:val="00D87A5B"/>
    <w:rsid w:val="00DA20D8"/>
    <w:rsid w:val="00DB1846"/>
    <w:rsid w:val="00DC5CCF"/>
    <w:rsid w:val="00DE3EDA"/>
    <w:rsid w:val="00E0776D"/>
    <w:rsid w:val="00E47C72"/>
    <w:rsid w:val="00E57D7C"/>
    <w:rsid w:val="00E84AC3"/>
    <w:rsid w:val="00EA5980"/>
    <w:rsid w:val="00EB71E5"/>
    <w:rsid w:val="00EC3925"/>
    <w:rsid w:val="00EC423D"/>
    <w:rsid w:val="00F16135"/>
    <w:rsid w:val="00F17B59"/>
    <w:rsid w:val="00F20101"/>
    <w:rsid w:val="00F24DBB"/>
    <w:rsid w:val="00F27552"/>
    <w:rsid w:val="00F40593"/>
    <w:rsid w:val="00F53414"/>
    <w:rsid w:val="00F640D4"/>
    <w:rsid w:val="00F64EEA"/>
    <w:rsid w:val="00F80CE6"/>
    <w:rsid w:val="00F968C3"/>
    <w:rsid w:val="00FB41CA"/>
    <w:rsid w:val="00FC1EDB"/>
    <w:rsid w:val="00FD692D"/>
    <w:rsid w:val="00FE1C90"/>
    <w:rsid w:val="00FE1E07"/>
    <w:rsid w:val="00FF23FE"/>
    <w:rsid w:val="07A03238"/>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9C399"/>
  <w15:docId w15:val="{7E2401E2-A240-49CC-97F7-3611C5B0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qFormat/>
    <w:rPr>
      <w:rFonts w:ascii="Times New Roman" w:hAnsi="Times New Roman" w:cs="Times New Roman"/>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qFormat/>
    <w:pPr>
      <w:widowControl w:val="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dronyx77@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AB344-0D41-432F-9AB6-4C786DB821E4}">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2474</Words>
  <Characters>14105</Characters>
  <Application>Microsoft Office Word</Application>
  <DocSecurity>0</DocSecurity>
  <Lines>117</Lines>
  <Paragraphs>33</Paragraphs>
  <ScaleCrop>false</ScaleCrop>
  <Company/>
  <LinksUpToDate>false</LinksUpToDate>
  <CharactersWithSpaces>16546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srinivasan p</dc:creator>
  <cp:lastModifiedBy>srinivasan p</cp:lastModifiedBy>
  <cp:revision>232</cp:revision>
  <dcterms:created xsi:type="dcterms:W3CDTF">2025-03-20T13:29:00Z</dcterms:created>
  <dcterms:modified xsi:type="dcterms:W3CDTF">2025-03-25T12:38:00Z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9ED36047E3EC414A9564687741434095_12</vt:lpwstr>
  </property>
</Properties>
</file>