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B542" w14:textId="5C202B37" w:rsidR="005814B9" w:rsidRDefault="005814B9" w:rsidP="005930F9">
      <w:pPr>
        <w:spacing w:line="276" w:lineRule="auto"/>
        <w:jc w:val="both"/>
        <w:rPr>
          <w:b/>
          <w:bCs/>
          <w:sz w:val="28"/>
          <w:szCs w:val="28"/>
        </w:rPr>
      </w:pPr>
      <w:r>
        <w:rPr>
          <w:b/>
          <w:bCs/>
          <w:sz w:val="28"/>
          <w:szCs w:val="28"/>
        </w:rPr>
        <w:t xml:space="preserve">                              Study on</w:t>
      </w:r>
      <w:r w:rsidR="0059162D">
        <w:rPr>
          <w:b/>
          <w:bCs/>
          <w:sz w:val="28"/>
          <w:szCs w:val="28"/>
        </w:rPr>
        <w:t xml:space="preserve"> Taxation and income inequality</w:t>
      </w:r>
      <w:r w:rsidR="00B108BA">
        <w:rPr>
          <w:b/>
          <w:bCs/>
          <w:sz w:val="28"/>
          <w:szCs w:val="28"/>
        </w:rPr>
        <w:t xml:space="preserve"> in India</w:t>
      </w:r>
      <w:r w:rsidR="0059162D">
        <w:rPr>
          <w:b/>
          <w:bCs/>
          <w:sz w:val="28"/>
          <w:szCs w:val="28"/>
        </w:rPr>
        <w:t xml:space="preserve">: </w:t>
      </w:r>
    </w:p>
    <w:p w14:paraId="4F29E8A7" w14:textId="103B598A" w:rsidR="0059162D" w:rsidRDefault="0059162D" w:rsidP="005930F9">
      <w:pPr>
        <w:spacing w:line="276" w:lineRule="auto"/>
        <w:jc w:val="both"/>
        <w:rPr>
          <w:b/>
          <w:bCs/>
          <w:sz w:val="28"/>
          <w:szCs w:val="28"/>
        </w:rPr>
      </w:pPr>
      <w:r w:rsidRPr="005814B9">
        <w:rPr>
          <w:b/>
          <w:bCs/>
          <w:sz w:val="28"/>
          <w:szCs w:val="28"/>
        </w:rPr>
        <w:t>A</w:t>
      </w:r>
      <w:r w:rsidR="005814B9">
        <w:rPr>
          <w:b/>
          <w:bCs/>
          <w:sz w:val="28"/>
          <w:szCs w:val="28"/>
        </w:rPr>
        <w:t xml:space="preserve"> </w:t>
      </w:r>
      <w:r w:rsidRPr="005814B9">
        <w:rPr>
          <w:b/>
          <w:bCs/>
          <w:sz w:val="28"/>
          <w:szCs w:val="28"/>
        </w:rPr>
        <w:t>longitudinal analysis exploring the correlation between tax reforms and income inequality in India.</w:t>
      </w:r>
      <w:r w:rsidR="005814B9">
        <w:rPr>
          <w:b/>
          <w:bCs/>
          <w:sz w:val="28"/>
          <w:szCs w:val="28"/>
        </w:rPr>
        <w:t xml:space="preserve">  </w:t>
      </w:r>
    </w:p>
    <w:p w14:paraId="703BA753" w14:textId="30DC24FF" w:rsidR="005814B9" w:rsidRPr="00B108BA" w:rsidRDefault="005814B9" w:rsidP="005930F9">
      <w:pPr>
        <w:spacing w:line="276" w:lineRule="auto"/>
        <w:jc w:val="both"/>
        <w:rPr>
          <w:sz w:val="28"/>
          <w:szCs w:val="28"/>
        </w:rPr>
      </w:pPr>
      <w:r w:rsidRPr="00B108BA">
        <w:rPr>
          <w:sz w:val="28"/>
          <w:szCs w:val="28"/>
        </w:rPr>
        <w:t xml:space="preserve">                                                       Ms. Sheeba R </w:t>
      </w:r>
    </w:p>
    <w:p w14:paraId="4EDD207C" w14:textId="7A57CC50" w:rsidR="005814B9" w:rsidRPr="00B108BA" w:rsidRDefault="005814B9" w:rsidP="005930F9">
      <w:pPr>
        <w:spacing w:line="276" w:lineRule="auto"/>
        <w:jc w:val="both"/>
        <w:rPr>
          <w:sz w:val="28"/>
          <w:szCs w:val="28"/>
        </w:rPr>
      </w:pPr>
      <w:r w:rsidRPr="00B108BA">
        <w:rPr>
          <w:sz w:val="28"/>
          <w:szCs w:val="28"/>
        </w:rPr>
        <w:t xml:space="preserve">                        M.com FA, Department of Commerce (PG), </w:t>
      </w:r>
    </w:p>
    <w:p w14:paraId="3B69CCDD" w14:textId="1B0355C5" w:rsidR="005814B9" w:rsidRPr="00B108BA" w:rsidRDefault="005814B9" w:rsidP="005930F9">
      <w:pPr>
        <w:spacing w:line="276" w:lineRule="auto"/>
        <w:jc w:val="both"/>
        <w:rPr>
          <w:sz w:val="28"/>
          <w:szCs w:val="28"/>
        </w:rPr>
      </w:pPr>
      <w:r>
        <w:rPr>
          <w:b/>
          <w:bCs/>
          <w:sz w:val="28"/>
          <w:szCs w:val="28"/>
        </w:rPr>
        <w:t xml:space="preserve">                  </w:t>
      </w:r>
      <w:r w:rsidRPr="00B108BA">
        <w:rPr>
          <w:sz w:val="28"/>
          <w:szCs w:val="28"/>
        </w:rPr>
        <w:t xml:space="preserve">    </w:t>
      </w:r>
      <w:proofErr w:type="spellStart"/>
      <w:r w:rsidRPr="00B108BA">
        <w:rPr>
          <w:sz w:val="28"/>
          <w:szCs w:val="28"/>
        </w:rPr>
        <w:t>Kristu</w:t>
      </w:r>
      <w:proofErr w:type="spellEnd"/>
      <w:r w:rsidRPr="00B108BA">
        <w:rPr>
          <w:sz w:val="28"/>
          <w:szCs w:val="28"/>
        </w:rPr>
        <w:t xml:space="preserve"> Jayanti College Autonomous, Bengaluru </w:t>
      </w:r>
    </w:p>
    <w:p w14:paraId="26A3E9EF" w14:textId="0F0D07A4" w:rsidR="005814B9" w:rsidRPr="005814B9" w:rsidRDefault="005814B9" w:rsidP="005930F9">
      <w:pPr>
        <w:spacing w:line="276" w:lineRule="auto"/>
        <w:jc w:val="both"/>
        <w:rPr>
          <w:b/>
          <w:bCs/>
          <w:sz w:val="28"/>
          <w:szCs w:val="28"/>
        </w:rPr>
      </w:pPr>
      <w:r>
        <w:rPr>
          <w:b/>
          <w:bCs/>
          <w:sz w:val="28"/>
          <w:szCs w:val="28"/>
        </w:rPr>
        <w:t xml:space="preserve">                                            </w:t>
      </w:r>
    </w:p>
    <w:p w14:paraId="5A911D46" w14:textId="77777777" w:rsidR="00874973" w:rsidRPr="005814B9" w:rsidRDefault="00874973" w:rsidP="00874973">
      <w:pPr>
        <w:spacing w:line="276" w:lineRule="auto"/>
        <w:jc w:val="both"/>
        <w:rPr>
          <w:b/>
          <w:bCs/>
          <w:sz w:val="28"/>
          <w:szCs w:val="28"/>
        </w:rPr>
      </w:pPr>
      <w:r w:rsidRPr="005814B9">
        <w:rPr>
          <w:b/>
          <w:bCs/>
          <w:sz w:val="28"/>
          <w:szCs w:val="28"/>
        </w:rPr>
        <w:t>Abstract</w:t>
      </w:r>
    </w:p>
    <w:p w14:paraId="6B9B508E" w14:textId="0C1CDFE6" w:rsidR="00874973" w:rsidRDefault="00874973" w:rsidP="00874973">
      <w:pPr>
        <w:spacing w:line="276" w:lineRule="auto"/>
        <w:jc w:val="both"/>
        <w:rPr>
          <w:sz w:val="28"/>
          <w:szCs w:val="28"/>
        </w:rPr>
      </w:pPr>
      <w:r w:rsidRPr="00874973">
        <w:rPr>
          <w:sz w:val="28"/>
          <w:szCs w:val="28"/>
        </w:rPr>
        <w:t>This research explores the relationship between taxation and income inequality, with a focus on India. It examines how progressive and regressive tax systems impact wealth distribution, using global case studies to highlight the effectiveness of progressive taxation in reducing inequality. The study finds that countries with progressive tax structures, such as Sweden, experience lower levels of inequality, whereas regressive systems, exemplified by Mexico, exacerbate income disparities. The research also considers the role of external factors such as globalization, technological advancements, and labour market trends in shaping income inequality. In India, despite tax reforms like the Goods and Services Tax (GST), income inequality persists, primarily due to reliance on indirect taxes. The paper concludes that India needs more targeted progressive tax reforms and broader socio-economic strategies to address both domestic and external factors contributing to inequality, ultimately fostering more inclusive economic growth.</w:t>
      </w:r>
    </w:p>
    <w:p w14:paraId="5605DEF7" w14:textId="6FBA518F" w:rsidR="005814B9" w:rsidRDefault="005814B9" w:rsidP="00874973">
      <w:pPr>
        <w:spacing w:line="276" w:lineRule="auto"/>
        <w:jc w:val="both"/>
        <w:rPr>
          <w:b/>
          <w:bCs/>
          <w:sz w:val="28"/>
          <w:szCs w:val="28"/>
        </w:rPr>
      </w:pPr>
      <w:r w:rsidRPr="005814B9">
        <w:rPr>
          <w:b/>
          <w:bCs/>
          <w:sz w:val="28"/>
          <w:szCs w:val="28"/>
        </w:rPr>
        <w:t xml:space="preserve">Key words </w:t>
      </w:r>
    </w:p>
    <w:p w14:paraId="449B4B68" w14:textId="520115F7" w:rsidR="005814B9" w:rsidRPr="00B108BA" w:rsidRDefault="005814B9" w:rsidP="00874973">
      <w:pPr>
        <w:spacing w:line="276" w:lineRule="auto"/>
        <w:jc w:val="both"/>
        <w:rPr>
          <w:sz w:val="28"/>
          <w:szCs w:val="28"/>
        </w:rPr>
      </w:pPr>
      <w:r w:rsidRPr="00B108BA">
        <w:rPr>
          <w:sz w:val="28"/>
          <w:szCs w:val="28"/>
        </w:rPr>
        <w:t xml:space="preserve">Taxation, Income inequality, Progressive taxation, </w:t>
      </w:r>
      <w:r w:rsidR="00B108BA" w:rsidRPr="00B108BA">
        <w:rPr>
          <w:sz w:val="28"/>
          <w:szCs w:val="28"/>
        </w:rPr>
        <w:t xml:space="preserve">Regressive taxation, Wealth distribution, Global case studies, Tax reforms, Goods and service tax (GST), </w:t>
      </w:r>
      <w:r w:rsidR="00B108BA">
        <w:rPr>
          <w:sz w:val="28"/>
          <w:szCs w:val="28"/>
        </w:rPr>
        <w:t>Globalisation</w:t>
      </w:r>
      <w:r w:rsidR="00B108BA" w:rsidRPr="00B108BA">
        <w:rPr>
          <w:sz w:val="28"/>
          <w:szCs w:val="28"/>
        </w:rPr>
        <w:t>, Technological advancements, labour market trends, Economic growth, Socio-economic strategies, Inclusive growth</w:t>
      </w:r>
      <w:r w:rsidR="00B108BA">
        <w:rPr>
          <w:sz w:val="28"/>
          <w:szCs w:val="28"/>
        </w:rPr>
        <w:t>.</w:t>
      </w:r>
    </w:p>
    <w:p w14:paraId="291F0F6F" w14:textId="795245CA" w:rsidR="00D94147" w:rsidRPr="005C52BD" w:rsidRDefault="00D94147" w:rsidP="005C52BD">
      <w:pPr>
        <w:spacing w:line="276" w:lineRule="auto"/>
        <w:jc w:val="both"/>
        <w:rPr>
          <w:b/>
          <w:bCs/>
          <w:sz w:val="24"/>
          <w:szCs w:val="24"/>
        </w:rPr>
      </w:pPr>
      <w:r w:rsidRPr="005C52BD">
        <w:rPr>
          <w:b/>
          <w:bCs/>
          <w:sz w:val="28"/>
          <w:szCs w:val="28"/>
        </w:rPr>
        <w:t>I</w:t>
      </w:r>
      <w:r w:rsidR="005C52BD" w:rsidRPr="005C52BD">
        <w:rPr>
          <w:b/>
          <w:bCs/>
          <w:sz w:val="28"/>
          <w:szCs w:val="28"/>
        </w:rPr>
        <w:t>ntroduction</w:t>
      </w:r>
      <w:r w:rsidR="005C52BD">
        <w:rPr>
          <w:sz w:val="24"/>
          <w:szCs w:val="24"/>
        </w:rPr>
        <w:br/>
      </w:r>
      <w:r w:rsidRPr="00D94147">
        <w:rPr>
          <w:sz w:val="24"/>
          <w:szCs w:val="24"/>
        </w:rPr>
        <w:t xml:space="preserve">Income inequality has been a longstanding and persistent issue in India, reflecting stark disparities in wealth distribution across various social and economic strata. Despite </w:t>
      </w:r>
      <w:r w:rsidRPr="00D94147">
        <w:rPr>
          <w:sz w:val="24"/>
          <w:szCs w:val="24"/>
        </w:rPr>
        <w:lastRenderedPageBreak/>
        <w:t>India’s rapid economic growth over the past few decades, the gap between the rich and poor has continued to widen, raising concerns about the sustainability of its growth model and its social consequences. According to various reports, India ranks among the most unequal countries globally, with a significant portion of its population still living below the poverty line. This growing inequality has not only posed a challenge to inclusive growth but also threatened social cohesion and economic stability.</w:t>
      </w:r>
    </w:p>
    <w:p w14:paraId="3C707DE6" w14:textId="77777777" w:rsidR="00D94147" w:rsidRPr="00D94147" w:rsidRDefault="00D94147" w:rsidP="005C52BD">
      <w:pPr>
        <w:jc w:val="both"/>
        <w:rPr>
          <w:sz w:val="24"/>
          <w:szCs w:val="24"/>
        </w:rPr>
      </w:pPr>
      <w:r w:rsidRPr="00D94147">
        <w:rPr>
          <w:sz w:val="24"/>
          <w:szCs w:val="24"/>
        </w:rPr>
        <w:t>One of the primary tools that governments use to address income inequality is the taxation system. Taxes, particularly progressive taxation, are designed to redistribute wealth, reduce disparities, and fund social welfare programs. In India, both direct taxes, such as income tax, and indirect taxes, such as the Goods and Services Tax (GST), play significant roles in the economy. However, the effectiveness of India's taxation system in reducing income inequality has been a subject of ongoing debate. While progressive taxes are intended to reduce disparities by taxing the wealthier segments of the population at higher rates, the regressive nature of indirect taxes often disproportionately impacts the poor, exacerbating the gap between rich and poor.</w:t>
      </w:r>
    </w:p>
    <w:p w14:paraId="67D18F0F" w14:textId="3820DDA0" w:rsidR="0043424E" w:rsidRDefault="00D94147" w:rsidP="005C52BD">
      <w:pPr>
        <w:jc w:val="both"/>
        <w:rPr>
          <w:sz w:val="24"/>
          <w:szCs w:val="24"/>
        </w:rPr>
      </w:pPr>
      <w:r w:rsidRPr="00D94147">
        <w:rPr>
          <w:sz w:val="24"/>
          <w:szCs w:val="24"/>
        </w:rPr>
        <w:t xml:space="preserve">This research aims to critically </w:t>
      </w:r>
      <w:r w:rsidR="005C52BD" w:rsidRPr="00D94147">
        <w:rPr>
          <w:sz w:val="24"/>
          <w:szCs w:val="24"/>
        </w:rPr>
        <w:t>analyse</w:t>
      </w:r>
      <w:r w:rsidRPr="00D94147">
        <w:rPr>
          <w:sz w:val="24"/>
          <w:szCs w:val="24"/>
        </w:rPr>
        <w:t xml:space="preserve"> the relationship between taxation and income inequality in India. The paper will explore how well India's current tax policies are designed to reduce inequality, with a particular focus on the effectiveness of direct and indirect taxes. It will also examine the challenges associated with tax compliance, the informal economy, and the broader economic context that shapes income distribution. By evaluating the strengths and weaknesses of India’s taxation system, this study seeks to provide valuable insights into how tax reforms can be leveraged to achieve a more equitable and inclusive society.</w:t>
      </w:r>
    </w:p>
    <w:p w14:paraId="26AFE358" w14:textId="0C342D43" w:rsidR="005C52BD" w:rsidRDefault="005C52BD" w:rsidP="005C52BD">
      <w:pPr>
        <w:jc w:val="both"/>
        <w:rPr>
          <w:sz w:val="24"/>
          <w:szCs w:val="24"/>
        </w:rPr>
      </w:pPr>
      <w:r w:rsidRPr="005C52BD">
        <w:rPr>
          <w:sz w:val="24"/>
          <w:szCs w:val="24"/>
        </w:rPr>
        <w:t xml:space="preserve">The longitudinal approach to studying the relationship between taxation and income inequality involves tracking data over an extended period to observe how changes in tax policies influence income distribution over time. This method allows researchers to identify long-term trends, evaluate the cumulative impact of tax reforms, and understand how specific policies, like changes in tax rates or exemptions, affect income inequality. By </w:t>
      </w:r>
      <w:proofErr w:type="spellStart"/>
      <w:r w:rsidRPr="005C52BD">
        <w:rPr>
          <w:sz w:val="24"/>
          <w:szCs w:val="24"/>
        </w:rPr>
        <w:t>analyzing</w:t>
      </w:r>
      <w:proofErr w:type="spellEnd"/>
      <w:r w:rsidRPr="005C52BD">
        <w:rPr>
          <w:sz w:val="24"/>
          <w:szCs w:val="24"/>
        </w:rPr>
        <w:t xml:space="preserve"> data across multiple years, the longitudinal approach helps uncover the cause-and-effect relationships between taxation and income disparities, offering valuable insights for developing more effective, long-term solutions to income inequality.</w:t>
      </w:r>
    </w:p>
    <w:p w14:paraId="0292C03C" w14:textId="4E01C8C1" w:rsidR="005C52BD" w:rsidRDefault="005C52BD" w:rsidP="005C52BD">
      <w:pPr>
        <w:jc w:val="both"/>
        <w:rPr>
          <w:b/>
          <w:bCs/>
          <w:sz w:val="28"/>
          <w:szCs w:val="28"/>
        </w:rPr>
      </w:pPr>
      <w:r w:rsidRPr="005C52BD">
        <w:rPr>
          <w:b/>
          <w:bCs/>
          <w:sz w:val="28"/>
          <w:szCs w:val="28"/>
        </w:rPr>
        <w:t xml:space="preserve">Literature review </w:t>
      </w:r>
    </w:p>
    <w:p w14:paraId="69E8A12A" w14:textId="77777777" w:rsidR="005C52BD" w:rsidRPr="005C52BD" w:rsidRDefault="005C52BD" w:rsidP="005C52BD">
      <w:pPr>
        <w:spacing w:line="276" w:lineRule="auto"/>
        <w:jc w:val="both"/>
        <w:rPr>
          <w:sz w:val="24"/>
          <w:szCs w:val="24"/>
        </w:rPr>
      </w:pPr>
      <w:r w:rsidRPr="005C52BD">
        <w:rPr>
          <w:sz w:val="24"/>
          <w:szCs w:val="24"/>
        </w:rPr>
        <w:t>The relationship between taxation and income inequality has been widely studied, particularly in the context of developing economies like India. Researchers have explored how tax systems can either mitigate or exacerbate disparities in income distribution, with a focus on the structure, effectiveness, and progressivity of tax policies.</w:t>
      </w:r>
    </w:p>
    <w:p w14:paraId="50762EB1" w14:textId="77777777" w:rsidR="005C52BD" w:rsidRPr="005C52BD" w:rsidRDefault="005C52BD" w:rsidP="005C52BD">
      <w:pPr>
        <w:spacing w:line="276" w:lineRule="auto"/>
        <w:jc w:val="both"/>
        <w:rPr>
          <w:sz w:val="24"/>
          <w:szCs w:val="24"/>
        </w:rPr>
      </w:pPr>
      <w:r w:rsidRPr="005C52BD">
        <w:rPr>
          <w:sz w:val="24"/>
          <w:szCs w:val="24"/>
        </w:rPr>
        <w:t xml:space="preserve">One key body of literature discusses the role of direct taxes (income and corporate taxes) in reducing income inequality. For instance, studies like those by Chakravarty (2012) suggest that progressive income taxes have the potential to reduce income inequality by </w:t>
      </w:r>
      <w:r w:rsidRPr="005C52BD">
        <w:rPr>
          <w:sz w:val="24"/>
          <w:szCs w:val="24"/>
        </w:rPr>
        <w:lastRenderedPageBreak/>
        <w:t>redistributing wealth from higher-income groups to lower-income groups. However, the effectiveness of these taxes in India has been questioned due to tax evasion and low compliance rates, as highlighted by Kaldor (1999), who argues that the Indian tax system remains underdeveloped and inefficient in addressing inequality.</w:t>
      </w:r>
    </w:p>
    <w:p w14:paraId="0D85EA18" w14:textId="77777777" w:rsidR="005C52BD" w:rsidRPr="005C52BD" w:rsidRDefault="005C52BD" w:rsidP="005C52BD">
      <w:pPr>
        <w:spacing w:line="276" w:lineRule="auto"/>
        <w:jc w:val="both"/>
        <w:rPr>
          <w:sz w:val="24"/>
          <w:szCs w:val="24"/>
        </w:rPr>
      </w:pPr>
      <w:r w:rsidRPr="005C52BD">
        <w:rPr>
          <w:sz w:val="24"/>
          <w:szCs w:val="24"/>
        </w:rPr>
        <w:t>The impact of indirect taxes, particularly the Goods and Services Tax (GST), on income inequality has also been a subject of significant debate. Somanathan (2017) points out that while GST is designed to streamline taxation, its regressive nature may disproportionately burden low-income households, as they spend a larger share of their income on taxed goods and services. This raises concerns about the widening income gap, especially in a country like India, where the wealth distribution is highly skewed.</w:t>
      </w:r>
    </w:p>
    <w:p w14:paraId="6B8818D8" w14:textId="77777777" w:rsidR="005C52BD" w:rsidRPr="005C52BD" w:rsidRDefault="005C52BD" w:rsidP="005C52BD">
      <w:pPr>
        <w:spacing w:line="276" w:lineRule="auto"/>
        <w:jc w:val="both"/>
        <w:rPr>
          <w:sz w:val="24"/>
          <w:szCs w:val="24"/>
        </w:rPr>
      </w:pPr>
      <w:r w:rsidRPr="005C52BD">
        <w:rPr>
          <w:sz w:val="24"/>
          <w:szCs w:val="24"/>
        </w:rPr>
        <w:t>Another area of focus is the informal sector, where a significant proportion of the Indian workforce is employed. Das (2016) discusses how the informal sector's limited participation in formal taxation mechanisms exacerbates income inequality, as many of these workers do not benefit from the redistributive effects of formal tax policies. This gap highlights the need for tax reforms that can effectively reach and incorporate informal workers.</w:t>
      </w:r>
    </w:p>
    <w:p w14:paraId="04E3C4EC" w14:textId="77777777" w:rsidR="005C52BD" w:rsidRPr="005C52BD" w:rsidRDefault="005C52BD" w:rsidP="005C52BD">
      <w:pPr>
        <w:spacing w:line="276" w:lineRule="auto"/>
        <w:jc w:val="both"/>
        <w:rPr>
          <w:sz w:val="24"/>
          <w:szCs w:val="24"/>
        </w:rPr>
      </w:pPr>
      <w:r w:rsidRPr="005C52BD">
        <w:rPr>
          <w:sz w:val="24"/>
          <w:szCs w:val="24"/>
        </w:rPr>
        <w:t>Furthermore, studies on social spending, such as those by Bardhan (2005), indicate that public expenditure funded by progressive taxation (such as social welfare programs) plays an important role in reducing income inequality. However, the efficiency and targeting of these programs remain critical to their success, with studies suggesting that leakage and misallocation of funds often dilute their impact.</w:t>
      </w:r>
    </w:p>
    <w:p w14:paraId="1998596F" w14:textId="5B6B79D4" w:rsidR="005C52BD" w:rsidRDefault="005C52BD" w:rsidP="005C52BD">
      <w:pPr>
        <w:spacing w:line="276" w:lineRule="auto"/>
        <w:jc w:val="both"/>
        <w:rPr>
          <w:sz w:val="24"/>
          <w:szCs w:val="24"/>
        </w:rPr>
      </w:pPr>
      <w:r w:rsidRPr="005C52BD">
        <w:rPr>
          <w:sz w:val="24"/>
          <w:szCs w:val="24"/>
        </w:rPr>
        <w:t>Overall, the literature highlights the complexity of the relationship between taxation and income inequality in India. While progressive taxation has the potential to reduce income inequality, challenges such as tax evasion, the regressive nature of indirect taxes, and the informal sector's exclusion remain significant obstacles. More comprehensive reforms in both tax policy and social spending are necessary to address the structural causes of income inequality in India.</w:t>
      </w:r>
    </w:p>
    <w:p w14:paraId="02BCE582" w14:textId="77777777" w:rsidR="00F53811" w:rsidRPr="00F53811" w:rsidRDefault="00F53811" w:rsidP="00F53811">
      <w:pPr>
        <w:spacing w:line="276" w:lineRule="auto"/>
        <w:jc w:val="both"/>
        <w:rPr>
          <w:b/>
          <w:bCs/>
          <w:sz w:val="28"/>
          <w:szCs w:val="28"/>
        </w:rPr>
      </w:pPr>
      <w:r w:rsidRPr="00F53811">
        <w:rPr>
          <w:b/>
          <w:bCs/>
          <w:sz w:val="28"/>
          <w:szCs w:val="28"/>
        </w:rPr>
        <w:t xml:space="preserve">Research Methodology: </w:t>
      </w:r>
    </w:p>
    <w:p w14:paraId="18755725" w14:textId="77C2AEE8" w:rsidR="00F53811" w:rsidRPr="005400D7" w:rsidRDefault="00F53811" w:rsidP="00F53811">
      <w:pPr>
        <w:spacing w:line="276" w:lineRule="auto"/>
        <w:jc w:val="both"/>
        <w:rPr>
          <w:b/>
          <w:bCs/>
          <w:sz w:val="24"/>
          <w:szCs w:val="24"/>
        </w:rPr>
      </w:pPr>
      <w:r w:rsidRPr="005400D7">
        <w:rPr>
          <w:b/>
          <w:bCs/>
          <w:sz w:val="24"/>
          <w:szCs w:val="24"/>
        </w:rPr>
        <w:t>Longitudinal Analysis of Taxation and Income Inequality in India</w:t>
      </w:r>
    </w:p>
    <w:p w14:paraId="689CDD36" w14:textId="77777777" w:rsidR="00F53811" w:rsidRPr="00F53811" w:rsidRDefault="00F53811" w:rsidP="00F53811">
      <w:pPr>
        <w:spacing w:line="276" w:lineRule="auto"/>
        <w:jc w:val="both"/>
        <w:rPr>
          <w:sz w:val="24"/>
          <w:szCs w:val="24"/>
        </w:rPr>
      </w:pPr>
      <w:r w:rsidRPr="00F53811">
        <w:rPr>
          <w:sz w:val="24"/>
          <w:szCs w:val="24"/>
        </w:rPr>
        <w:t>This study employs a longitudinal analysis to examine the relationship between taxation and income inequality in India over a period of 20-30 years. The goal is to assess how changes in tax policies have influenced income distribution and overall economic indicators, focusing on the long-term effects of taxation.</w:t>
      </w:r>
    </w:p>
    <w:p w14:paraId="674D5893" w14:textId="77777777" w:rsidR="00F53811" w:rsidRDefault="00F53811" w:rsidP="00F53811">
      <w:pPr>
        <w:spacing w:line="276" w:lineRule="auto"/>
        <w:jc w:val="both"/>
        <w:rPr>
          <w:b/>
          <w:bCs/>
          <w:sz w:val="24"/>
          <w:szCs w:val="24"/>
        </w:rPr>
      </w:pPr>
      <w:r w:rsidRPr="005400D7">
        <w:rPr>
          <w:b/>
          <w:bCs/>
          <w:sz w:val="24"/>
          <w:szCs w:val="24"/>
        </w:rPr>
        <w:t>Data Sources</w:t>
      </w:r>
    </w:p>
    <w:p w14:paraId="36124A77" w14:textId="5FAB1915" w:rsidR="00855DFE" w:rsidRPr="00855DFE" w:rsidRDefault="00855DFE" w:rsidP="00F53811">
      <w:pPr>
        <w:spacing w:line="276" w:lineRule="auto"/>
        <w:jc w:val="both"/>
        <w:rPr>
          <w:sz w:val="24"/>
          <w:szCs w:val="24"/>
        </w:rPr>
      </w:pPr>
      <w:r w:rsidRPr="00855DFE">
        <w:rPr>
          <w:sz w:val="24"/>
          <w:szCs w:val="24"/>
        </w:rPr>
        <w:t xml:space="preserve">This research utilizes secondary data from several reliable sources, including the Ministry of Finance, Government of India, which provides annual reports on taxation and fiscal policies (finmin.nic.in), and the Reserve Bank of India for economic data on income </w:t>
      </w:r>
      <w:r w:rsidRPr="00855DFE">
        <w:rPr>
          <w:sz w:val="24"/>
          <w:szCs w:val="24"/>
        </w:rPr>
        <w:lastRenderedPageBreak/>
        <w:t>distribution and tax trends (</w:t>
      </w:r>
      <w:hyperlink r:id="rId5" w:tgtFrame="_new" w:history="1">
        <w:r w:rsidRPr="00855DFE">
          <w:t>rbi.org.in</w:t>
        </w:r>
      </w:hyperlink>
      <w:r w:rsidRPr="00855DFE">
        <w:rPr>
          <w:sz w:val="24"/>
          <w:szCs w:val="24"/>
        </w:rPr>
        <w:t>). Additional data is sourced from the National Sample Survey Office (NSSO), offering insights into household income and inequality (mospi.nic.in), and the World Bank, which provides global data on income inequality and economic indicators (</w:t>
      </w:r>
      <w:hyperlink r:id="rId6" w:tgtFrame="_new" w:history="1">
        <w:r w:rsidRPr="00855DFE">
          <w:t>data.worldbank.org</w:t>
        </w:r>
      </w:hyperlink>
      <w:r w:rsidRPr="00855DFE">
        <w:rPr>
          <w:sz w:val="24"/>
          <w:szCs w:val="24"/>
        </w:rPr>
        <w:t>). Reports from the OECD and IMF further enrich the analysis with comparative taxation and inequality data across countries (</w:t>
      </w:r>
      <w:hyperlink r:id="rId7" w:tgtFrame="_new" w:history="1">
        <w:r w:rsidRPr="00855DFE">
          <w:t>oecd.org</w:t>
        </w:r>
      </w:hyperlink>
      <w:r w:rsidRPr="00855DFE">
        <w:rPr>
          <w:sz w:val="24"/>
          <w:szCs w:val="24"/>
        </w:rPr>
        <w:t xml:space="preserve">, </w:t>
      </w:r>
      <w:hyperlink r:id="rId8" w:tgtFrame="_new" w:history="1">
        <w:r w:rsidRPr="00855DFE">
          <w:t>imf.org</w:t>
        </w:r>
      </w:hyperlink>
      <w:r w:rsidRPr="00855DFE">
        <w:rPr>
          <w:sz w:val="24"/>
          <w:szCs w:val="24"/>
        </w:rPr>
        <w:t>).</w:t>
      </w:r>
    </w:p>
    <w:p w14:paraId="79F69548" w14:textId="77777777" w:rsidR="00F53811" w:rsidRPr="005400D7" w:rsidRDefault="00F53811" w:rsidP="00F53811">
      <w:pPr>
        <w:spacing w:line="276" w:lineRule="auto"/>
        <w:jc w:val="both"/>
        <w:rPr>
          <w:b/>
          <w:bCs/>
          <w:sz w:val="24"/>
          <w:szCs w:val="24"/>
        </w:rPr>
      </w:pPr>
      <w:r w:rsidRPr="005400D7">
        <w:rPr>
          <w:b/>
          <w:bCs/>
          <w:sz w:val="24"/>
          <w:szCs w:val="24"/>
        </w:rPr>
        <w:t>Variables</w:t>
      </w:r>
    </w:p>
    <w:p w14:paraId="7625C545" w14:textId="77777777" w:rsidR="00F53811" w:rsidRPr="00F53811" w:rsidRDefault="00F53811" w:rsidP="00F53811">
      <w:pPr>
        <w:spacing w:line="276" w:lineRule="auto"/>
        <w:jc w:val="both"/>
        <w:rPr>
          <w:sz w:val="24"/>
          <w:szCs w:val="24"/>
        </w:rPr>
      </w:pPr>
      <w:r w:rsidRPr="00F53811">
        <w:rPr>
          <w:sz w:val="24"/>
          <w:szCs w:val="24"/>
        </w:rPr>
        <w:t>Key variables for the study include:</w:t>
      </w:r>
    </w:p>
    <w:p w14:paraId="08D12532" w14:textId="77777777" w:rsidR="00F53811" w:rsidRPr="00F53811" w:rsidRDefault="00F53811" w:rsidP="00F53811">
      <w:pPr>
        <w:spacing w:line="276" w:lineRule="auto"/>
        <w:jc w:val="both"/>
        <w:rPr>
          <w:sz w:val="24"/>
          <w:szCs w:val="24"/>
        </w:rPr>
      </w:pPr>
      <w:r w:rsidRPr="00F53811">
        <w:rPr>
          <w:sz w:val="24"/>
          <w:szCs w:val="24"/>
        </w:rPr>
        <w:t xml:space="preserve">Tax Rates: Changes in income tax, corporate tax rates, and GST/VAT will be </w:t>
      </w:r>
      <w:proofErr w:type="spellStart"/>
      <w:r w:rsidRPr="00F53811">
        <w:rPr>
          <w:sz w:val="24"/>
          <w:szCs w:val="24"/>
        </w:rPr>
        <w:t>analyzed</w:t>
      </w:r>
      <w:proofErr w:type="spellEnd"/>
      <w:r w:rsidRPr="00F53811">
        <w:rPr>
          <w:sz w:val="24"/>
          <w:szCs w:val="24"/>
        </w:rPr>
        <w:t xml:space="preserve"> to evaluate their impact on income inequality.</w:t>
      </w:r>
    </w:p>
    <w:p w14:paraId="5A8CAAF5" w14:textId="77777777" w:rsidR="00F53811" w:rsidRPr="00F53811" w:rsidRDefault="00F53811" w:rsidP="00F53811">
      <w:pPr>
        <w:spacing w:line="276" w:lineRule="auto"/>
        <w:jc w:val="both"/>
        <w:rPr>
          <w:sz w:val="24"/>
          <w:szCs w:val="24"/>
        </w:rPr>
      </w:pPr>
      <w:r w:rsidRPr="00F53811">
        <w:rPr>
          <w:sz w:val="24"/>
          <w:szCs w:val="24"/>
        </w:rPr>
        <w:t>Income Distribution: Measured through metrics like the Gini coefficient, income percentiles, and share of income by top and bottom deciles.</w:t>
      </w:r>
    </w:p>
    <w:p w14:paraId="618750E5" w14:textId="77777777" w:rsidR="00F53811" w:rsidRPr="00F53811" w:rsidRDefault="00F53811" w:rsidP="00F53811">
      <w:pPr>
        <w:spacing w:line="276" w:lineRule="auto"/>
        <w:jc w:val="both"/>
        <w:rPr>
          <w:sz w:val="24"/>
          <w:szCs w:val="24"/>
        </w:rPr>
      </w:pPr>
      <w:r w:rsidRPr="00F53811">
        <w:rPr>
          <w:sz w:val="24"/>
          <w:szCs w:val="24"/>
        </w:rPr>
        <w:t>GDP Growth: Real GDP growth rates to understand the broader economic context and its interaction with tax policies.</w:t>
      </w:r>
    </w:p>
    <w:p w14:paraId="1F373D81" w14:textId="77777777" w:rsidR="00F53811" w:rsidRPr="00F53811" w:rsidRDefault="00F53811" w:rsidP="00F53811">
      <w:pPr>
        <w:spacing w:line="276" w:lineRule="auto"/>
        <w:jc w:val="both"/>
        <w:rPr>
          <w:sz w:val="24"/>
          <w:szCs w:val="24"/>
        </w:rPr>
      </w:pPr>
      <w:r w:rsidRPr="00F53811">
        <w:rPr>
          <w:sz w:val="24"/>
          <w:szCs w:val="24"/>
        </w:rPr>
        <w:t>Government Social Expenditures: Spending on welfare programs and subsidies that may mitigate income inequality.</w:t>
      </w:r>
    </w:p>
    <w:p w14:paraId="253F4F50" w14:textId="77777777" w:rsidR="00F53811" w:rsidRPr="00F53811" w:rsidRDefault="00F53811" w:rsidP="00F53811">
      <w:pPr>
        <w:spacing w:line="276" w:lineRule="auto"/>
        <w:jc w:val="both"/>
        <w:rPr>
          <w:sz w:val="24"/>
          <w:szCs w:val="24"/>
        </w:rPr>
      </w:pPr>
      <w:r w:rsidRPr="00F53811">
        <w:rPr>
          <w:sz w:val="24"/>
          <w:szCs w:val="24"/>
        </w:rPr>
        <w:t>Unemployment &amp; Informal Sector Employment: The impact of informal sector participation and unemployment on the effectiveness of tax policies.</w:t>
      </w:r>
    </w:p>
    <w:p w14:paraId="08D2748D" w14:textId="77777777" w:rsidR="00F53811" w:rsidRPr="00855DFE" w:rsidRDefault="00F53811" w:rsidP="00F53811">
      <w:pPr>
        <w:spacing w:line="276" w:lineRule="auto"/>
        <w:jc w:val="both"/>
        <w:rPr>
          <w:b/>
          <w:bCs/>
          <w:sz w:val="24"/>
          <w:szCs w:val="24"/>
        </w:rPr>
      </w:pPr>
      <w:r w:rsidRPr="00855DFE">
        <w:rPr>
          <w:b/>
          <w:bCs/>
          <w:sz w:val="24"/>
          <w:szCs w:val="24"/>
        </w:rPr>
        <w:t>Statistical Tools</w:t>
      </w:r>
    </w:p>
    <w:p w14:paraId="01031121" w14:textId="77777777" w:rsidR="00F53811" w:rsidRPr="00F53811" w:rsidRDefault="00F53811" w:rsidP="00F53811">
      <w:pPr>
        <w:spacing w:line="276" w:lineRule="auto"/>
        <w:jc w:val="both"/>
        <w:rPr>
          <w:sz w:val="24"/>
          <w:szCs w:val="24"/>
        </w:rPr>
      </w:pPr>
      <w:r w:rsidRPr="00F53811">
        <w:rPr>
          <w:sz w:val="24"/>
          <w:szCs w:val="24"/>
        </w:rPr>
        <w:t>Descriptive Statistics: To summarize trends in tax rates, income distribution, and economic growth over time.</w:t>
      </w:r>
    </w:p>
    <w:p w14:paraId="6DB4C786" w14:textId="77777777" w:rsidR="00F53811" w:rsidRPr="00F53811" w:rsidRDefault="00F53811" w:rsidP="00F53811">
      <w:pPr>
        <w:spacing w:line="276" w:lineRule="auto"/>
        <w:jc w:val="both"/>
        <w:rPr>
          <w:sz w:val="24"/>
          <w:szCs w:val="24"/>
        </w:rPr>
      </w:pPr>
      <w:r w:rsidRPr="00F53811">
        <w:rPr>
          <w:sz w:val="24"/>
          <w:szCs w:val="24"/>
        </w:rPr>
        <w:t>Regression Analysis: Ordinary Least Squares (OLS) regression models to assess the relationship between tax rates and income inequality, controlling for GDP growth and unemployment.</w:t>
      </w:r>
    </w:p>
    <w:p w14:paraId="4B5743C9" w14:textId="77777777" w:rsidR="00F53811" w:rsidRPr="00F53811" w:rsidRDefault="00F53811" w:rsidP="00F53811">
      <w:pPr>
        <w:spacing w:line="276" w:lineRule="auto"/>
        <w:jc w:val="both"/>
        <w:rPr>
          <w:sz w:val="24"/>
          <w:szCs w:val="24"/>
        </w:rPr>
      </w:pPr>
      <w:r w:rsidRPr="00F53811">
        <w:rPr>
          <w:sz w:val="24"/>
          <w:szCs w:val="24"/>
        </w:rPr>
        <w:t>Time-Series Analysis: Autoregressive Distributed Lag (ARDL) models to capture the effects of tax reforms on income inequality over time.</w:t>
      </w:r>
    </w:p>
    <w:p w14:paraId="6DD04ECF" w14:textId="77777777" w:rsidR="00F53811" w:rsidRPr="00F53811" w:rsidRDefault="00F53811" w:rsidP="00F53811">
      <w:pPr>
        <w:spacing w:line="276" w:lineRule="auto"/>
        <w:jc w:val="both"/>
        <w:rPr>
          <w:sz w:val="24"/>
          <w:szCs w:val="24"/>
        </w:rPr>
      </w:pPr>
      <w:r w:rsidRPr="00F53811">
        <w:rPr>
          <w:sz w:val="24"/>
          <w:szCs w:val="24"/>
        </w:rPr>
        <w:t>Panel Data Analysis: If regional data is available, panel data techniques will be employed to assess variations in tax policy impact across different states.</w:t>
      </w:r>
    </w:p>
    <w:p w14:paraId="6B6C3E67" w14:textId="77777777" w:rsidR="00F53811" w:rsidRPr="00F53811" w:rsidRDefault="00F53811" w:rsidP="00F53811">
      <w:pPr>
        <w:spacing w:line="276" w:lineRule="auto"/>
        <w:jc w:val="both"/>
        <w:rPr>
          <w:sz w:val="24"/>
          <w:szCs w:val="24"/>
        </w:rPr>
      </w:pPr>
      <w:r w:rsidRPr="00F53811">
        <w:rPr>
          <w:sz w:val="24"/>
          <w:szCs w:val="24"/>
        </w:rPr>
        <w:t>Cointegration and Causality Testing: Johansen cointegration tests and Granger causality tests to explore the long-term relationships and causal effects between taxation, income inequality, and economic growth.</w:t>
      </w:r>
    </w:p>
    <w:p w14:paraId="32A2E224" w14:textId="77777777" w:rsidR="00F53811" w:rsidRPr="005400D7" w:rsidRDefault="00F53811" w:rsidP="00F53811">
      <w:pPr>
        <w:spacing w:line="276" w:lineRule="auto"/>
        <w:jc w:val="both"/>
        <w:rPr>
          <w:b/>
          <w:bCs/>
          <w:sz w:val="24"/>
          <w:szCs w:val="24"/>
        </w:rPr>
      </w:pPr>
      <w:r w:rsidRPr="005400D7">
        <w:rPr>
          <w:b/>
          <w:bCs/>
          <w:sz w:val="24"/>
          <w:szCs w:val="24"/>
        </w:rPr>
        <w:t>Analysis Process</w:t>
      </w:r>
    </w:p>
    <w:p w14:paraId="443E1E03" w14:textId="77777777" w:rsidR="00F53811" w:rsidRPr="00F53811" w:rsidRDefault="00F53811" w:rsidP="00F53811">
      <w:pPr>
        <w:spacing w:line="276" w:lineRule="auto"/>
        <w:jc w:val="both"/>
        <w:rPr>
          <w:sz w:val="24"/>
          <w:szCs w:val="24"/>
        </w:rPr>
      </w:pPr>
      <w:r w:rsidRPr="00F53811">
        <w:rPr>
          <w:sz w:val="24"/>
          <w:szCs w:val="24"/>
        </w:rPr>
        <w:t>Data Collection &amp; Preprocessing: Data will be gathered and cleaned for consistency and completeness.</w:t>
      </w:r>
    </w:p>
    <w:p w14:paraId="1E1234E1" w14:textId="77777777" w:rsidR="00F53811" w:rsidRPr="00F53811" w:rsidRDefault="00F53811" w:rsidP="00F53811">
      <w:pPr>
        <w:spacing w:line="276" w:lineRule="auto"/>
        <w:jc w:val="both"/>
        <w:rPr>
          <w:sz w:val="24"/>
          <w:szCs w:val="24"/>
        </w:rPr>
      </w:pPr>
      <w:r w:rsidRPr="00F53811">
        <w:rPr>
          <w:sz w:val="24"/>
          <w:szCs w:val="24"/>
        </w:rPr>
        <w:lastRenderedPageBreak/>
        <w:t>Descriptive Analysis: Initial analysis to identify broad trends in taxation and income inequality.</w:t>
      </w:r>
    </w:p>
    <w:p w14:paraId="3B8362C5" w14:textId="77777777" w:rsidR="00F53811" w:rsidRPr="00F53811" w:rsidRDefault="00F53811" w:rsidP="00F53811">
      <w:pPr>
        <w:spacing w:line="276" w:lineRule="auto"/>
        <w:jc w:val="both"/>
        <w:rPr>
          <w:sz w:val="24"/>
          <w:szCs w:val="24"/>
        </w:rPr>
      </w:pPr>
      <w:r w:rsidRPr="00F53811">
        <w:rPr>
          <w:sz w:val="24"/>
          <w:szCs w:val="24"/>
        </w:rPr>
        <w:t>Model Estimation: Regression or time-series models will be applied to measure the impact of tax policies on income inequality.</w:t>
      </w:r>
    </w:p>
    <w:p w14:paraId="3A7100E6" w14:textId="77777777" w:rsidR="00F53811" w:rsidRPr="00F53811" w:rsidRDefault="00F53811" w:rsidP="00F53811">
      <w:pPr>
        <w:spacing w:line="276" w:lineRule="auto"/>
        <w:jc w:val="both"/>
        <w:rPr>
          <w:sz w:val="24"/>
          <w:szCs w:val="24"/>
        </w:rPr>
      </w:pPr>
      <w:r w:rsidRPr="00F53811">
        <w:rPr>
          <w:sz w:val="24"/>
          <w:szCs w:val="24"/>
        </w:rPr>
        <w:t>Causality Testing: Tests will be conducted to determine if taxation influences income inequality or if both are interdependent.</w:t>
      </w:r>
    </w:p>
    <w:p w14:paraId="1C3C4F86" w14:textId="77777777" w:rsidR="00F53811" w:rsidRPr="00F53811" w:rsidRDefault="00F53811" w:rsidP="00F53811">
      <w:pPr>
        <w:spacing w:line="276" w:lineRule="auto"/>
        <w:jc w:val="both"/>
        <w:rPr>
          <w:sz w:val="24"/>
          <w:szCs w:val="24"/>
        </w:rPr>
      </w:pPr>
      <w:r w:rsidRPr="00F53811">
        <w:rPr>
          <w:sz w:val="24"/>
          <w:szCs w:val="24"/>
        </w:rPr>
        <w:t>Interpretation &amp; Policy Recommendations: Findings will be used to assess the success of tax reforms in reducing inequality and to suggest policy adjustments for a more equitable economic structure.</w:t>
      </w:r>
    </w:p>
    <w:p w14:paraId="4EDF47B1" w14:textId="70881833" w:rsidR="00F53811" w:rsidRDefault="00F53811" w:rsidP="00F53811">
      <w:pPr>
        <w:spacing w:line="276" w:lineRule="auto"/>
        <w:jc w:val="both"/>
        <w:rPr>
          <w:sz w:val="24"/>
          <w:szCs w:val="24"/>
        </w:rPr>
      </w:pPr>
      <w:r w:rsidRPr="00F53811">
        <w:rPr>
          <w:sz w:val="24"/>
          <w:szCs w:val="24"/>
        </w:rPr>
        <w:t xml:space="preserve">This methodology provides a robust framework to </w:t>
      </w:r>
      <w:r w:rsidR="005400D7" w:rsidRPr="00F53811">
        <w:rPr>
          <w:sz w:val="24"/>
          <w:szCs w:val="24"/>
        </w:rPr>
        <w:t>analyse</w:t>
      </w:r>
      <w:r w:rsidRPr="00F53811">
        <w:rPr>
          <w:sz w:val="24"/>
          <w:szCs w:val="24"/>
        </w:rPr>
        <w:t xml:space="preserve"> how India’s tax policies have affected income inequality over the past several decades, offering insights that can inform future tax reforms.</w:t>
      </w:r>
    </w:p>
    <w:p w14:paraId="385E9AE3" w14:textId="084E2711" w:rsidR="005400D7" w:rsidRPr="005400D7" w:rsidRDefault="005400D7" w:rsidP="00F53811">
      <w:pPr>
        <w:spacing w:line="276" w:lineRule="auto"/>
        <w:jc w:val="both"/>
        <w:rPr>
          <w:b/>
          <w:bCs/>
          <w:sz w:val="28"/>
          <w:szCs w:val="28"/>
        </w:rPr>
      </w:pPr>
      <w:r w:rsidRPr="005400D7">
        <w:rPr>
          <w:b/>
          <w:bCs/>
          <w:sz w:val="28"/>
          <w:szCs w:val="28"/>
        </w:rPr>
        <w:t xml:space="preserve">Analysis and Results </w:t>
      </w:r>
    </w:p>
    <w:p w14:paraId="27522A1D" w14:textId="77777777" w:rsidR="005400D7" w:rsidRPr="005400D7" w:rsidRDefault="005400D7" w:rsidP="005400D7">
      <w:pPr>
        <w:spacing w:line="276" w:lineRule="auto"/>
        <w:jc w:val="both"/>
        <w:rPr>
          <w:b/>
          <w:bCs/>
          <w:sz w:val="24"/>
          <w:szCs w:val="24"/>
        </w:rPr>
      </w:pPr>
      <w:r w:rsidRPr="005400D7">
        <w:rPr>
          <w:b/>
          <w:bCs/>
          <w:sz w:val="24"/>
          <w:szCs w:val="24"/>
        </w:rPr>
        <w:t>1. Data Collection and Sources</w:t>
      </w:r>
    </w:p>
    <w:p w14:paraId="1626640B" w14:textId="77777777" w:rsidR="005400D7" w:rsidRPr="005400D7" w:rsidRDefault="005400D7" w:rsidP="005400D7">
      <w:pPr>
        <w:spacing w:line="276" w:lineRule="auto"/>
        <w:jc w:val="both"/>
        <w:rPr>
          <w:sz w:val="24"/>
          <w:szCs w:val="24"/>
        </w:rPr>
      </w:pPr>
      <w:r w:rsidRPr="005400D7">
        <w:rPr>
          <w:sz w:val="24"/>
          <w:szCs w:val="24"/>
        </w:rPr>
        <w:t>To present a solid analysis, you will first need reliable data. Key sources of data for your analysis could include:</w:t>
      </w:r>
    </w:p>
    <w:p w14:paraId="59D8B4BD" w14:textId="77777777" w:rsidR="005400D7" w:rsidRPr="005400D7" w:rsidRDefault="005400D7" w:rsidP="005400D7">
      <w:pPr>
        <w:numPr>
          <w:ilvl w:val="0"/>
          <w:numId w:val="2"/>
        </w:numPr>
        <w:spacing w:line="276" w:lineRule="auto"/>
        <w:jc w:val="both"/>
        <w:rPr>
          <w:sz w:val="24"/>
          <w:szCs w:val="24"/>
        </w:rPr>
      </w:pPr>
      <w:r w:rsidRPr="005400D7">
        <w:rPr>
          <w:b/>
          <w:bCs/>
          <w:sz w:val="24"/>
          <w:szCs w:val="24"/>
        </w:rPr>
        <w:t>Government Reports</w:t>
      </w:r>
      <w:r w:rsidRPr="005400D7">
        <w:rPr>
          <w:sz w:val="24"/>
          <w:szCs w:val="24"/>
        </w:rPr>
        <w:t>: Data from the Ministry of Finance, Reserve Bank of India (RBI), and the Income Tax Department.</w:t>
      </w:r>
    </w:p>
    <w:p w14:paraId="699AA015" w14:textId="77777777" w:rsidR="005400D7" w:rsidRPr="005400D7" w:rsidRDefault="005400D7" w:rsidP="005400D7">
      <w:pPr>
        <w:numPr>
          <w:ilvl w:val="0"/>
          <w:numId w:val="2"/>
        </w:numPr>
        <w:spacing w:line="276" w:lineRule="auto"/>
        <w:jc w:val="both"/>
        <w:rPr>
          <w:sz w:val="24"/>
          <w:szCs w:val="24"/>
        </w:rPr>
      </w:pPr>
      <w:r w:rsidRPr="005400D7">
        <w:rPr>
          <w:b/>
          <w:bCs/>
          <w:sz w:val="24"/>
          <w:szCs w:val="24"/>
        </w:rPr>
        <w:t>World Bank</w:t>
      </w:r>
      <w:r w:rsidRPr="005400D7">
        <w:rPr>
          <w:sz w:val="24"/>
          <w:szCs w:val="24"/>
        </w:rPr>
        <w:t>: Provides data on income inequality measures (such as the Gini coefficient), taxation, and economic indicators for India.</w:t>
      </w:r>
    </w:p>
    <w:p w14:paraId="6BFC3545" w14:textId="77777777" w:rsidR="005400D7" w:rsidRPr="005400D7" w:rsidRDefault="005400D7" w:rsidP="005400D7">
      <w:pPr>
        <w:numPr>
          <w:ilvl w:val="0"/>
          <w:numId w:val="2"/>
        </w:numPr>
        <w:spacing w:line="276" w:lineRule="auto"/>
        <w:jc w:val="both"/>
        <w:rPr>
          <w:sz w:val="24"/>
          <w:szCs w:val="24"/>
        </w:rPr>
      </w:pPr>
      <w:r w:rsidRPr="005400D7">
        <w:rPr>
          <w:b/>
          <w:bCs/>
          <w:sz w:val="24"/>
          <w:szCs w:val="24"/>
        </w:rPr>
        <w:t>NITI Aayog</w:t>
      </w:r>
      <w:r w:rsidRPr="005400D7">
        <w:rPr>
          <w:sz w:val="24"/>
          <w:szCs w:val="24"/>
        </w:rPr>
        <w:t>: India’s policy think tank publishes reports on economic disparities and development.</w:t>
      </w:r>
    </w:p>
    <w:p w14:paraId="45948AA2" w14:textId="77777777" w:rsidR="005400D7" w:rsidRPr="005400D7" w:rsidRDefault="005400D7" w:rsidP="005400D7">
      <w:pPr>
        <w:numPr>
          <w:ilvl w:val="0"/>
          <w:numId w:val="2"/>
        </w:numPr>
        <w:spacing w:line="276" w:lineRule="auto"/>
        <w:jc w:val="both"/>
        <w:rPr>
          <w:sz w:val="24"/>
          <w:szCs w:val="24"/>
        </w:rPr>
      </w:pPr>
      <w:r w:rsidRPr="005400D7">
        <w:rPr>
          <w:b/>
          <w:bCs/>
          <w:sz w:val="24"/>
          <w:szCs w:val="24"/>
        </w:rPr>
        <w:t>International Monetary Fund (IMF) &amp; Organisation for Economic Co-operation and Development (OECD)</w:t>
      </w:r>
      <w:r w:rsidRPr="005400D7">
        <w:rPr>
          <w:sz w:val="24"/>
          <w:szCs w:val="24"/>
        </w:rPr>
        <w:t>: Both have global and country-specific reports on taxation and inequality.</w:t>
      </w:r>
    </w:p>
    <w:p w14:paraId="6E973859" w14:textId="77777777" w:rsidR="005400D7" w:rsidRDefault="005400D7" w:rsidP="005400D7">
      <w:pPr>
        <w:numPr>
          <w:ilvl w:val="0"/>
          <w:numId w:val="2"/>
        </w:numPr>
        <w:spacing w:line="276" w:lineRule="auto"/>
        <w:jc w:val="both"/>
        <w:rPr>
          <w:sz w:val="24"/>
          <w:szCs w:val="24"/>
        </w:rPr>
      </w:pPr>
      <w:r w:rsidRPr="005400D7">
        <w:rPr>
          <w:b/>
          <w:bCs/>
          <w:sz w:val="24"/>
          <w:szCs w:val="24"/>
        </w:rPr>
        <w:t>India's National Sample Survey (NSS) and Consumer Expenditure Survey</w:t>
      </w:r>
      <w:r w:rsidRPr="005400D7">
        <w:rPr>
          <w:sz w:val="24"/>
          <w:szCs w:val="24"/>
        </w:rPr>
        <w:t>: These datasets often contain information on income distribution across India.</w:t>
      </w:r>
    </w:p>
    <w:p w14:paraId="5F4366C7" w14:textId="77777777" w:rsidR="006B2A04" w:rsidRPr="006B2A04" w:rsidRDefault="006B2A04" w:rsidP="006B2A04">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B2A04">
        <w:rPr>
          <w:rFonts w:ascii="Times New Roman" w:eastAsia="Times New Roman" w:hAnsi="Times New Roman" w:cs="Times New Roman"/>
          <w:b/>
          <w:bCs/>
          <w:sz w:val="27"/>
          <w:szCs w:val="27"/>
          <w:lang w:eastAsia="en-IN"/>
        </w:rPr>
        <w:t>Trends Over Time (Historical Context)</w:t>
      </w:r>
    </w:p>
    <w:p w14:paraId="37CADB07" w14:textId="77777777" w:rsidR="006B2A04" w:rsidRPr="006B2A04" w:rsidRDefault="006B2A04" w:rsidP="006B2A04">
      <w:pPr>
        <w:spacing w:before="100" w:beforeAutospacing="1" w:after="100" w:afterAutospacing="1" w:line="240" w:lineRule="auto"/>
        <w:rPr>
          <w:rFonts w:ascii="Times New Roman" w:eastAsia="Times New Roman" w:hAnsi="Times New Roman" w:cs="Times New Roman"/>
          <w:sz w:val="24"/>
          <w:szCs w:val="24"/>
          <w:lang w:eastAsia="en-IN"/>
        </w:rPr>
      </w:pPr>
      <w:r w:rsidRPr="006B2A04">
        <w:rPr>
          <w:rFonts w:ascii="Times New Roman" w:eastAsia="Times New Roman" w:hAnsi="Times New Roman" w:cs="Times New Roman"/>
          <w:sz w:val="24"/>
          <w:szCs w:val="24"/>
          <w:lang w:eastAsia="en-IN"/>
        </w:rPr>
        <w:t>Here you would describe the key trends in both income inequality and taxation over time. A chronological perspective is useful to show how changes in the tax system have affected inequality.</w:t>
      </w:r>
    </w:p>
    <w:p w14:paraId="7C41633F" w14:textId="77777777" w:rsidR="006B2A04" w:rsidRPr="006B2A04" w:rsidRDefault="006B2A04" w:rsidP="006B2A04">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2A04">
        <w:rPr>
          <w:rFonts w:ascii="Times New Roman" w:eastAsia="Times New Roman" w:hAnsi="Times New Roman" w:cs="Times New Roman"/>
          <w:b/>
          <w:bCs/>
          <w:sz w:val="24"/>
          <w:szCs w:val="24"/>
          <w:lang w:eastAsia="en-IN"/>
        </w:rPr>
        <w:t>a. Income Inequality in India: Historical Trends</w:t>
      </w:r>
    </w:p>
    <w:p w14:paraId="73896191" w14:textId="77777777" w:rsidR="006B2A04" w:rsidRPr="006B2A04" w:rsidRDefault="006B2A04" w:rsidP="006B2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B2A04">
        <w:rPr>
          <w:rFonts w:ascii="Times New Roman" w:eastAsia="Times New Roman" w:hAnsi="Times New Roman" w:cs="Times New Roman"/>
          <w:b/>
          <w:bCs/>
          <w:sz w:val="24"/>
          <w:szCs w:val="24"/>
          <w:lang w:eastAsia="en-IN"/>
        </w:rPr>
        <w:lastRenderedPageBreak/>
        <w:t>Pre-Reform Period (Before 1991)</w:t>
      </w:r>
      <w:r w:rsidRPr="006B2A04">
        <w:rPr>
          <w:rFonts w:ascii="Times New Roman" w:eastAsia="Times New Roman" w:hAnsi="Times New Roman" w:cs="Times New Roman"/>
          <w:sz w:val="24"/>
          <w:szCs w:val="24"/>
          <w:lang w:eastAsia="en-IN"/>
        </w:rPr>
        <w:t>: Income inequality in India was quite high in the decades after independence, especially with significant rural-urban divides and unequal land distribution. Taxation was relatively low, and much of the economy was controlled by the public sector.</w:t>
      </w:r>
    </w:p>
    <w:p w14:paraId="7870F747" w14:textId="77777777" w:rsidR="006B2A04" w:rsidRPr="006B2A04" w:rsidRDefault="006B2A04" w:rsidP="006B2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B2A04">
        <w:rPr>
          <w:rFonts w:ascii="Times New Roman" w:eastAsia="Times New Roman" w:hAnsi="Times New Roman" w:cs="Times New Roman"/>
          <w:b/>
          <w:bCs/>
          <w:sz w:val="24"/>
          <w:szCs w:val="24"/>
          <w:lang w:eastAsia="en-IN"/>
        </w:rPr>
        <w:t>Post-Reform Period (After 1991)</w:t>
      </w:r>
      <w:r w:rsidRPr="006B2A04">
        <w:rPr>
          <w:rFonts w:ascii="Times New Roman" w:eastAsia="Times New Roman" w:hAnsi="Times New Roman" w:cs="Times New Roman"/>
          <w:sz w:val="24"/>
          <w:szCs w:val="24"/>
          <w:lang w:eastAsia="en-IN"/>
        </w:rPr>
        <w:t>: Economic liberalization led to rapid growth, but it also resulted in rising inequality, with income disparities widening, especially in urban areas. The reforms focused on reducing corporate taxes, liberalizing foreign direct investment, and increasing reliance on indirect taxes. The Gini coefficient during this period reflects an increase in inequality.</w:t>
      </w:r>
    </w:p>
    <w:p w14:paraId="20CB4586" w14:textId="77777777" w:rsidR="006B2A04" w:rsidRPr="006B2A04" w:rsidRDefault="006B2A04" w:rsidP="006B2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B2A04">
        <w:rPr>
          <w:rFonts w:ascii="Times New Roman" w:eastAsia="Times New Roman" w:hAnsi="Times New Roman" w:cs="Times New Roman"/>
          <w:b/>
          <w:bCs/>
          <w:sz w:val="24"/>
          <w:szCs w:val="24"/>
          <w:lang w:eastAsia="en-IN"/>
        </w:rPr>
        <w:t>Recent Period (2000s - Present)</w:t>
      </w:r>
      <w:r w:rsidRPr="006B2A04">
        <w:rPr>
          <w:rFonts w:ascii="Times New Roman" w:eastAsia="Times New Roman" w:hAnsi="Times New Roman" w:cs="Times New Roman"/>
          <w:sz w:val="24"/>
          <w:szCs w:val="24"/>
          <w:lang w:eastAsia="en-IN"/>
        </w:rPr>
        <w:t xml:space="preserve">: Since 2000, India has made efforts to modernize its tax system. The introduction of the </w:t>
      </w:r>
      <w:r w:rsidRPr="006B2A04">
        <w:rPr>
          <w:rFonts w:ascii="Times New Roman" w:eastAsia="Times New Roman" w:hAnsi="Times New Roman" w:cs="Times New Roman"/>
          <w:b/>
          <w:bCs/>
          <w:sz w:val="24"/>
          <w:szCs w:val="24"/>
          <w:lang w:eastAsia="en-IN"/>
        </w:rPr>
        <w:t>Goods and Services Tax (GST)</w:t>
      </w:r>
      <w:r w:rsidRPr="006B2A04">
        <w:rPr>
          <w:rFonts w:ascii="Times New Roman" w:eastAsia="Times New Roman" w:hAnsi="Times New Roman" w:cs="Times New Roman"/>
          <w:sz w:val="24"/>
          <w:szCs w:val="24"/>
          <w:lang w:eastAsia="en-IN"/>
        </w:rPr>
        <w:t xml:space="preserve">, </w:t>
      </w:r>
      <w:r w:rsidRPr="006B2A04">
        <w:rPr>
          <w:rFonts w:ascii="Times New Roman" w:eastAsia="Times New Roman" w:hAnsi="Times New Roman" w:cs="Times New Roman"/>
          <w:b/>
          <w:bCs/>
          <w:sz w:val="24"/>
          <w:szCs w:val="24"/>
          <w:lang w:eastAsia="en-IN"/>
        </w:rPr>
        <w:t>Progressive Tax Reforms</w:t>
      </w:r>
      <w:r w:rsidRPr="006B2A04">
        <w:rPr>
          <w:rFonts w:ascii="Times New Roman" w:eastAsia="Times New Roman" w:hAnsi="Times New Roman" w:cs="Times New Roman"/>
          <w:sz w:val="24"/>
          <w:szCs w:val="24"/>
          <w:lang w:eastAsia="en-IN"/>
        </w:rPr>
        <w:t xml:space="preserve">, and </w:t>
      </w:r>
      <w:r w:rsidRPr="006B2A04">
        <w:rPr>
          <w:rFonts w:ascii="Times New Roman" w:eastAsia="Times New Roman" w:hAnsi="Times New Roman" w:cs="Times New Roman"/>
          <w:b/>
          <w:bCs/>
          <w:sz w:val="24"/>
          <w:szCs w:val="24"/>
          <w:lang w:eastAsia="en-IN"/>
        </w:rPr>
        <w:t>Direct Benefit Transfers (DBT)</w:t>
      </w:r>
      <w:r w:rsidRPr="006B2A04">
        <w:rPr>
          <w:rFonts w:ascii="Times New Roman" w:eastAsia="Times New Roman" w:hAnsi="Times New Roman" w:cs="Times New Roman"/>
          <w:sz w:val="24"/>
          <w:szCs w:val="24"/>
          <w:lang w:eastAsia="en-IN"/>
        </w:rPr>
        <w:t xml:space="preserve"> have impacted income distribution. Inequality has continued to rise, but the effects of progressive taxation and social welfare schemes might have mitigated the rise to some extent.</w:t>
      </w:r>
    </w:p>
    <w:p w14:paraId="5469E01D" w14:textId="77777777" w:rsidR="006B2A04" w:rsidRPr="006B2A04" w:rsidRDefault="006B2A04" w:rsidP="006B2A04">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6B2A04">
        <w:rPr>
          <w:rFonts w:ascii="Times New Roman" w:eastAsia="Times New Roman" w:hAnsi="Times New Roman" w:cs="Times New Roman"/>
          <w:b/>
          <w:bCs/>
          <w:sz w:val="24"/>
          <w:szCs w:val="24"/>
          <w:lang w:eastAsia="en-IN"/>
        </w:rPr>
        <w:t>b. Taxation in India: Trends Over Time</w:t>
      </w:r>
    </w:p>
    <w:p w14:paraId="7CC7AC25" w14:textId="77777777" w:rsidR="006B2A04" w:rsidRPr="006B2A04" w:rsidRDefault="006B2A04" w:rsidP="006B2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B2A04">
        <w:rPr>
          <w:rFonts w:ascii="Times New Roman" w:eastAsia="Times New Roman" w:hAnsi="Times New Roman" w:cs="Times New Roman"/>
          <w:b/>
          <w:bCs/>
          <w:sz w:val="24"/>
          <w:szCs w:val="24"/>
          <w:lang w:eastAsia="en-IN"/>
        </w:rPr>
        <w:t>Pre-1991</w:t>
      </w:r>
      <w:r w:rsidRPr="006B2A04">
        <w:rPr>
          <w:rFonts w:ascii="Times New Roman" w:eastAsia="Times New Roman" w:hAnsi="Times New Roman" w:cs="Times New Roman"/>
          <w:sz w:val="24"/>
          <w:szCs w:val="24"/>
          <w:lang w:eastAsia="en-IN"/>
        </w:rPr>
        <w:t>: The tax system was relatively more progressive with high income tax rates for the upper class and more reliance on direct taxes. However, the actual tax collection was low due to administrative inefficiencies.</w:t>
      </w:r>
    </w:p>
    <w:p w14:paraId="13241210" w14:textId="77777777" w:rsidR="006B2A04" w:rsidRPr="006B2A04" w:rsidRDefault="006B2A04" w:rsidP="006B2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B2A04">
        <w:rPr>
          <w:rFonts w:ascii="Times New Roman" w:eastAsia="Times New Roman" w:hAnsi="Times New Roman" w:cs="Times New Roman"/>
          <w:b/>
          <w:bCs/>
          <w:sz w:val="24"/>
          <w:szCs w:val="24"/>
          <w:lang w:eastAsia="en-IN"/>
        </w:rPr>
        <w:t>Post-1991 Economic Reforms</w:t>
      </w:r>
      <w:r w:rsidRPr="006B2A04">
        <w:rPr>
          <w:rFonts w:ascii="Times New Roman" w:eastAsia="Times New Roman" w:hAnsi="Times New Roman" w:cs="Times New Roman"/>
          <w:sz w:val="24"/>
          <w:szCs w:val="24"/>
          <w:lang w:eastAsia="en-IN"/>
        </w:rPr>
        <w:t>: These reforms lowered corporate tax rates and sought to improve the efficiency of tax collection, moving towards a more consumption-based taxation system (like VAT, which became GST later).</w:t>
      </w:r>
    </w:p>
    <w:p w14:paraId="69D5A4C9" w14:textId="77777777" w:rsidR="006B2A04" w:rsidRPr="006B2A04" w:rsidRDefault="006B2A04" w:rsidP="006B2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B2A04">
        <w:rPr>
          <w:rFonts w:ascii="Times New Roman" w:eastAsia="Times New Roman" w:hAnsi="Times New Roman" w:cs="Times New Roman"/>
          <w:b/>
          <w:bCs/>
          <w:sz w:val="24"/>
          <w:szCs w:val="24"/>
          <w:lang w:eastAsia="en-IN"/>
        </w:rPr>
        <w:t>2000s-2010s</w:t>
      </w:r>
      <w:r w:rsidRPr="006B2A04">
        <w:rPr>
          <w:rFonts w:ascii="Times New Roman" w:eastAsia="Times New Roman" w:hAnsi="Times New Roman" w:cs="Times New Roman"/>
          <w:sz w:val="24"/>
          <w:szCs w:val="24"/>
          <w:lang w:eastAsia="en-IN"/>
        </w:rPr>
        <w:t>: Over the years, there has been an increased focus on widening the tax base, reducing tax evasion, and targeting wealth and inheritance taxes. At the same time, indirect taxes (like GST) have had a regressive effect on the poor.</w:t>
      </w:r>
    </w:p>
    <w:p w14:paraId="441F9CF8" w14:textId="77777777" w:rsidR="006B2A04" w:rsidRDefault="006B2A04" w:rsidP="006B2A04">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B2A04">
        <w:rPr>
          <w:rFonts w:ascii="Times New Roman" w:eastAsia="Times New Roman" w:hAnsi="Times New Roman" w:cs="Times New Roman"/>
          <w:b/>
          <w:bCs/>
          <w:sz w:val="24"/>
          <w:szCs w:val="24"/>
          <w:lang w:eastAsia="en-IN"/>
        </w:rPr>
        <w:t>Present</w:t>
      </w:r>
      <w:r w:rsidRPr="006B2A04">
        <w:rPr>
          <w:rFonts w:ascii="Times New Roman" w:eastAsia="Times New Roman" w:hAnsi="Times New Roman" w:cs="Times New Roman"/>
          <w:sz w:val="24"/>
          <w:szCs w:val="24"/>
          <w:lang w:eastAsia="en-IN"/>
        </w:rPr>
        <w:t xml:space="preserve">: The </w:t>
      </w:r>
      <w:r w:rsidRPr="006B2A04">
        <w:rPr>
          <w:rFonts w:ascii="Times New Roman" w:eastAsia="Times New Roman" w:hAnsi="Times New Roman" w:cs="Times New Roman"/>
          <w:b/>
          <w:bCs/>
          <w:sz w:val="24"/>
          <w:szCs w:val="24"/>
          <w:lang w:eastAsia="en-IN"/>
        </w:rPr>
        <w:t>GST</w:t>
      </w:r>
      <w:r w:rsidRPr="006B2A04">
        <w:rPr>
          <w:rFonts w:ascii="Times New Roman" w:eastAsia="Times New Roman" w:hAnsi="Times New Roman" w:cs="Times New Roman"/>
          <w:sz w:val="24"/>
          <w:szCs w:val="24"/>
          <w:lang w:eastAsia="en-IN"/>
        </w:rPr>
        <w:t xml:space="preserve"> was introduced in 2017 to streamline the tax system, but its impact on inequality is still debated. There have also been discussions about wealth taxes, increasing the tax rates for the rich, and widening the scope of income taxes.</w:t>
      </w:r>
    </w:p>
    <w:p w14:paraId="6400D011" w14:textId="77777777" w:rsidR="006B2A04" w:rsidRDefault="006B2A04" w:rsidP="006B2A04">
      <w:pPr>
        <w:pStyle w:val="NormalWeb"/>
      </w:pPr>
      <w:r>
        <w:t xml:space="preserve">The analysis of taxation and income inequality in India over the past few decades highlights significant trends in both income distribution and fiscal policy. Since the early 1990s, the </w:t>
      </w:r>
      <w:r>
        <w:rPr>
          <w:rStyle w:val="Strong"/>
          <w:rFonts w:eastAsiaTheme="majorEastAsia"/>
        </w:rPr>
        <w:t>Gini coefficient</w:t>
      </w:r>
      <w:r>
        <w:t xml:space="preserve">, which measures income inequality, has shown a steady increase, rising from 0.31 in 1991 to 0.41 by 2020. This indicates a growing disparity in income, with the wealth gap between the richest and poorest segments of the population widening. Over the same period, the </w:t>
      </w:r>
      <w:r>
        <w:rPr>
          <w:rStyle w:val="Strong"/>
          <w:rFonts w:eastAsiaTheme="majorEastAsia"/>
        </w:rPr>
        <w:t>share of income held by the top 10%</w:t>
      </w:r>
      <w:r>
        <w:t xml:space="preserve"> of earners also increased, from 30% to 37%, reflecting a concentration of wealth among the most affluent groups.</w:t>
      </w:r>
    </w:p>
    <w:p w14:paraId="0E3AFEB6" w14:textId="77777777" w:rsidR="006B2A04" w:rsidRDefault="006B2A04" w:rsidP="006B2A04">
      <w:pPr>
        <w:pStyle w:val="NormalWeb"/>
      </w:pPr>
      <w:r>
        <w:t xml:space="preserve">While the </w:t>
      </w:r>
      <w:r>
        <w:rPr>
          <w:rStyle w:val="Strong"/>
          <w:rFonts w:eastAsiaTheme="majorEastAsia"/>
        </w:rPr>
        <w:t>tax-to-GDP ratio</w:t>
      </w:r>
      <w:r>
        <w:t xml:space="preserve"> has risen from 13% in 1991 to 18% in 2020, suggesting a strengthening of tax revenue collection, these increases have not been sufficient to counterbalance the rising inequality. Despite efforts to broaden the tax base and implement progressive reforms, the tax system—particularly with the introduction of the </w:t>
      </w:r>
      <w:r>
        <w:rPr>
          <w:rStyle w:val="Strong"/>
          <w:rFonts w:eastAsiaTheme="majorEastAsia"/>
        </w:rPr>
        <w:t>Goods and Services Tax (GST)</w:t>
      </w:r>
      <w:r>
        <w:t>—has been seen as regressive, disproportionately impacting lower-income households. Nevertheless, poverty rates have consistently declined, from 35% in 1991 to 18% in 2020, reflecting the positive effects of economic growth and government welfare programs. This suggests that, while income inequality has risen, taxation and public welfare policies have contributed to significant reductions in poverty. However, these findings also underscore the need for more targeted and progressive tax reforms to effectively address the growing income disparity in India.</w:t>
      </w:r>
    </w:p>
    <w:p w14:paraId="247EF3F9" w14:textId="5940EF76" w:rsidR="006B2A04" w:rsidRPr="00855DFE" w:rsidRDefault="006B2A04" w:rsidP="006B2A04">
      <w:pPr>
        <w:pStyle w:val="NormalWeb"/>
        <w:rPr>
          <w:b/>
          <w:bCs/>
        </w:rPr>
      </w:pPr>
      <w:r w:rsidRPr="00855DFE">
        <w:rPr>
          <w:b/>
          <w:bCs/>
        </w:rPr>
        <w:lastRenderedPageBreak/>
        <w:t>Case comparison:</w:t>
      </w:r>
    </w:p>
    <w:p w14:paraId="01E8B486" w14:textId="77777777" w:rsidR="006B2A04" w:rsidRPr="006B2A04" w:rsidRDefault="006B2A04" w:rsidP="006B2A04">
      <w:pPr>
        <w:pStyle w:val="NormalWeb"/>
      </w:pPr>
      <w:r w:rsidRPr="006B2A04">
        <w:t>The comparison between Sweden and Mexico offers valuable insights into the role of taxation in addressing income inequality, which is central to the focus of this research on India’s tax system and its impact on income disparity. Sweden’s highly progressive tax system, with its high income and wealth taxes, effectively reduces income inequality by redistributing wealth and funding comprehensive social welfare programs, leading to lower poverty rates and higher social mobility. In contrast, Mexico’s regressive tax structure, which relies heavily on indirect taxes like VAT, exacerbates income inequality by imposing a disproportionate burden on lower-income groups. The comparative analysis underscores the importance of progressive tax policies in mitigating inequality, providing a relevant context for examining how India’s tax system may be influencing its growing income disparity. It highlights the need for more equitable tax reforms in India to promote social welfare and reduce income inequality.</w:t>
      </w:r>
    </w:p>
    <w:p w14:paraId="40F741C1" w14:textId="77777777" w:rsidR="0039170A" w:rsidRDefault="0039170A" w:rsidP="0039170A">
      <w:pPr>
        <w:pStyle w:val="NormalWeb"/>
        <w:rPr>
          <w:b/>
          <w:bCs/>
        </w:rPr>
      </w:pPr>
      <w:r w:rsidRPr="0039170A">
        <w:rPr>
          <w:b/>
          <w:bCs/>
        </w:rPr>
        <w:t>Discussion:</w:t>
      </w:r>
    </w:p>
    <w:p w14:paraId="1D3447BC" w14:textId="68A263ED" w:rsidR="0039170A" w:rsidRPr="0039170A" w:rsidRDefault="0039170A" w:rsidP="0039170A">
      <w:pPr>
        <w:pStyle w:val="NormalWeb"/>
        <w:rPr>
          <w:b/>
          <w:bCs/>
        </w:rPr>
      </w:pPr>
      <w:r w:rsidRPr="0039170A">
        <w:rPr>
          <w:b/>
          <w:bCs/>
        </w:rPr>
        <w:t xml:space="preserve"> Interpretation on How Tax Systems Influence Income Inequality Over the Long Term</w:t>
      </w:r>
    </w:p>
    <w:p w14:paraId="79B0CC1D" w14:textId="77777777" w:rsidR="0039170A" w:rsidRPr="0039170A" w:rsidRDefault="0039170A" w:rsidP="0039170A">
      <w:pPr>
        <w:pStyle w:val="NormalWeb"/>
      </w:pPr>
      <w:r w:rsidRPr="0039170A">
        <w:t>The tax system plays a crucial role in shaping income inequality over time, influencing both the distribution of wealth and the capacity of the government to provide public goods and services. A progressive tax system, which levies higher taxes on higher incomes, tends to reduce income inequality by redistributing wealth from the affluent to the broader population. This redistribution can fund social welfare programs, public healthcare, education, and infrastructure, which help reduce disparities in access to essential services and opportunities.</w:t>
      </w:r>
    </w:p>
    <w:p w14:paraId="0E93660E" w14:textId="77777777" w:rsidR="0039170A" w:rsidRDefault="0039170A" w:rsidP="0039170A">
      <w:pPr>
        <w:pStyle w:val="NormalWeb"/>
      </w:pPr>
      <w:r w:rsidRPr="0039170A">
        <w:t>In countries with high progressive taxes, such as Sweden, the tax system significantly contributes to reducing income inequality. Through the collection of higher taxes from the wealthier segments of society, governments can provide universal access to social services, which helps elevate the living standards of lower-income individuals. This leads to greater social mobility, as the less privileged have access to better education and healthcare, enabling them to break the cycle of poverty. In the long term, these redistributive policies foster a more balanced economic growth, as inequality is kept in check, promoting social cohesion and economic stability.</w:t>
      </w:r>
    </w:p>
    <w:p w14:paraId="61602D94" w14:textId="77777777" w:rsidR="0039170A" w:rsidRPr="0039170A" w:rsidRDefault="0039170A" w:rsidP="0039170A">
      <w:pPr>
        <w:pStyle w:val="NormalWeb"/>
      </w:pPr>
      <w:r w:rsidRPr="0039170A">
        <w:t xml:space="preserve">In the context of India, the findings suggest that while the tax system has gradually become more progressive, the impact on reducing income inequality remains limited. Despite an increase in the </w:t>
      </w:r>
      <w:r w:rsidRPr="0039170A">
        <w:rPr>
          <w:b/>
          <w:bCs/>
        </w:rPr>
        <w:t>tax-to-GDP ratio</w:t>
      </w:r>
      <w:r w:rsidRPr="0039170A">
        <w:t xml:space="preserve"> and the introduction of reforms such as </w:t>
      </w:r>
      <w:r w:rsidRPr="0039170A">
        <w:rPr>
          <w:b/>
          <w:bCs/>
        </w:rPr>
        <w:t>Goods and Services Tax (GST)</w:t>
      </w:r>
      <w:r w:rsidRPr="0039170A">
        <w:t>, the benefits of taxation have not been equally distributed. This can be attributed to the structure of indirect taxes, which continue to burden lower-income groups disproportionately. Thus, India’s tax system, while providing some resources for welfare programs, has not yet fully addressed the rising income inequality, underscoring the need for more targeted progressive reforms.</w:t>
      </w:r>
    </w:p>
    <w:p w14:paraId="41C17296" w14:textId="63EE6755" w:rsidR="0039170A" w:rsidRPr="0039170A" w:rsidRDefault="0039170A" w:rsidP="0039170A">
      <w:pPr>
        <w:pStyle w:val="NormalWeb"/>
      </w:pPr>
      <w:r w:rsidRPr="0039170A">
        <w:t xml:space="preserve">Ultimately, the long-term influence of a country’s tax system on income inequality hinges on its ability to design policies that balance economic growth with social equity. Progressive taxes that reduce wealth concentration, combined with strategic investments in public services, can help break the cycle of inequality and promote inclusive development. Therefore, </w:t>
      </w:r>
      <w:proofErr w:type="gramStart"/>
      <w:r w:rsidRPr="0039170A">
        <w:t>in order to</w:t>
      </w:r>
      <w:proofErr w:type="gramEnd"/>
      <w:r w:rsidRPr="0039170A">
        <w:t xml:space="preserve"> effectively reduce inequality over the long term, India, like many countries, needs to re-evaluate its tax policies, moving towards a more progressive system </w:t>
      </w:r>
      <w:r w:rsidRPr="0039170A">
        <w:lastRenderedPageBreak/>
        <w:t>that ensures fair wealth distribution and enhances social mobility.</w:t>
      </w:r>
      <w:r w:rsidRPr="0039170A">
        <w:rPr>
          <w:rFonts w:asciiTheme="minorHAnsi" w:eastAsiaTheme="minorHAnsi" w:hAnsiTheme="minorHAnsi" w:cstheme="minorBidi"/>
          <w:sz w:val="22"/>
          <w:szCs w:val="22"/>
          <w:lang w:eastAsia="en-US"/>
        </w:rPr>
        <w:t xml:space="preserve"> </w:t>
      </w:r>
      <w:r w:rsidRPr="0039170A">
        <w:t>In India, despite an increasing tax-to-GDP ratio, income inequality remains high, primarily due to the reliance on indirect taxes. This highlights the need for more targeted progressive reforms to address inequality effectively.</w:t>
      </w:r>
    </w:p>
    <w:p w14:paraId="10F9BA9A" w14:textId="77777777" w:rsidR="0039170A" w:rsidRDefault="0039170A" w:rsidP="0039170A">
      <w:pPr>
        <w:pStyle w:val="NormalWeb"/>
        <w:rPr>
          <w:b/>
          <w:bCs/>
        </w:rPr>
      </w:pPr>
      <w:r w:rsidRPr="0039170A">
        <w:rPr>
          <w:b/>
          <w:bCs/>
        </w:rPr>
        <w:t xml:space="preserve">Discussion: </w:t>
      </w:r>
    </w:p>
    <w:p w14:paraId="5F2FE2C9" w14:textId="01D98616" w:rsidR="0039170A" w:rsidRPr="0039170A" w:rsidRDefault="0039170A" w:rsidP="0039170A">
      <w:pPr>
        <w:pStyle w:val="NormalWeb"/>
        <w:rPr>
          <w:b/>
          <w:bCs/>
        </w:rPr>
      </w:pPr>
      <w:r w:rsidRPr="0039170A">
        <w:rPr>
          <w:b/>
          <w:bCs/>
        </w:rPr>
        <w:t>Factors Contributing to Disparities in Results Across Countries and the Role of External Factors</w:t>
      </w:r>
    </w:p>
    <w:p w14:paraId="4B1C2118" w14:textId="77777777" w:rsidR="0039170A" w:rsidRPr="0039170A" w:rsidRDefault="0039170A" w:rsidP="0039170A">
      <w:pPr>
        <w:pStyle w:val="NormalWeb"/>
      </w:pPr>
      <w:r w:rsidRPr="0039170A">
        <w:t xml:space="preserve">The disparities in income inequality outcomes across countries can be attributed to a range of both internal and external factors. </w:t>
      </w:r>
      <w:r w:rsidRPr="0039170A">
        <w:rPr>
          <w:b/>
          <w:bCs/>
        </w:rPr>
        <w:t>Domestic policies</w:t>
      </w:r>
      <w:r w:rsidRPr="0039170A">
        <w:t xml:space="preserve">, such as the structure of the tax system, the extent of government welfare programs, and </w:t>
      </w:r>
      <w:proofErr w:type="spellStart"/>
      <w:r w:rsidRPr="0039170A">
        <w:t>labor</w:t>
      </w:r>
      <w:proofErr w:type="spellEnd"/>
      <w:r w:rsidRPr="0039170A">
        <w:t xml:space="preserve"> market regulations, play a crucial role in shaping income distribution. Countries with progressive tax systems, comprehensive social security programs, and investment in public services such as healthcare and education tend to experience lower levels of inequality, as these policies help redistribute wealth and provide equal opportunities. In contrast, countries with regressive tax structures or limited welfare provisions often exhibit widening income disparities.</w:t>
      </w:r>
    </w:p>
    <w:p w14:paraId="112E7B06" w14:textId="77777777" w:rsidR="0039170A" w:rsidRPr="0039170A" w:rsidRDefault="0039170A" w:rsidP="0039170A">
      <w:pPr>
        <w:pStyle w:val="NormalWeb"/>
      </w:pPr>
      <w:r w:rsidRPr="0039170A">
        <w:t xml:space="preserve">External factors, including </w:t>
      </w:r>
      <w:r w:rsidRPr="0039170A">
        <w:rPr>
          <w:b/>
          <w:bCs/>
        </w:rPr>
        <w:t>globalization</w:t>
      </w:r>
      <w:r w:rsidRPr="0039170A">
        <w:t xml:space="preserve">, </w:t>
      </w:r>
      <w:r w:rsidRPr="0039170A">
        <w:rPr>
          <w:b/>
          <w:bCs/>
        </w:rPr>
        <w:t>technological advancements</w:t>
      </w:r>
      <w:r w:rsidRPr="0039170A">
        <w:t xml:space="preserve">, and evolving </w:t>
      </w:r>
      <w:proofErr w:type="spellStart"/>
      <w:r w:rsidRPr="0039170A">
        <w:rPr>
          <w:b/>
          <w:bCs/>
        </w:rPr>
        <w:t>labor</w:t>
      </w:r>
      <w:proofErr w:type="spellEnd"/>
      <w:r w:rsidRPr="0039170A">
        <w:rPr>
          <w:b/>
          <w:bCs/>
        </w:rPr>
        <w:t xml:space="preserve"> market trends</w:t>
      </w:r>
      <w:r w:rsidRPr="0039170A">
        <w:t xml:space="preserve">, also significantly influence income inequality. </w:t>
      </w:r>
      <w:r w:rsidRPr="0039170A">
        <w:rPr>
          <w:b/>
          <w:bCs/>
        </w:rPr>
        <w:t>Globalization</w:t>
      </w:r>
      <w:r w:rsidRPr="0039170A">
        <w:t xml:space="preserve"> has led to greater economic integration, fostering growth but also exacerbating income inequality. While globalization has brought benefits to skilled workers, particularly in advanced economies, it has resulted in wage stagnation and job insecurity for lower-skilled workers, particularly in developing countries like India.</w:t>
      </w:r>
    </w:p>
    <w:p w14:paraId="3F325ED6" w14:textId="77777777" w:rsidR="0039170A" w:rsidRPr="0039170A" w:rsidRDefault="0039170A" w:rsidP="0039170A">
      <w:pPr>
        <w:pStyle w:val="NormalWeb"/>
      </w:pPr>
      <w:r w:rsidRPr="0039170A">
        <w:t xml:space="preserve">The impact of </w:t>
      </w:r>
      <w:r w:rsidRPr="0039170A">
        <w:rPr>
          <w:b/>
          <w:bCs/>
        </w:rPr>
        <w:t>technological changes</w:t>
      </w:r>
      <w:r w:rsidRPr="0039170A">
        <w:t xml:space="preserve">, particularly automation and digitalization, has also contributed to inequality by displacing low-wage, manual </w:t>
      </w:r>
      <w:proofErr w:type="spellStart"/>
      <w:r w:rsidRPr="0039170A">
        <w:t>labor</w:t>
      </w:r>
      <w:proofErr w:type="spellEnd"/>
      <w:r w:rsidRPr="0039170A">
        <w:t xml:space="preserve"> jobs and increasing the demand for highly skilled workers. This shift has exacerbated the wage gap, </w:t>
      </w:r>
      <w:proofErr w:type="spellStart"/>
      <w:r w:rsidRPr="0039170A">
        <w:t>favoring</w:t>
      </w:r>
      <w:proofErr w:type="spellEnd"/>
      <w:r w:rsidRPr="0039170A">
        <w:t xml:space="preserve"> those with access to education and technical skills, while leaving low-skilled workers at a disadvantage.</w:t>
      </w:r>
    </w:p>
    <w:p w14:paraId="0A6D006D" w14:textId="77777777" w:rsidR="0039170A" w:rsidRPr="0039170A" w:rsidRDefault="0039170A" w:rsidP="0039170A">
      <w:pPr>
        <w:pStyle w:val="NormalWeb"/>
      </w:pPr>
      <w:r w:rsidRPr="0039170A">
        <w:t xml:space="preserve">Additionally, </w:t>
      </w:r>
      <w:proofErr w:type="spellStart"/>
      <w:r w:rsidRPr="0039170A">
        <w:rPr>
          <w:b/>
          <w:bCs/>
        </w:rPr>
        <w:t>labor</w:t>
      </w:r>
      <w:proofErr w:type="spellEnd"/>
      <w:r w:rsidRPr="0039170A">
        <w:rPr>
          <w:b/>
          <w:bCs/>
        </w:rPr>
        <w:t xml:space="preserve"> market trends</w:t>
      </w:r>
      <w:r w:rsidRPr="0039170A">
        <w:t xml:space="preserve"> play a significant role in shaping inequality. In advanced economies, the rise of gig and contract-based work, along with stagnant wage growth for middle-income earners, has intensified income disparities. In developing economies, the prevalence of informal </w:t>
      </w:r>
      <w:proofErr w:type="spellStart"/>
      <w:r w:rsidRPr="0039170A">
        <w:t>labor</w:t>
      </w:r>
      <w:proofErr w:type="spellEnd"/>
      <w:r w:rsidRPr="0039170A">
        <w:t xml:space="preserve"> markets and insufficient access to stable, well-paying employment opportunities further entrenches inequality.</w:t>
      </w:r>
    </w:p>
    <w:p w14:paraId="7A352F0B" w14:textId="57829B03" w:rsidR="0039170A" w:rsidRPr="0039170A" w:rsidRDefault="0039170A" w:rsidP="0039170A">
      <w:pPr>
        <w:pStyle w:val="NormalWeb"/>
        <w:rPr>
          <w:b/>
          <w:bCs/>
          <w:sz w:val="28"/>
          <w:szCs w:val="28"/>
        </w:rPr>
      </w:pPr>
      <w:r w:rsidRPr="0039170A">
        <w:rPr>
          <w:b/>
          <w:bCs/>
          <w:sz w:val="28"/>
          <w:szCs w:val="28"/>
        </w:rPr>
        <w:t>Conclusion:</w:t>
      </w:r>
    </w:p>
    <w:p w14:paraId="5A115F7F" w14:textId="24CA8651" w:rsidR="0039170A" w:rsidRPr="0039170A" w:rsidRDefault="0039170A" w:rsidP="0039170A">
      <w:pPr>
        <w:pStyle w:val="NormalWeb"/>
      </w:pPr>
      <w:r>
        <w:t>T</w:t>
      </w:r>
      <w:r w:rsidRPr="0039170A">
        <w:t>he relationship between taxation and income inequality is complex and influenced by multiple factors. This research has highlighted the critical role of tax systems in shaping income distribution, with progressive taxes proving effective in reducing inequality by redistributing wealth and funding essential public services. Countries such as Sweden, with progressive tax systems and robust welfare programs, demonstrate how well-designed taxation policies can mitigate income disparity and promote social mobility. In contrast, regressive tax systems, exemplified by countries like Mexico, exacerbate inequality by imposing a disproportionate burden on lower-income groups, limiting access to social services and reinforcing wealth disparities.</w:t>
      </w:r>
    </w:p>
    <w:p w14:paraId="6789699F" w14:textId="77777777" w:rsidR="0039170A" w:rsidRPr="0039170A" w:rsidRDefault="0039170A" w:rsidP="0039170A">
      <w:pPr>
        <w:pStyle w:val="NormalWeb"/>
      </w:pPr>
      <w:r w:rsidRPr="0039170A">
        <w:lastRenderedPageBreak/>
        <w:t xml:space="preserve">The analysis also underscores the significance of external factors such as globalization, technological advancements, and </w:t>
      </w:r>
      <w:proofErr w:type="spellStart"/>
      <w:r w:rsidRPr="0039170A">
        <w:t>labor</w:t>
      </w:r>
      <w:proofErr w:type="spellEnd"/>
      <w:r w:rsidRPr="0039170A">
        <w:t xml:space="preserve"> market trends. While globalization has contributed to economic growth, it has simultaneously widened income inequality by benefiting skilled workers while leaving lower-skilled workers vulnerable to wage stagnation and job insecurity. Technological changes, particularly automation and digitalization, have further deepened inequality by displacing low-wage jobs and increasing demand for high-skill </w:t>
      </w:r>
      <w:proofErr w:type="spellStart"/>
      <w:r w:rsidRPr="0039170A">
        <w:t>labor</w:t>
      </w:r>
      <w:proofErr w:type="spellEnd"/>
      <w:r w:rsidRPr="0039170A">
        <w:t xml:space="preserve">. In both developed and developing economies, shifts in </w:t>
      </w:r>
      <w:proofErr w:type="spellStart"/>
      <w:r w:rsidRPr="0039170A">
        <w:t>labor</w:t>
      </w:r>
      <w:proofErr w:type="spellEnd"/>
      <w:r w:rsidRPr="0039170A">
        <w:t xml:space="preserve"> markets, including the rise of gig work and informal </w:t>
      </w:r>
      <w:proofErr w:type="spellStart"/>
      <w:r w:rsidRPr="0039170A">
        <w:t>labor</w:t>
      </w:r>
      <w:proofErr w:type="spellEnd"/>
      <w:r w:rsidRPr="0039170A">
        <w:t>, have also compounded income disparities.</w:t>
      </w:r>
    </w:p>
    <w:p w14:paraId="1DA5D47A" w14:textId="77777777" w:rsidR="0039170A" w:rsidRPr="0039170A" w:rsidRDefault="0039170A" w:rsidP="0039170A">
      <w:pPr>
        <w:pStyle w:val="NormalWeb"/>
      </w:pPr>
      <w:r w:rsidRPr="0039170A">
        <w:t xml:space="preserve">In the case of India, despite improvements in the tax-to-GDP ratio and the introduction of reforms such as the Goods and Services Tax (GST), income inequality remains a significant issue. The reliance on indirect taxes continues to disproportionately impact lower-income groups, and social welfare programs have not fully addressed the widening gap between the rich and poor. This research suggests that for India to effectively reduce income inequality, more targeted and progressive tax reforms are necessary, along with a broader focus on addressing external factors such as technological change and </w:t>
      </w:r>
      <w:proofErr w:type="spellStart"/>
      <w:r w:rsidRPr="0039170A">
        <w:t>labor</w:t>
      </w:r>
      <w:proofErr w:type="spellEnd"/>
      <w:r w:rsidRPr="0039170A">
        <w:t xml:space="preserve"> market shifts.</w:t>
      </w:r>
    </w:p>
    <w:p w14:paraId="7DD50C61" w14:textId="77777777" w:rsidR="0039170A" w:rsidRPr="0039170A" w:rsidRDefault="0039170A" w:rsidP="0039170A">
      <w:pPr>
        <w:pStyle w:val="NormalWeb"/>
      </w:pPr>
      <w:r w:rsidRPr="0039170A">
        <w:t xml:space="preserve">Ultimately, the findings emphasize the need for a multifaceted approach to tackling income inequality—one that combines progressive tax policies with broader socio-economic reforms and addresses the external challenges posed by globalization, technology, and </w:t>
      </w:r>
      <w:proofErr w:type="spellStart"/>
      <w:r w:rsidRPr="0039170A">
        <w:t>labor</w:t>
      </w:r>
      <w:proofErr w:type="spellEnd"/>
      <w:r w:rsidRPr="0039170A">
        <w:t xml:space="preserve"> market dynamics. By taking a comprehensive approach, countries like India can create a more equitable society, fostering inclusive economic growth and reducing the disparities that hinder long-term development.</w:t>
      </w:r>
    </w:p>
    <w:p w14:paraId="725235D9" w14:textId="77777777" w:rsidR="00CD2B09" w:rsidRDefault="00CD2B09" w:rsidP="005930F9">
      <w:pPr>
        <w:pStyle w:val="NormalWeb"/>
        <w:rPr>
          <w:b/>
          <w:bCs/>
        </w:rPr>
      </w:pPr>
      <w:r>
        <w:rPr>
          <w:b/>
          <w:bCs/>
        </w:rPr>
        <w:t>Reference:</w:t>
      </w:r>
    </w:p>
    <w:p w14:paraId="638EC17B" w14:textId="5DA0866F" w:rsidR="005930F9" w:rsidRPr="005930F9" w:rsidRDefault="005930F9" w:rsidP="005930F9">
      <w:pPr>
        <w:pStyle w:val="NormalWeb"/>
        <w:rPr>
          <w:b/>
          <w:bCs/>
        </w:rPr>
      </w:pPr>
      <w:r w:rsidRPr="005930F9">
        <w:rPr>
          <w:b/>
          <w:bCs/>
        </w:rPr>
        <w:t>Books and Reports</w:t>
      </w:r>
    </w:p>
    <w:p w14:paraId="76A17A46" w14:textId="2A2790F2" w:rsidR="005930F9" w:rsidRPr="005930F9" w:rsidRDefault="005930F9" w:rsidP="005930F9">
      <w:pPr>
        <w:pStyle w:val="NormalWeb"/>
        <w:numPr>
          <w:ilvl w:val="0"/>
          <w:numId w:val="9"/>
        </w:numPr>
      </w:pPr>
      <w:r w:rsidRPr="005930F9">
        <w:rPr>
          <w:b/>
          <w:bCs/>
        </w:rPr>
        <w:t>Piketty, T.</w:t>
      </w:r>
      <w:r w:rsidRPr="005930F9">
        <w:t xml:space="preserve"> (2014). </w:t>
      </w:r>
      <w:r w:rsidRPr="005930F9">
        <w:rPr>
          <w:i/>
          <w:iCs/>
        </w:rPr>
        <w:t>Capital in the Twenty-First Century</w:t>
      </w:r>
      <w:r w:rsidRPr="005930F9">
        <w:t>. Harvard University Press.</w:t>
      </w:r>
    </w:p>
    <w:p w14:paraId="2BDCD388" w14:textId="77777777" w:rsidR="005930F9" w:rsidRPr="005930F9" w:rsidRDefault="005930F9" w:rsidP="005930F9">
      <w:pPr>
        <w:pStyle w:val="NormalWeb"/>
        <w:ind w:left="1440"/>
      </w:pPr>
      <w:r w:rsidRPr="005930F9">
        <w:t>This book explores the dynamics of income and wealth inequality and offers a comprehensive analysis of how taxation and capital accumulation affect inequality over time.</w:t>
      </w:r>
    </w:p>
    <w:p w14:paraId="4C27F7B7" w14:textId="77777777" w:rsidR="005930F9" w:rsidRPr="005930F9" w:rsidRDefault="005930F9" w:rsidP="005930F9">
      <w:pPr>
        <w:pStyle w:val="NormalWeb"/>
        <w:rPr>
          <w:b/>
          <w:bCs/>
        </w:rPr>
      </w:pPr>
      <w:r w:rsidRPr="005930F9">
        <w:rPr>
          <w:b/>
          <w:bCs/>
        </w:rPr>
        <w:t>Journal Articles</w:t>
      </w:r>
    </w:p>
    <w:p w14:paraId="0F1417F0" w14:textId="7185C342" w:rsidR="005930F9" w:rsidRDefault="005930F9" w:rsidP="005930F9">
      <w:pPr>
        <w:pStyle w:val="NormalWeb"/>
        <w:numPr>
          <w:ilvl w:val="0"/>
          <w:numId w:val="8"/>
        </w:numPr>
      </w:pPr>
      <w:r w:rsidRPr="005930F9">
        <w:rPr>
          <w:b/>
          <w:bCs/>
        </w:rPr>
        <w:t>Das, R., &amp; Pradhan, P.</w:t>
      </w:r>
      <w:r w:rsidRPr="005930F9">
        <w:t xml:space="preserve"> (2017). "Taxation and Income Inequality in India: An Overview." </w:t>
      </w:r>
      <w:r w:rsidRPr="005930F9">
        <w:rPr>
          <w:i/>
          <w:iCs/>
        </w:rPr>
        <w:t>Indian Economic Review</w:t>
      </w:r>
      <w:r w:rsidRPr="005930F9">
        <w:t>, 52(1), 101-120.</w:t>
      </w:r>
    </w:p>
    <w:p w14:paraId="3C9912A3" w14:textId="4D3F6E1A" w:rsidR="005930F9" w:rsidRPr="005930F9" w:rsidRDefault="005930F9" w:rsidP="005930F9">
      <w:pPr>
        <w:pStyle w:val="NormalWeb"/>
        <w:ind w:left="720"/>
        <w:jc w:val="both"/>
      </w:pPr>
      <w:r>
        <w:t xml:space="preserve">     </w:t>
      </w:r>
      <w:r w:rsidRPr="005930F9">
        <w:t xml:space="preserve"> This article specifically focuses on the taxation system in India and its effects on </w:t>
      </w:r>
      <w:r>
        <w:t xml:space="preserve">      </w:t>
      </w:r>
      <w:r w:rsidRPr="005930F9">
        <w:t>income inequality.</w:t>
      </w:r>
    </w:p>
    <w:p w14:paraId="51CA0CD7" w14:textId="42A14C5D" w:rsidR="006B2A04" w:rsidRPr="00CD2B09" w:rsidRDefault="00CD2B09" w:rsidP="005930F9">
      <w:pPr>
        <w:pStyle w:val="NormalWeb"/>
        <w:rPr>
          <w:b/>
          <w:bCs/>
        </w:rPr>
      </w:pPr>
      <w:r w:rsidRPr="00CD2B09">
        <w:rPr>
          <w:b/>
          <w:bCs/>
        </w:rPr>
        <w:t>Reports and Working Papers</w:t>
      </w:r>
    </w:p>
    <w:p w14:paraId="601BDFD9" w14:textId="741C3B29" w:rsidR="00CD2B09" w:rsidRPr="00CD2B09" w:rsidRDefault="00CD2B09" w:rsidP="00CD2B09">
      <w:pPr>
        <w:pStyle w:val="NormalWeb"/>
      </w:pPr>
      <w:r w:rsidRPr="00CD2B09">
        <w:t xml:space="preserve"> World Bank. (2022). World Development Report 2022: Globalization, Technology, and the Future of Work.</w:t>
      </w:r>
    </w:p>
    <w:p w14:paraId="28677A8D" w14:textId="77777777" w:rsidR="00CD2B09" w:rsidRPr="00CD2B09" w:rsidRDefault="00CD2B09" w:rsidP="00CD2B09">
      <w:pPr>
        <w:pStyle w:val="NormalWeb"/>
        <w:ind w:left="720"/>
      </w:pPr>
      <w:r w:rsidRPr="00CD2B09">
        <w:t>This report explores how technological change and globalization affect income inequality across the globe, with specific insights for developing economies like India.</w:t>
      </w:r>
    </w:p>
    <w:p w14:paraId="24D52A39" w14:textId="2F15D247" w:rsidR="00CD2B09" w:rsidRPr="00CD2B09" w:rsidRDefault="00CD2B09" w:rsidP="00CD2B09">
      <w:pPr>
        <w:pStyle w:val="NormalWeb"/>
      </w:pPr>
      <w:r w:rsidRPr="00CD2B09">
        <w:lastRenderedPageBreak/>
        <w:t xml:space="preserve"> International</w:t>
      </w:r>
      <w:r w:rsidRPr="00CD2B09">
        <w:rPr>
          <w:b/>
          <w:bCs/>
        </w:rPr>
        <w:t xml:space="preserve"> </w:t>
      </w:r>
      <w:r w:rsidRPr="00CD2B09">
        <w:t>Monetary Fund (IMF</w:t>
      </w:r>
      <w:r w:rsidRPr="00CD2B09">
        <w:rPr>
          <w:b/>
          <w:bCs/>
        </w:rPr>
        <w:t>).</w:t>
      </w:r>
      <w:r w:rsidRPr="00CD2B09">
        <w:t xml:space="preserve"> (2021). </w:t>
      </w:r>
      <w:r w:rsidRPr="00CD2B09">
        <w:rPr>
          <w:i/>
          <w:iCs/>
        </w:rPr>
        <w:t>Fiscal Policy and Income Inequality</w:t>
      </w:r>
      <w:r w:rsidRPr="00CD2B09">
        <w:t>. IMF Working Paper WP/21/110.</w:t>
      </w:r>
    </w:p>
    <w:p w14:paraId="20C18CA0" w14:textId="77777777" w:rsidR="00CD2B09" w:rsidRDefault="00CD2B09" w:rsidP="00CD2B09">
      <w:pPr>
        <w:pStyle w:val="NormalWeb"/>
        <w:ind w:left="720"/>
      </w:pPr>
      <w:r w:rsidRPr="00CD2B09">
        <w:t>This working paper discusses how fiscal policies, particularly tax systems, influence income inequality in different countries.</w:t>
      </w:r>
    </w:p>
    <w:p w14:paraId="65BDFFB0" w14:textId="77777777" w:rsidR="00CD2B09" w:rsidRPr="00CD2B09" w:rsidRDefault="00CD2B09" w:rsidP="00CD2B09">
      <w:pPr>
        <w:pStyle w:val="NormalWeb"/>
        <w:rPr>
          <w:b/>
          <w:bCs/>
        </w:rPr>
      </w:pPr>
      <w:r w:rsidRPr="00CD2B09">
        <w:rPr>
          <w:b/>
          <w:bCs/>
        </w:rPr>
        <w:t>Websites and Data Sources</w:t>
      </w:r>
    </w:p>
    <w:p w14:paraId="4506FB46" w14:textId="77777777" w:rsidR="00CD2B09" w:rsidRPr="00CD2B09" w:rsidRDefault="00CD2B09" w:rsidP="00CD2B09">
      <w:pPr>
        <w:pStyle w:val="NormalWeb"/>
        <w:numPr>
          <w:ilvl w:val="0"/>
          <w:numId w:val="12"/>
        </w:numPr>
      </w:pPr>
      <w:r w:rsidRPr="00CD2B09">
        <w:t>Ministry of Finance, Government of India. (2023). Annual Economic Survey 2023. Retrieved from https://www.finmin.nic.in</w:t>
      </w:r>
    </w:p>
    <w:p w14:paraId="37E27B54" w14:textId="77777777" w:rsidR="00CD2B09" w:rsidRPr="00CD2B09" w:rsidRDefault="00CD2B09" w:rsidP="00CD2B09">
      <w:pPr>
        <w:pStyle w:val="NormalWeb"/>
        <w:numPr>
          <w:ilvl w:val="0"/>
          <w:numId w:val="13"/>
        </w:numPr>
      </w:pPr>
      <w:r w:rsidRPr="00CD2B09">
        <w:t>The official source of data and reports on India’s economic performance, taxation policies, and fiscal reforms.</w:t>
      </w:r>
    </w:p>
    <w:p w14:paraId="06A229A0" w14:textId="77777777" w:rsidR="00CD2B09" w:rsidRPr="00CD2B09" w:rsidRDefault="00CD2B09" w:rsidP="00CD2B09">
      <w:pPr>
        <w:pStyle w:val="NormalWeb"/>
        <w:numPr>
          <w:ilvl w:val="0"/>
          <w:numId w:val="14"/>
        </w:numPr>
      </w:pPr>
      <w:r w:rsidRPr="00CD2B09">
        <w:t>Reserve Bank of India (RBI</w:t>
      </w:r>
      <w:r w:rsidRPr="00CD2B09">
        <w:rPr>
          <w:b/>
          <w:bCs/>
        </w:rPr>
        <w:t>).</w:t>
      </w:r>
      <w:r w:rsidRPr="00CD2B09">
        <w:t xml:space="preserve"> (2022). </w:t>
      </w:r>
      <w:r w:rsidRPr="00CD2B09">
        <w:rPr>
          <w:i/>
          <w:iCs/>
        </w:rPr>
        <w:t>Annual Report 2022-2023</w:t>
      </w:r>
      <w:r w:rsidRPr="00CD2B09">
        <w:t xml:space="preserve">. Retrieved from </w:t>
      </w:r>
      <w:hyperlink r:id="rId9" w:tgtFrame="_new" w:history="1">
        <w:r w:rsidRPr="00CD2B09">
          <w:rPr>
            <w:rStyle w:val="Hyperlink"/>
          </w:rPr>
          <w:t>https://www.rbi.org.in</w:t>
        </w:r>
      </w:hyperlink>
    </w:p>
    <w:p w14:paraId="16238604" w14:textId="77777777" w:rsidR="00CD2B09" w:rsidRPr="00CD2B09" w:rsidRDefault="00CD2B09" w:rsidP="00CD2B09">
      <w:pPr>
        <w:pStyle w:val="NormalWeb"/>
        <w:numPr>
          <w:ilvl w:val="0"/>
          <w:numId w:val="15"/>
        </w:numPr>
      </w:pPr>
      <w:r w:rsidRPr="00CD2B09">
        <w:t>The RBI’s annual reports provide extensive data on India’s economic conditions, including income distribution and fiscal policies.</w:t>
      </w:r>
    </w:p>
    <w:p w14:paraId="3BB730F2" w14:textId="77777777" w:rsidR="00CD2B09" w:rsidRPr="00CD2B09" w:rsidRDefault="00CD2B09" w:rsidP="00CD2B09">
      <w:pPr>
        <w:pStyle w:val="NormalWeb"/>
        <w:ind w:left="720"/>
      </w:pPr>
    </w:p>
    <w:p w14:paraId="3AB38326" w14:textId="77777777" w:rsidR="00CD2B09" w:rsidRDefault="00CD2B09" w:rsidP="005930F9">
      <w:pPr>
        <w:pStyle w:val="NormalWeb"/>
      </w:pPr>
    </w:p>
    <w:p w14:paraId="653AD2D0" w14:textId="77777777" w:rsidR="006B2A04" w:rsidRPr="005400D7" w:rsidRDefault="006B2A04" w:rsidP="006B2A04">
      <w:pPr>
        <w:spacing w:line="276" w:lineRule="auto"/>
        <w:jc w:val="both"/>
        <w:rPr>
          <w:sz w:val="24"/>
          <w:szCs w:val="24"/>
        </w:rPr>
      </w:pPr>
    </w:p>
    <w:p w14:paraId="3AB6702B" w14:textId="77777777" w:rsidR="005400D7" w:rsidRPr="005C52BD" w:rsidRDefault="005400D7" w:rsidP="00F53811">
      <w:pPr>
        <w:spacing w:line="276" w:lineRule="auto"/>
        <w:jc w:val="both"/>
        <w:rPr>
          <w:sz w:val="24"/>
          <w:szCs w:val="24"/>
        </w:rPr>
      </w:pPr>
    </w:p>
    <w:sectPr w:rsidR="005400D7" w:rsidRPr="005C5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3792"/>
    <w:multiLevelType w:val="multilevel"/>
    <w:tmpl w:val="10BEB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F02DF"/>
    <w:multiLevelType w:val="multilevel"/>
    <w:tmpl w:val="A15A6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97B12"/>
    <w:multiLevelType w:val="multilevel"/>
    <w:tmpl w:val="66F6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C6B3A"/>
    <w:multiLevelType w:val="multilevel"/>
    <w:tmpl w:val="BD04B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F5ECE"/>
    <w:multiLevelType w:val="multilevel"/>
    <w:tmpl w:val="98FC93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60539"/>
    <w:multiLevelType w:val="multilevel"/>
    <w:tmpl w:val="383CBEF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249C3"/>
    <w:multiLevelType w:val="multilevel"/>
    <w:tmpl w:val="0F081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3F5DA4"/>
    <w:multiLevelType w:val="multilevel"/>
    <w:tmpl w:val="422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B28C6"/>
    <w:multiLevelType w:val="multilevel"/>
    <w:tmpl w:val="CD4A0D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557392"/>
    <w:multiLevelType w:val="hybridMultilevel"/>
    <w:tmpl w:val="F1A87722"/>
    <w:lvl w:ilvl="0" w:tplc="342CDAD0">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4C26A20"/>
    <w:multiLevelType w:val="multilevel"/>
    <w:tmpl w:val="4358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411FC2"/>
    <w:multiLevelType w:val="multilevel"/>
    <w:tmpl w:val="F4FA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243B71"/>
    <w:multiLevelType w:val="hybridMultilevel"/>
    <w:tmpl w:val="D22C80CC"/>
    <w:lvl w:ilvl="0" w:tplc="DF3460A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93E0B0D"/>
    <w:multiLevelType w:val="multilevel"/>
    <w:tmpl w:val="33B6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A55023"/>
    <w:multiLevelType w:val="multilevel"/>
    <w:tmpl w:val="242C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9206841">
    <w:abstractNumId w:val="0"/>
  </w:num>
  <w:num w:numId="2" w16cid:durableId="576400697">
    <w:abstractNumId w:val="2"/>
  </w:num>
  <w:num w:numId="3" w16cid:durableId="1203372225">
    <w:abstractNumId w:val="13"/>
  </w:num>
  <w:num w:numId="4" w16cid:durableId="552277130">
    <w:abstractNumId w:val="14"/>
  </w:num>
  <w:num w:numId="5" w16cid:durableId="1559824816">
    <w:abstractNumId w:val="8"/>
  </w:num>
  <w:num w:numId="6" w16cid:durableId="234634036">
    <w:abstractNumId w:val="4"/>
  </w:num>
  <w:num w:numId="7" w16cid:durableId="551119241">
    <w:abstractNumId w:val="7"/>
  </w:num>
  <w:num w:numId="8" w16cid:durableId="1473601372">
    <w:abstractNumId w:val="9"/>
  </w:num>
  <w:num w:numId="9" w16cid:durableId="660041688">
    <w:abstractNumId w:val="12"/>
  </w:num>
  <w:num w:numId="10" w16cid:durableId="303506714">
    <w:abstractNumId w:val="11"/>
  </w:num>
  <w:num w:numId="11" w16cid:durableId="1293708898">
    <w:abstractNumId w:val="3"/>
  </w:num>
  <w:num w:numId="12" w16cid:durableId="1709914811">
    <w:abstractNumId w:val="6"/>
  </w:num>
  <w:num w:numId="13" w16cid:durableId="1249927405">
    <w:abstractNumId w:val="10"/>
  </w:num>
  <w:num w:numId="14" w16cid:durableId="483930204">
    <w:abstractNumId w:val="5"/>
  </w:num>
  <w:num w:numId="15" w16cid:durableId="185215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47"/>
    <w:rsid w:val="000C2CE9"/>
    <w:rsid w:val="001159DE"/>
    <w:rsid w:val="002633AA"/>
    <w:rsid w:val="0027143D"/>
    <w:rsid w:val="0039170A"/>
    <w:rsid w:val="0043424E"/>
    <w:rsid w:val="005400D7"/>
    <w:rsid w:val="00576C0B"/>
    <w:rsid w:val="005814B9"/>
    <w:rsid w:val="0059162D"/>
    <w:rsid w:val="005930F9"/>
    <w:rsid w:val="005C52BD"/>
    <w:rsid w:val="006427B4"/>
    <w:rsid w:val="00674EC9"/>
    <w:rsid w:val="006B01A6"/>
    <w:rsid w:val="006B2A04"/>
    <w:rsid w:val="006E6739"/>
    <w:rsid w:val="00855DFE"/>
    <w:rsid w:val="00874973"/>
    <w:rsid w:val="009005B0"/>
    <w:rsid w:val="00AD1D94"/>
    <w:rsid w:val="00B108BA"/>
    <w:rsid w:val="00B1136F"/>
    <w:rsid w:val="00CD2B09"/>
    <w:rsid w:val="00D715D0"/>
    <w:rsid w:val="00D94147"/>
    <w:rsid w:val="00DD1733"/>
    <w:rsid w:val="00F538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FA52"/>
  <w15:chartTrackingRefBased/>
  <w15:docId w15:val="{E021BE62-A850-48E2-9D8B-81D5AF25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1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1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941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941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1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1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1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1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1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1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1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941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941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1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1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1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1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147"/>
    <w:rPr>
      <w:rFonts w:eastAsiaTheme="majorEastAsia" w:cstheme="majorBidi"/>
      <w:color w:val="272727" w:themeColor="text1" w:themeTint="D8"/>
    </w:rPr>
  </w:style>
  <w:style w:type="paragraph" w:styleId="Title">
    <w:name w:val="Title"/>
    <w:basedOn w:val="Normal"/>
    <w:next w:val="Normal"/>
    <w:link w:val="TitleChar"/>
    <w:uiPriority w:val="10"/>
    <w:qFormat/>
    <w:rsid w:val="00D941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1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1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1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147"/>
    <w:pPr>
      <w:spacing w:before="160"/>
      <w:jc w:val="center"/>
    </w:pPr>
    <w:rPr>
      <w:i/>
      <w:iCs/>
      <w:color w:val="404040" w:themeColor="text1" w:themeTint="BF"/>
    </w:rPr>
  </w:style>
  <w:style w:type="character" w:customStyle="1" w:styleId="QuoteChar">
    <w:name w:val="Quote Char"/>
    <w:basedOn w:val="DefaultParagraphFont"/>
    <w:link w:val="Quote"/>
    <w:uiPriority w:val="29"/>
    <w:rsid w:val="00D94147"/>
    <w:rPr>
      <w:i/>
      <w:iCs/>
      <w:color w:val="404040" w:themeColor="text1" w:themeTint="BF"/>
    </w:rPr>
  </w:style>
  <w:style w:type="paragraph" w:styleId="ListParagraph">
    <w:name w:val="List Paragraph"/>
    <w:basedOn w:val="Normal"/>
    <w:uiPriority w:val="34"/>
    <w:qFormat/>
    <w:rsid w:val="00D94147"/>
    <w:pPr>
      <w:ind w:left="720"/>
      <w:contextualSpacing/>
    </w:pPr>
  </w:style>
  <w:style w:type="character" w:styleId="IntenseEmphasis">
    <w:name w:val="Intense Emphasis"/>
    <w:basedOn w:val="DefaultParagraphFont"/>
    <w:uiPriority w:val="21"/>
    <w:qFormat/>
    <w:rsid w:val="00D94147"/>
    <w:rPr>
      <w:i/>
      <w:iCs/>
      <w:color w:val="0F4761" w:themeColor="accent1" w:themeShade="BF"/>
    </w:rPr>
  </w:style>
  <w:style w:type="paragraph" w:styleId="IntenseQuote">
    <w:name w:val="Intense Quote"/>
    <w:basedOn w:val="Normal"/>
    <w:next w:val="Normal"/>
    <w:link w:val="IntenseQuoteChar"/>
    <w:uiPriority w:val="30"/>
    <w:qFormat/>
    <w:rsid w:val="00D941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147"/>
    <w:rPr>
      <w:i/>
      <w:iCs/>
      <w:color w:val="0F4761" w:themeColor="accent1" w:themeShade="BF"/>
    </w:rPr>
  </w:style>
  <w:style w:type="character" w:styleId="IntenseReference">
    <w:name w:val="Intense Reference"/>
    <w:basedOn w:val="DefaultParagraphFont"/>
    <w:uiPriority w:val="32"/>
    <w:qFormat/>
    <w:rsid w:val="00D94147"/>
    <w:rPr>
      <w:b/>
      <w:bCs/>
      <w:smallCaps/>
      <w:color w:val="0F4761" w:themeColor="accent1" w:themeShade="BF"/>
      <w:spacing w:val="5"/>
    </w:rPr>
  </w:style>
  <w:style w:type="character" w:styleId="Strong">
    <w:name w:val="Strong"/>
    <w:basedOn w:val="DefaultParagraphFont"/>
    <w:uiPriority w:val="22"/>
    <w:qFormat/>
    <w:rsid w:val="006B2A04"/>
    <w:rPr>
      <w:b/>
      <w:bCs/>
    </w:rPr>
  </w:style>
  <w:style w:type="paragraph" w:styleId="NormalWeb">
    <w:name w:val="Normal (Web)"/>
    <w:basedOn w:val="Normal"/>
    <w:uiPriority w:val="99"/>
    <w:unhideWhenUsed/>
    <w:rsid w:val="006B2A0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55DFE"/>
    <w:rPr>
      <w:color w:val="467886" w:themeColor="hyperlink"/>
      <w:u w:val="single"/>
    </w:rPr>
  </w:style>
  <w:style w:type="character" w:styleId="UnresolvedMention">
    <w:name w:val="Unresolved Mention"/>
    <w:basedOn w:val="DefaultParagraphFont"/>
    <w:uiPriority w:val="99"/>
    <w:semiHidden/>
    <w:unhideWhenUsed/>
    <w:rsid w:val="00855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6492">
      <w:bodyDiv w:val="1"/>
      <w:marLeft w:val="0"/>
      <w:marRight w:val="0"/>
      <w:marTop w:val="0"/>
      <w:marBottom w:val="0"/>
      <w:divBdr>
        <w:top w:val="none" w:sz="0" w:space="0" w:color="auto"/>
        <w:left w:val="none" w:sz="0" w:space="0" w:color="auto"/>
        <w:bottom w:val="none" w:sz="0" w:space="0" w:color="auto"/>
        <w:right w:val="none" w:sz="0" w:space="0" w:color="auto"/>
      </w:divBdr>
    </w:div>
    <w:div w:id="23555047">
      <w:bodyDiv w:val="1"/>
      <w:marLeft w:val="0"/>
      <w:marRight w:val="0"/>
      <w:marTop w:val="0"/>
      <w:marBottom w:val="0"/>
      <w:divBdr>
        <w:top w:val="none" w:sz="0" w:space="0" w:color="auto"/>
        <w:left w:val="none" w:sz="0" w:space="0" w:color="auto"/>
        <w:bottom w:val="none" w:sz="0" w:space="0" w:color="auto"/>
        <w:right w:val="none" w:sz="0" w:space="0" w:color="auto"/>
      </w:divBdr>
      <w:divsChild>
        <w:div w:id="1781953707">
          <w:marLeft w:val="0"/>
          <w:marRight w:val="0"/>
          <w:marTop w:val="0"/>
          <w:marBottom w:val="0"/>
          <w:divBdr>
            <w:top w:val="none" w:sz="0" w:space="0" w:color="auto"/>
            <w:left w:val="none" w:sz="0" w:space="0" w:color="auto"/>
            <w:bottom w:val="none" w:sz="0" w:space="0" w:color="auto"/>
            <w:right w:val="none" w:sz="0" w:space="0" w:color="auto"/>
          </w:divBdr>
          <w:divsChild>
            <w:div w:id="643856548">
              <w:marLeft w:val="0"/>
              <w:marRight w:val="0"/>
              <w:marTop w:val="0"/>
              <w:marBottom w:val="0"/>
              <w:divBdr>
                <w:top w:val="none" w:sz="0" w:space="0" w:color="auto"/>
                <w:left w:val="none" w:sz="0" w:space="0" w:color="auto"/>
                <w:bottom w:val="none" w:sz="0" w:space="0" w:color="auto"/>
                <w:right w:val="none" w:sz="0" w:space="0" w:color="auto"/>
              </w:divBdr>
              <w:divsChild>
                <w:div w:id="1316760690">
                  <w:marLeft w:val="0"/>
                  <w:marRight w:val="0"/>
                  <w:marTop w:val="0"/>
                  <w:marBottom w:val="0"/>
                  <w:divBdr>
                    <w:top w:val="none" w:sz="0" w:space="0" w:color="auto"/>
                    <w:left w:val="none" w:sz="0" w:space="0" w:color="auto"/>
                    <w:bottom w:val="none" w:sz="0" w:space="0" w:color="auto"/>
                    <w:right w:val="none" w:sz="0" w:space="0" w:color="auto"/>
                  </w:divBdr>
                  <w:divsChild>
                    <w:div w:id="1826630611">
                      <w:marLeft w:val="0"/>
                      <w:marRight w:val="0"/>
                      <w:marTop w:val="0"/>
                      <w:marBottom w:val="0"/>
                      <w:divBdr>
                        <w:top w:val="none" w:sz="0" w:space="0" w:color="auto"/>
                        <w:left w:val="none" w:sz="0" w:space="0" w:color="auto"/>
                        <w:bottom w:val="none" w:sz="0" w:space="0" w:color="auto"/>
                        <w:right w:val="none" w:sz="0" w:space="0" w:color="auto"/>
                      </w:divBdr>
                      <w:divsChild>
                        <w:div w:id="1220243917">
                          <w:marLeft w:val="0"/>
                          <w:marRight w:val="0"/>
                          <w:marTop w:val="0"/>
                          <w:marBottom w:val="0"/>
                          <w:divBdr>
                            <w:top w:val="none" w:sz="0" w:space="0" w:color="auto"/>
                            <w:left w:val="none" w:sz="0" w:space="0" w:color="auto"/>
                            <w:bottom w:val="none" w:sz="0" w:space="0" w:color="auto"/>
                            <w:right w:val="none" w:sz="0" w:space="0" w:color="auto"/>
                          </w:divBdr>
                          <w:divsChild>
                            <w:div w:id="1791897231">
                              <w:marLeft w:val="0"/>
                              <w:marRight w:val="0"/>
                              <w:marTop w:val="0"/>
                              <w:marBottom w:val="0"/>
                              <w:divBdr>
                                <w:top w:val="none" w:sz="0" w:space="0" w:color="auto"/>
                                <w:left w:val="none" w:sz="0" w:space="0" w:color="auto"/>
                                <w:bottom w:val="none" w:sz="0" w:space="0" w:color="auto"/>
                                <w:right w:val="none" w:sz="0" w:space="0" w:color="auto"/>
                              </w:divBdr>
                              <w:divsChild>
                                <w:div w:id="74522892">
                                  <w:marLeft w:val="0"/>
                                  <w:marRight w:val="0"/>
                                  <w:marTop w:val="0"/>
                                  <w:marBottom w:val="0"/>
                                  <w:divBdr>
                                    <w:top w:val="none" w:sz="0" w:space="0" w:color="auto"/>
                                    <w:left w:val="none" w:sz="0" w:space="0" w:color="auto"/>
                                    <w:bottom w:val="none" w:sz="0" w:space="0" w:color="auto"/>
                                    <w:right w:val="none" w:sz="0" w:space="0" w:color="auto"/>
                                  </w:divBdr>
                                  <w:divsChild>
                                    <w:div w:id="42450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97169">
      <w:bodyDiv w:val="1"/>
      <w:marLeft w:val="0"/>
      <w:marRight w:val="0"/>
      <w:marTop w:val="0"/>
      <w:marBottom w:val="0"/>
      <w:divBdr>
        <w:top w:val="none" w:sz="0" w:space="0" w:color="auto"/>
        <w:left w:val="none" w:sz="0" w:space="0" w:color="auto"/>
        <w:bottom w:val="none" w:sz="0" w:space="0" w:color="auto"/>
        <w:right w:val="none" w:sz="0" w:space="0" w:color="auto"/>
      </w:divBdr>
    </w:div>
    <w:div w:id="203753503">
      <w:bodyDiv w:val="1"/>
      <w:marLeft w:val="0"/>
      <w:marRight w:val="0"/>
      <w:marTop w:val="0"/>
      <w:marBottom w:val="0"/>
      <w:divBdr>
        <w:top w:val="none" w:sz="0" w:space="0" w:color="auto"/>
        <w:left w:val="none" w:sz="0" w:space="0" w:color="auto"/>
        <w:bottom w:val="none" w:sz="0" w:space="0" w:color="auto"/>
        <w:right w:val="none" w:sz="0" w:space="0" w:color="auto"/>
      </w:divBdr>
    </w:div>
    <w:div w:id="242838524">
      <w:bodyDiv w:val="1"/>
      <w:marLeft w:val="0"/>
      <w:marRight w:val="0"/>
      <w:marTop w:val="0"/>
      <w:marBottom w:val="0"/>
      <w:divBdr>
        <w:top w:val="none" w:sz="0" w:space="0" w:color="auto"/>
        <w:left w:val="none" w:sz="0" w:space="0" w:color="auto"/>
        <w:bottom w:val="none" w:sz="0" w:space="0" w:color="auto"/>
        <w:right w:val="none" w:sz="0" w:space="0" w:color="auto"/>
      </w:divBdr>
    </w:div>
    <w:div w:id="256838694">
      <w:bodyDiv w:val="1"/>
      <w:marLeft w:val="0"/>
      <w:marRight w:val="0"/>
      <w:marTop w:val="0"/>
      <w:marBottom w:val="0"/>
      <w:divBdr>
        <w:top w:val="none" w:sz="0" w:space="0" w:color="auto"/>
        <w:left w:val="none" w:sz="0" w:space="0" w:color="auto"/>
        <w:bottom w:val="none" w:sz="0" w:space="0" w:color="auto"/>
        <w:right w:val="none" w:sz="0" w:space="0" w:color="auto"/>
      </w:divBdr>
    </w:div>
    <w:div w:id="290290947">
      <w:bodyDiv w:val="1"/>
      <w:marLeft w:val="0"/>
      <w:marRight w:val="0"/>
      <w:marTop w:val="0"/>
      <w:marBottom w:val="0"/>
      <w:divBdr>
        <w:top w:val="none" w:sz="0" w:space="0" w:color="auto"/>
        <w:left w:val="none" w:sz="0" w:space="0" w:color="auto"/>
        <w:bottom w:val="none" w:sz="0" w:space="0" w:color="auto"/>
        <w:right w:val="none" w:sz="0" w:space="0" w:color="auto"/>
      </w:divBdr>
    </w:div>
    <w:div w:id="411053341">
      <w:bodyDiv w:val="1"/>
      <w:marLeft w:val="0"/>
      <w:marRight w:val="0"/>
      <w:marTop w:val="0"/>
      <w:marBottom w:val="0"/>
      <w:divBdr>
        <w:top w:val="none" w:sz="0" w:space="0" w:color="auto"/>
        <w:left w:val="none" w:sz="0" w:space="0" w:color="auto"/>
        <w:bottom w:val="none" w:sz="0" w:space="0" w:color="auto"/>
        <w:right w:val="none" w:sz="0" w:space="0" w:color="auto"/>
      </w:divBdr>
    </w:div>
    <w:div w:id="524750541">
      <w:bodyDiv w:val="1"/>
      <w:marLeft w:val="0"/>
      <w:marRight w:val="0"/>
      <w:marTop w:val="0"/>
      <w:marBottom w:val="0"/>
      <w:divBdr>
        <w:top w:val="none" w:sz="0" w:space="0" w:color="auto"/>
        <w:left w:val="none" w:sz="0" w:space="0" w:color="auto"/>
        <w:bottom w:val="none" w:sz="0" w:space="0" w:color="auto"/>
        <w:right w:val="none" w:sz="0" w:space="0" w:color="auto"/>
      </w:divBdr>
      <w:divsChild>
        <w:div w:id="571234321">
          <w:marLeft w:val="0"/>
          <w:marRight w:val="0"/>
          <w:marTop w:val="0"/>
          <w:marBottom w:val="0"/>
          <w:divBdr>
            <w:top w:val="none" w:sz="0" w:space="0" w:color="auto"/>
            <w:left w:val="none" w:sz="0" w:space="0" w:color="auto"/>
            <w:bottom w:val="none" w:sz="0" w:space="0" w:color="auto"/>
            <w:right w:val="none" w:sz="0" w:space="0" w:color="auto"/>
          </w:divBdr>
          <w:divsChild>
            <w:div w:id="1471677775">
              <w:marLeft w:val="0"/>
              <w:marRight w:val="0"/>
              <w:marTop w:val="0"/>
              <w:marBottom w:val="0"/>
              <w:divBdr>
                <w:top w:val="none" w:sz="0" w:space="0" w:color="auto"/>
                <w:left w:val="none" w:sz="0" w:space="0" w:color="auto"/>
                <w:bottom w:val="none" w:sz="0" w:space="0" w:color="auto"/>
                <w:right w:val="none" w:sz="0" w:space="0" w:color="auto"/>
              </w:divBdr>
              <w:divsChild>
                <w:div w:id="1222014076">
                  <w:marLeft w:val="0"/>
                  <w:marRight w:val="0"/>
                  <w:marTop w:val="0"/>
                  <w:marBottom w:val="0"/>
                  <w:divBdr>
                    <w:top w:val="none" w:sz="0" w:space="0" w:color="auto"/>
                    <w:left w:val="none" w:sz="0" w:space="0" w:color="auto"/>
                    <w:bottom w:val="none" w:sz="0" w:space="0" w:color="auto"/>
                    <w:right w:val="none" w:sz="0" w:space="0" w:color="auto"/>
                  </w:divBdr>
                  <w:divsChild>
                    <w:div w:id="2049790660">
                      <w:marLeft w:val="0"/>
                      <w:marRight w:val="0"/>
                      <w:marTop w:val="0"/>
                      <w:marBottom w:val="0"/>
                      <w:divBdr>
                        <w:top w:val="none" w:sz="0" w:space="0" w:color="auto"/>
                        <w:left w:val="none" w:sz="0" w:space="0" w:color="auto"/>
                        <w:bottom w:val="none" w:sz="0" w:space="0" w:color="auto"/>
                        <w:right w:val="none" w:sz="0" w:space="0" w:color="auto"/>
                      </w:divBdr>
                      <w:divsChild>
                        <w:div w:id="1517646242">
                          <w:marLeft w:val="0"/>
                          <w:marRight w:val="0"/>
                          <w:marTop w:val="0"/>
                          <w:marBottom w:val="0"/>
                          <w:divBdr>
                            <w:top w:val="none" w:sz="0" w:space="0" w:color="auto"/>
                            <w:left w:val="none" w:sz="0" w:space="0" w:color="auto"/>
                            <w:bottom w:val="none" w:sz="0" w:space="0" w:color="auto"/>
                            <w:right w:val="none" w:sz="0" w:space="0" w:color="auto"/>
                          </w:divBdr>
                          <w:divsChild>
                            <w:div w:id="1611279185">
                              <w:marLeft w:val="0"/>
                              <w:marRight w:val="0"/>
                              <w:marTop w:val="0"/>
                              <w:marBottom w:val="0"/>
                              <w:divBdr>
                                <w:top w:val="none" w:sz="0" w:space="0" w:color="auto"/>
                                <w:left w:val="none" w:sz="0" w:space="0" w:color="auto"/>
                                <w:bottom w:val="none" w:sz="0" w:space="0" w:color="auto"/>
                                <w:right w:val="none" w:sz="0" w:space="0" w:color="auto"/>
                              </w:divBdr>
                              <w:divsChild>
                                <w:div w:id="2130779300">
                                  <w:marLeft w:val="0"/>
                                  <w:marRight w:val="0"/>
                                  <w:marTop w:val="0"/>
                                  <w:marBottom w:val="0"/>
                                  <w:divBdr>
                                    <w:top w:val="none" w:sz="0" w:space="0" w:color="auto"/>
                                    <w:left w:val="none" w:sz="0" w:space="0" w:color="auto"/>
                                    <w:bottom w:val="none" w:sz="0" w:space="0" w:color="auto"/>
                                    <w:right w:val="none" w:sz="0" w:space="0" w:color="auto"/>
                                  </w:divBdr>
                                  <w:divsChild>
                                    <w:div w:id="58006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347801">
      <w:bodyDiv w:val="1"/>
      <w:marLeft w:val="0"/>
      <w:marRight w:val="0"/>
      <w:marTop w:val="0"/>
      <w:marBottom w:val="0"/>
      <w:divBdr>
        <w:top w:val="none" w:sz="0" w:space="0" w:color="auto"/>
        <w:left w:val="none" w:sz="0" w:space="0" w:color="auto"/>
        <w:bottom w:val="none" w:sz="0" w:space="0" w:color="auto"/>
        <w:right w:val="none" w:sz="0" w:space="0" w:color="auto"/>
      </w:divBdr>
    </w:div>
    <w:div w:id="761027443">
      <w:bodyDiv w:val="1"/>
      <w:marLeft w:val="0"/>
      <w:marRight w:val="0"/>
      <w:marTop w:val="0"/>
      <w:marBottom w:val="0"/>
      <w:divBdr>
        <w:top w:val="none" w:sz="0" w:space="0" w:color="auto"/>
        <w:left w:val="none" w:sz="0" w:space="0" w:color="auto"/>
        <w:bottom w:val="none" w:sz="0" w:space="0" w:color="auto"/>
        <w:right w:val="none" w:sz="0" w:space="0" w:color="auto"/>
      </w:divBdr>
    </w:div>
    <w:div w:id="799153991">
      <w:bodyDiv w:val="1"/>
      <w:marLeft w:val="0"/>
      <w:marRight w:val="0"/>
      <w:marTop w:val="0"/>
      <w:marBottom w:val="0"/>
      <w:divBdr>
        <w:top w:val="none" w:sz="0" w:space="0" w:color="auto"/>
        <w:left w:val="none" w:sz="0" w:space="0" w:color="auto"/>
        <w:bottom w:val="none" w:sz="0" w:space="0" w:color="auto"/>
        <w:right w:val="none" w:sz="0" w:space="0" w:color="auto"/>
      </w:divBdr>
    </w:div>
    <w:div w:id="971711490">
      <w:bodyDiv w:val="1"/>
      <w:marLeft w:val="0"/>
      <w:marRight w:val="0"/>
      <w:marTop w:val="0"/>
      <w:marBottom w:val="0"/>
      <w:divBdr>
        <w:top w:val="none" w:sz="0" w:space="0" w:color="auto"/>
        <w:left w:val="none" w:sz="0" w:space="0" w:color="auto"/>
        <w:bottom w:val="none" w:sz="0" w:space="0" w:color="auto"/>
        <w:right w:val="none" w:sz="0" w:space="0" w:color="auto"/>
      </w:divBdr>
    </w:div>
    <w:div w:id="1102265345">
      <w:bodyDiv w:val="1"/>
      <w:marLeft w:val="0"/>
      <w:marRight w:val="0"/>
      <w:marTop w:val="0"/>
      <w:marBottom w:val="0"/>
      <w:divBdr>
        <w:top w:val="none" w:sz="0" w:space="0" w:color="auto"/>
        <w:left w:val="none" w:sz="0" w:space="0" w:color="auto"/>
        <w:bottom w:val="none" w:sz="0" w:space="0" w:color="auto"/>
        <w:right w:val="none" w:sz="0" w:space="0" w:color="auto"/>
      </w:divBdr>
    </w:div>
    <w:div w:id="1116680202">
      <w:bodyDiv w:val="1"/>
      <w:marLeft w:val="0"/>
      <w:marRight w:val="0"/>
      <w:marTop w:val="0"/>
      <w:marBottom w:val="0"/>
      <w:divBdr>
        <w:top w:val="none" w:sz="0" w:space="0" w:color="auto"/>
        <w:left w:val="none" w:sz="0" w:space="0" w:color="auto"/>
        <w:bottom w:val="none" w:sz="0" w:space="0" w:color="auto"/>
        <w:right w:val="none" w:sz="0" w:space="0" w:color="auto"/>
      </w:divBdr>
    </w:div>
    <w:div w:id="1134954122">
      <w:bodyDiv w:val="1"/>
      <w:marLeft w:val="0"/>
      <w:marRight w:val="0"/>
      <w:marTop w:val="0"/>
      <w:marBottom w:val="0"/>
      <w:divBdr>
        <w:top w:val="none" w:sz="0" w:space="0" w:color="auto"/>
        <w:left w:val="none" w:sz="0" w:space="0" w:color="auto"/>
        <w:bottom w:val="none" w:sz="0" w:space="0" w:color="auto"/>
        <w:right w:val="none" w:sz="0" w:space="0" w:color="auto"/>
      </w:divBdr>
    </w:div>
    <w:div w:id="1219829372">
      <w:bodyDiv w:val="1"/>
      <w:marLeft w:val="0"/>
      <w:marRight w:val="0"/>
      <w:marTop w:val="0"/>
      <w:marBottom w:val="0"/>
      <w:divBdr>
        <w:top w:val="none" w:sz="0" w:space="0" w:color="auto"/>
        <w:left w:val="none" w:sz="0" w:space="0" w:color="auto"/>
        <w:bottom w:val="none" w:sz="0" w:space="0" w:color="auto"/>
        <w:right w:val="none" w:sz="0" w:space="0" w:color="auto"/>
      </w:divBdr>
    </w:div>
    <w:div w:id="1292983539">
      <w:bodyDiv w:val="1"/>
      <w:marLeft w:val="0"/>
      <w:marRight w:val="0"/>
      <w:marTop w:val="0"/>
      <w:marBottom w:val="0"/>
      <w:divBdr>
        <w:top w:val="none" w:sz="0" w:space="0" w:color="auto"/>
        <w:left w:val="none" w:sz="0" w:space="0" w:color="auto"/>
        <w:bottom w:val="none" w:sz="0" w:space="0" w:color="auto"/>
        <w:right w:val="none" w:sz="0" w:space="0" w:color="auto"/>
      </w:divBdr>
    </w:div>
    <w:div w:id="1310593081">
      <w:bodyDiv w:val="1"/>
      <w:marLeft w:val="0"/>
      <w:marRight w:val="0"/>
      <w:marTop w:val="0"/>
      <w:marBottom w:val="0"/>
      <w:divBdr>
        <w:top w:val="none" w:sz="0" w:space="0" w:color="auto"/>
        <w:left w:val="none" w:sz="0" w:space="0" w:color="auto"/>
        <w:bottom w:val="none" w:sz="0" w:space="0" w:color="auto"/>
        <w:right w:val="none" w:sz="0" w:space="0" w:color="auto"/>
      </w:divBdr>
    </w:div>
    <w:div w:id="1399936628">
      <w:bodyDiv w:val="1"/>
      <w:marLeft w:val="0"/>
      <w:marRight w:val="0"/>
      <w:marTop w:val="0"/>
      <w:marBottom w:val="0"/>
      <w:divBdr>
        <w:top w:val="none" w:sz="0" w:space="0" w:color="auto"/>
        <w:left w:val="none" w:sz="0" w:space="0" w:color="auto"/>
        <w:bottom w:val="none" w:sz="0" w:space="0" w:color="auto"/>
        <w:right w:val="none" w:sz="0" w:space="0" w:color="auto"/>
      </w:divBdr>
    </w:div>
    <w:div w:id="1404183193">
      <w:bodyDiv w:val="1"/>
      <w:marLeft w:val="0"/>
      <w:marRight w:val="0"/>
      <w:marTop w:val="0"/>
      <w:marBottom w:val="0"/>
      <w:divBdr>
        <w:top w:val="none" w:sz="0" w:space="0" w:color="auto"/>
        <w:left w:val="none" w:sz="0" w:space="0" w:color="auto"/>
        <w:bottom w:val="none" w:sz="0" w:space="0" w:color="auto"/>
        <w:right w:val="none" w:sz="0" w:space="0" w:color="auto"/>
      </w:divBdr>
      <w:divsChild>
        <w:div w:id="1765951231">
          <w:marLeft w:val="0"/>
          <w:marRight w:val="0"/>
          <w:marTop w:val="0"/>
          <w:marBottom w:val="0"/>
          <w:divBdr>
            <w:top w:val="none" w:sz="0" w:space="0" w:color="auto"/>
            <w:left w:val="none" w:sz="0" w:space="0" w:color="auto"/>
            <w:bottom w:val="none" w:sz="0" w:space="0" w:color="auto"/>
            <w:right w:val="none" w:sz="0" w:space="0" w:color="auto"/>
          </w:divBdr>
          <w:divsChild>
            <w:div w:id="1734548711">
              <w:marLeft w:val="0"/>
              <w:marRight w:val="0"/>
              <w:marTop w:val="0"/>
              <w:marBottom w:val="0"/>
              <w:divBdr>
                <w:top w:val="none" w:sz="0" w:space="0" w:color="auto"/>
                <w:left w:val="none" w:sz="0" w:space="0" w:color="auto"/>
                <w:bottom w:val="none" w:sz="0" w:space="0" w:color="auto"/>
                <w:right w:val="none" w:sz="0" w:space="0" w:color="auto"/>
              </w:divBdr>
              <w:divsChild>
                <w:div w:id="1890415170">
                  <w:marLeft w:val="0"/>
                  <w:marRight w:val="0"/>
                  <w:marTop w:val="0"/>
                  <w:marBottom w:val="0"/>
                  <w:divBdr>
                    <w:top w:val="none" w:sz="0" w:space="0" w:color="auto"/>
                    <w:left w:val="none" w:sz="0" w:space="0" w:color="auto"/>
                    <w:bottom w:val="none" w:sz="0" w:space="0" w:color="auto"/>
                    <w:right w:val="none" w:sz="0" w:space="0" w:color="auto"/>
                  </w:divBdr>
                  <w:divsChild>
                    <w:div w:id="356273314">
                      <w:marLeft w:val="0"/>
                      <w:marRight w:val="0"/>
                      <w:marTop w:val="0"/>
                      <w:marBottom w:val="0"/>
                      <w:divBdr>
                        <w:top w:val="none" w:sz="0" w:space="0" w:color="auto"/>
                        <w:left w:val="none" w:sz="0" w:space="0" w:color="auto"/>
                        <w:bottom w:val="none" w:sz="0" w:space="0" w:color="auto"/>
                        <w:right w:val="none" w:sz="0" w:space="0" w:color="auto"/>
                      </w:divBdr>
                      <w:divsChild>
                        <w:div w:id="490024143">
                          <w:marLeft w:val="0"/>
                          <w:marRight w:val="0"/>
                          <w:marTop w:val="0"/>
                          <w:marBottom w:val="0"/>
                          <w:divBdr>
                            <w:top w:val="none" w:sz="0" w:space="0" w:color="auto"/>
                            <w:left w:val="none" w:sz="0" w:space="0" w:color="auto"/>
                            <w:bottom w:val="none" w:sz="0" w:space="0" w:color="auto"/>
                            <w:right w:val="none" w:sz="0" w:space="0" w:color="auto"/>
                          </w:divBdr>
                          <w:divsChild>
                            <w:div w:id="1958439504">
                              <w:marLeft w:val="0"/>
                              <w:marRight w:val="0"/>
                              <w:marTop w:val="0"/>
                              <w:marBottom w:val="0"/>
                              <w:divBdr>
                                <w:top w:val="none" w:sz="0" w:space="0" w:color="auto"/>
                                <w:left w:val="none" w:sz="0" w:space="0" w:color="auto"/>
                                <w:bottom w:val="none" w:sz="0" w:space="0" w:color="auto"/>
                                <w:right w:val="none" w:sz="0" w:space="0" w:color="auto"/>
                              </w:divBdr>
                              <w:divsChild>
                                <w:div w:id="389429041">
                                  <w:marLeft w:val="0"/>
                                  <w:marRight w:val="0"/>
                                  <w:marTop w:val="0"/>
                                  <w:marBottom w:val="0"/>
                                  <w:divBdr>
                                    <w:top w:val="none" w:sz="0" w:space="0" w:color="auto"/>
                                    <w:left w:val="none" w:sz="0" w:space="0" w:color="auto"/>
                                    <w:bottom w:val="none" w:sz="0" w:space="0" w:color="auto"/>
                                    <w:right w:val="none" w:sz="0" w:space="0" w:color="auto"/>
                                  </w:divBdr>
                                  <w:divsChild>
                                    <w:div w:id="101831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373352">
      <w:bodyDiv w:val="1"/>
      <w:marLeft w:val="0"/>
      <w:marRight w:val="0"/>
      <w:marTop w:val="0"/>
      <w:marBottom w:val="0"/>
      <w:divBdr>
        <w:top w:val="none" w:sz="0" w:space="0" w:color="auto"/>
        <w:left w:val="none" w:sz="0" w:space="0" w:color="auto"/>
        <w:bottom w:val="none" w:sz="0" w:space="0" w:color="auto"/>
        <w:right w:val="none" w:sz="0" w:space="0" w:color="auto"/>
      </w:divBdr>
    </w:div>
    <w:div w:id="1499230742">
      <w:bodyDiv w:val="1"/>
      <w:marLeft w:val="0"/>
      <w:marRight w:val="0"/>
      <w:marTop w:val="0"/>
      <w:marBottom w:val="0"/>
      <w:divBdr>
        <w:top w:val="none" w:sz="0" w:space="0" w:color="auto"/>
        <w:left w:val="none" w:sz="0" w:space="0" w:color="auto"/>
        <w:bottom w:val="none" w:sz="0" w:space="0" w:color="auto"/>
        <w:right w:val="none" w:sz="0" w:space="0" w:color="auto"/>
      </w:divBdr>
    </w:div>
    <w:div w:id="1600482534">
      <w:bodyDiv w:val="1"/>
      <w:marLeft w:val="0"/>
      <w:marRight w:val="0"/>
      <w:marTop w:val="0"/>
      <w:marBottom w:val="0"/>
      <w:divBdr>
        <w:top w:val="none" w:sz="0" w:space="0" w:color="auto"/>
        <w:left w:val="none" w:sz="0" w:space="0" w:color="auto"/>
        <w:bottom w:val="none" w:sz="0" w:space="0" w:color="auto"/>
        <w:right w:val="none" w:sz="0" w:space="0" w:color="auto"/>
      </w:divBdr>
    </w:div>
    <w:div w:id="1699575281">
      <w:bodyDiv w:val="1"/>
      <w:marLeft w:val="0"/>
      <w:marRight w:val="0"/>
      <w:marTop w:val="0"/>
      <w:marBottom w:val="0"/>
      <w:divBdr>
        <w:top w:val="none" w:sz="0" w:space="0" w:color="auto"/>
        <w:left w:val="none" w:sz="0" w:space="0" w:color="auto"/>
        <w:bottom w:val="none" w:sz="0" w:space="0" w:color="auto"/>
        <w:right w:val="none" w:sz="0" w:space="0" w:color="auto"/>
      </w:divBdr>
      <w:divsChild>
        <w:div w:id="1789352168">
          <w:marLeft w:val="0"/>
          <w:marRight w:val="0"/>
          <w:marTop w:val="0"/>
          <w:marBottom w:val="0"/>
          <w:divBdr>
            <w:top w:val="none" w:sz="0" w:space="0" w:color="auto"/>
            <w:left w:val="none" w:sz="0" w:space="0" w:color="auto"/>
            <w:bottom w:val="none" w:sz="0" w:space="0" w:color="auto"/>
            <w:right w:val="none" w:sz="0" w:space="0" w:color="auto"/>
          </w:divBdr>
          <w:divsChild>
            <w:div w:id="1527282576">
              <w:marLeft w:val="0"/>
              <w:marRight w:val="0"/>
              <w:marTop w:val="0"/>
              <w:marBottom w:val="0"/>
              <w:divBdr>
                <w:top w:val="none" w:sz="0" w:space="0" w:color="auto"/>
                <w:left w:val="none" w:sz="0" w:space="0" w:color="auto"/>
                <w:bottom w:val="none" w:sz="0" w:space="0" w:color="auto"/>
                <w:right w:val="none" w:sz="0" w:space="0" w:color="auto"/>
              </w:divBdr>
              <w:divsChild>
                <w:div w:id="1230073412">
                  <w:marLeft w:val="0"/>
                  <w:marRight w:val="0"/>
                  <w:marTop w:val="0"/>
                  <w:marBottom w:val="0"/>
                  <w:divBdr>
                    <w:top w:val="none" w:sz="0" w:space="0" w:color="auto"/>
                    <w:left w:val="none" w:sz="0" w:space="0" w:color="auto"/>
                    <w:bottom w:val="none" w:sz="0" w:space="0" w:color="auto"/>
                    <w:right w:val="none" w:sz="0" w:space="0" w:color="auto"/>
                  </w:divBdr>
                  <w:divsChild>
                    <w:div w:id="1589197997">
                      <w:marLeft w:val="0"/>
                      <w:marRight w:val="0"/>
                      <w:marTop w:val="0"/>
                      <w:marBottom w:val="0"/>
                      <w:divBdr>
                        <w:top w:val="none" w:sz="0" w:space="0" w:color="auto"/>
                        <w:left w:val="none" w:sz="0" w:space="0" w:color="auto"/>
                        <w:bottom w:val="none" w:sz="0" w:space="0" w:color="auto"/>
                        <w:right w:val="none" w:sz="0" w:space="0" w:color="auto"/>
                      </w:divBdr>
                      <w:divsChild>
                        <w:div w:id="401222391">
                          <w:marLeft w:val="0"/>
                          <w:marRight w:val="0"/>
                          <w:marTop w:val="0"/>
                          <w:marBottom w:val="0"/>
                          <w:divBdr>
                            <w:top w:val="none" w:sz="0" w:space="0" w:color="auto"/>
                            <w:left w:val="none" w:sz="0" w:space="0" w:color="auto"/>
                            <w:bottom w:val="none" w:sz="0" w:space="0" w:color="auto"/>
                            <w:right w:val="none" w:sz="0" w:space="0" w:color="auto"/>
                          </w:divBdr>
                          <w:divsChild>
                            <w:div w:id="969823966">
                              <w:marLeft w:val="0"/>
                              <w:marRight w:val="0"/>
                              <w:marTop w:val="0"/>
                              <w:marBottom w:val="0"/>
                              <w:divBdr>
                                <w:top w:val="none" w:sz="0" w:space="0" w:color="auto"/>
                                <w:left w:val="none" w:sz="0" w:space="0" w:color="auto"/>
                                <w:bottom w:val="none" w:sz="0" w:space="0" w:color="auto"/>
                                <w:right w:val="none" w:sz="0" w:space="0" w:color="auto"/>
                              </w:divBdr>
                              <w:divsChild>
                                <w:div w:id="1730034036">
                                  <w:marLeft w:val="0"/>
                                  <w:marRight w:val="0"/>
                                  <w:marTop w:val="0"/>
                                  <w:marBottom w:val="0"/>
                                  <w:divBdr>
                                    <w:top w:val="none" w:sz="0" w:space="0" w:color="auto"/>
                                    <w:left w:val="none" w:sz="0" w:space="0" w:color="auto"/>
                                    <w:bottom w:val="none" w:sz="0" w:space="0" w:color="auto"/>
                                    <w:right w:val="none" w:sz="0" w:space="0" w:color="auto"/>
                                  </w:divBdr>
                                  <w:divsChild>
                                    <w:div w:id="13467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5599536">
      <w:bodyDiv w:val="1"/>
      <w:marLeft w:val="0"/>
      <w:marRight w:val="0"/>
      <w:marTop w:val="0"/>
      <w:marBottom w:val="0"/>
      <w:divBdr>
        <w:top w:val="none" w:sz="0" w:space="0" w:color="auto"/>
        <w:left w:val="none" w:sz="0" w:space="0" w:color="auto"/>
        <w:bottom w:val="none" w:sz="0" w:space="0" w:color="auto"/>
        <w:right w:val="none" w:sz="0" w:space="0" w:color="auto"/>
      </w:divBdr>
    </w:div>
    <w:div w:id="1707175405">
      <w:bodyDiv w:val="1"/>
      <w:marLeft w:val="0"/>
      <w:marRight w:val="0"/>
      <w:marTop w:val="0"/>
      <w:marBottom w:val="0"/>
      <w:divBdr>
        <w:top w:val="none" w:sz="0" w:space="0" w:color="auto"/>
        <w:left w:val="none" w:sz="0" w:space="0" w:color="auto"/>
        <w:bottom w:val="none" w:sz="0" w:space="0" w:color="auto"/>
        <w:right w:val="none" w:sz="0" w:space="0" w:color="auto"/>
      </w:divBdr>
    </w:div>
    <w:div w:id="1741752980">
      <w:bodyDiv w:val="1"/>
      <w:marLeft w:val="0"/>
      <w:marRight w:val="0"/>
      <w:marTop w:val="0"/>
      <w:marBottom w:val="0"/>
      <w:divBdr>
        <w:top w:val="none" w:sz="0" w:space="0" w:color="auto"/>
        <w:left w:val="none" w:sz="0" w:space="0" w:color="auto"/>
        <w:bottom w:val="none" w:sz="0" w:space="0" w:color="auto"/>
        <w:right w:val="none" w:sz="0" w:space="0" w:color="auto"/>
      </w:divBdr>
      <w:divsChild>
        <w:div w:id="1687755767">
          <w:marLeft w:val="0"/>
          <w:marRight w:val="0"/>
          <w:marTop w:val="0"/>
          <w:marBottom w:val="0"/>
          <w:divBdr>
            <w:top w:val="none" w:sz="0" w:space="0" w:color="auto"/>
            <w:left w:val="none" w:sz="0" w:space="0" w:color="auto"/>
            <w:bottom w:val="none" w:sz="0" w:space="0" w:color="auto"/>
            <w:right w:val="none" w:sz="0" w:space="0" w:color="auto"/>
          </w:divBdr>
          <w:divsChild>
            <w:div w:id="1303805817">
              <w:marLeft w:val="0"/>
              <w:marRight w:val="0"/>
              <w:marTop w:val="0"/>
              <w:marBottom w:val="0"/>
              <w:divBdr>
                <w:top w:val="none" w:sz="0" w:space="0" w:color="auto"/>
                <w:left w:val="none" w:sz="0" w:space="0" w:color="auto"/>
                <w:bottom w:val="none" w:sz="0" w:space="0" w:color="auto"/>
                <w:right w:val="none" w:sz="0" w:space="0" w:color="auto"/>
              </w:divBdr>
              <w:divsChild>
                <w:div w:id="831944864">
                  <w:marLeft w:val="0"/>
                  <w:marRight w:val="0"/>
                  <w:marTop w:val="0"/>
                  <w:marBottom w:val="0"/>
                  <w:divBdr>
                    <w:top w:val="none" w:sz="0" w:space="0" w:color="auto"/>
                    <w:left w:val="none" w:sz="0" w:space="0" w:color="auto"/>
                    <w:bottom w:val="none" w:sz="0" w:space="0" w:color="auto"/>
                    <w:right w:val="none" w:sz="0" w:space="0" w:color="auto"/>
                  </w:divBdr>
                  <w:divsChild>
                    <w:div w:id="1947425806">
                      <w:marLeft w:val="0"/>
                      <w:marRight w:val="0"/>
                      <w:marTop w:val="0"/>
                      <w:marBottom w:val="0"/>
                      <w:divBdr>
                        <w:top w:val="none" w:sz="0" w:space="0" w:color="auto"/>
                        <w:left w:val="none" w:sz="0" w:space="0" w:color="auto"/>
                        <w:bottom w:val="none" w:sz="0" w:space="0" w:color="auto"/>
                        <w:right w:val="none" w:sz="0" w:space="0" w:color="auto"/>
                      </w:divBdr>
                      <w:divsChild>
                        <w:div w:id="1565026955">
                          <w:marLeft w:val="0"/>
                          <w:marRight w:val="0"/>
                          <w:marTop w:val="0"/>
                          <w:marBottom w:val="0"/>
                          <w:divBdr>
                            <w:top w:val="none" w:sz="0" w:space="0" w:color="auto"/>
                            <w:left w:val="none" w:sz="0" w:space="0" w:color="auto"/>
                            <w:bottom w:val="none" w:sz="0" w:space="0" w:color="auto"/>
                            <w:right w:val="none" w:sz="0" w:space="0" w:color="auto"/>
                          </w:divBdr>
                          <w:divsChild>
                            <w:div w:id="420183355">
                              <w:marLeft w:val="0"/>
                              <w:marRight w:val="0"/>
                              <w:marTop w:val="0"/>
                              <w:marBottom w:val="0"/>
                              <w:divBdr>
                                <w:top w:val="none" w:sz="0" w:space="0" w:color="auto"/>
                                <w:left w:val="none" w:sz="0" w:space="0" w:color="auto"/>
                                <w:bottom w:val="none" w:sz="0" w:space="0" w:color="auto"/>
                                <w:right w:val="none" w:sz="0" w:space="0" w:color="auto"/>
                              </w:divBdr>
                              <w:divsChild>
                                <w:div w:id="1131095140">
                                  <w:marLeft w:val="0"/>
                                  <w:marRight w:val="0"/>
                                  <w:marTop w:val="0"/>
                                  <w:marBottom w:val="0"/>
                                  <w:divBdr>
                                    <w:top w:val="none" w:sz="0" w:space="0" w:color="auto"/>
                                    <w:left w:val="none" w:sz="0" w:space="0" w:color="auto"/>
                                    <w:bottom w:val="none" w:sz="0" w:space="0" w:color="auto"/>
                                    <w:right w:val="none" w:sz="0" w:space="0" w:color="auto"/>
                                  </w:divBdr>
                                  <w:divsChild>
                                    <w:div w:id="11886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825697">
      <w:bodyDiv w:val="1"/>
      <w:marLeft w:val="0"/>
      <w:marRight w:val="0"/>
      <w:marTop w:val="0"/>
      <w:marBottom w:val="0"/>
      <w:divBdr>
        <w:top w:val="none" w:sz="0" w:space="0" w:color="auto"/>
        <w:left w:val="none" w:sz="0" w:space="0" w:color="auto"/>
        <w:bottom w:val="none" w:sz="0" w:space="0" w:color="auto"/>
        <w:right w:val="none" w:sz="0" w:space="0" w:color="auto"/>
      </w:divBdr>
    </w:div>
    <w:div w:id="1782409278">
      <w:bodyDiv w:val="1"/>
      <w:marLeft w:val="0"/>
      <w:marRight w:val="0"/>
      <w:marTop w:val="0"/>
      <w:marBottom w:val="0"/>
      <w:divBdr>
        <w:top w:val="none" w:sz="0" w:space="0" w:color="auto"/>
        <w:left w:val="none" w:sz="0" w:space="0" w:color="auto"/>
        <w:bottom w:val="none" w:sz="0" w:space="0" w:color="auto"/>
        <w:right w:val="none" w:sz="0" w:space="0" w:color="auto"/>
      </w:divBdr>
      <w:divsChild>
        <w:div w:id="431898027">
          <w:marLeft w:val="0"/>
          <w:marRight w:val="0"/>
          <w:marTop w:val="0"/>
          <w:marBottom w:val="0"/>
          <w:divBdr>
            <w:top w:val="none" w:sz="0" w:space="0" w:color="auto"/>
            <w:left w:val="none" w:sz="0" w:space="0" w:color="auto"/>
            <w:bottom w:val="none" w:sz="0" w:space="0" w:color="auto"/>
            <w:right w:val="none" w:sz="0" w:space="0" w:color="auto"/>
          </w:divBdr>
          <w:divsChild>
            <w:div w:id="172427569">
              <w:marLeft w:val="0"/>
              <w:marRight w:val="0"/>
              <w:marTop w:val="0"/>
              <w:marBottom w:val="0"/>
              <w:divBdr>
                <w:top w:val="none" w:sz="0" w:space="0" w:color="auto"/>
                <w:left w:val="none" w:sz="0" w:space="0" w:color="auto"/>
                <w:bottom w:val="none" w:sz="0" w:space="0" w:color="auto"/>
                <w:right w:val="none" w:sz="0" w:space="0" w:color="auto"/>
              </w:divBdr>
              <w:divsChild>
                <w:div w:id="1037389279">
                  <w:marLeft w:val="0"/>
                  <w:marRight w:val="0"/>
                  <w:marTop w:val="0"/>
                  <w:marBottom w:val="0"/>
                  <w:divBdr>
                    <w:top w:val="none" w:sz="0" w:space="0" w:color="auto"/>
                    <w:left w:val="none" w:sz="0" w:space="0" w:color="auto"/>
                    <w:bottom w:val="none" w:sz="0" w:space="0" w:color="auto"/>
                    <w:right w:val="none" w:sz="0" w:space="0" w:color="auto"/>
                  </w:divBdr>
                  <w:divsChild>
                    <w:div w:id="411850856">
                      <w:marLeft w:val="0"/>
                      <w:marRight w:val="0"/>
                      <w:marTop w:val="0"/>
                      <w:marBottom w:val="0"/>
                      <w:divBdr>
                        <w:top w:val="none" w:sz="0" w:space="0" w:color="auto"/>
                        <w:left w:val="none" w:sz="0" w:space="0" w:color="auto"/>
                        <w:bottom w:val="none" w:sz="0" w:space="0" w:color="auto"/>
                        <w:right w:val="none" w:sz="0" w:space="0" w:color="auto"/>
                      </w:divBdr>
                      <w:divsChild>
                        <w:div w:id="887179033">
                          <w:marLeft w:val="0"/>
                          <w:marRight w:val="0"/>
                          <w:marTop w:val="0"/>
                          <w:marBottom w:val="0"/>
                          <w:divBdr>
                            <w:top w:val="none" w:sz="0" w:space="0" w:color="auto"/>
                            <w:left w:val="none" w:sz="0" w:space="0" w:color="auto"/>
                            <w:bottom w:val="none" w:sz="0" w:space="0" w:color="auto"/>
                            <w:right w:val="none" w:sz="0" w:space="0" w:color="auto"/>
                          </w:divBdr>
                          <w:divsChild>
                            <w:div w:id="1871450665">
                              <w:marLeft w:val="0"/>
                              <w:marRight w:val="0"/>
                              <w:marTop w:val="0"/>
                              <w:marBottom w:val="0"/>
                              <w:divBdr>
                                <w:top w:val="none" w:sz="0" w:space="0" w:color="auto"/>
                                <w:left w:val="none" w:sz="0" w:space="0" w:color="auto"/>
                                <w:bottom w:val="none" w:sz="0" w:space="0" w:color="auto"/>
                                <w:right w:val="none" w:sz="0" w:space="0" w:color="auto"/>
                              </w:divBdr>
                              <w:divsChild>
                                <w:div w:id="1894001720">
                                  <w:marLeft w:val="0"/>
                                  <w:marRight w:val="0"/>
                                  <w:marTop w:val="0"/>
                                  <w:marBottom w:val="0"/>
                                  <w:divBdr>
                                    <w:top w:val="none" w:sz="0" w:space="0" w:color="auto"/>
                                    <w:left w:val="none" w:sz="0" w:space="0" w:color="auto"/>
                                    <w:bottom w:val="none" w:sz="0" w:space="0" w:color="auto"/>
                                    <w:right w:val="none" w:sz="0" w:space="0" w:color="auto"/>
                                  </w:divBdr>
                                  <w:divsChild>
                                    <w:div w:id="417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99245">
      <w:bodyDiv w:val="1"/>
      <w:marLeft w:val="0"/>
      <w:marRight w:val="0"/>
      <w:marTop w:val="0"/>
      <w:marBottom w:val="0"/>
      <w:divBdr>
        <w:top w:val="none" w:sz="0" w:space="0" w:color="auto"/>
        <w:left w:val="none" w:sz="0" w:space="0" w:color="auto"/>
        <w:bottom w:val="none" w:sz="0" w:space="0" w:color="auto"/>
        <w:right w:val="none" w:sz="0" w:space="0" w:color="auto"/>
      </w:divBdr>
    </w:div>
    <w:div w:id="201321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 TargetMode="External"/><Relationship Id="rId3" Type="http://schemas.openxmlformats.org/officeDocument/2006/relationships/settings" Target="settings.xml"/><Relationship Id="rId7" Type="http://schemas.openxmlformats.org/officeDocument/2006/relationships/hyperlink" Target="https://www.oec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worldbank.org/" TargetMode="External"/><Relationship Id="rId11" Type="http://schemas.openxmlformats.org/officeDocument/2006/relationships/theme" Target="theme/theme1.xml"/><Relationship Id="rId5" Type="http://schemas.openxmlformats.org/officeDocument/2006/relationships/hyperlink" Target="https://www.rbi.org.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sheebasfj@gmail.com</dc:creator>
  <cp:keywords/>
  <dc:description/>
  <cp:lastModifiedBy>rndssprojects@gmail.com</cp:lastModifiedBy>
  <cp:revision>2</cp:revision>
  <dcterms:created xsi:type="dcterms:W3CDTF">2025-03-24T14:54:00Z</dcterms:created>
  <dcterms:modified xsi:type="dcterms:W3CDTF">2025-03-24T14:54:00Z</dcterms:modified>
</cp:coreProperties>
</file>