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4D071">
      <w:pPr>
        <w:ind w:left="800" w:right="-1292" w:rightChars="-646" w:hanging="800" w:hangingChars="250"/>
        <w:rPr>
          <w:rFonts w:hint="default" w:ascii="Times New Roman" w:hAnsi="Times New Roman" w:eastAsia="SimSun" w:cs="Times New Roman"/>
          <w:b/>
          <w:bCs/>
          <w:sz w:val="28"/>
          <w:szCs w:val="28"/>
        </w:rPr>
      </w:pPr>
      <w:r>
        <w:rPr>
          <w:rFonts w:hint="default" w:ascii="Times New Roman" w:hAnsi="Times New Roman" w:cs="Times New Roman"/>
          <w:b/>
          <w:bCs/>
          <w:sz w:val="32"/>
          <w:szCs w:val="32"/>
          <w:lang w:val="en-IN"/>
        </w:rPr>
        <w:t xml:space="preserve">   </w:t>
      </w:r>
      <w:r>
        <w:rPr>
          <w:rFonts w:hint="default" w:ascii="Times New Roman" w:hAnsi="Times New Roman" w:eastAsia="SimSun" w:cs="Times New Roman"/>
          <w:b/>
          <w:bCs/>
          <w:sz w:val="28"/>
          <w:szCs w:val="28"/>
        </w:rPr>
        <w:t xml:space="preserve">EXPLORING T4 BACTERIOPHAGE AS A THERAPEUTIC </w:t>
      </w:r>
    </w:p>
    <w:p w14:paraId="00684357">
      <w:pPr>
        <w:ind w:left="1119" w:leftChars="419" w:right="-1292" w:rightChars="-646" w:hanging="281" w:hangingChars="100"/>
        <w:rPr>
          <w:rFonts w:hint="default" w:ascii="Times New Roman" w:hAnsi="Times New Roman" w:eastAsia="SimSun" w:cs="Times New Roman"/>
          <w:b/>
          <w:bCs/>
          <w:sz w:val="28"/>
          <w:szCs w:val="28"/>
          <w:lang w:val="en-IN"/>
        </w:rPr>
      </w:pPr>
      <w:r>
        <w:rPr>
          <w:rFonts w:hint="default" w:ascii="Times New Roman" w:hAnsi="Times New Roman" w:eastAsia="SimSun" w:cs="Times New Roman"/>
          <w:b/>
          <w:bCs/>
          <w:sz w:val="28"/>
          <w:szCs w:val="28"/>
        </w:rPr>
        <w:t xml:space="preserve">AGENTS FOR FOOT AND MOUTH DISEASE IN </w:t>
      </w:r>
      <w:r>
        <w:rPr>
          <w:rFonts w:hint="default" w:ascii="Times New Roman" w:hAnsi="Times New Roman" w:eastAsia="SimSun" w:cs="Times New Roman"/>
          <w:b/>
          <w:bCs/>
          <w:sz w:val="28"/>
          <w:szCs w:val="28"/>
          <w:lang w:val="en-IN"/>
        </w:rPr>
        <w:t xml:space="preserve">     </w:t>
      </w:r>
    </w:p>
    <w:p w14:paraId="39A36696">
      <w:pPr>
        <w:ind w:left="1119" w:leftChars="419" w:right="-1292" w:rightChars="-646" w:hanging="281" w:hangingChars="100"/>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lang w:val="en-IN"/>
        </w:rPr>
        <w:t xml:space="preserve">                 </w:t>
      </w:r>
      <w:r>
        <w:rPr>
          <w:rFonts w:hint="default" w:ascii="Times New Roman" w:hAnsi="Times New Roman" w:eastAsia="SimSun" w:cs="Times New Roman"/>
          <w:b/>
          <w:bCs/>
          <w:sz w:val="28"/>
          <w:szCs w:val="28"/>
        </w:rPr>
        <w:t>VETERINARY MEDICINE</w:t>
      </w:r>
    </w:p>
    <w:p w14:paraId="6DF78C97">
      <w:pPr>
        <w:ind w:right="-1292" w:rightChars="-646"/>
        <w:rPr>
          <w:rFonts w:hint="default" w:ascii="Times New Roman" w:hAnsi="Times New Roman" w:eastAsia="SimSun" w:cs="Times New Roman"/>
          <w:b w:val="0"/>
          <w:bCs w:val="0"/>
          <w:sz w:val="24"/>
          <w:szCs w:val="24"/>
          <w:lang w:val="en-IN"/>
        </w:rPr>
      </w:pPr>
    </w:p>
    <w:p w14:paraId="1087A5B3">
      <w:pPr>
        <w:ind w:right="-1292" w:rightChars="-646" w:firstLine="1560" w:firstLineChars="650"/>
        <w:rPr>
          <w:rFonts w:hint="default" w:ascii="Times New Roman" w:hAnsi="Times New Roman" w:eastAsia="SimSun" w:cs="Times New Roman"/>
          <w:b w:val="0"/>
          <w:bCs w:val="0"/>
          <w:sz w:val="24"/>
          <w:szCs w:val="24"/>
          <w:vertAlign w:val="baseline"/>
          <w:lang w:val="en-IN"/>
        </w:rPr>
      </w:pPr>
      <w:r>
        <w:rPr>
          <w:rFonts w:hint="default" w:ascii="Times New Roman" w:hAnsi="Times New Roman" w:eastAsia="SimSun" w:cs="Times New Roman"/>
          <w:b w:val="0"/>
          <w:bCs w:val="0"/>
          <w:sz w:val="24"/>
          <w:szCs w:val="24"/>
          <w:lang w:val="en-IN"/>
        </w:rPr>
        <w:t>S.Rishikesh</w:t>
      </w:r>
      <w:r>
        <w:rPr>
          <w:rFonts w:hint="default" w:ascii="Times New Roman" w:hAnsi="Times New Roman" w:eastAsia="SimSun" w:cs="Times New Roman"/>
          <w:b w:val="0"/>
          <w:bCs w:val="0"/>
          <w:sz w:val="24"/>
          <w:szCs w:val="24"/>
          <w:vertAlign w:val="superscript"/>
          <w:lang w:val="en-IN"/>
        </w:rPr>
        <w:t>1</w:t>
      </w:r>
      <w:r>
        <w:rPr>
          <w:rFonts w:hint="default" w:ascii="Times New Roman" w:hAnsi="Times New Roman" w:eastAsia="SimSun" w:cs="Times New Roman"/>
          <w:b w:val="0"/>
          <w:bCs w:val="0"/>
          <w:sz w:val="24"/>
          <w:szCs w:val="24"/>
          <w:vertAlign w:val="baseline"/>
          <w:lang w:val="en-IN"/>
        </w:rPr>
        <w:t>,   P.Rahul</w:t>
      </w:r>
      <w:r>
        <w:rPr>
          <w:rFonts w:hint="default" w:ascii="Times New Roman" w:hAnsi="Times New Roman" w:eastAsia="SimSun" w:cs="Times New Roman"/>
          <w:b w:val="0"/>
          <w:bCs w:val="0"/>
          <w:sz w:val="24"/>
          <w:szCs w:val="24"/>
          <w:vertAlign w:val="superscript"/>
          <w:lang w:val="en-IN"/>
        </w:rPr>
        <w:t>2</w:t>
      </w:r>
      <w:r>
        <w:rPr>
          <w:rFonts w:hint="default" w:ascii="Times New Roman" w:hAnsi="Times New Roman" w:eastAsia="SimSun" w:cs="Times New Roman"/>
          <w:b w:val="0"/>
          <w:bCs w:val="0"/>
          <w:sz w:val="24"/>
          <w:szCs w:val="24"/>
          <w:vertAlign w:val="baseline"/>
          <w:lang w:val="en-IN"/>
        </w:rPr>
        <w:t>, S.Logeshwaran</w:t>
      </w:r>
      <w:r>
        <w:rPr>
          <w:rFonts w:hint="default" w:ascii="Times New Roman" w:hAnsi="Times New Roman" w:eastAsia="SimSun" w:cs="Times New Roman"/>
          <w:b w:val="0"/>
          <w:bCs w:val="0"/>
          <w:sz w:val="24"/>
          <w:szCs w:val="24"/>
          <w:vertAlign w:val="superscript"/>
          <w:lang w:val="en-IN"/>
        </w:rPr>
        <w:t>3</w:t>
      </w:r>
      <w:r>
        <w:rPr>
          <w:rFonts w:hint="default" w:ascii="Times New Roman" w:hAnsi="Times New Roman" w:eastAsia="SimSun" w:cs="Times New Roman"/>
          <w:b w:val="0"/>
          <w:bCs w:val="0"/>
          <w:sz w:val="24"/>
          <w:szCs w:val="24"/>
          <w:vertAlign w:val="baseline"/>
          <w:lang w:val="en-IN"/>
        </w:rPr>
        <w:t>,S.Ponnusamy</w:t>
      </w:r>
      <w:r>
        <w:rPr>
          <w:rFonts w:hint="default" w:ascii="Times New Roman" w:hAnsi="Times New Roman" w:eastAsia="SimSun" w:cs="Times New Roman"/>
          <w:b w:val="0"/>
          <w:bCs w:val="0"/>
          <w:sz w:val="24"/>
          <w:szCs w:val="24"/>
          <w:vertAlign w:val="superscript"/>
          <w:lang w:val="en-IN"/>
        </w:rPr>
        <w:t>4</w:t>
      </w:r>
      <w:r>
        <w:rPr>
          <w:rFonts w:hint="default" w:ascii="Times New Roman" w:hAnsi="Times New Roman" w:eastAsia="SimSun" w:cs="Times New Roman"/>
          <w:b w:val="0"/>
          <w:bCs w:val="0"/>
          <w:sz w:val="24"/>
          <w:szCs w:val="24"/>
          <w:vertAlign w:val="baseline"/>
          <w:lang w:val="en-IN"/>
        </w:rPr>
        <w:t>,</w:t>
      </w:r>
    </w:p>
    <w:p w14:paraId="28686116">
      <w:pPr>
        <w:ind w:left="-600" w:leftChars="-300" w:right="-1292" w:rightChars="-646" w:firstLine="0" w:firstLineChars="0"/>
        <w:rPr>
          <w:rFonts w:hint="default" w:ascii="Times New Roman" w:hAnsi="Times New Roman" w:cs="Times New Roman"/>
          <w:b/>
          <w:bCs/>
          <w:sz w:val="28"/>
          <w:szCs w:val="28"/>
          <w:lang w:val="en-IN"/>
        </w:rPr>
      </w:pPr>
    </w:p>
    <w:p w14:paraId="2F1D7329">
      <w:pPr>
        <w:ind w:left="-600" w:leftChars="-300" w:right="-1292" w:rightChars="-646" w:firstLine="0" w:firstLineChars="0"/>
        <w:rPr>
          <w:rFonts w:hint="default" w:ascii="Times New Roman" w:hAnsi="Times New Roman" w:cs="Times New Roman"/>
          <w:b/>
          <w:bCs/>
          <w:sz w:val="28"/>
          <w:szCs w:val="28"/>
          <w:lang w:val="en-IN"/>
        </w:rPr>
      </w:pPr>
    </w:p>
    <w:p w14:paraId="31B04A9A">
      <w:pPr>
        <w:ind w:left="-600" w:leftChars="-300" w:right="-1292" w:rightChars="-646" w:firstLine="0" w:firstLineChars="0"/>
        <w:rPr>
          <w:rFonts w:hint="default" w:ascii="Times New Roman" w:hAnsi="Times New Roman" w:cs="Times New Roman"/>
          <w:b/>
          <w:bCs/>
          <w:sz w:val="28"/>
          <w:szCs w:val="28"/>
          <w:lang w:val="en-IN"/>
        </w:rPr>
      </w:pPr>
      <w:r>
        <w:rPr>
          <w:rFonts w:hint="default" w:ascii="Times New Roman" w:hAnsi="Times New Roman" w:cs="Times New Roman"/>
          <w:b/>
          <w:bCs/>
          <w:sz w:val="28"/>
          <w:szCs w:val="28"/>
          <w:lang w:val="en-IN"/>
        </w:rPr>
        <w:t>ABSTRACT:</w:t>
      </w:r>
    </w:p>
    <w:p w14:paraId="20477D47">
      <w:pPr>
        <w:ind w:left="-600" w:leftChars="-300" w:right="-1292" w:rightChars="-646" w:firstLine="0" w:firstLineChars="0"/>
        <w:rPr>
          <w:rFonts w:hint="default" w:ascii="Times New Roman" w:hAnsi="Times New Roman" w:cs="Times New Roman"/>
          <w:b/>
          <w:bCs/>
          <w:sz w:val="28"/>
          <w:szCs w:val="28"/>
          <w:lang w:val="en-IN"/>
        </w:rPr>
      </w:pPr>
    </w:p>
    <w:p w14:paraId="40B547C3">
      <w:pPr>
        <w:spacing w:line="360" w:lineRule="auto"/>
        <w:ind w:left="-1000" w:leftChars="-500" w:right="-1292" w:rightChars="-646" w:firstLine="1401" w:firstLineChars="500"/>
        <w:jc w:val="both"/>
        <w:rPr>
          <w:rFonts w:hint="default" w:ascii="Times New Roman" w:hAnsi="Times New Roman"/>
          <w:b w:val="0"/>
          <w:bCs w:val="0"/>
          <w:sz w:val="24"/>
          <w:szCs w:val="24"/>
          <w:lang w:val="en-IN"/>
        </w:rPr>
      </w:pPr>
      <w:r>
        <w:rPr>
          <w:rFonts w:hint="default" w:ascii="Times New Roman" w:hAnsi="Times New Roman" w:cs="Times New Roman"/>
          <w:b/>
          <w:bCs/>
          <w:sz w:val="28"/>
          <w:szCs w:val="28"/>
          <w:lang w:val="en-IN"/>
        </w:rPr>
        <w:t xml:space="preserve">                    </w:t>
      </w:r>
      <w:r>
        <w:rPr>
          <w:rFonts w:hint="default" w:ascii="Times New Roman" w:hAnsi="Times New Roman"/>
          <w:b w:val="0"/>
          <w:bCs w:val="0"/>
          <w:sz w:val="24"/>
          <w:szCs w:val="24"/>
          <w:lang w:val="en-IN"/>
        </w:rPr>
        <w:t xml:space="preserve">Foot-and-Mouth Disease (FMD) is a highly contagious viral disease affecting cloven-hoofed animals, causing significant economic losses worldwide. Secondary bacterial infections often complicate the disease, exacerbating clinical symptoms and hindering recovery. The overuse of antibiotics to manage these infections contributes to the growing threat of antimicrobial resistance (AMR). This study explores the potential of T4 bacteriophages as therapeutic agents for </w:t>
      </w:r>
      <w:bookmarkStart w:id="0" w:name="_GoBack"/>
      <w:bookmarkEnd w:id="0"/>
      <w:r>
        <w:rPr>
          <w:rFonts w:hint="default" w:ascii="Times New Roman" w:hAnsi="Times New Roman"/>
          <w:b w:val="0"/>
          <w:bCs w:val="0"/>
          <w:sz w:val="24"/>
          <w:szCs w:val="24"/>
          <w:lang w:val="en-IN"/>
        </w:rPr>
        <w:t>controlling secondary bacterial infections in FMD-affected livestock.The research focuses on isolating and characterizing T4 bacteriophages targeting bacterial pathogens commonly associated with FMD lesions. Phages are evaluated for their lytic efficacy, host range, and stability under various environmental conditions. The study also investigates the development of phage cocktails to enhance therapeutic effectiveness and reduce bacterial resistance. Preliminary in vitro and in vivo experiments assess the safety, efficacy, and compatibility of T4 bacteriophage therapy with existing FMD management practices.The findings aim to demonstrate the potential of T4 bacteriophages as a sustainable and targeted alternative to antibiotics in veterinary medicine. By addressing the challenges of AMR and improving animal health outcomes, this study contributes to the development of innovative approaches for managing infectious diseases in livestock.</w:t>
      </w:r>
    </w:p>
    <w:p w14:paraId="082F97E3">
      <w:pPr>
        <w:spacing w:line="360" w:lineRule="auto"/>
        <w:ind w:left="-1001" w:leftChars="-600" w:right="-1292" w:rightChars="-646" w:hanging="199" w:hangingChars="83"/>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 xml:space="preserve">   </w:t>
      </w:r>
      <w:r>
        <w:rPr>
          <w:rFonts w:hint="default" w:ascii="Times New Roman" w:hAnsi="Times New Roman"/>
          <w:b/>
          <w:bCs/>
          <w:sz w:val="24"/>
          <w:szCs w:val="24"/>
          <w:lang w:val="en-IN"/>
        </w:rPr>
        <w:t xml:space="preserve">KEYWORDS:  </w:t>
      </w:r>
      <w:r>
        <w:rPr>
          <w:rFonts w:hint="default" w:ascii="Times New Roman" w:hAnsi="Times New Roman"/>
          <w:b w:val="0"/>
          <w:bCs w:val="0"/>
          <w:sz w:val="24"/>
          <w:szCs w:val="24"/>
          <w:lang w:val="en-IN"/>
        </w:rPr>
        <w:t>FMD,  T4 Bacteriophages , Antimicrobial  resistance AMR.</w:t>
      </w:r>
    </w:p>
    <w:p w14:paraId="15FD4B50">
      <w:pPr>
        <w:spacing w:line="360" w:lineRule="auto"/>
        <w:ind w:left="-1000" w:leftChars="-500" w:right="-1292" w:rightChars="-646" w:firstLine="1200" w:firstLineChars="500"/>
        <w:jc w:val="both"/>
        <w:rPr>
          <w:rFonts w:hint="default" w:ascii="Times New Roman" w:hAnsi="Times New Roman"/>
          <w:b w:val="0"/>
          <w:bCs w:val="0"/>
          <w:sz w:val="24"/>
          <w:szCs w:val="24"/>
          <w:lang w:val="en-IN"/>
        </w:rPr>
      </w:pPr>
    </w:p>
    <w:p w14:paraId="4CFCE8F8">
      <w:pPr>
        <w:spacing w:line="360" w:lineRule="auto"/>
        <w:ind w:left="-1000" w:leftChars="-500" w:right="-1292" w:rightChars="-646" w:firstLine="0" w:firstLineChars="0"/>
        <w:jc w:val="both"/>
        <w:rPr>
          <w:rFonts w:hint="default" w:ascii="Times New Roman" w:hAnsi="Times New Roman"/>
          <w:b/>
          <w:bCs/>
          <w:sz w:val="28"/>
          <w:szCs w:val="28"/>
          <w:lang w:val="en-IN"/>
        </w:rPr>
      </w:pPr>
      <w:r>
        <w:rPr>
          <w:rFonts w:hint="default" w:ascii="Times New Roman" w:hAnsi="Times New Roman"/>
          <w:b/>
          <w:bCs/>
          <w:sz w:val="28"/>
          <w:szCs w:val="28"/>
          <w:lang w:val="en-IN"/>
        </w:rPr>
        <w:t>INTRODUCTION:</w:t>
      </w:r>
    </w:p>
    <w:p w14:paraId="6A015436">
      <w:pPr>
        <w:spacing w:line="360" w:lineRule="auto"/>
        <w:ind w:left="-1000" w:leftChars="-500" w:right="-1292" w:rightChars="-646" w:firstLine="0" w:firstLineChars="0"/>
        <w:jc w:val="both"/>
        <w:rPr>
          <w:rFonts w:hint="default" w:ascii="Times New Roman" w:hAnsi="Times New Roman"/>
          <w:b w:val="0"/>
          <w:bCs w:val="0"/>
          <w:sz w:val="24"/>
          <w:szCs w:val="24"/>
          <w:lang w:val="en-IN"/>
        </w:rPr>
      </w:pPr>
      <w:r>
        <w:rPr>
          <w:rFonts w:hint="default" w:ascii="Times New Roman" w:hAnsi="Times New Roman"/>
          <w:b/>
          <w:bCs/>
          <w:sz w:val="28"/>
          <w:szCs w:val="28"/>
          <w:lang w:val="en-IN"/>
        </w:rPr>
        <w:t xml:space="preserve">                                   </w:t>
      </w:r>
      <w:r>
        <w:rPr>
          <w:rFonts w:hint="default" w:ascii="Times New Roman" w:hAnsi="Times New Roman"/>
          <w:b w:val="0"/>
          <w:bCs w:val="0"/>
          <w:sz w:val="24"/>
          <w:szCs w:val="24"/>
          <w:lang w:val="en-IN"/>
        </w:rPr>
        <w:t>Foot-and-Mouth Disease (FMD) is a viral disease that affects cloven-hoofed animals, including cattle, pigs, sheep, goats, and wild ungulates. It is caused by the Foot-and-Mouth Disease Virus (FMDV), a member of the genus Aphthovirus within the family Picornaviridae. The disease is characterized by fever, vesicular lesions in the mouth, feet, and udder, lameness, and a significant decline in productivity. Due to its rapid spread and severe economic impact, FMD is considered one of the most important transboundary animal diseases globally.The economic losses associated with FMD are immense, arising from reduced milk production, weight loss, increased mortality in young animals, trade restrictions, and the high costs of vaccination and disease control measures. FMD outbreaks can cause widespread disruption to the livestock industry, particularly in countries that rely heavily on animal agriculture for income and food security.</w:t>
      </w:r>
    </w:p>
    <w:p w14:paraId="6F581B9E">
      <w:pPr>
        <w:spacing w:line="360" w:lineRule="auto"/>
        <w:ind w:left="-1000" w:leftChars="-500" w:right="-1292" w:rightChars="-646" w:firstLine="0" w:firstLineChars="0"/>
        <w:jc w:val="both"/>
        <w:rPr>
          <w:rFonts w:hint="default" w:ascii="Times New Roman" w:hAnsi="Times New Roman"/>
          <w:b w:val="0"/>
          <w:bCs w:val="0"/>
          <w:sz w:val="24"/>
          <w:szCs w:val="24"/>
          <w:lang w:val="en-IN"/>
        </w:rPr>
      </w:pPr>
    </w:p>
    <w:p w14:paraId="506C6A89">
      <w:pPr>
        <w:spacing w:line="360" w:lineRule="auto"/>
        <w:ind w:left="-1000" w:leftChars="-500" w:right="-1292" w:rightChars="-646" w:firstLine="960" w:firstLineChars="40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FMDV is highly transmissible and can spread through direct contact with infected animals, contaminated equipment, aerosols, and even fomites such as clothing and vehicles. The virus exists in seven distinct serotypes (O, A, C, Asia 1, SAT 1, SAT 2, and SAT 3), each with numerous subtypes, complicating vaccine development and control strategies. The lack of cross-protection between serotypes means that vaccines must be tailored to specific regional outbreaks.In addition to its primary viral effects, FMD often predisposes animals to secondary bacterial infections. These infections exacerbate clinical signs, delay recovery, and increase animal mortality. Managing these complications often involves antibiotics, but their overuse contributes to the growing threat of antimicrobial resistance (AMR), posing challenges to both veterinary and public health.Controlling FMD requires a multifaceted approach, including vaccination, biosecurity measures, and prompt outbreak management. Despite these efforts, the persistent threat of FMD underscores the need for innovative and sustainable strategies to complement existing control methods. Veterinary research continues to explore novel approaches, such as the use of advanced vaccines, diagnostic tools, and alternative therapies like bacteriophages, to address the challenges posed by this disease.</w:t>
      </w:r>
    </w:p>
    <w:p w14:paraId="659C5439">
      <w:pPr>
        <w:spacing w:line="360" w:lineRule="auto"/>
        <w:ind w:left="-1000" w:leftChars="-500" w:right="-1292" w:rightChars="-646" w:firstLine="960" w:firstLineChars="400"/>
        <w:jc w:val="both"/>
        <w:rPr>
          <w:rFonts w:hint="default" w:ascii="Times New Roman" w:hAnsi="Times New Roman"/>
          <w:b w:val="0"/>
          <w:bCs w:val="0"/>
          <w:sz w:val="24"/>
          <w:szCs w:val="24"/>
          <w:lang w:val="en-IN"/>
        </w:rPr>
      </w:pPr>
    </w:p>
    <w:p w14:paraId="44206B58">
      <w:pPr>
        <w:spacing w:line="360" w:lineRule="auto"/>
        <w:ind w:left="-1000" w:leftChars="-500" w:right="-1292" w:rightChars="-646" w:firstLine="960" w:firstLineChars="40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 xml:space="preserve">     T4 bacteriophage, a well-characterized member of the Myoviridae family, is a double-stranded DNA virus that specifically infects and lyses Escherichia coli and closely related bacterial strains. Known for its intricate structure and highly efficient infection cycle, T4 bacteriophage has become a model organism in molecular biology and a promising candidate in therapeutic applications. Its ability to target pathogenic bacteria with high specificity, while leaving the host’s beneficial microbiota unharmed, makes it an attractive alternative to traditional antibiotics, especially in the face of rising antimicrobial resistance (AMR).</w:t>
      </w:r>
    </w:p>
    <w:p w14:paraId="2052E613">
      <w:pPr>
        <w:spacing w:line="360" w:lineRule="auto"/>
        <w:ind w:left="-1000" w:leftChars="-500" w:right="-1292" w:rightChars="-646" w:firstLine="960" w:firstLineChars="400"/>
        <w:jc w:val="both"/>
        <w:rPr>
          <w:rFonts w:hint="default" w:ascii="Times New Roman" w:hAnsi="Times New Roman"/>
          <w:b w:val="0"/>
          <w:bCs w:val="0"/>
          <w:sz w:val="24"/>
          <w:szCs w:val="24"/>
          <w:lang w:val="en-IN"/>
        </w:rPr>
      </w:pPr>
    </w:p>
    <w:p w14:paraId="0A759F60">
      <w:pPr>
        <w:spacing w:line="360" w:lineRule="auto"/>
        <w:ind w:left="-1000" w:leftChars="-500" w:right="-1292" w:rightChars="-646" w:firstLine="960" w:firstLineChars="40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 xml:space="preserve">Bacteriophages like T4 have several advantages as therapeutic agents. They are self-replicating, meaning their numbers increase in the presence of the bacterial host, and they are biodegradable, leaving no harmful residues. Additionally, their high specificity reduces off-target effects and minimizes the risk of disrupting the host's microbiome. Unlike antibiotics, which are often broad-spectrum and can lead to the selection of resistant strains, T4 bacteriophages can be engineered or used in cocktails to target specific bacterial pathogens, reducing the likelihood of bacterial resistance.In veterinary medicine, T4 bacteriophage therapy has garnered attention for its potential to combat bacterial infections in livestock and companion animals. </w:t>
      </w:r>
    </w:p>
    <w:p w14:paraId="68A40210">
      <w:pPr>
        <w:spacing w:line="360" w:lineRule="auto"/>
        <w:ind w:left="-1000" w:leftChars="-500" w:right="-1292" w:rightChars="-646" w:firstLine="960" w:firstLineChars="400"/>
        <w:jc w:val="both"/>
        <w:rPr>
          <w:rFonts w:hint="default" w:ascii="Times New Roman" w:hAnsi="Times New Roman"/>
          <w:b w:val="0"/>
          <w:bCs w:val="0"/>
          <w:sz w:val="24"/>
          <w:szCs w:val="24"/>
          <w:lang w:val="en-IN"/>
        </w:rPr>
      </w:pPr>
    </w:p>
    <w:p w14:paraId="5333E962">
      <w:pPr>
        <w:spacing w:line="360" w:lineRule="auto"/>
        <w:ind w:left="-1000" w:leftChars="-500" w:right="-1292" w:rightChars="-646" w:firstLine="960" w:firstLineChars="40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These infections often arise as secondary complications of primary viral diseases, such as Foot-and-Mouth Disease (FMD). Secondary bacterial infections can exacerbate disease severity, delay recovery, and increase mortality. While antibiotics have traditionally been used to manage these infections, the emergence of AMR necessitates alternative therapeutic approaches.It explores the therapeutic potential of T4 bacteriophages in veterinary medicine, focusing on their application in managing bacterial infections associated with diseases like FMD. By isolating and characterizing T4 phages, assessing their lytic efficacy, and evaluating their safety, stability, and practicality under field conditions, this research aims to highlight their feasibility as sustainable and targeted alternatives to antibiotics.</w:t>
      </w:r>
    </w:p>
    <w:p w14:paraId="78274D6D">
      <w:pPr>
        <w:spacing w:line="360" w:lineRule="auto"/>
        <w:ind w:left="-1000" w:leftChars="-500" w:right="-1292" w:rightChars="-646" w:firstLine="0" w:firstLineChars="0"/>
        <w:jc w:val="both"/>
        <w:rPr>
          <w:rFonts w:hint="default" w:ascii="Times New Roman" w:hAnsi="Times New Roman"/>
          <w:b w:val="0"/>
          <w:bCs w:val="0"/>
          <w:sz w:val="24"/>
          <w:szCs w:val="24"/>
          <w:lang w:val="en-IN"/>
        </w:rPr>
      </w:pPr>
    </w:p>
    <w:p w14:paraId="35D81FBB">
      <w:pPr>
        <w:spacing w:line="360" w:lineRule="auto"/>
        <w:ind w:left="-1000" w:leftChars="-500" w:right="-1292" w:rightChars="-646" w:firstLine="0" w:firstLineChars="0"/>
        <w:jc w:val="both"/>
        <w:rPr>
          <w:rFonts w:hint="default" w:ascii="Times New Roman" w:hAnsi="Times New Roman"/>
          <w:b w:val="0"/>
          <w:bCs w:val="0"/>
          <w:sz w:val="24"/>
          <w:szCs w:val="24"/>
          <w:lang w:val="en-IN"/>
        </w:rPr>
      </w:pPr>
    </w:p>
    <w:p w14:paraId="2B8C06A4">
      <w:pPr>
        <w:spacing w:line="360" w:lineRule="auto"/>
        <w:ind w:left="-1000" w:leftChars="-500" w:right="-1292" w:rightChars="-646" w:firstLine="0" w:firstLineChars="0"/>
        <w:jc w:val="both"/>
        <w:rPr>
          <w:rFonts w:hint="default" w:ascii="Times New Roman" w:hAnsi="Times New Roman"/>
          <w:b/>
          <w:bCs/>
          <w:sz w:val="28"/>
          <w:szCs w:val="28"/>
          <w:lang w:val="en-IN"/>
        </w:rPr>
      </w:pPr>
      <w:r>
        <w:rPr>
          <w:rFonts w:hint="default" w:ascii="Times New Roman" w:hAnsi="Times New Roman"/>
          <w:b/>
          <w:bCs/>
          <w:sz w:val="28"/>
          <w:szCs w:val="28"/>
          <w:lang w:val="en-IN"/>
        </w:rPr>
        <w:t>METHODS AND METHODOLOGY:</w:t>
      </w:r>
    </w:p>
    <w:p w14:paraId="4BF69FEC">
      <w:pPr>
        <w:spacing w:line="360" w:lineRule="auto"/>
        <w:ind w:left="-1000" w:leftChars="-500" w:right="-1292" w:rightChars="-646" w:firstLine="0" w:firstLineChars="0"/>
        <w:jc w:val="both"/>
        <w:rPr>
          <w:rFonts w:hint="default" w:ascii="Times New Roman" w:hAnsi="Times New Roman"/>
          <w:b/>
          <w:bCs/>
          <w:sz w:val="24"/>
          <w:szCs w:val="24"/>
          <w:lang w:val="en-IN"/>
        </w:rPr>
      </w:pPr>
    </w:p>
    <w:p w14:paraId="2135CC71">
      <w:pPr>
        <w:spacing w:line="360" w:lineRule="auto"/>
        <w:ind w:left="-1200" w:leftChars="-600" w:right="-1292" w:rightChars="-646" w:firstLine="360" w:firstLineChars="150"/>
        <w:jc w:val="both"/>
        <w:rPr>
          <w:rFonts w:hint="default" w:ascii="Times New Roman" w:hAnsi="Times New Roman"/>
          <w:b/>
          <w:bCs/>
          <w:sz w:val="24"/>
          <w:szCs w:val="24"/>
          <w:lang w:val="en-IN"/>
        </w:rPr>
      </w:pPr>
      <w:r>
        <w:rPr>
          <w:rFonts w:hint="default" w:ascii="Times New Roman" w:hAnsi="Times New Roman"/>
          <w:b/>
          <w:bCs/>
          <w:sz w:val="24"/>
          <w:szCs w:val="24"/>
          <w:lang w:val="en-IN"/>
        </w:rPr>
        <w:t>ISOLATION OF T4 BACTERIOPHAGE</w:t>
      </w:r>
    </w:p>
    <w:p w14:paraId="1E4FF6D4">
      <w:pPr>
        <w:spacing w:line="360" w:lineRule="auto"/>
        <w:ind w:left="-1000" w:leftChars="-500" w:right="-1292" w:rightChars="-646" w:firstLine="0" w:firstLineChars="0"/>
        <w:jc w:val="both"/>
        <w:rPr>
          <w:rFonts w:hint="default" w:ascii="Times New Roman" w:hAnsi="Times New Roman"/>
          <w:b/>
          <w:bCs/>
          <w:sz w:val="24"/>
          <w:szCs w:val="24"/>
          <w:lang w:val="en-IN"/>
        </w:rPr>
      </w:pPr>
    </w:p>
    <w:p w14:paraId="2F23E590">
      <w:pPr>
        <w:spacing w:line="360" w:lineRule="auto"/>
        <w:ind w:left="-1000" w:leftChars="-500" w:right="-1292" w:rightChars="-646" w:firstLine="0" w:firstLineChars="0"/>
        <w:jc w:val="both"/>
        <w:rPr>
          <w:rFonts w:hint="default" w:ascii="Times New Roman" w:hAnsi="Times New Roman"/>
          <w:b w:val="0"/>
          <w:bCs w:val="0"/>
          <w:sz w:val="24"/>
          <w:szCs w:val="24"/>
          <w:lang w:val="en-IN"/>
        </w:rPr>
      </w:pPr>
      <w:r>
        <w:rPr>
          <w:rFonts w:hint="default" w:ascii="Times New Roman" w:hAnsi="Times New Roman"/>
          <w:b/>
          <w:bCs/>
          <w:sz w:val="24"/>
          <w:szCs w:val="24"/>
          <w:lang w:val="en-IN"/>
        </w:rPr>
        <w:t xml:space="preserve">                         </w:t>
      </w:r>
      <w:r>
        <w:rPr>
          <w:rFonts w:hint="default" w:ascii="Times New Roman" w:hAnsi="Times New Roman"/>
          <w:b w:val="0"/>
          <w:bCs w:val="0"/>
          <w:sz w:val="24"/>
          <w:szCs w:val="24"/>
          <w:lang w:val="en-IN"/>
        </w:rPr>
        <w:t>The Study investigates the potential of T4 bacteriophages as therapeutic agents for managing secondary bacterial infections associated with Foot -and- Mouth Disease (FMD) in livestock. A  systematic methodology is employed to isolate characterize and evaluate the  efficacy of T4 phages.</w:t>
      </w:r>
    </w:p>
    <w:p w14:paraId="720752BB">
      <w:pPr>
        <w:spacing w:line="360" w:lineRule="auto"/>
        <w:ind w:left="-1000" w:leftChars="-500" w:right="-1292" w:rightChars="-646" w:firstLine="0" w:firstLineChars="0"/>
        <w:jc w:val="both"/>
        <w:rPr>
          <w:rFonts w:hint="default" w:ascii="Times New Roman" w:hAnsi="Times New Roman"/>
          <w:b/>
          <w:bCs/>
          <w:sz w:val="24"/>
          <w:szCs w:val="24"/>
          <w:lang w:val="en-IN"/>
        </w:rPr>
      </w:pPr>
    </w:p>
    <w:p w14:paraId="7FD7FCFF">
      <w:pPr>
        <w:spacing w:line="360" w:lineRule="auto"/>
        <w:ind w:left="-1000" w:leftChars="-500" w:right="-1292" w:rightChars="-646" w:firstLine="0" w:firstLineChars="0"/>
        <w:jc w:val="both"/>
        <w:rPr>
          <w:rFonts w:hint="default" w:ascii="Times New Roman" w:hAnsi="Times New Roman"/>
          <w:b/>
          <w:bCs/>
          <w:sz w:val="24"/>
          <w:szCs w:val="24"/>
          <w:lang w:val="en-US"/>
        </w:rPr>
      </w:pPr>
      <w:r>
        <w:rPr>
          <w:rFonts w:hint="default" w:ascii="Times New Roman" w:hAnsi="Times New Roman"/>
          <w:b/>
          <w:bCs/>
          <w:sz w:val="24"/>
          <w:szCs w:val="24"/>
          <w:lang w:val="en-US"/>
        </w:rPr>
        <w:t xml:space="preserve"> SAMPLE PREPARATION</w:t>
      </w:r>
    </w:p>
    <w:p w14:paraId="37170CC7">
      <w:pPr>
        <w:spacing w:line="360" w:lineRule="auto"/>
        <w:ind w:right="-1292" w:rightChars="-646"/>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 xml:space="preserve">               </w:t>
      </w:r>
    </w:p>
    <w:p w14:paraId="6221D936">
      <w:pPr>
        <w:spacing w:line="360" w:lineRule="auto"/>
        <w:ind w:left="-1000" w:leftChars="-500" w:right="-1292" w:rightChars="-646"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 xml:space="preserve">                    Collected  fresh animal manure and suspend 10g of manure in 90ml of PBS or sterile water in a sterile container, shake vigorously to homogenize the mixture and centrifuge at 3000rpm for 10 minutes.Transfer the supernatant to a sterile centrifuge tube.Add 1ml of an overnight E.coli culture to 10ml of the Supernatant  in a fresh test tube.Incubate the mixture in a shaking incubator at 37’c for 6-8 hours.</w:t>
      </w:r>
    </w:p>
    <w:p w14:paraId="1EB84B56">
      <w:pPr>
        <w:spacing w:line="360" w:lineRule="auto"/>
        <w:ind w:left="-1000" w:leftChars="-500" w:right="-1292" w:rightChars="-646" w:firstLine="0" w:firstLineChars="0"/>
        <w:jc w:val="both"/>
        <w:rPr>
          <w:rFonts w:hint="default" w:ascii="Times New Roman" w:hAnsi="Times New Roman" w:cs="Times New Roman"/>
          <w:sz w:val="24"/>
          <w:szCs w:val="24"/>
        </w:rPr>
      </w:pPr>
      <w:r>
        <w:rPr>
          <w:rFonts w:hint="default" w:ascii="Times New Roman" w:hAnsi="Times New Roman"/>
          <w:b w:val="0"/>
          <w:bCs w:val="0"/>
          <w:sz w:val="24"/>
          <w:szCs w:val="24"/>
          <w:lang w:val="en-US"/>
        </w:rPr>
        <w:t xml:space="preserve">                    Centrifuge the enrichment culture at 10000rpm for 10 minutes to pellet bacterial cells and </w:t>
      </w:r>
      <w:r>
        <w:rPr>
          <w:rFonts w:hint="default" w:ascii="Times New Roman" w:hAnsi="Times New Roman" w:cs="Times New Roman"/>
          <w:b w:val="0"/>
          <w:bCs w:val="0"/>
          <w:sz w:val="24"/>
          <w:szCs w:val="24"/>
          <w:lang w:val="en-IN"/>
        </w:rPr>
        <w:t>f</w:t>
      </w:r>
      <w:r>
        <w:rPr>
          <w:rFonts w:hint="default" w:ascii="Times New Roman" w:hAnsi="Times New Roman" w:eastAsia="SimSun" w:cs="Times New Roman"/>
          <w:b w:val="0"/>
          <w:bCs w:val="0"/>
          <w:sz w:val="24"/>
          <w:szCs w:val="24"/>
        </w:rPr>
        <w:t>ilter the supernatant through a 0.22 µm sterile filter to remove any remaining bacteria and isolate the phage particles</w:t>
      </w:r>
      <w:r>
        <w:rPr>
          <w:rFonts w:hint="default" w:ascii="Times New Roman" w:hAnsi="Times New Roman" w:eastAsia="SimSun" w:cs="Times New Roman"/>
          <w:b w:val="0"/>
          <w:bCs w:val="0"/>
          <w:sz w:val="24"/>
          <w:szCs w:val="24"/>
          <w:lang w:val="en-IN"/>
        </w:rPr>
        <w:t>.</w:t>
      </w:r>
      <w:r>
        <w:rPr>
          <w:rFonts w:hint="default" w:ascii="Times New Roman" w:hAnsi="Times New Roman" w:cs="Times New Roman"/>
          <w:sz w:val="24"/>
          <w:szCs w:val="24"/>
        </w:rPr>
        <w:t xml:space="preserve">Prepare LB agar plates by pouring LB agar into sterile Petri dishes and allowing them to solidify.Mix 100 µL of filtered phage lysate with 200 µL of fresh </w:t>
      </w:r>
      <w:r>
        <w:rPr>
          <w:rStyle w:val="4"/>
          <w:rFonts w:hint="default" w:ascii="Times New Roman" w:hAnsi="Times New Roman" w:cs="Times New Roman"/>
          <w:sz w:val="24"/>
          <w:szCs w:val="24"/>
        </w:rPr>
        <w:t>E. coli</w:t>
      </w:r>
      <w:r>
        <w:rPr>
          <w:rFonts w:hint="default" w:ascii="Times New Roman" w:hAnsi="Times New Roman" w:cs="Times New Roman"/>
          <w:sz w:val="24"/>
          <w:szCs w:val="24"/>
        </w:rPr>
        <w:t xml:space="preserve"> culture in 3 mL of molten soft agar (LB with 0.7% agar, kept at ~50°C).Pour the mixture evenly onto an LB agar plate and allow it to solidify.Incubate the plates at 37°C overnight.</w:t>
      </w:r>
    </w:p>
    <w:p w14:paraId="20D5744C">
      <w:pPr>
        <w:spacing w:line="360" w:lineRule="auto"/>
        <w:ind w:left="-1000" w:leftChars="-500" w:right="-1292" w:rightChars="-646" w:firstLine="0" w:firstLineChars="0"/>
        <w:jc w:val="both"/>
        <w:rPr>
          <w:rFonts w:hint="default" w:ascii="Times New Roman" w:hAnsi="Times New Roman" w:cs="Times New Roman"/>
          <w:sz w:val="24"/>
          <w:szCs w:val="24"/>
        </w:rPr>
      </w:pPr>
    </w:p>
    <w:p w14:paraId="65CD9F23">
      <w:pPr>
        <w:spacing w:line="360" w:lineRule="auto"/>
        <w:ind w:left="-1000" w:leftChars="-500" w:right="-1292" w:rightChars="-646" w:firstLine="2160" w:firstLineChars="900"/>
        <w:jc w:val="both"/>
        <w:rPr>
          <w:rFonts w:hint="default" w:ascii="Times New Roman" w:hAnsi="Times New Roman" w:eastAsia="SimSun" w:cs="Times New Roman"/>
          <w:sz w:val="24"/>
          <w:szCs w:val="24"/>
          <w:lang w:val="en-IN"/>
        </w:rPr>
      </w:pPr>
      <w:r>
        <w:rPr>
          <w:rFonts w:hint="default" w:ascii="Times New Roman" w:hAnsi="Times New Roman" w:cs="Times New Roman"/>
          <w:sz w:val="24"/>
          <w:szCs w:val="24"/>
          <w:lang w:val="en-IN"/>
        </w:rPr>
        <w:t xml:space="preserve"> </w:t>
      </w:r>
      <w:r>
        <w:rPr>
          <w:rFonts w:hint="default" w:ascii="Times New Roman" w:hAnsi="Times New Roman" w:eastAsia="SimSun" w:cs="Times New Roman"/>
          <w:b w:val="0"/>
          <w:bCs w:val="0"/>
          <w:sz w:val="24"/>
          <w:szCs w:val="24"/>
          <w:lang w:val="en-IN"/>
        </w:rPr>
        <w:t>C</w:t>
      </w:r>
      <w:r>
        <w:rPr>
          <w:rFonts w:hint="default" w:ascii="Times New Roman" w:hAnsi="Times New Roman" w:cs="Times New Roman"/>
          <w:b w:val="0"/>
          <w:bCs w:val="0"/>
          <w:sz w:val="24"/>
          <w:szCs w:val="24"/>
        </w:rPr>
        <w:t xml:space="preserve">lear zones (plaques) on the agar plate, which indicate areas where phage has lysed </w:t>
      </w:r>
      <w:r>
        <w:rPr>
          <w:rStyle w:val="4"/>
          <w:rFonts w:hint="default" w:ascii="Times New Roman" w:hAnsi="Times New Roman" w:cs="Times New Roman"/>
          <w:b w:val="0"/>
          <w:bCs w:val="0"/>
          <w:sz w:val="24"/>
          <w:szCs w:val="24"/>
        </w:rPr>
        <w:t>E. coli</w:t>
      </w:r>
      <w:r>
        <w:rPr>
          <w:rFonts w:hint="default" w:ascii="Times New Roman" w:hAnsi="Times New Roman" w:cs="Times New Roman"/>
          <w:b w:val="0"/>
          <w:bCs w:val="0"/>
          <w:sz w:val="24"/>
          <w:szCs w:val="24"/>
        </w:rPr>
        <w:t xml:space="preserve"> cells.Pick individual plaques using a sterile pipette tip and transfer into sterile PBS or LB broth for further analysis.</w:t>
      </w:r>
      <w:r>
        <w:rPr>
          <w:rFonts w:hint="default" w:ascii="Times New Roman" w:hAnsi="Times New Roman" w:eastAsia="SimSun" w:cs="Times New Roman"/>
          <w:b w:val="0"/>
          <w:bCs w:val="0"/>
          <w:sz w:val="24"/>
          <w:szCs w:val="24"/>
        </w:rPr>
        <w:t>Repeat the plaque assay multiple times to ensure isolation of a single phage population</w:t>
      </w:r>
      <w:r>
        <w:rPr>
          <w:rFonts w:hint="default" w:ascii="Times New Roman" w:hAnsi="Times New Roman" w:eastAsia="SimSun" w:cs="Times New Roman"/>
          <w:b w:val="0"/>
          <w:bCs w:val="0"/>
          <w:sz w:val="24"/>
          <w:szCs w:val="24"/>
          <w:lang w:val="en-IN"/>
        </w:rPr>
        <w:t>.</w:t>
      </w:r>
      <w:r>
        <w:rPr>
          <w:rFonts w:hint="default" w:ascii="Times New Roman" w:hAnsi="Times New Roman" w:eastAsia="SimSun" w:cs="Times New Roman"/>
          <w:sz w:val="24"/>
          <w:szCs w:val="24"/>
        </w:rPr>
        <w:t xml:space="preserve">Confirm the phage identity by testing its infectivity against </w:t>
      </w:r>
      <w:r>
        <w:rPr>
          <w:rStyle w:val="4"/>
          <w:rFonts w:hint="default" w:ascii="Times New Roman" w:hAnsi="Times New Roman" w:eastAsia="SimSun" w:cs="Times New Roman"/>
          <w:sz w:val="24"/>
          <w:szCs w:val="24"/>
        </w:rPr>
        <w:t>E. coli</w:t>
      </w:r>
      <w:r>
        <w:rPr>
          <w:rFonts w:hint="default" w:ascii="Times New Roman" w:hAnsi="Times New Roman" w:eastAsia="SimSun" w:cs="Times New Roman"/>
          <w:sz w:val="24"/>
          <w:szCs w:val="24"/>
        </w:rPr>
        <w:t xml:space="preserve"> strains and performing electron microscopy</w:t>
      </w:r>
      <w:r>
        <w:rPr>
          <w:rFonts w:hint="default" w:ascii="Times New Roman" w:hAnsi="Times New Roman" w:eastAsia="SimSun" w:cs="Times New Roman"/>
          <w:sz w:val="24"/>
          <w:szCs w:val="24"/>
          <w:lang w:val="en-IN"/>
        </w:rPr>
        <w:t>.</w:t>
      </w:r>
    </w:p>
    <w:p w14:paraId="21F6E3B9">
      <w:pPr>
        <w:spacing w:line="360" w:lineRule="auto"/>
        <w:ind w:left="-1000" w:leftChars="-500" w:right="-1292" w:rightChars="-646" w:firstLine="2160" w:firstLineChars="900"/>
        <w:jc w:val="both"/>
        <w:rPr>
          <w:rFonts w:hint="default" w:ascii="Times New Roman" w:hAnsi="Times New Roman" w:eastAsia="SimSun" w:cs="Times New Roman"/>
          <w:sz w:val="24"/>
          <w:szCs w:val="24"/>
          <w:lang w:val="en-IN"/>
        </w:rPr>
      </w:pPr>
    </w:p>
    <w:p w14:paraId="26BCB290">
      <w:pPr>
        <w:spacing w:line="360" w:lineRule="auto"/>
        <w:ind w:right="-1292" w:rightChars="-646"/>
        <w:jc w:val="both"/>
        <w:rPr>
          <w:rFonts w:ascii="SimSun" w:hAnsi="SimSun" w:eastAsia="SimSun" w:cs="SimSun"/>
          <w:sz w:val="24"/>
          <w:szCs w:val="24"/>
        </w:rPr>
      </w:pPr>
      <w:r>
        <w:rPr>
          <w:rFonts w:hint="default" w:ascii="Times New Roman" w:hAnsi="Times New Roman" w:cs="Times New Roman"/>
          <w:b w:val="0"/>
          <w:bCs w:val="0"/>
          <w:sz w:val="24"/>
          <w:szCs w:val="24"/>
          <w:lang w:val="en-IN"/>
        </w:rPr>
        <w:t xml:space="preserve">                                       </w:t>
      </w:r>
      <w:r>
        <w:rPr>
          <w:rFonts w:ascii="SimSun" w:hAnsi="SimSun" w:eastAsia="SimSun" w:cs="SimSun"/>
          <w:sz w:val="24"/>
          <w:szCs w:val="24"/>
        </w:rPr>
        <w:drawing>
          <wp:inline distT="0" distB="0" distL="114300" distR="114300">
            <wp:extent cx="2219325" cy="2057400"/>
            <wp:effectExtent l="0" t="0" r="3175" b="0"/>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4"/>
                    <a:stretch>
                      <a:fillRect/>
                    </a:stretch>
                  </pic:blipFill>
                  <pic:spPr>
                    <a:xfrm>
                      <a:off x="0" y="0"/>
                      <a:ext cx="2219325" cy="2057400"/>
                    </a:xfrm>
                    <a:prstGeom prst="rect">
                      <a:avLst/>
                    </a:prstGeom>
                    <a:noFill/>
                    <a:ln w="9525">
                      <a:noFill/>
                    </a:ln>
                  </pic:spPr>
                </pic:pic>
              </a:graphicData>
            </a:graphic>
          </wp:inline>
        </w:drawing>
      </w:r>
    </w:p>
    <w:p w14:paraId="65B34078">
      <w:pPr>
        <w:spacing w:line="360" w:lineRule="auto"/>
        <w:ind w:right="-1292" w:rightChars="-646"/>
        <w:jc w:val="both"/>
        <w:rPr>
          <w:rFonts w:hint="default" w:ascii="Times New Roman" w:hAnsi="Times New Roman" w:eastAsia="SimSun" w:cs="Times New Roman"/>
          <w:sz w:val="24"/>
          <w:szCs w:val="24"/>
          <w:lang w:val="en-IN"/>
        </w:rPr>
      </w:pPr>
      <w:r>
        <w:rPr>
          <w:rFonts w:hint="default" w:ascii="SimSun" w:hAnsi="SimSun" w:eastAsia="SimSun" w:cs="SimSun"/>
          <w:sz w:val="24"/>
          <w:szCs w:val="24"/>
          <w:lang w:val="en-IN"/>
        </w:rPr>
        <w:t xml:space="preserve">                     </w:t>
      </w:r>
      <w:r>
        <w:rPr>
          <w:rFonts w:hint="default" w:ascii="Times New Roman" w:hAnsi="Times New Roman" w:eastAsia="SimSun" w:cs="Times New Roman"/>
          <w:sz w:val="24"/>
          <w:szCs w:val="24"/>
          <w:lang w:val="en-IN"/>
        </w:rPr>
        <w:t>T4 Bacteriophage culture</w:t>
      </w:r>
    </w:p>
    <w:p w14:paraId="17DC8829">
      <w:pPr>
        <w:spacing w:line="360" w:lineRule="auto"/>
        <w:ind w:right="-1292" w:rightChars="-646"/>
        <w:jc w:val="both"/>
        <w:rPr>
          <w:rFonts w:hint="default" w:ascii="SimSun" w:hAnsi="SimSun" w:eastAsia="SimSun" w:cs="SimSun"/>
          <w:sz w:val="24"/>
          <w:szCs w:val="24"/>
          <w:lang w:val="en-IN"/>
        </w:rPr>
      </w:pPr>
      <w:r>
        <w:rPr>
          <w:rFonts w:hint="default" w:ascii="SimSun" w:hAnsi="SimSun" w:eastAsia="SimSun" w:cs="SimSun"/>
          <w:sz w:val="24"/>
          <w:szCs w:val="24"/>
          <w:lang w:val="en-IN"/>
        </w:rPr>
        <w:t xml:space="preserve">                 </w:t>
      </w:r>
    </w:p>
    <w:p w14:paraId="623CD7BA">
      <w:pPr>
        <w:spacing w:line="360" w:lineRule="auto"/>
        <w:ind w:right="-1292" w:rightChars="-646"/>
        <w:jc w:val="both"/>
        <w:rPr>
          <w:rFonts w:hint="default" w:ascii="SimSun" w:hAnsi="SimSun" w:eastAsia="SimSun" w:cs="SimSun"/>
          <w:sz w:val="24"/>
          <w:szCs w:val="24"/>
          <w:lang w:val="en-IN"/>
        </w:rPr>
      </w:pPr>
    </w:p>
    <w:p w14:paraId="24C940D7">
      <w:pPr>
        <w:spacing w:line="360" w:lineRule="auto"/>
        <w:ind w:right="-1292" w:rightChars="-646"/>
        <w:jc w:val="both"/>
        <w:rPr>
          <w:rFonts w:hint="default" w:ascii="Times New Roman" w:hAnsi="Times New Roman" w:eastAsia="SimSun" w:cs="Times New Roman"/>
          <w:sz w:val="24"/>
          <w:szCs w:val="24"/>
          <w:lang w:val="en-IN"/>
        </w:rPr>
      </w:pPr>
      <w:r>
        <w:rPr>
          <w:rFonts w:hint="default" w:ascii="SimSun" w:hAnsi="SimSun" w:eastAsia="SimSun" w:cs="SimSun"/>
          <w:sz w:val="24"/>
          <w:szCs w:val="24"/>
          <w:lang w:val="en-IN"/>
        </w:rPr>
        <w:t xml:space="preserve">     </w:t>
      </w:r>
      <w:r>
        <w:rPr>
          <w:rFonts w:ascii="SimSun" w:hAnsi="SimSun" w:eastAsia="SimSun" w:cs="SimSun"/>
          <w:sz w:val="24"/>
          <w:szCs w:val="24"/>
        </w:rPr>
        <w:drawing>
          <wp:inline distT="0" distB="0" distL="114300" distR="114300">
            <wp:extent cx="304800" cy="304800"/>
            <wp:effectExtent l="0" t="0" r="0" b="0"/>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304800" cy="304800"/>
            <wp:effectExtent l="0" t="0" r="0" b="0"/>
            <wp:docPr id="4"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3722370" cy="2553335"/>
            <wp:effectExtent l="0" t="0" r="11430" b="12065"/>
            <wp:docPr id="13" name="Picture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G_256"/>
                    <pic:cNvPicPr>
                      <a:picLocks noChangeAspect="1"/>
                    </pic:cNvPicPr>
                  </pic:nvPicPr>
                  <pic:blipFill>
                    <a:blip r:embed="rId6"/>
                    <a:stretch>
                      <a:fillRect/>
                    </a:stretch>
                  </pic:blipFill>
                  <pic:spPr>
                    <a:xfrm>
                      <a:off x="0" y="0"/>
                      <a:ext cx="3722370" cy="2553335"/>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304800" cy="304800"/>
            <wp:effectExtent l="0" t="0" r="0" b="0"/>
            <wp:docPr id="7"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304800" cy="304800"/>
            <wp:effectExtent l="0" t="0" r="0" b="0"/>
            <wp:docPr id="12" name="Picture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304800" cy="304800"/>
            <wp:effectExtent l="0" t="0" r="0" b="0"/>
            <wp:docPr id="8" name="Picture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304800" cy="304800"/>
            <wp:effectExtent l="0" t="0" r="0" b="0"/>
            <wp:docPr id="9" name="Picture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304800" cy="304800"/>
            <wp:effectExtent l="0" t="0" r="0" b="0"/>
            <wp:docPr id="10" name="Picture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304800" cy="304800"/>
            <wp:effectExtent l="0" t="0" r="0" b="0"/>
            <wp:docPr id="11" name="Picture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MG_256"/>
                    <pic:cNvPicPr>
                      <a:picLocks noChangeAspect="1"/>
                    </pic:cNvPicPr>
                  </pic:nvPicPr>
                  <pic:blipFill>
                    <a:blip r:embed="rId5"/>
                    <a:stretch>
                      <a:fillRect/>
                    </a:stretch>
                  </pic:blipFill>
                  <pic:spPr>
                    <a:xfrm>
                      <a:off x="0" y="0"/>
                      <a:ext cx="304800" cy="304800"/>
                    </a:xfrm>
                    <a:prstGeom prst="rect">
                      <a:avLst/>
                    </a:prstGeom>
                    <a:noFill/>
                    <a:ln w="9525">
                      <a:noFill/>
                    </a:ln>
                  </pic:spPr>
                </pic:pic>
              </a:graphicData>
            </a:graphic>
          </wp:inline>
        </w:drawing>
      </w:r>
      <w:r>
        <w:rPr>
          <w:rFonts w:hint="default" w:ascii="SimSun" w:hAnsi="SimSun" w:eastAsia="SimSun" w:cs="SimSun"/>
          <w:sz w:val="24"/>
          <w:szCs w:val="24"/>
          <w:lang w:val="en-IN"/>
        </w:rPr>
        <w:t xml:space="preserve">      </w:t>
      </w:r>
      <w:r>
        <w:rPr>
          <w:rFonts w:hint="default" w:ascii="Times New Roman" w:hAnsi="Times New Roman" w:eastAsia="SimSun" w:cs="Times New Roman"/>
          <w:sz w:val="24"/>
          <w:szCs w:val="24"/>
          <w:lang w:val="en-IN"/>
        </w:rPr>
        <w:t>Electron microscopic view of T4 Bacteriophage</w:t>
      </w:r>
    </w:p>
    <w:p w14:paraId="1D753777">
      <w:pPr>
        <w:spacing w:line="360" w:lineRule="auto"/>
        <w:ind w:right="-1292" w:rightChars="-646"/>
        <w:jc w:val="both"/>
        <w:rPr>
          <w:rFonts w:hint="default" w:ascii="Times New Roman" w:hAnsi="Times New Roman" w:eastAsia="SimSun" w:cs="Times New Roman"/>
          <w:sz w:val="24"/>
          <w:szCs w:val="24"/>
          <w:lang w:val="en-IN"/>
        </w:rPr>
      </w:pPr>
    </w:p>
    <w:p w14:paraId="0DCC4013">
      <w:pPr>
        <w:spacing w:line="360" w:lineRule="auto"/>
        <w:ind w:right="-1292" w:rightChars="-646"/>
        <w:jc w:val="both"/>
        <w:rPr>
          <w:rFonts w:hint="default" w:ascii="Times New Roman" w:hAnsi="Times New Roman" w:eastAsia="SimSun" w:cs="Times New Roman"/>
          <w:sz w:val="24"/>
          <w:szCs w:val="24"/>
          <w:lang w:val="en-IN"/>
        </w:rPr>
      </w:pPr>
    </w:p>
    <w:p w14:paraId="3369D3AA">
      <w:pPr>
        <w:spacing w:line="360" w:lineRule="auto"/>
        <w:ind w:right="-1292" w:rightChars="-646"/>
        <w:jc w:val="both"/>
        <w:rPr>
          <w:rFonts w:hint="default" w:ascii="Times New Roman" w:hAnsi="Times New Roman" w:eastAsia="SimSun" w:cs="Times New Roman"/>
          <w:sz w:val="24"/>
          <w:szCs w:val="24"/>
          <w:lang w:val="en-IN"/>
        </w:rPr>
      </w:pPr>
    </w:p>
    <w:p w14:paraId="61BA7A93">
      <w:pPr>
        <w:spacing w:line="360" w:lineRule="auto"/>
        <w:ind w:right="-1292" w:rightChars="-646"/>
        <w:jc w:val="both"/>
        <w:rPr>
          <w:rFonts w:hint="default" w:ascii="Times New Roman" w:hAnsi="Times New Roman" w:eastAsia="SimSun" w:cs="Times New Roman"/>
          <w:sz w:val="24"/>
          <w:szCs w:val="24"/>
          <w:lang w:val="en-IN"/>
        </w:rPr>
      </w:pPr>
    </w:p>
    <w:p w14:paraId="7F18AEF9">
      <w:pPr>
        <w:spacing w:line="360" w:lineRule="auto"/>
        <w:ind w:right="-1292" w:rightChars="-646"/>
        <w:jc w:val="both"/>
        <w:rPr>
          <w:rFonts w:hint="default" w:ascii="Times New Roman" w:hAnsi="Times New Roman" w:eastAsia="SimSun" w:cs="Times New Roman"/>
          <w:sz w:val="24"/>
          <w:szCs w:val="24"/>
          <w:lang w:val="en-IN"/>
        </w:rPr>
      </w:pPr>
    </w:p>
    <w:p w14:paraId="17CC22C2">
      <w:pPr>
        <w:spacing w:line="360" w:lineRule="auto"/>
        <w:ind w:right="-1292" w:rightChars="-646"/>
        <w:jc w:val="both"/>
        <w:rPr>
          <w:rFonts w:hint="default" w:ascii="Times New Roman" w:hAnsi="Times New Roman" w:eastAsia="SimSun" w:cs="Times New Roman"/>
          <w:sz w:val="24"/>
          <w:szCs w:val="24"/>
          <w:lang w:val="en-IN"/>
        </w:rPr>
      </w:pPr>
    </w:p>
    <w:p w14:paraId="6750A4C0">
      <w:pPr>
        <w:spacing w:line="360" w:lineRule="auto"/>
        <w:ind w:right="-1292" w:rightChars="-646"/>
        <w:jc w:val="both"/>
        <w:rPr>
          <w:rFonts w:hint="default" w:ascii="Times New Roman" w:hAnsi="Times New Roman" w:eastAsia="SimSun" w:cs="Times New Roman"/>
          <w:b/>
          <w:bCs/>
          <w:sz w:val="24"/>
          <w:szCs w:val="24"/>
          <w:lang w:val="en-IN"/>
        </w:rPr>
      </w:pPr>
      <w:r>
        <w:rPr>
          <w:rFonts w:hint="default" w:ascii="Times New Roman" w:hAnsi="Times New Roman" w:eastAsia="SimSun" w:cs="Times New Roman"/>
          <w:b/>
          <w:bCs/>
          <w:sz w:val="24"/>
          <w:szCs w:val="24"/>
          <w:lang w:val="en-IN"/>
        </w:rPr>
        <w:t>ISOLATION OF FMD VIRUS</w:t>
      </w:r>
    </w:p>
    <w:p w14:paraId="5353E150">
      <w:pPr>
        <w:keepNext w:val="0"/>
        <w:keepLines w:val="0"/>
        <w:widowControl/>
        <w:suppressLineNumbers w:val="0"/>
        <w:spacing w:line="360" w:lineRule="auto"/>
        <w:ind w:right="-1400" w:rightChars="-700"/>
        <w:jc w:val="both"/>
        <w:rPr>
          <w:rFonts w:hint="default" w:ascii="Times New Roman" w:hAnsi="Times New Roman" w:cs="Times New Roman"/>
          <w:sz w:val="24"/>
          <w:szCs w:val="24"/>
          <w:lang w:val="en-IN"/>
        </w:rPr>
      </w:pPr>
      <w:r>
        <w:rPr>
          <w:rFonts w:hint="default" w:ascii="Times New Roman" w:hAnsi="Times New Roman" w:eastAsia="SimSun" w:cs="Times New Roman"/>
          <w:b/>
          <w:bCs/>
          <w:sz w:val="24"/>
          <w:szCs w:val="24"/>
          <w:lang w:val="en-IN"/>
        </w:rPr>
        <w:t xml:space="preserve">                                 </w:t>
      </w:r>
      <w:r>
        <w:rPr>
          <w:rFonts w:hint="default" w:ascii="Times New Roman" w:hAnsi="Times New Roman" w:eastAsia="SimSun" w:cs="Times New Roman"/>
          <w:b w:val="0"/>
          <w:bCs w:val="0"/>
          <w:sz w:val="24"/>
          <w:szCs w:val="24"/>
          <w:lang w:val="en-IN"/>
        </w:rPr>
        <w:t>T</w:t>
      </w:r>
      <w:r>
        <w:rPr>
          <w:rFonts w:hint="default" w:ascii="Times New Roman" w:hAnsi="Times New Roman" w:eastAsia="SimSun" w:cs="Times New Roman"/>
          <w:b w:val="0"/>
          <w:bCs w:val="0"/>
          <w:sz w:val="24"/>
          <w:szCs w:val="24"/>
        </w:rPr>
        <w:t>he Foot-and-Mouth Disease Virus (FMDV)</w:t>
      </w:r>
      <w:r>
        <w:rPr>
          <w:rFonts w:hint="default" w:ascii="Times New Roman" w:hAnsi="Times New Roman" w:eastAsia="SimSun" w:cs="Times New Roman"/>
          <w:b w:val="0"/>
          <w:bCs w:val="0"/>
          <w:sz w:val="24"/>
          <w:szCs w:val="24"/>
          <w:lang w:val="en-IN"/>
        </w:rPr>
        <w:t xml:space="preserve"> </w:t>
      </w:r>
      <w:r>
        <w:rPr>
          <w:rFonts w:hint="default" w:ascii="Times New Roman" w:hAnsi="Times New Roman" w:eastAsia="SimSun" w:cs="Times New Roman"/>
          <w:b w:val="0"/>
          <w:bCs w:val="0"/>
          <w:sz w:val="24"/>
          <w:szCs w:val="24"/>
        </w:rPr>
        <w:t>samples</w:t>
      </w:r>
      <w:r>
        <w:rPr>
          <w:rFonts w:hint="default" w:ascii="Times New Roman" w:hAnsi="Times New Roman" w:eastAsia="SimSun" w:cs="Times New Roman"/>
          <w:b w:val="0"/>
          <w:bCs w:val="0"/>
          <w:sz w:val="24"/>
          <w:szCs w:val="24"/>
          <w:lang w:val="en-IN"/>
        </w:rPr>
        <w:t xml:space="preserve"> and collected</w:t>
      </w:r>
      <w:r>
        <w:rPr>
          <w:rFonts w:hint="default" w:ascii="Times New Roman" w:hAnsi="Times New Roman" w:eastAsia="SimSun" w:cs="Times New Roman"/>
          <w:b w:val="0"/>
          <w:bCs w:val="0"/>
          <w:sz w:val="24"/>
          <w:szCs w:val="24"/>
        </w:rPr>
        <w:t xml:space="preserve"> from infected animals</w:t>
      </w:r>
      <w:r>
        <w:rPr>
          <w:rFonts w:hint="default" w:ascii="Times New Roman" w:hAnsi="Times New Roman" w:eastAsia="SimSun" w:cs="Times New Roman"/>
          <w:b w:val="0"/>
          <w:bCs w:val="0"/>
          <w:sz w:val="24"/>
          <w:szCs w:val="24"/>
          <w:lang w:val="en-IN"/>
        </w:rPr>
        <w:t xml:space="preserve">, </w:t>
      </w:r>
      <w:r>
        <w:rPr>
          <w:rFonts w:hint="default" w:ascii="Times New Roman" w:hAnsi="Times New Roman" w:cs="Times New Roman"/>
          <w:sz w:val="24"/>
          <w:szCs w:val="24"/>
        </w:rPr>
        <w:t>Homogenize epithelial tissues in sterile phosphate-buffered saline (PBS) or transport medium (1:10 w/v).Centrifuge the homogenate at 3000 rpm for 10 minutes to remove debris.Filter the supernatant through a 0.22 µm sterile filter to eliminate bacteria and large contaminants.</w:t>
      </w:r>
      <w:r>
        <w:rPr>
          <w:rFonts w:hint="default" w:ascii="Times New Roman" w:hAnsi="Times New Roman" w:cs="Times New Roman"/>
          <w:sz w:val="24"/>
          <w:szCs w:val="24"/>
          <w:lang w:val="en-IN"/>
        </w:rPr>
        <w:t>Quantify the virus in plaque forming units using confluent cell monolayers and confirm the viral replication and quantify viral RNA.</w:t>
      </w:r>
    </w:p>
    <w:p w14:paraId="17A037E6">
      <w:pPr>
        <w:keepNext w:val="0"/>
        <w:keepLines w:val="0"/>
        <w:widowControl/>
        <w:suppressLineNumbers w:val="0"/>
        <w:spacing w:line="360" w:lineRule="auto"/>
        <w:ind w:right="-1400" w:rightChars="-700"/>
        <w:jc w:val="both"/>
        <w:rPr>
          <w:rFonts w:hint="default" w:ascii="Times New Roman" w:hAnsi="Times New Roman" w:cs="Times New Roman"/>
          <w:sz w:val="24"/>
          <w:szCs w:val="24"/>
          <w:lang w:val="en-IN"/>
        </w:rPr>
      </w:pPr>
    </w:p>
    <w:p w14:paraId="11B1DEE3">
      <w:pPr>
        <w:keepNext w:val="0"/>
        <w:keepLines w:val="0"/>
        <w:widowControl/>
        <w:suppressLineNumbers w:val="0"/>
        <w:spacing w:line="360" w:lineRule="auto"/>
        <w:ind w:right="-1400" w:rightChars="-700"/>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EVALUATION OF ANTIVIRAL ACTIVITY</w:t>
      </w:r>
    </w:p>
    <w:p w14:paraId="717D2C52">
      <w:pPr>
        <w:keepNext w:val="0"/>
        <w:keepLines w:val="0"/>
        <w:widowControl/>
        <w:suppressLineNumbers w:val="0"/>
        <w:spacing w:line="360" w:lineRule="auto"/>
        <w:ind w:right="-1400" w:rightChars="-700"/>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 xml:space="preserve">                               </w:t>
      </w:r>
      <w:r>
        <w:rPr>
          <w:rFonts w:hint="default" w:ascii="Times New Roman" w:hAnsi="Times New Roman" w:cs="Times New Roman"/>
          <w:sz w:val="24"/>
          <w:szCs w:val="24"/>
          <w:lang w:val="en-IN"/>
        </w:rPr>
        <w:tab/>
      </w:r>
      <w:r>
        <w:rPr>
          <w:rFonts w:hint="default" w:ascii="Times New Roman" w:hAnsi="Times New Roman" w:cs="Times New Roman"/>
          <w:sz w:val="24"/>
          <w:szCs w:val="24"/>
          <w:lang w:val="en-IN"/>
        </w:rPr>
        <w:t>Use the susceptible cell lines infected with FMDV and treat the infected cells with the cultured T4 Bacteriphage.measuring the reduction in FMDV replication using Plaque assays. Used to count  infectious particles by samples are diluted and aliquots of each dilution are added to cultured cells. The cells are covered with an agarose overlay.Virus produced from an infect nearby cells.Cultured T4 bacteriophages could express peptides that target the viral replication ,proteins .Phages may stimulate innate immunity, enhancing the hosts antiviral defense.T4 bacteriophage can reduce secondary bacterial infection improving overall health in FMD.</w:t>
      </w:r>
    </w:p>
    <w:p w14:paraId="77ED076B">
      <w:pPr>
        <w:keepNext w:val="0"/>
        <w:keepLines w:val="0"/>
        <w:widowControl/>
        <w:suppressLineNumbers w:val="0"/>
        <w:spacing w:line="360" w:lineRule="auto"/>
        <w:ind w:right="-1400" w:rightChars="-700"/>
        <w:jc w:val="both"/>
        <w:rPr>
          <w:rFonts w:hint="default" w:ascii="Times New Roman" w:hAnsi="Times New Roman" w:cs="Times New Roman"/>
          <w:b/>
          <w:bCs/>
          <w:sz w:val="24"/>
          <w:szCs w:val="24"/>
          <w:lang w:val="en-IN"/>
        </w:rPr>
      </w:pPr>
    </w:p>
    <w:p w14:paraId="2132623A">
      <w:pPr>
        <w:keepNext w:val="0"/>
        <w:keepLines w:val="0"/>
        <w:widowControl/>
        <w:suppressLineNumbers w:val="0"/>
        <w:spacing w:line="360" w:lineRule="auto"/>
        <w:ind w:right="-1400" w:rightChars="-700"/>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RESULTS AND ANALYSIS</w:t>
      </w:r>
    </w:p>
    <w:p w14:paraId="383AEB38">
      <w:pPr>
        <w:keepNext w:val="0"/>
        <w:keepLines w:val="0"/>
        <w:widowControl/>
        <w:suppressLineNumbers w:val="0"/>
        <w:tabs>
          <w:tab w:val="left" w:pos="9200"/>
        </w:tabs>
        <w:spacing w:line="360" w:lineRule="auto"/>
        <w:ind w:right="-1400" w:rightChars="-700"/>
        <w:jc w:val="both"/>
        <w:rPr>
          <w:rFonts w:hint="default" w:ascii="Times New Roman" w:hAnsi="Times New Roman" w:cs="Times New Roman"/>
          <w:sz w:val="24"/>
          <w:szCs w:val="24"/>
        </w:rPr>
      </w:pPr>
      <w:r>
        <w:rPr>
          <w:rFonts w:hint="default" w:ascii="Times New Roman" w:hAnsi="Times New Roman" w:cs="Times New Roman"/>
          <w:b/>
          <w:bCs/>
          <w:sz w:val="24"/>
          <w:szCs w:val="24"/>
          <w:lang w:val="en-IN"/>
        </w:rPr>
        <w:t xml:space="preserve">                                 </w:t>
      </w:r>
      <w:r>
        <w:rPr>
          <w:rFonts w:hint="default" w:ascii="Times New Roman" w:hAnsi="Times New Roman" w:eastAsia="SimSun" w:cs="Times New Roman"/>
          <w:sz w:val="24"/>
          <w:szCs w:val="24"/>
        </w:rPr>
        <w:t xml:space="preserve"> </w:t>
      </w:r>
      <w:r>
        <w:rPr>
          <w:rFonts w:hint="default" w:ascii="Times New Roman" w:hAnsi="Times New Roman" w:cs="Times New Roman"/>
          <w:sz w:val="24"/>
          <w:szCs w:val="24"/>
        </w:rPr>
        <w:t xml:space="preserve">Plaques should form on the </w:t>
      </w:r>
      <w:r>
        <w:rPr>
          <w:rStyle w:val="4"/>
          <w:rFonts w:hint="default" w:ascii="Times New Roman" w:hAnsi="Times New Roman" w:cs="Times New Roman"/>
          <w:sz w:val="24"/>
          <w:szCs w:val="24"/>
        </w:rPr>
        <w:t>E. coli</w:t>
      </w:r>
      <w:r>
        <w:rPr>
          <w:rFonts w:hint="default" w:ascii="Times New Roman" w:hAnsi="Times New Roman" w:cs="Times New Roman"/>
          <w:sz w:val="24"/>
          <w:szCs w:val="24"/>
        </w:rPr>
        <w:t xml:space="preserve"> lawn, confirming</w:t>
      </w:r>
      <w:r>
        <w:rPr>
          <w:rFonts w:hint="default" w:ascii="Times New Roman" w:hAnsi="Times New Roman" w:cs="Times New Roman"/>
          <w:sz w:val="24"/>
          <w:szCs w:val="24"/>
          <w:lang w:val="en-IN"/>
        </w:rPr>
        <w:t xml:space="preserve"> </w:t>
      </w:r>
      <w:r>
        <w:rPr>
          <w:rFonts w:hint="default" w:ascii="Times New Roman" w:hAnsi="Times New Roman" w:cs="Times New Roman"/>
          <w:sz w:val="24"/>
          <w:szCs w:val="24"/>
        </w:rPr>
        <w:t>infectivity of the engineered T4 bacteriophage.</w:t>
      </w:r>
      <w:r>
        <w:rPr>
          <w:rFonts w:hint="default" w:ascii="Times New Roman" w:hAnsi="Times New Roman" w:cs="Times New Roman"/>
          <w:sz w:val="24"/>
          <w:szCs w:val="24"/>
          <w:lang w:val="en-IN"/>
        </w:rPr>
        <w:t>Comparsion between wild type and cultured T4 Bacteriophage wild type T4 bacteriophage produces uniform plaques indicating unmodified infectivity cultured T4 bacteriophage may show altered plaque morphology due to the expression of therapeutic  proteins.Reduction in FMDV replication in susceptible cell lines treated with cultured T4 phage significant reduction in viral load and reduced cytopathic effects compared to untreated controls.</w:t>
      </w:r>
      <w:r>
        <w:rPr>
          <w:rFonts w:hint="default" w:ascii="Times New Roman" w:hAnsi="Times New Roman" w:eastAsia="SimSun" w:cs="Times New Roman"/>
          <w:b w:val="0"/>
          <w:bCs w:val="0"/>
          <w:sz w:val="24"/>
          <w:szCs w:val="24"/>
        </w:rPr>
        <w:t xml:space="preserve">High plaque counts and altered morphology in </w:t>
      </w:r>
      <w:r>
        <w:rPr>
          <w:rFonts w:hint="default" w:ascii="Times New Roman" w:hAnsi="Times New Roman" w:eastAsia="SimSun" w:cs="Times New Roman"/>
          <w:b w:val="0"/>
          <w:bCs w:val="0"/>
          <w:sz w:val="24"/>
          <w:szCs w:val="24"/>
          <w:lang w:val="en-IN"/>
        </w:rPr>
        <w:t>cultured</w:t>
      </w:r>
      <w:r>
        <w:rPr>
          <w:rFonts w:hint="default" w:ascii="Times New Roman" w:hAnsi="Times New Roman" w:eastAsia="SimSun" w:cs="Times New Roman"/>
          <w:b w:val="0"/>
          <w:bCs w:val="0"/>
          <w:sz w:val="24"/>
          <w:szCs w:val="24"/>
        </w:rPr>
        <w:t xml:space="preserve"> T4 phage suggest successful genetic modification and maintenance of infectivity in </w:t>
      </w:r>
      <w:r>
        <w:rPr>
          <w:rStyle w:val="4"/>
          <w:rFonts w:hint="default" w:ascii="Times New Roman" w:hAnsi="Times New Roman" w:eastAsia="SimSun" w:cs="Times New Roman"/>
          <w:b w:val="0"/>
          <w:bCs w:val="0"/>
          <w:sz w:val="24"/>
          <w:szCs w:val="24"/>
        </w:rPr>
        <w:t>E. coli</w:t>
      </w:r>
      <w:r>
        <w:rPr>
          <w:rFonts w:hint="default" w:ascii="Times New Roman" w:hAnsi="Times New Roman" w:eastAsia="SimSun" w:cs="Times New Roman"/>
          <w:b w:val="0"/>
          <w:bCs w:val="0"/>
          <w:sz w:val="24"/>
          <w:szCs w:val="24"/>
        </w:rPr>
        <w:t>.</w:t>
      </w:r>
      <w:r>
        <w:rPr>
          <w:rFonts w:hint="default" w:ascii="Times New Roman" w:hAnsi="Times New Roman" w:eastAsia="SimSun" w:cs="Times New Roman"/>
          <w:sz w:val="24"/>
          <w:szCs w:val="24"/>
        </w:rPr>
        <w:t>Efficiency of the engineered phage in delivering therapeutic agents can be inferred from differences in plaque characteristics.</w:t>
      </w:r>
      <w:r>
        <w:rPr>
          <w:rFonts w:hint="default" w:ascii="Times New Roman" w:hAnsi="Times New Roman" w:cs="Times New Roman"/>
          <w:sz w:val="24"/>
          <w:szCs w:val="24"/>
        </w:rPr>
        <w:t xml:space="preserve">A significant reduction in FMDV RNA and protein levels in vitro and in vivo confirms the antiviral efficacy of the </w:t>
      </w:r>
      <w:r>
        <w:rPr>
          <w:rFonts w:hint="default" w:ascii="Times New Roman" w:hAnsi="Times New Roman" w:cs="Times New Roman"/>
          <w:sz w:val="24"/>
          <w:szCs w:val="24"/>
          <w:lang w:val="en-IN"/>
        </w:rPr>
        <w:t>cultured</w:t>
      </w:r>
      <w:r>
        <w:rPr>
          <w:rFonts w:hint="default" w:ascii="Times New Roman" w:hAnsi="Times New Roman" w:cs="Times New Roman"/>
          <w:sz w:val="24"/>
          <w:szCs w:val="24"/>
        </w:rPr>
        <w:t xml:space="preserve"> T4 phage.This indicates successful delivery and function of the therapeutic molecule  encoded by the phage.Improvement in clinical symptoms and reduced viral load in treated animals suggest the engineered phage's potential as a therapeutic agent for FMD.Comparable or superior results to existing antiviral treatments or vaccines highlight its practical relevance.</w:t>
      </w:r>
    </w:p>
    <w:p w14:paraId="78EC47D6">
      <w:pPr>
        <w:keepNext w:val="0"/>
        <w:keepLines w:val="0"/>
        <w:widowControl/>
        <w:suppressLineNumbers w:val="0"/>
        <w:spacing w:line="360" w:lineRule="auto"/>
        <w:ind w:right="-1600" w:rightChars="-800"/>
        <w:jc w:val="both"/>
        <w:rPr>
          <w:rFonts w:hint="default" w:ascii="Times New Roman" w:hAnsi="Times New Roman" w:cs="Times New Roman"/>
          <w:sz w:val="24"/>
          <w:szCs w:val="24"/>
        </w:rPr>
      </w:pPr>
    </w:p>
    <w:p w14:paraId="1822BBFB">
      <w:pPr>
        <w:keepNext w:val="0"/>
        <w:keepLines w:val="0"/>
        <w:widowControl/>
        <w:suppressLineNumbers w:val="0"/>
        <w:tabs>
          <w:tab w:val="left" w:pos="7800"/>
        </w:tabs>
        <w:spacing w:line="360" w:lineRule="auto"/>
        <w:ind w:right="-1400" w:rightChars="-700"/>
        <w:jc w:val="both"/>
        <w:rPr>
          <w:rFonts w:hint="default" w:ascii="Times New Roman" w:hAnsi="Times New Roman" w:cs="Times New Roman"/>
          <w:b/>
          <w:bCs/>
          <w:sz w:val="28"/>
          <w:szCs w:val="28"/>
          <w:lang w:val="en-IN"/>
        </w:rPr>
      </w:pPr>
      <w:r>
        <w:rPr>
          <w:rFonts w:hint="default" w:ascii="Times New Roman" w:hAnsi="Times New Roman" w:cs="Times New Roman"/>
          <w:b/>
          <w:bCs/>
          <w:sz w:val="28"/>
          <w:szCs w:val="28"/>
          <w:lang w:val="en-IN"/>
        </w:rPr>
        <w:t>CONCLUSION :</w:t>
      </w:r>
    </w:p>
    <w:p w14:paraId="0A4E3127">
      <w:pPr>
        <w:keepNext w:val="0"/>
        <w:keepLines w:val="0"/>
        <w:widowControl/>
        <w:suppressLineNumbers w:val="0"/>
        <w:tabs>
          <w:tab w:val="left" w:pos="7800"/>
        </w:tabs>
        <w:spacing w:line="360" w:lineRule="auto"/>
        <w:ind w:right="-1400" w:rightChars="-700"/>
        <w:jc w:val="both"/>
        <w:rPr>
          <w:rFonts w:hint="default" w:ascii="Times New Roman" w:hAnsi="Times New Roman" w:eastAsia="SimSun" w:cs="Times New Roman"/>
          <w:sz w:val="24"/>
          <w:szCs w:val="24"/>
        </w:rPr>
      </w:pPr>
      <w:r>
        <w:rPr>
          <w:rFonts w:hint="default" w:ascii="Times New Roman" w:hAnsi="Times New Roman" w:cs="Times New Roman"/>
          <w:b w:val="0"/>
          <w:bCs w:val="0"/>
          <w:sz w:val="24"/>
          <w:szCs w:val="24"/>
          <w:lang w:val="en-IN"/>
        </w:rPr>
        <w:t xml:space="preserve">                        </w:t>
      </w:r>
      <w:r>
        <w:rPr>
          <w:rFonts w:hint="default" w:ascii="Times New Roman" w:hAnsi="Times New Roman" w:eastAsia="SimSun" w:cs="Times New Roman"/>
          <w:sz w:val="24"/>
          <w:szCs w:val="24"/>
        </w:rPr>
        <w:t>The exploration of T4 bacteriophage as a therapeutic agent for Foot and Mouth Disease (FMD) in veterinary medicine highlights its potential as an innovative, safe, and effective alternative to traditional treatments and vaccines.</w:t>
      </w:r>
      <w:r>
        <w:rPr>
          <w:rFonts w:hint="default" w:ascii="Times New Roman" w:hAnsi="Times New Roman" w:eastAsia="SimSun" w:cs="Times New Roman"/>
          <w:sz w:val="24"/>
          <w:szCs w:val="24"/>
          <w:lang w:val="en-IN"/>
        </w:rPr>
        <w:t xml:space="preserve">Cultured </w:t>
      </w:r>
      <w:r>
        <w:rPr>
          <w:rFonts w:hint="default" w:ascii="Times New Roman" w:hAnsi="Times New Roman" w:cs="Times New Roman"/>
          <w:sz w:val="24"/>
          <w:szCs w:val="24"/>
        </w:rPr>
        <w:t>T4 bacteriophage demonstrated promising antiviral activity by reducing FMD viral replication in vitro and in vivo. It successfully delivered therapeutic agents, such as antiviral peptides or RNA molecules, to inhibit viral infection in susceptible cell lines and animal models.</w:t>
      </w:r>
      <w:r>
        <w:rPr>
          <w:rFonts w:hint="default" w:ascii="Times New Roman" w:hAnsi="Times New Roman" w:eastAsia="SimSun" w:cs="Times New Roman"/>
          <w:sz w:val="24"/>
          <w:szCs w:val="24"/>
        </w:rPr>
        <w:t>The T4 bacteriophage showed high specificity toward its bacterial host without adverse effects on animals, confirming its biosafety for veterinary applications. This highlights its suitability for use in large-scale livestock treatment programs.</w:t>
      </w:r>
      <w:r>
        <w:rPr>
          <w:rFonts w:hint="default" w:ascii="Times New Roman" w:hAnsi="Times New Roman" w:cs="Times New Roman"/>
          <w:sz w:val="24"/>
          <w:szCs w:val="24"/>
        </w:rPr>
        <w:t>In treated animals, the therapeutic T4 bacteriophage effectively reduced the severity of FMD symptoms, such as vesicle formation, fever, and lameness, while also lowering viral load in blood and tissues.</w:t>
      </w:r>
      <w:r>
        <w:rPr>
          <w:rFonts w:hint="default" w:ascii="Times New Roman" w:hAnsi="Times New Roman" w:eastAsia="SimSun" w:cs="Times New Roman"/>
          <w:sz w:val="24"/>
          <w:szCs w:val="24"/>
        </w:rPr>
        <w:t>Unlike chemical antivirals or antibiotics, phages are biodegradable and do not leave harmful residues.Phage therapy reduces the risk of viral resistance compared to repeated use of conventional drugs.</w:t>
      </w:r>
      <w:r>
        <w:rPr>
          <w:rFonts w:hint="default" w:ascii="Times New Roman" w:hAnsi="Times New Roman" w:eastAsia="Symbol" w:cs="Times New Roman"/>
          <w:sz w:val="24"/>
          <w:szCs w:val="24"/>
        </w:rPr>
        <w:t>·</w:t>
      </w:r>
      <w:r>
        <w:rPr>
          <w:rFonts w:hint="default" w:ascii="Times New Roman" w:hAnsi="Times New Roman" w:eastAsia="SimSun" w:cs="Times New Roman"/>
          <w:sz w:val="24"/>
          <w:szCs w:val="24"/>
        </w:rPr>
        <w:t xml:space="preserve">  </w:t>
      </w:r>
      <w:r>
        <w:rPr>
          <w:rFonts w:hint="default" w:ascii="Times New Roman" w:hAnsi="Times New Roman" w:cs="Times New Roman"/>
          <w:sz w:val="24"/>
          <w:szCs w:val="24"/>
        </w:rPr>
        <w:t>Phage production is relatively inexpensive, making it accessible for widespread veterinary applications.</w:t>
      </w:r>
      <w:r>
        <w:rPr>
          <w:rFonts w:hint="default" w:ascii="Times New Roman" w:hAnsi="Times New Roman" w:eastAsia="SimSun" w:cs="Times New Roman"/>
          <w:sz w:val="24"/>
          <w:szCs w:val="24"/>
        </w:rPr>
        <w:t xml:space="preserve">The </w:t>
      </w:r>
      <w:r>
        <w:rPr>
          <w:rFonts w:hint="default" w:ascii="Times New Roman" w:hAnsi="Times New Roman" w:eastAsia="SimSun" w:cs="Times New Roman"/>
          <w:sz w:val="24"/>
          <w:szCs w:val="24"/>
          <w:lang w:val="en-IN"/>
        </w:rPr>
        <w:t>cultured</w:t>
      </w:r>
      <w:r>
        <w:rPr>
          <w:rFonts w:hint="default" w:ascii="Times New Roman" w:hAnsi="Times New Roman" w:eastAsia="SimSun" w:cs="Times New Roman"/>
          <w:sz w:val="24"/>
          <w:szCs w:val="24"/>
        </w:rPr>
        <w:t xml:space="preserve"> T4 phage may also enhance the immune response by inducing antiviral cytokines and providing an immunostimulatory effect, which could complement existing FMD vaccination programs.</w:t>
      </w:r>
    </w:p>
    <w:p w14:paraId="252C26CA">
      <w:pPr>
        <w:keepNext w:val="0"/>
        <w:keepLines w:val="0"/>
        <w:widowControl/>
        <w:suppressLineNumbers w:val="0"/>
        <w:tabs>
          <w:tab w:val="left" w:pos="7800"/>
        </w:tabs>
        <w:spacing w:line="360" w:lineRule="auto"/>
        <w:ind w:right="-1400" w:rightChars="-700"/>
        <w:jc w:val="both"/>
        <w:rPr>
          <w:rFonts w:hint="default" w:ascii="Times New Roman" w:hAnsi="Times New Roman" w:eastAsia="SimSun" w:cs="Times New Roman"/>
          <w:sz w:val="24"/>
          <w:szCs w:val="24"/>
        </w:rPr>
      </w:pPr>
    </w:p>
    <w:p w14:paraId="7033ECDF">
      <w:pPr>
        <w:keepNext w:val="0"/>
        <w:keepLines w:val="0"/>
        <w:widowControl/>
        <w:suppressLineNumbers w:val="0"/>
        <w:tabs>
          <w:tab w:val="left" w:pos="7800"/>
        </w:tabs>
        <w:spacing w:line="360" w:lineRule="auto"/>
        <w:ind w:right="-1400" w:rightChars="-700"/>
        <w:jc w:val="both"/>
        <w:rPr>
          <w:rFonts w:hint="default" w:ascii="Times New Roman" w:hAnsi="Times New Roman" w:cs="Times New Roman"/>
          <w:b w:val="0"/>
          <w:bCs w:val="0"/>
          <w:sz w:val="24"/>
          <w:szCs w:val="24"/>
          <w:lang w:val="en-IN"/>
        </w:rPr>
      </w:pPr>
    </w:p>
    <w:p w14:paraId="77134907">
      <w:pPr>
        <w:keepNext w:val="0"/>
        <w:keepLines w:val="0"/>
        <w:widowControl/>
        <w:suppressLineNumbers w:val="0"/>
        <w:spacing w:line="360" w:lineRule="auto"/>
        <w:ind w:right="-1400" w:rightChars="-700"/>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REFRENCES:</w:t>
      </w:r>
    </w:p>
    <w:p w14:paraId="4C6E2D7B">
      <w:pPr>
        <w:pStyle w:val="6"/>
        <w:keepNext w:val="0"/>
        <w:keepLines w:val="0"/>
        <w:widowControl/>
        <w:numPr>
          <w:ilvl w:val="0"/>
          <w:numId w:val="1"/>
        </w:numPr>
        <w:suppressLineNumbers w:val="0"/>
        <w:spacing w:line="360" w:lineRule="auto"/>
        <w:ind w:right="-1400" w:rightChars="-700"/>
        <w:jc w:val="both"/>
        <w:rPr>
          <w:sz w:val="24"/>
          <w:szCs w:val="24"/>
        </w:rPr>
      </w:pPr>
      <w:r>
        <w:rPr>
          <w:sz w:val="24"/>
          <w:szCs w:val="24"/>
        </w:rPr>
        <w:t xml:space="preserve">Abedon, S. T., García, P., Mullany, P., &amp; Aminov, R. (2017). Editorial: Phage Therapy: Past, Present and Future. </w:t>
      </w:r>
      <w:r>
        <w:rPr>
          <w:rStyle w:val="4"/>
          <w:sz w:val="24"/>
          <w:szCs w:val="24"/>
        </w:rPr>
        <w:t>Frontiers in Microbiology</w:t>
      </w:r>
      <w:r>
        <w:rPr>
          <w:sz w:val="24"/>
          <w:szCs w:val="24"/>
        </w:rPr>
        <w:t xml:space="preserve">, 8, 981. </w:t>
      </w:r>
      <w:r>
        <w:rPr>
          <w:sz w:val="24"/>
          <w:szCs w:val="24"/>
        </w:rPr>
        <w:fldChar w:fldCharType="begin"/>
      </w:r>
      <w:r>
        <w:rPr>
          <w:sz w:val="24"/>
          <w:szCs w:val="24"/>
        </w:rPr>
        <w:instrText xml:space="preserve"> HYPERLINK "https://doi.org/10.3389/fmicb.2017.00981" </w:instrText>
      </w:r>
      <w:r>
        <w:rPr>
          <w:sz w:val="24"/>
          <w:szCs w:val="24"/>
        </w:rPr>
        <w:fldChar w:fldCharType="separate"/>
      </w:r>
      <w:r>
        <w:rPr>
          <w:rStyle w:val="5"/>
          <w:sz w:val="24"/>
          <w:szCs w:val="24"/>
        </w:rPr>
        <w:t>https://doi.org/10.3389/fmicb.2017.00981</w:t>
      </w:r>
      <w:r>
        <w:rPr>
          <w:sz w:val="24"/>
          <w:szCs w:val="24"/>
        </w:rPr>
        <w:fldChar w:fldCharType="end"/>
      </w:r>
    </w:p>
    <w:p w14:paraId="252AC45E">
      <w:pPr>
        <w:pStyle w:val="6"/>
        <w:keepNext w:val="0"/>
        <w:keepLines w:val="0"/>
        <w:widowControl/>
        <w:numPr>
          <w:ilvl w:val="0"/>
          <w:numId w:val="0"/>
        </w:numPr>
        <w:suppressLineNumbers w:val="0"/>
        <w:spacing w:line="360" w:lineRule="auto"/>
        <w:ind w:leftChars="0" w:right="-1400" w:rightChars="-700"/>
        <w:jc w:val="both"/>
        <w:rPr>
          <w:sz w:val="24"/>
          <w:szCs w:val="24"/>
        </w:rPr>
      </w:pPr>
      <w:r>
        <w:rPr>
          <w:rFonts w:hint="default"/>
          <w:sz w:val="24"/>
          <w:szCs w:val="24"/>
          <w:lang w:val="en-IN"/>
        </w:rPr>
        <w:t>2.</w:t>
      </w:r>
      <w:r>
        <w:rPr>
          <w:sz w:val="24"/>
          <w:szCs w:val="24"/>
        </w:rPr>
        <w:t xml:space="preserve">Alexandersen, S., Zhang, Z., Donaldson, A. I., &amp; Garland, A. J. (2003). The pathogenesis and diagnosis of foot-and-mouth disease. </w:t>
      </w:r>
      <w:r>
        <w:rPr>
          <w:rStyle w:val="4"/>
          <w:sz w:val="24"/>
          <w:szCs w:val="24"/>
        </w:rPr>
        <w:t>Journal of Comparative Pathology</w:t>
      </w:r>
      <w:r>
        <w:rPr>
          <w:sz w:val="24"/>
          <w:szCs w:val="24"/>
        </w:rPr>
        <w:t xml:space="preserve">, 129(1), 1–36. </w:t>
      </w:r>
      <w:r>
        <w:rPr>
          <w:sz w:val="24"/>
          <w:szCs w:val="24"/>
        </w:rPr>
        <w:fldChar w:fldCharType="begin"/>
      </w:r>
      <w:r>
        <w:rPr>
          <w:sz w:val="24"/>
          <w:szCs w:val="24"/>
        </w:rPr>
        <w:instrText xml:space="preserve"> HYPERLINK "https://doi.org/10.1016/S0021-9975(03)00041-0" </w:instrText>
      </w:r>
      <w:r>
        <w:rPr>
          <w:sz w:val="24"/>
          <w:szCs w:val="24"/>
        </w:rPr>
        <w:fldChar w:fldCharType="separate"/>
      </w:r>
      <w:r>
        <w:rPr>
          <w:rStyle w:val="5"/>
          <w:sz w:val="24"/>
          <w:szCs w:val="24"/>
        </w:rPr>
        <w:t>https://doi.org/10.1016/S0021-9975(03)00041-0</w:t>
      </w:r>
      <w:r>
        <w:rPr>
          <w:sz w:val="24"/>
          <w:szCs w:val="24"/>
        </w:rPr>
        <w:fldChar w:fldCharType="end"/>
      </w:r>
    </w:p>
    <w:p w14:paraId="4C485889">
      <w:pPr>
        <w:pStyle w:val="6"/>
        <w:keepNext w:val="0"/>
        <w:keepLines w:val="0"/>
        <w:widowControl/>
        <w:numPr>
          <w:ilvl w:val="0"/>
          <w:numId w:val="0"/>
        </w:numPr>
        <w:suppressLineNumbers w:val="0"/>
        <w:spacing w:line="360" w:lineRule="auto"/>
        <w:ind w:leftChars="0" w:right="-1400" w:rightChars="-700"/>
        <w:jc w:val="both"/>
        <w:rPr>
          <w:rFonts w:hint="default" w:ascii="Times New Roman" w:hAnsi="Times New Roman" w:cs="Times New Roman"/>
          <w:sz w:val="24"/>
          <w:szCs w:val="24"/>
        </w:rPr>
      </w:pPr>
      <w:r>
        <w:rPr>
          <w:rFonts w:hint="default" w:ascii="Times New Roman" w:hAnsi="Times New Roman" w:eastAsia="SimSun" w:cs="Times New Roman"/>
          <w:sz w:val="24"/>
          <w:szCs w:val="24"/>
          <w:lang w:val="en-IN"/>
        </w:rPr>
        <w:t>3.</w:t>
      </w:r>
      <w:r>
        <w:rPr>
          <w:rFonts w:hint="default" w:ascii="Times New Roman" w:hAnsi="Times New Roman" w:eastAsia="SimSun" w:cs="Times New Roman"/>
          <w:sz w:val="24"/>
          <w:szCs w:val="24"/>
        </w:rPr>
        <w:t xml:space="preserve">Arzt, J., Juleff, N., Zhang, Z., &amp; Rodriguez, L. L. (2011). The pathogenesis of foot-and-mouth disease I: Viral pathways in cattle. </w:t>
      </w:r>
      <w:r>
        <w:rPr>
          <w:rStyle w:val="4"/>
          <w:rFonts w:hint="default" w:ascii="Times New Roman" w:hAnsi="Times New Roman" w:eastAsia="SimSun" w:cs="Times New Roman"/>
          <w:sz w:val="24"/>
          <w:szCs w:val="24"/>
        </w:rPr>
        <w:t>Transboundary and Emerging Diseases</w:t>
      </w:r>
      <w:r>
        <w:rPr>
          <w:rFonts w:hint="default" w:ascii="Times New Roman" w:hAnsi="Times New Roman" w:eastAsia="SimSun" w:cs="Times New Roman"/>
          <w:sz w:val="24"/>
          <w:szCs w:val="24"/>
        </w:rPr>
        <w:t xml:space="preserve">, 58(4), 291–304. </w:t>
      </w: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"https://doi.org/10.1111/j.1865-1682.2011.01204.x" </w:instrText>
      </w:r>
      <w:r>
        <w:rPr>
          <w:rFonts w:hint="default" w:ascii="Times New Roman" w:hAnsi="Times New Roman" w:eastAsia="SimSun" w:cs="Times New Roman"/>
          <w:sz w:val="24"/>
          <w:szCs w:val="24"/>
        </w:rPr>
        <w:fldChar w:fldCharType="separate"/>
      </w:r>
      <w:r>
        <w:rPr>
          <w:rStyle w:val="5"/>
          <w:rFonts w:hint="default" w:ascii="Times New Roman" w:hAnsi="Times New Roman" w:eastAsia="SimSun" w:cs="Times New Roman"/>
          <w:sz w:val="24"/>
          <w:szCs w:val="24"/>
        </w:rPr>
        <w:t>https://doi.org/10.1111/j.1865-1682.2011.01204.x</w:t>
      </w:r>
      <w:r>
        <w:rPr>
          <w:rFonts w:hint="default" w:ascii="Times New Roman" w:hAnsi="Times New Roman" w:eastAsia="SimSun" w:cs="Times New Roman"/>
          <w:sz w:val="24"/>
          <w:szCs w:val="24"/>
        </w:rPr>
        <w:fldChar w:fldCharType="end"/>
      </w:r>
    </w:p>
    <w:p w14:paraId="3FC7452A">
      <w:pPr>
        <w:pStyle w:val="6"/>
        <w:keepNext w:val="0"/>
        <w:keepLines w:val="0"/>
        <w:widowControl/>
        <w:numPr>
          <w:ilvl w:val="0"/>
          <w:numId w:val="0"/>
        </w:numPr>
        <w:suppressLineNumbers w:val="0"/>
        <w:spacing w:line="360" w:lineRule="auto"/>
        <w:ind w:leftChars="0" w:right="-1400" w:rightChars="-700"/>
        <w:jc w:val="both"/>
        <w:rPr>
          <w:rFonts w:hint="default" w:ascii="Times New Roman" w:hAnsi="Times New Roman" w:cs="Times New Roman"/>
          <w:sz w:val="24"/>
          <w:szCs w:val="24"/>
        </w:rPr>
      </w:pPr>
      <w:r>
        <w:rPr>
          <w:rFonts w:hint="default" w:ascii="Times New Roman" w:hAnsi="Times New Roman" w:eastAsia="SimSun" w:cs="Times New Roman"/>
          <w:sz w:val="24"/>
          <w:szCs w:val="24"/>
          <w:lang w:val="en-IN"/>
        </w:rPr>
        <w:t>4.</w:t>
      </w:r>
      <w:r>
        <w:rPr>
          <w:rFonts w:hint="default" w:ascii="Times New Roman" w:hAnsi="Times New Roman" w:eastAsia="SimSun" w:cs="Times New Roman"/>
          <w:sz w:val="24"/>
          <w:szCs w:val="24"/>
        </w:rPr>
        <w:t xml:space="preserve">Caflisch, K. M., Suh, G. A., Patel, R., &amp; Baker, C. J. (2019). Bacteriophage therapy for infections in animal medicine. </w:t>
      </w:r>
      <w:r>
        <w:rPr>
          <w:rStyle w:val="4"/>
          <w:rFonts w:hint="default" w:ascii="Times New Roman" w:hAnsi="Times New Roman" w:eastAsia="SimSun" w:cs="Times New Roman"/>
          <w:sz w:val="24"/>
          <w:szCs w:val="24"/>
        </w:rPr>
        <w:t>Antimicrobial Agents and Chemotherapy</w:t>
      </w:r>
      <w:r>
        <w:rPr>
          <w:rFonts w:hint="default" w:ascii="Times New Roman" w:hAnsi="Times New Roman" w:eastAsia="SimSun" w:cs="Times New Roman"/>
          <w:sz w:val="24"/>
          <w:szCs w:val="24"/>
        </w:rPr>
        <w:t xml:space="preserve">, 63(8), e01932-18. </w:t>
      </w: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"https://doi.org/10.1128/AAC.01932-18" </w:instrText>
      </w:r>
      <w:r>
        <w:rPr>
          <w:rFonts w:hint="default" w:ascii="Times New Roman" w:hAnsi="Times New Roman" w:eastAsia="SimSun" w:cs="Times New Roman"/>
          <w:sz w:val="24"/>
          <w:szCs w:val="24"/>
        </w:rPr>
        <w:fldChar w:fldCharType="separate"/>
      </w:r>
      <w:r>
        <w:rPr>
          <w:rStyle w:val="5"/>
          <w:rFonts w:hint="default" w:ascii="Times New Roman" w:hAnsi="Times New Roman" w:eastAsia="SimSun" w:cs="Times New Roman"/>
          <w:sz w:val="24"/>
          <w:szCs w:val="24"/>
        </w:rPr>
        <w:t>https://doi.org/10.1128/AAC.01932-18</w:t>
      </w:r>
      <w:r>
        <w:rPr>
          <w:rFonts w:hint="default" w:ascii="Times New Roman" w:hAnsi="Times New Roman" w:eastAsia="SimSun" w:cs="Times New Roman"/>
          <w:sz w:val="24"/>
          <w:szCs w:val="24"/>
        </w:rPr>
        <w:fldChar w:fldCharType="end"/>
      </w:r>
    </w:p>
    <w:p w14:paraId="3750A75F">
      <w:pPr>
        <w:keepNext w:val="0"/>
        <w:keepLines w:val="0"/>
        <w:widowControl/>
        <w:numPr>
          <w:ilvl w:val="0"/>
          <w:numId w:val="0"/>
        </w:numPr>
        <w:suppressLineNumbers w:val="0"/>
        <w:spacing w:before="0" w:beforeAutospacing="1" w:after="0" w:afterAutospacing="1" w:line="360" w:lineRule="auto"/>
        <w:ind w:leftChars="0" w:right="-1400" w:rightChars="-7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IN"/>
        </w:rPr>
        <w:t>5.</w:t>
      </w:r>
      <w:r>
        <w:rPr>
          <w:rFonts w:hint="default" w:ascii="Times New Roman" w:hAnsi="Times New Roman" w:eastAsia="SimSun" w:cs="Times New Roman"/>
          <w:sz w:val="24"/>
          <w:szCs w:val="24"/>
        </w:rPr>
        <w:t xml:space="preserve">Clokie, M. R. J., Millard, A. D., Letarov, A. V., &amp; Heaphy, S. (2011). Phages in nature. </w:t>
      </w:r>
      <w:r>
        <w:rPr>
          <w:rStyle w:val="4"/>
          <w:rFonts w:hint="default" w:ascii="Times New Roman" w:hAnsi="Times New Roman" w:eastAsia="SimSun" w:cs="Times New Roman"/>
          <w:sz w:val="24"/>
          <w:szCs w:val="24"/>
        </w:rPr>
        <w:t>Bacteriophage</w:t>
      </w:r>
      <w:r>
        <w:rPr>
          <w:rFonts w:hint="default" w:ascii="Times New Roman" w:hAnsi="Times New Roman" w:eastAsia="SimSun" w:cs="Times New Roman"/>
          <w:sz w:val="24"/>
          <w:szCs w:val="24"/>
        </w:rPr>
        <w:t xml:space="preserve">, 1(1), 31–45. </w:t>
      </w: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"https://doi.org/10.4161/bact.1.1.14942" </w:instrText>
      </w:r>
      <w:r>
        <w:rPr>
          <w:rFonts w:hint="default" w:ascii="Times New Roman" w:hAnsi="Times New Roman" w:eastAsia="SimSun" w:cs="Times New Roman"/>
          <w:sz w:val="24"/>
          <w:szCs w:val="24"/>
        </w:rPr>
        <w:fldChar w:fldCharType="separate"/>
      </w:r>
      <w:r>
        <w:rPr>
          <w:rStyle w:val="5"/>
          <w:rFonts w:hint="default" w:ascii="Times New Roman" w:hAnsi="Times New Roman" w:eastAsia="SimSun" w:cs="Times New Roman"/>
          <w:sz w:val="24"/>
          <w:szCs w:val="24"/>
        </w:rPr>
        <w:t>https://doi.org/10.4161/bact.1.1.14942</w:t>
      </w:r>
      <w:r>
        <w:rPr>
          <w:rFonts w:hint="default" w:ascii="Times New Roman" w:hAnsi="Times New Roman" w:eastAsia="SimSun" w:cs="Times New Roman"/>
          <w:sz w:val="24"/>
          <w:szCs w:val="24"/>
        </w:rPr>
        <w:fldChar w:fldCharType="end"/>
      </w:r>
    </w:p>
    <w:p w14:paraId="24EC25FC">
      <w:pPr>
        <w:keepNext w:val="0"/>
        <w:keepLines w:val="0"/>
        <w:widowControl/>
        <w:numPr>
          <w:ilvl w:val="0"/>
          <w:numId w:val="0"/>
        </w:numPr>
        <w:suppressLineNumbers w:val="0"/>
        <w:spacing w:before="0" w:beforeAutospacing="1" w:after="0" w:afterAutospacing="1" w:line="360" w:lineRule="auto"/>
        <w:ind w:leftChars="0" w:right="-1400" w:rightChars="-700"/>
        <w:jc w:val="both"/>
        <w:rPr>
          <w:rFonts w:hint="default" w:ascii="Times New Roman" w:hAnsi="Times New Roman" w:eastAsia="SimSun" w:cs="Times New Roman"/>
          <w:sz w:val="24"/>
          <w:szCs w:val="24"/>
          <w:lang w:val="en-IN"/>
        </w:rPr>
      </w:pPr>
      <w:r>
        <w:rPr>
          <w:rFonts w:hint="default" w:ascii="Times New Roman" w:hAnsi="Times New Roman" w:eastAsia="SimSun" w:cs="Times New Roman"/>
          <w:sz w:val="24"/>
          <w:szCs w:val="24"/>
          <w:lang w:val="en-IN"/>
        </w:rPr>
        <w:t>6.</w:t>
      </w:r>
      <w:r>
        <w:rPr>
          <w:rFonts w:hint="default" w:ascii="Times New Roman" w:hAnsi="Times New Roman" w:eastAsia="SimSun" w:cs="Times New Roman"/>
          <w:sz w:val="24"/>
          <w:szCs w:val="24"/>
        </w:rPr>
        <w:t xml:space="preserve">Chan, B. K., &amp; Abedon, S. T. (2015). Bacteriophages and their enzymes in biofilm control. </w:t>
      </w:r>
      <w:r>
        <w:rPr>
          <w:rStyle w:val="4"/>
          <w:rFonts w:hint="default" w:ascii="Times New Roman" w:hAnsi="Times New Roman" w:eastAsia="SimSun" w:cs="Times New Roman"/>
          <w:sz w:val="24"/>
          <w:szCs w:val="24"/>
        </w:rPr>
        <w:t>Current Pharmaceutical Design</w:t>
      </w:r>
      <w:r>
        <w:rPr>
          <w:rFonts w:hint="default" w:ascii="Times New Roman" w:hAnsi="Times New Roman" w:eastAsia="SimSun" w:cs="Times New Roman"/>
          <w:sz w:val="24"/>
          <w:szCs w:val="24"/>
        </w:rPr>
        <w:t xml:space="preserve">, 21(1), 85–99. </w:t>
      </w: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"https://doi.org/10.2174/1381612820666140905113011" </w:instrText>
      </w:r>
      <w:r>
        <w:rPr>
          <w:rFonts w:hint="default" w:ascii="Times New Roman" w:hAnsi="Times New Roman" w:eastAsia="SimSun" w:cs="Times New Roman"/>
          <w:sz w:val="24"/>
          <w:szCs w:val="24"/>
        </w:rPr>
        <w:fldChar w:fldCharType="separate"/>
      </w:r>
      <w:r>
        <w:rPr>
          <w:rStyle w:val="5"/>
          <w:rFonts w:hint="default" w:ascii="Times New Roman" w:hAnsi="Times New Roman" w:eastAsia="SimSun" w:cs="Times New Roman"/>
          <w:sz w:val="24"/>
          <w:szCs w:val="24"/>
        </w:rPr>
        <w:t>https://doi.org/10.2174/1381612820666140905113011</w:t>
      </w:r>
      <w:r>
        <w:rPr>
          <w:rFonts w:hint="default" w:ascii="Times New Roman" w:hAnsi="Times New Roman" w:eastAsia="SimSun" w:cs="Times New Roman"/>
          <w:sz w:val="24"/>
          <w:szCs w:val="24"/>
        </w:rPr>
        <w:fldChar w:fldCharType="end"/>
      </w:r>
    </w:p>
    <w:p w14:paraId="321B91DA">
      <w:pPr>
        <w:keepNext w:val="0"/>
        <w:keepLines w:val="0"/>
        <w:widowControl/>
        <w:numPr>
          <w:ilvl w:val="0"/>
          <w:numId w:val="0"/>
        </w:numPr>
        <w:suppressLineNumbers w:val="0"/>
        <w:spacing w:before="0" w:beforeAutospacing="1" w:after="0" w:afterAutospacing="1" w:line="360" w:lineRule="auto"/>
        <w:ind w:leftChars="0" w:right="-1400" w:rightChars="-700"/>
        <w:jc w:val="both"/>
        <w:rPr>
          <w:rFonts w:hint="default" w:ascii="Times New Roman" w:hAnsi="Times New Roman" w:eastAsia="SimSun" w:cs="Times New Roman"/>
          <w:sz w:val="24"/>
          <w:szCs w:val="24"/>
          <w:lang w:val="en-IN"/>
        </w:rPr>
      </w:pPr>
      <w:r>
        <w:rPr>
          <w:rFonts w:hint="default" w:ascii="Times New Roman" w:hAnsi="Times New Roman" w:eastAsia="SimSun" w:cs="Times New Roman"/>
          <w:sz w:val="24"/>
          <w:szCs w:val="24"/>
          <w:lang w:val="en-IN"/>
        </w:rPr>
        <w:t>7.</w:t>
      </w:r>
      <w:r>
        <w:rPr>
          <w:rFonts w:hint="default" w:ascii="Times New Roman" w:hAnsi="Times New Roman" w:eastAsia="SimSun" w:cs="Times New Roman"/>
          <w:sz w:val="24"/>
          <w:szCs w:val="24"/>
        </w:rPr>
        <w:t xml:space="preserve">Edgar, R., Friedman, N., Molshanski-Mor, S., &amp; Qimron, U. (2012). Reprogramming bacteriophage host range through viral recombination. </w:t>
      </w:r>
      <w:r>
        <w:rPr>
          <w:rStyle w:val="4"/>
          <w:rFonts w:hint="default" w:ascii="Times New Roman" w:hAnsi="Times New Roman" w:eastAsia="SimSun" w:cs="Times New Roman"/>
          <w:sz w:val="24"/>
          <w:szCs w:val="24"/>
        </w:rPr>
        <w:t>Nature Biotechnology</w:t>
      </w:r>
      <w:r>
        <w:rPr>
          <w:rFonts w:hint="default" w:ascii="Times New Roman" w:hAnsi="Times New Roman" w:eastAsia="SimSun" w:cs="Times New Roman"/>
          <w:sz w:val="24"/>
          <w:szCs w:val="24"/>
        </w:rPr>
        <w:t xml:space="preserve">, 30(5), 447–452. </w:t>
      </w: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"https://doi.org/10.1038/nbt.2185" </w:instrText>
      </w:r>
      <w:r>
        <w:rPr>
          <w:rFonts w:hint="default" w:ascii="Times New Roman" w:hAnsi="Times New Roman" w:eastAsia="SimSun" w:cs="Times New Roman"/>
          <w:sz w:val="24"/>
          <w:szCs w:val="24"/>
        </w:rPr>
        <w:fldChar w:fldCharType="separate"/>
      </w:r>
      <w:r>
        <w:rPr>
          <w:rStyle w:val="5"/>
          <w:rFonts w:hint="default" w:ascii="Times New Roman" w:hAnsi="Times New Roman" w:eastAsia="SimSun" w:cs="Times New Roman"/>
          <w:sz w:val="24"/>
          <w:szCs w:val="24"/>
        </w:rPr>
        <w:t>https://doi.org/10.1038/nbt.2185</w:t>
      </w:r>
      <w:r>
        <w:rPr>
          <w:rFonts w:hint="default" w:ascii="Times New Roman" w:hAnsi="Times New Roman" w:eastAsia="SimSun" w:cs="Times New Roman"/>
          <w:sz w:val="24"/>
          <w:szCs w:val="24"/>
        </w:rPr>
        <w:fldChar w:fldCharType="end"/>
      </w:r>
    </w:p>
    <w:p w14:paraId="7D5F2C15">
      <w:pPr>
        <w:pStyle w:val="6"/>
        <w:keepNext w:val="0"/>
        <w:keepLines w:val="0"/>
        <w:widowControl/>
        <w:numPr>
          <w:ilvl w:val="0"/>
          <w:numId w:val="0"/>
        </w:numPr>
        <w:suppressLineNumbers w:val="0"/>
        <w:spacing w:line="360" w:lineRule="auto"/>
        <w:ind w:leftChars="0" w:right="-1400" w:rightChars="-700"/>
        <w:jc w:val="both"/>
        <w:rPr>
          <w:rFonts w:hint="default" w:ascii="Times New Roman" w:hAnsi="Times New Roman" w:cs="Times New Roman"/>
          <w:sz w:val="24"/>
          <w:szCs w:val="24"/>
        </w:rPr>
      </w:pPr>
      <w:r>
        <w:rPr>
          <w:rFonts w:hint="default" w:ascii="Times New Roman" w:hAnsi="Times New Roman" w:cs="Times New Roman"/>
          <w:sz w:val="24"/>
          <w:szCs w:val="24"/>
          <w:lang w:val="en-IN"/>
        </w:rPr>
        <w:t>8.</w:t>
      </w:r>
      <w:r>
        <w:rPr>
          <w:rFonts w:hint="default" w:ascii="Times New Roman" w:hAnsi="Times New Roman" w:cs="Times New Roman"/>
          <w:sz w:val="24"/>
          <w:szCs w:val="24"/>
        </w:rPr>
        <w:t xml:space="preserve">García-Doval, C., &amp; van Raaij, M. J. (2012). Structure of the receptor-binding carboxy-terminal domain of bacteriophage T4 long tail fiber. </w:t>
      </w:r>
      <w:r>
        <w:rPr>
          <w:rStyle w:val="4"/>
          <w:rFonts w:hint="default" w:ascii="Times New Roman" w:hAnsi="Times New Roman" w:cs="Times New Roman"/>
          <w:sz w:val="24"/>
          <w:szCs w:val="24"/>
        </w:rPr>
        <w:t>Molecular Microbiology</w:t>
      </w:r>
      <w:r>
        <w:rPr>
          <w:rFonts w:hint="default" w:ascii="Times New Roman" w:hAnsi="Times New Roman" w:cs="Times New Roman"/>
          <w:sz w:val="24"/>
          <w:szCs w:val="24"/>
        </w:rPr>
        <w:t xml:space="preserve">, 83(6), 1248–1258.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"https://doi.org/10.1111/j.1365-2958.2012.08000.x" </w:instrText>
      </w:r>
      <w:r>
        <w:rPr>
          <w:rFonts w:hint="default" w:ascii="Times New Roman" w:hAnsi="Times New Roman" w:cs="Times New Roman"/>
          <w:sz w:val="24"/>
          <w:szCs w:val="24"/>
        </w:rPr>
        <w:fldChar w:fldCharType="separate"/>
      </w:r>
      <w:r>
        <w:rPr>
          <w:rStyle w:val="5"/>
          <w:rFonts w:hint="default" w:ascii="Times New Roman" w:hAnsi="Times New Roman" w:cs="Times New Roman"/>
          <w:sz w:val="24"/>
          <w:szCs w:val="24"/>
        </w:rPr>
        <w:t>https://doi.org/10.1111/j.1365-2958.2012.08000.x</w:t>
      </w:r>
      <w:r>
        <w:rPr>
          <w:rFonts w:hint="default" w:ascii="Times New Roman" w:hAnsi="Times New Roman" w:cs="Times New Roman"/>
          <w:sz w:val="24"/>
          <w:szCs w:val="24"/>
        </w:rPr>
        <w:fldChar w:fldCharType="end"/>
      </w:r>
    </w:p>
    <w:p w14:paraId="062B6212">
      <w:pPr>
        <w:pStyle w:val="6"/>
        <w:keepNext w:val="0"/>
        <w:keepLines w:val="0"/>
        <w:widowControl/>
        <w:numPr>
          <w:ilvl w:val="0"/>
          <w:numId w:val="0"/>
        </w:numPr>
        <w:suppressLineNumbers w:val="0"/>
        <w:spacing w:line="360" w:lineRule="auto"/>
        <w:ind w:leftChars="0" w:right="-1400" w:rightChars="-700"/>
        <w:jc w:val="both"/>
        <w:rPr>
          <w:rFonts w:hint="default" w:ascii="Times New Roman" w:hAnsi="Times New Roman" w:cs="Times New Roman"/>
          <w:sz w:val="24"/>
          <w:szCs w:val="24"/>
          <w:lang w:val="en-IN"/>
        </w:rPr>
      </w:pPr>
      <w:r>
        <w:rPr>
          <w:rFonts w:hint="default" w:ascii="Times New Roman" w:hAnsi="Times New Roman" w:eastAsia="SimSun" w:cs="Times New Roman"/>
          <w:sz w:val="24"/>
          <w:szCs w:val="24"/>
          <w:lang w:val="en-IN"/>
        </w:rPr>
        <w:t>9.</w:t>
      </w:r>
      <w:r>
        <w:rPr>
          <w:rFonts w:hint="default" w:ascii="Times New Roman" w:hAnsi="Times New Roman" w:eastAsia="SimSun" w:cs="Times New Roman"/>
          <w:sz w:val="24"/>
          <w:szCs w:val="24"/>
        </w:rPr>
        <w:t xml:space="preserve">Gill, J. J., &amp; Hyman, P. (2010). Phage choice, isolation, and preparation for phage therapy. </w:t>
      </w:r>
      <w:r>
        <w:rPr>
          <w:rStyle w:val="4"/>
          <w:rFonts w:hint="default" w:ascii="Times New Roman" w:hAnsi="Times New Roman" w:eastAsia="SimSun" w:cs="Times New Roman"/>
          <w:sz w:val="24"/>
          <w:szCs w:val="24"/>
        </w:rPr>
        <w:t>Current Pharmaceutical Biotechnology</w:t>
      </w:r>
      <w:r>
        <w:rPr>
          <w:rFonts w:hint="default" w:ascii="Times New Roman" w:hAnsi="Times New Roman" w:eastAsia="SimSun" w:cs="Times New Roman"/>
          <w:sz w:val="24"/>
          <w:szCs w:val="24"/>
        </w:rPr>
        <w:t xml:space="preserve">, 11(1), 2–14. </w:t>
      </w: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"https://doi.org/10.2174/138920110790725311" </w:instrText>
      </w:r>
      <w:r>
        <w:rPr>
          <w:rFonts w:hint="default" w:ascii="Times New Roman" w:hAnsi="Times New Roman" w:eastAsia="SimSun" w:cs="Times New Roman"/>
          <w:sz w:val="24"/>
          <w:szCs w:val="24"/>
        </w:rPr>
        <w:fldChar w:fldCharType="separate"/>
      </w:r>
      <w:r>
        <w:rPr>
          <w:rStyle w:val="5"/>
          <w:rFonts w:hint="default" w:ascii="Times New Roman" w:hAnsi="Times New Roman" w:eastAsia="SimSun" w:cs="Times New Roman"/>
          <w:sz w:val="24"/>
          <w:szCs w:val="24"/>
        </w:rPr>
        <w:t>https://doi.org/10.2174/138920110790725311</w:t>
      </w:r>
      <w:r>
        <w:rPr>
          <w:rFonts w:hint="default" w:ascii="Times New Roman" w:hAnsi="Times New Roman" w:eastAsia="SimSun" w:cs="Times New Roman"/>
          <w:sz w:val="24"/>
          <w:szCs w:val="24"/>
        </w:rPr>
        <w:fldChar w:fldCharType="end"/>
      </w:r>
    </w:p>
    <w:p w14:paraId="729C73CA">
      <w:pPr>
        <w:pStyle w:val="6"/>
        <w:keepNext w:val="0"/>
        <w:keepLines w:val="0"/>
        <w:widowControl/>
        <w:numPr>
          <w:ilvl w:val="0"/>
          <w:numId w:val="0"/>
        </w:numPr>
        <w:suppressLineNumbers w:val="0"/>
        <w:spacing w:line="360" w:lineRule="auto"/>
        <w:ind w:leftChars="0" w:right="-1400" w:rightChars="-700"/>
        <w:jc w:val="both"/>
        <w:rPr>
          <w:rFonts w:hint="default" w:ascii="Times New Roman" w:hAnsi="Times New Roman" w:cs="Times New Roman"/>
          <w:sz w:val="24"/>
          <w:szCs w:val="24"/>
          <w:lang w:val="en-IN"/>
        </w:rPr>
      </w:pPr>
      <w:r>
        <w:rPr>
          <w:rFonts w:hint="default" w:ascii="Times New Roman" w:hAnsi="Times New Roman" w:eastAsia="SimSun" w:cs="Times New Roman"/>
          <w:sz w:val="24"/>
          <w:szCs w:val="24"/>
          <w:lang w:val="en-IN"/>
        </w:rPr>
        <w:t>10.</w:t>
      </w:r>
      <w:r>
        <w:rPr>
          <w:rFonts w:hint="default" w:ascii="Times New Roman" w:hAnsi="Times New Roman" w:eastAsia="SimSun" w:cs="Times New Roman"/>
          <w:sz w:val="24"/>
          <w:szCs w:val="24"/>
        </w:rPr>
        <w:t xml:space="preserve">Grubman, M. J., &amp; Baxt, B. (2004). Foot-and-mouth disease. </w:t>
      </w:r>
      <w:r>
        <w:rPr>
          <w:rStyle w:val="4"/>
          <w:rFonts w:hint="default" w:ascii="Times New Roman" w:hAnsi="Times New Roman" w:eastAsia="SimSun" w:cs="Times New Roman"/>
          <w:sz w:val="24"/>
          <w:szCs w:val="24"/>
        </w:rPr>
        <w:t>Clinical Microbiology Reviews</w:t>
      </w:r>
      <w:r>
        <w:rPr>
          <w:rFonts w:hint="default" w:ascii="Times New Roman" w:hAnsi="Times New Roman" w:eastAsia="SimSun" w:cs="Times New Roman"/>
          <w:sz w:val="24"/>
          <w:szCs w:val="24"/>
        </w:rPr>
        <w:t xml:space="preserve">, 17(2), 465–493. </w:t>
      </w: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"https://doi.org/10.1128/CMR.17.2.465-493.2004" </w:instrText>
      </w:r>
      <w:r>
        <w:rPr>
          <w:rFonts w:hint="default" w:ascii="Times New Roman" w:hAnsi="Times New Roman" w:eastAsia="SimSun" w:cs="Times New Roman"/>
          <w:sz w:val="24"/>
          <w:szCs w:val="24"/>
        </w:rPr>
        <w:fldChar w:fldCharType="separate"/>
      </w:r>
      <w:r>
        <w:rPr>
          <w:rStyle w:val="5"/>
          <w:rFonts w:hint="default" w:ascii="Times New Roman" w:hAnsi="Times New Roman" w:eastAsia="SimSun" w:cs="Times New Roman"/>
          <w:sz w:val="24"/>
          <w:szCs w:val="24"/>
        </w:rPr>
        <w:t>https://doi.org/10.1128/CMR.17.2.465-493.2004</w:t>
      </w:r>
      <w:r>
        <w:rPr>
          <w:rFonts w:hint="default" w:ascii="Times New Roman" w:hAnsi="Times New Roman" w:eastAsia="SimSun" w:cs="Times New Roman"/>
          <w:sz w:val="24"/>
          <w:szCs w:val="24"/>
        </w:rPr>
        <w:fldChar w:fldCharType="end"/>
      </w:r>
    </w:p>
    <w:p w14:paraId="31BD656C">
      <w:pPr>
        <w:pStyle w:val="6"/>
        <w:keepNext w:val="0"/>
        <w:keepLines w:val="0"/>
        <w:widowControl/>
        <w:numPr>
          <w:ilvl w:val="0"/>
          <w:numId w:val="0"/>
        </w:numPr>
        <w:suppressLineNumbers w:val="0"/>
        <w:spacing w:line="360" w:lineRule="auto"/>
        <w:ind w:leftChars="0" w:right="-1400" w:rightChars="-700"/>
        <w:jc w:val="both"/>
        <w:rPr>
          <w:rFonts w:hint="default" w:ascii="Times New Roman" w:hAnsi="Times New Roman" w:cs="Times New Roman"/>
          <w:sz w:val="24"/>
          <w:szCs w:val="24"/>
          <w:lang w:val="en-IN"/>
        </w:rPr>
      </w:pPr>
      <w:r>
        <w:rPr>
          <w:rFonts w:hint="default" w:ascii="Times New Roman" w:hAnsi="Times New Roman" w:eastAsia="SimSun" w:cs="Times New Roman"/>
          <w:sz w:val="24"/>
          <w:szCs w:val="24"/>
          <w:lang w:val="en-IN"/>
        </w:rPr>
        <w:t>11.</w:t>
      </w:r>
      <w:r>
        <w:rPr>
          <w:rFonts w:hint="default" w:ascii="Times New Roman" w:hAnsi="Times New Roman" w:eastAsia="SimSun" w:cs="Times New Roman"/>
          <w:sz w:val="24"/>
          <w:szCs w:val="24"/>
        </w:rPr>
        <w:t xml:space="preserve">Hyman, P., &amp; Abedon, S. T. (2010). Bacteriophage host range and bacterial resistance. </w:t>
      </w:r>
      <w:r>
        <w:rPr>
          <w:rStyle w:val="4"/>
          <w:rFonts w:hint="default" w:ascii="Times New Roman" w:hAnsi="Times New Roman" w:eastAsia="SimSun" w:cs="Times New Roman"/>
          <w:sz w:val="24"/>
          <w:szCs w:val="24"/>
        </w:rPr>
        <w:t>Advances in Applied Microbiology</w:t>
      </w:r>
      <w:r>
        <w:rPr>
          <w:rFonts w:hint="default" w:ascii="Times New Roman" w:hAnsi="Times New Roman" w:eastAsia="SimSun" w:cs="Times New Roman"/>
          <w:sz w:val="24"/>
          <w:szCs w:val="24"/>
        </w:rPr>
        <w:t xml:space="preserve">, 70, 217–248. </w:t>
      </w: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"https://doi.org/10.1016/S0065-2164(10)70007-1" </w:instrText>
      </w:r>
      <w:r>
        <w:rPr>
          <w:rFonts w:hint="default" w:ascii="Times New Roman" w:hAnsi="Times New Roman" w:eastAsia="SimSun" w:cs="Times New Roman"/>
          <w:sz w:val="24"/>
          <w:szCs w:val="24"/>
        </w:rPr>
        <w:fldChar w:fldCharType="separate"/>
      </w:r>
      <w:r>
        <w:rPr>
          <w:rStyle w:val="5"/>
          <w:rFonts w:hint="default" w:ascii="Times New Roman" w:hAnsi="Times New Roman" w:eastAsia="SimSun" w:cs="Times New Roman"/>
          <w:sz w:val="24"/>
          <w:szCs w:val="24"/>
        </w:rPr>
        <w:t>https://doi.org/10.1016/S0065-2164(10)70007-1</w:t>
      </w:r>
      <w:r>
        <w:rPr>
          <w:rFonts w:hint="default" w:ascii="Times New Roman" w:hAnsi="Times New Roman" w:eastAsia="SimSun" w:cs="Times New Roman"/>
          <w:sz w:val="24"/>
          <w:szCs w:val="24"/>
        </w:rPr>
        <w:fldChar w:fldCharType="end"/>
      </w:r>
    </w:p>
    <w:p w14:paraId="52F2F351">
      <w:pPr>
        <w:pStyle w:val="6"/>
        <w:keepNext w:val="0"/>
        <w:keepLines w:val="0"/>
        <w:widowControl/>
        <w:numPr>
          <w:ilvl w:val="0"/>
          <w:numId w:val="0"/>
        </w:numPr>
        <w:suppressLineNumbers w:val="0"/>
        <w:spacing w:line="360" w:lineRule="auto"/>
        <w:ind w:leftChars="0" w:right="-1400" w:rightChars="-700"/>
        <w:jc w:val="both"/>
        <w:rPr>
          <w:rFonts w:hint="default" w:ascii="Times New Roman" w:hAnsi="Times New Roman" w:cs="Times New Roman"/>
          <w:sz w:val="24"/>
          <w:szCs w:val="24"/>
        </w:rPr>
      </w:pPr>
      <w:r>
        <w:rPr>
          <w:rFonts w:hint="default" w:ascii="Times New Roman" w:hAnsi="Times New Roman" w:cs="Times New Roman"/>
          <w:sz w:val="24"/>
          <w:szCs w:val="24"/>
          <w:lang w:val="en-IN"/>
        </w:rPr>
        <w:t>12.</w:t>
      </w:r>
      <w:r>
        <w:rPr>
          <w:rFonts w:hint="default" w:ascii="Times New Roman" w:hAnsi="Times New Roman" w:cs="Times New Roman"/>
          <w:sz w:val="24"/>
          <w:szCs w:val="24"/>
        </w:rPr>
        <w:t xml:space="preserve">Kutter, E., De Vos, D., Gvasalia, G., et al. (2010). Phage therapy in clinical practice: Treatment of human infections. </w:t>
      </w:r>
      <w:r>
        <w:rPr>
          <w:rStyle w:val="4"/>
          <w:rFonts w:hint="default" w:ascii="Times New Roman" w:hAnsi="Times New Roman" w:cs="Times New Roman"/>
          <w:sz w:val="24"/>
          <w:szCs w:val="24"/>
        </w:rPr>
        <w:t>Current Pharmaceutical Biotechnology</w:t>
      </w:r>
      <w:r>
        <w:rPr>
          <w:rFonts w:hint="default" w:ascii="Times New Roman" w:hAnsi="Times New Roman" w:cs="Times New Roman"/>
          <w:sz w:val="24"/>
          <w:szCs w:val="24"/>
        </w:rPr>
        <w:t xml:space="preserve">, 11(1), 69–86.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"https://doi.org/10.2174/138920110790725401" </w:instrText>
      </w:r>
      <w:r>
        <w:rPr>
          <w:rFonts w:hint="default" w:ascii="Times New Roman" w:hAnsi="Times New Roman" w:cs="Times New Roman"/>
          <w:sz w:val="24"/>
          <w:szCs w:val="24"/>
        </w:rPr>
        <w:fldChar w:fldCharType="separate"/>
      </w:r>
      <w:r>
        <w:rPr>
          <w:rStyle w:val="5"/>
          <w:rFonts w:hint="default" w:ascii="Times New Roman" w:hAnsi="Times New Roman" w:cs="Times New Roman"/>
          <w:sz w:val="24"/>
          <w:szCs w:val="24"/>
        </w:rPr>
        <w:t>https://doi.org/10.2174/138920110790725401</w:t>
      </w:r>
      <w:r>
        <w:rPr>
          <w:rFonts w:hint="default" w:ascii="Times New Roman" w:hAnsi="Times New Roman" w:cs="Times New Roman"/>
          <w:sz w:val="24"/>
          <w:szCs w:val="24"/>
        </w:rPr>
        <w:fldChar w:fldCharType="end"/>
      </w:r>
    </w:p>
    <w:p w14:paraId="2CA2990E">
      <w:pPr>
        <w:pStyle w:val="6"/>
        <w:keepNext w:val="0"/>
        <w:keepLines w:val="0"/>
        <w:widowControl/>
        <w:numPr>
          <w:ilvl w:val="0"/>
          <w:numId w:val="0"/>
        </w:numPr>
        <w:suppressLineNumbers w:val="0"/>
        <w:spacing w:line="360" w:lineRule="auto"/>
        <w:ind w:leftChars="0" w:right="-1400" w:rightChars="-700"/>
        <w:jc w:val="both"/>
        <w:rPr>
          <w:rFonts w:hint="default" w:ascii="Times New Roman" w:hAnsi="Times New Roman" w:cs="Times New Roman"/>
          <w:sz w:val="24"/>
          <w:szCs w:val="24"/>
        </w:rPr>
      </w:pPr>
      <w:r>
        <w:rPr>
          <w:rFonts w:hint="default" w:ascii="Times New Roman" w:hAnsi="Times New Roman" w:eastAsia="SimSun" w:cs="Times New Roman"/>
          <w:sz w:val="24"/>
          <w:szCs w:val="24"/>
          <w:lang w:val="en-IN"/>
        </w:rPr>
        <w:t>13.</w:t>
      </w:r>
      <w:r>
        <w:rPr>
          <w:rFonts w:hint="default" w:ascii="Times New Roman" w:hAnsi="Times New Roman" w:eastAsia="SimSun" w:cs="Times New Roman"/>
          <w:sz w:val="24"/>
          <w:szCs w:val="24"/>
        </w:rPr>
        <w:t xml:space="preserve">Letchumanan, V., Chan, K. G., &amp; Lee, L. H. (2016). Bacteriophage therapy: A potential alternative to antibiotics. </w:t>
      </w:r>
      <w:r>
        <w:rPr>
          <w:rStyle w:val="4"/>
          <w:rFonts w:hint="default" w:ascii="Times New Roman" w:hAnsi="Times New Roman" w:eastAsia="SimSun" w:cs="Times New Roman"/>
          <w:sz w:val="24"/>
          <w:szCs w:val="24"/>
        </w:rPr>
        <w:t>Critical Reviews in Microbiology</w:t>
      </w:r>
      <w:r>
        <w:rPr>
          <w:rFonts w:hint="default" w:ascii="Times New Roman" w:hAnsi="Times New Roman" w:eastAsia="SimSun" w:cs="Times New Roman"/>
          <w:sz w:val="24"/>
          <w:szCs w:val="24"/>
        </w:rPr>
        <w:t xml:space="preserve">, 42(5), 618–639. </w:t>
      </w: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"https://doi.org/10.3109/1040841X.2015.1130005" </w:instrText>
      </w:r>
      <w:r>
        <w:rPr>
          <w:rFonts w:hint="default" w:ascii="Times New Roman" w:hAnsi="Times New Roman" w:eastAsia="SimSun" w:cs="Times New Roman"/>
          <w:sz w:val="24"/>
          <w:szCs w:val="24"/>
        </w:rPr>
        <w:fldChar w:fldCharType="separate"/>
      </w:r>
      <w:r>
        <w:rPr>
          <w:rStyle w:val="5"/>
          <w:rFonts w:hint="default" w:ascii="Times New Roman" w:hAnsi="Times New Roman" w:eastAsia="SimSun" w:cs="Times New Roman"/>
          <w:sz w:val="24"/>
          <w:szCs w:val="24"/>
        </w:rPr>
        <w:t>https://doi.org/10.3109/1040841X.2015.1130005</w:t>
      </w:r>
      <w:r>
        <w:rPr>
          <w:rFonts w:hint="default" w:ascii="Times New Roman" w:hAnsi="Times New Roman" w:eastAsia="SimSun" w:cs="Times New Roman"/>
          <w:sz w:val="24"/>
          <w:szCs w:val="24"/>
        </w:rPr>
        <w:fldChar w:fldCharType="end"/>
      </w:r>
    </w:p>
    <w:p w14:paraId="339B5711">
      <w:pPr>
        <w:pStyle w:val="6"/>
        <w:keepNext w:val="0"/>
        <w:keepLines w:val="0"/>
        <w:widowControl/>
        <w:numPr>
          <w:ilvl w:val="0"/>
          <w:numId w:val="0"/>
        </w:numPr>
        <w:suppressLineNumbers w:val="0"/>
        <w:spacing w:before="0" w:beforeAutospacing="1" w:after="0" w:afterAutospacing="1" w:line="360" w:lineRule="auto"/>
        <w:ind w:leftChars="0" w:right="-1400" w:rightChars="-700"/>
        <w:jc w:val="both"/>
        <w:rPr>
          <w:rFonts w:hint="default" w:ascii="Times New Roman" w:hAnsi="Times New Roman" w:cs="Times New Roman"/>
          <w:sz w:val="24"/>
          <w:szCs w:val="24"/>
        </w:rPr>
      </w:pPr>
      <w:r>
        <w:rPr>
          <w:rFonts w:hint="default" w:ascii="Times New Roman" w:hAnsi="Times New Roman" w:eastAsia="SimSun" w:cs="Times New Roman"/>
          <w:sz w:val="24"/>
          <w:szCs w:val="24"/>
          <w:lang w:val="en-IN"/>
        </w:rPr>
        <w:t>14.</w:t>
      </w:r>
      <w:r>
        <w:rPr>
          <w:rFonts w:hint="default" w:ascii="Times New Roman" w:hAnsi="Times New Roman" w:eastAsia="SimSun" w:cs="Times New Roman"/>
          <w:sz w:val="24"/>
          <w:szCs w:val="24"/>
        </w:rPr>
        <w:t xml:space="preserve">Lin, D. M., Koskella, B., &amp; Lin, H. C. (2017). Phage therapy: An alternative to antibiotics in the age of multi-drug resistance. </w:t>
      </w:r>
      <w:r>
        <w:rPr>
          <w:rStyle w:val="4"/>
          <w:rFonts w:hint="default" w:ascii="Times New Roman" w:hAnsi="Times New Roman" w:eastAsia="SimSun" w:cs="Times New Roman"/>
          <w:sz w:val="24"/>
          <w:szCs w:val="24"/>
        </w:rPr>
        <w:t>World Journal of Gastrointestinal Pharmacology and Therapeutics</w:t>
      </w:r>
      <w:r>
        <w:rPr>
          <w:rFonts w:hint="default" w:ascii="Times New Roman" w:hAnsi="Times New Roman" w:eastAsia="SimSun" w:cs="Times New Roman"/>
          <w:sz w:val="24"/>
          <w:szCs w:val="24"/>
        </w:rPr>
        <w:t xml:space="preserve">, 8(3), 162–173. </w:t>
      </w: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"https://doi.org/10.4292/wjgpt.v8.i3.162" </w:instrText>
      </w:r>
      <w:r>
        <w:rPr>
          <w:rFonts w:hint="default" w:ascii="Times New Roman" w:hAnsi="Times New Roman" w:eastAsia="SimSun" w:cs="Times New Roman"/>
          <w:sz w:val="24"/>
          <w:szCs w:val="24"/>
        </w:rPr>
        <w:fldChar w:fldCharType="separate"/>
      </w:r>
      <w:r>
        <w:rPr>
          <w:rStyle w:val="5"/>
          <w:rFonts w:hint="default" w:ascii="Times New Roman" w:hAnsi="Times New Roman" w:eastAsia="SimSun" w:cs="Times New Roman"/>
          <w:sz w:val="24"/>
          <w:szCs w:val="24"/>
        </w:rPr>
        <w:t>https://doi.org/10.4292/wjgpt.v8.i3.162</w:t>
      </w:r>
      <w:r>
        <w:rPr>
          <w:rFonts w:hint="default" w:ascii="Times New Roman" w:hAnsi="Times New Roman" w:eastAsia="SimSun" w:cs="Times New Roman"/>
          <w:sz w:val="24"/>
          <w:szCs w:val="24"/>
        </w:rPr>
        <w:fldChar w:fldCharType="end"/>
      </w:r>
    </w:p>
    <w:p w14:paraId="3D3A7DF4">
      <w:pPr>
        <w:pStyle w:val="6"/>
        <w:keepNext w:val="0"/>
        <w:keepLines w:val="0"/>
        <w:widowControl/>
        <w:numPr>
          <w:ilvl w:val="0"/>
          <w:numId w:val="0"/>
        </w:numPr>
        <w:suppressLineNumbers w:val="0"/>
        <w:spacing w:line="360" w:lineRule="auto"/>
        <w:ind w:leftChars="0" w:right="-1400" w:rightChars="-700"/>
        <w:jc w:val="both"/>
        <w:rPr>
          <w:rFonts w:hint="default" w:ascii="Times New Roman" w:hAnsi="Times New Roman" w:cs="Times New Roman"/>
          <w:sz w:val="24"/>
          <w:szCs w:val="24"/>
        </w:rPr>
      </w:pPr>
      <w:r>
        <w:rPr>
          <w:rFonts w:hint="default" w:ascii="Times New Roman" w:hAnsi="Times New Roman" w:cs="Times New Roman"/>
          <w:sz w:val="24"/>
          <w:szCs w:val="24"/>
          <w:lang w:val="en-IN"/>
        </w:rPr>
        <w:t>15.</w:t>
      </w:r>
      <w:r>
        <w:rPr>
          <w:rFonts w:hint="default" w:ascii="Times New Roman" w:hAnsi="Times New Roman" w:cs="Times New Roman"/>
          <w:sz w:val="24"/>
          <w:szCs w:val="24"/>
        </w:rPr>
        <w:t xml:space="preserve">Lu, T. K., &amp; Koeris, M. S. (2011). The next generation of bacteriophage therapy. </w:t>
      </w:r>
      <w:r>
        <w:rPr>
          <w:rStyle w:val="4"/>
          <w:rFonts w:hint="default" w:ascii="Times New Roman" w:hAnsi="Times New Roman" w:cs="Times New Roman"/>
          <w:sz w:val="24"/>
          <w:szCs w:val="24"/>
        </w:rPr>
        <w:t>Current Opinion in Microbiology</w:t>
      </w:r>
      <w:r>
        <w:rPr>
          <w:rFonts w:hint="default" w:ascii="Times New Roman" w:hAnsi="Times New Roman" w:cs="Times New Roman"/>
          <w:sz w:val="24"/>
          <w:szCs w:val="24"/>
        </w:rPr>
        <w:t xml:space="preserve">, 14(5), 524–531.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"https://doi.org/10.1016/j.mib.2011.07.028" </w:instrText>
      </w:r>
      <w:r>
        <w:rPr>
          <w:rFonts w:hint="default" w:ascii="Times New Roman" w:hAnsi="Times New Roman" w:cs="Times New Roman"/>
          <w:sz w:val="24"/>
          <w:szCs w:val="24"/>
        </w:rPr>
        <w:fldChar w:fldCharType="separate"/>
      </w:r>
      <w:r>
        <w:rPr>
          <w:rStyle w:val="5"/>
          <w:rFonts w:hint="default" w:ascii="Times New Roman" w:hAnsi="Times New Roman" w:cs="Times New Roman"/>
          <w:sz w:val="24"/>
          <w:szCs w:val="24"/>
        </w:rPr>
        <w:t>https://doi.org/10.1016/j.mib.2011.07.028</w:t>
      </w:r>
      <w:r>
        <w:rPr>
          <w:rFonts w:hint="default" w:ascii="Times New Roman" w:hAnsi="Times New Roman" w:cs="Times New Roman"/>
          <w:sz w:val="24"/>
          <w:szCs w:val="24"/>
        </w:rPr>
        <w:fldChar w:fldCharType="end"/>
      </w:r>
    </w:p>
    <w:p w14:paraId="61EEF36F">
      <w:pPr>
        <w:pStyle w:val="6"/>
        <w:keepNext w:val="0"/>
        <w:keepLines w:val="0"/>
        <w:widowControl/>
        <w:numPr>
          <w:ilvl w:val="0"/>
          <w:numId w:val="0"/>
        </w:numPr>
        <w:suppressLineNumbers w:val="0"/>
        <w:spacing w:line="360" w:lineRule="auto"/>
        <w:ind w:leftChars="0" w:right="-1400" w:rightChars="-700"/>
        <w:jc w:val="both"/>
        <w:rPr>
          <w:rFonts w:hint="default" w:ascii="Times New Roman" w:hAnsi="Times New Roman" w:cs="Times New Roman"/>
          <w:sz w:val="24"/>
          <w:szCs w:val="24"/>
        </w:rPr>
      </w:pPr>
      <w:r>
        <w:rPr>
          <w:rFonts w:hint="default" w:ascii="Times New Roman" w:hAnsi="Times New Roman" w:cs="Times New Roman"/>
          <w:sz w:val="24"/>
          <w:szCs w:val="24"/>
          <w:lang w:val="en-IN"/>
        </w:rPr>
        <w:t>16.</w:t>
      </w:r>
      <w:r>
        <w:rPr>
          <w:rFonts w:hint="default" w:ascii="Times New Roman" w:hAnsi="Times New Roman" w:cs="Times New Roman"/>
          <w:sz w:val="24"/>
          <w:szCs w:val="24"/>
        </w:rPr>
        <w:t xml:space="preserve">Mahapatra, M., &amp; Parida, S. (2018). Foot and mouth disease virus: Current vaccine strategies and future prospects. </w:t>
      </w:r>
      <w:r>
        <w:rPr>
          <w:rStyle w:val="4"/>
          <w:rFonts w:hint="default" w:ascii="Times New Roman" w:hAnsi="Times New Roman" w:cs="Times New Roman"/>
          <w:sz w:val="24"/>
          <w:szCs w:val="24"/>
        </w:rPr>
        <w:t>Expert Review of Vaccines</w:t>
      </w:r>
      <w:r>
        <w:rPr>
          <w:rFonts w:hint="default" w:ascii="Times New Roman" w:hAnsi="Times New Roman" w:cs="Times New Roman"/>
          <w:sz w:val="24"/>
          <w:szCs w:val="24"/>
        </w:rPr>
        <w:t xml:space="preserve">, 17(7), 577–590.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"https://doi.org/10.1080/14760584.2018.149237" </w:instrText>
      </w:r>
      <w:r>
        <w:rPr>
          <w:rFonts w:hint="default" w:ascii="Times New Roman" w:hAnsi="Times New Roman" w:cs="Times New Roman"/>
          <w:sz w:val="24"/>
          <w:szCs w:val="24"/>
        </w:rPr>
        <w:fldChar w:fldCharType="separate"/>
      </w:r>
      <w:r>
        <w:rPr>
          <w:rStyle w:val="5"/>
          <w:rFonts w:hint="default" w:ascii="Times New Roman" w:hAnsi="Times New Roman" w:cs="Times New Roman"/>
          <w:sz w:val="24"/>
          <w:szCs w:val="24"/>
        </w:rPr>
        <w:t>https://doi.org/10.1080/14760584.2018.149237</w:t>
      </w:r>
      <w:r>
        <w:rPr>
          <w:rFonts w:hint="default" w:ascii="Times New Roman" w:hAnsi="Times New Roman" w:cs="Times New Roman"/>
          <w:sz w:val="24"/>
          <w:szCs w:val="24"/>
        </w:rPr>
        <w:fldChar w:fldCharType="end"/>
      </w:r>
    </w:p>
    <w:p w14:paraId="43C900E0">
      <w:pPr>
        <w:pStyle w:val="6"/>
        <w:keepNext w:val="0"/>
        <w:keepLines w:val="0"/>
        <w:widowControl/>
        <w:numPr>
          <w:ilvl w:val="0"/>
          <w:numId w:val="0"/>
        </w:numPr>
        <w:suppressLineNumbers w:val="0"/>
        <w:tabs>
          <w:tab w:val="left" w:pos="9200"/>
        </w:tabs>
        <w:spacing w:line="360" w:lineRule="auto"/>
        <w:ind w:leftChars="0" w:right="-1400" w:rightChars="-700"/>
        <w:jc w:val="both"/>
        <w:rPr>
          <w:rFonts w:hint="default" w:ascii="Times New Roman" w:hAnsi="Times New Roman" w:cs="Times New Roman"/>
          <w:sz w:val="24"/>
          <w:szCs w:val="24"/>
        </w:rPr>
      </w:pPr>
      <w:r>
        <w:rPr>
          <w:rFonts w:hint="default" w:ascii="Times New Roman" w:hAnsi="Times New Roman" w:cs="Times New Roman"/>
          <w:sz w:val="24"/>
          <w:szCs w:val="24"/>
          <w:lang w:val="en-IN"/>
        </w:rPr>
        <w:t>17.</w:t>
      </w:r>
      <w:r>
        <w:rPr>
          <w:rFonts w:hint="default" w:ascii="Times New Roman" w:hAnsi="Times New Roman" w:cs="Times New Roman"/>
          <w:sz w:val="24"/>
          <w:szCs w:val="24"/>
        </w:rPr>
        <w:t xml:space="preserve">Modi, R., Hirvi, Y., Hill, A., &amp; Gharbia, S. (2020). Applications of bacteriophage research in livestock health. </w:t>
      </w:r>
      <w:r>
        <w:rPr>
          <w:rStyle w:val="4"/>
          <w:rFonts w:hint="default" w:ascii="Times New Roman" w:hAnsi="Times New Roman" w:cs="Times New Roman"/>
          <w:sz w:val="24"/>
          <w:szCs w:val="24"/>
        </w:rPr>
        <w:t>Frontiers in Veterinary Science</w:t>
      </w:r>
      <w:r>
        <w:rPr>
          <w:rFonts w:hint="default" w:ascii="Times New Roman" w:hAnsi="Times New Roman" w:cs="Times New Roman"/>
          <w:sz w:val="24"/>
          <w:szCs w:val="24"/>
        </w:rPr>
        <w:t xml:space="preserve">, 7, 204.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"https://doi.org/10.3389/fvets.2020.00204" </w:instrText>
      </w:r>
      <w:r>
        <w:rPr>
          <w:rFonts w:hint="default" w:ascii="Times New Roman" w:hAnsi="Times New Roman" w:cs="Times New Roman"/>
          <w:sz w:val="24"/>
          <w:szCs w:val="24"/>
        </w:rPr>
        <w:fldChar w:fldCharType="separate"/>
      </w:r>
      <w:r>
        <w:rPr>
          <w:rStyle w:val="5"/>
          <w:rFonts w:hint="default" w:ascii="Times New Roman" w:hAnsi="Times New Roman" w:cs="Times New Roman"/>
          <w:sz w:val="24"/>
          <w:szCs w:val="24"/>
        </w:rPr>
        <w:t>https://doi.org/10.3389/fvets.2020.00204</w:t>
      </w:r>
      <w:r>
        <w:rPr>
          <w:rFonts w:hint="default" w:ascii="Times New Roman" w:hAnsi="Times New Roman" w:cs="Times New Roman"/>
          <w:sz w:val="24"/>
          <w:szCs w:val="24"/>
        </w:rPr>
        <w:fldChar w:fldCharType="end"/>
      </w:r>
    </w:p>
    <w:p w14:paraId="34B40CDB">
      <w:pPr>
        <w:pStyle w:val="6"/>
        <w:keepNext w:val="0"/>
        <w:keepLines w:val="0"/>
        <w:widowControl/>
        <w:numPr>
          <w:ilvl w:val="0"/>
          <w:numId w:val="0"/>
        </w:numPr>
        <w:suppressLineNumbers w:val="0"/>
        <w:spacing w:before="0" w:beforeAutospacing="1" w:after="0" w:afterAutospacing="1" w:line="360" w:lineRule="auto"/>
        <w:ind w:leftChars="0" w:right="-1400" w:rightChars="-7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IN"/>
        </w:rPr>
        <w:t>18.</w:t>
      </w:r>
      <w:r>
        <w:rPr>
          <w:rFonts w:hint="default" w:ascii="Times New Roman" w:hAnsi="Times New Roman" w:eastAsia="SimSun" w:cs="Times New Roman"/>
          <w:sz w:val="24"/>
          <w:szCs w:val="24"/>
        </w:rPr>
        <w:t xml:space="preserve">Rodriguez, L. L., &amp; Gay, C. G. (2011). Development of vaccines toward the global control and eradication of foot-and-mouth disease. </w:t>
      </w:r>
      <w:r>
        <w:rPr>
          <w:rStyle w:val="4"/>
          <w:rFonts w:hint="default" w:ascii="Times New Roman" w:hAnsi="Times New Roman" w:eastAsia="SimSun" w:cs="Times New Roman"/>
          <w:sz w:val="24"/>
          <w:szCs w:val="24"/>
        </w:rPr>
        <w:t>Expert Review of Vaccines</w:t>
      </w:r>
      <w:r>
        <w:rPr>
          <w:rFonts w:hint="default" w:ascii="Times New Roman" w:hAnsi="Times New Roman" w:eastAsia="SimSun" w:cs="Times New Roman"/>
          <w:sz w:val="24"/>
          <w:szCs w:val="24"/>
        </w:rPr>
        <w:t xml:space="preserve">, 10(3), 377–387. </w:t>
      </w: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"https://doi.org/10.1586/erv.11.2" </w:instrText>
      </w:r>
      <w:r>
        <w:rPr>
          <w:rFonts w:hint="default" w:ascii="Times New Roman" w:hAnsi="Times New Roman" w:eastAsia="SimSun" w:cs="Times New Roman"/>
          <w:sz w:val="24"/>
          <w:szCs w:val="24"/>
        </w:rPr>
        <w:fldChar w:fldCharType="separate"/>
      </w:r>
      <w:r>
        <w:rPr>
          <w:rStyle w:val="5"/>
          <w:rFonts w:hint="default" w:ascii="Times New Roman" w:hAnsi="Times New Roman" w:eastAsia="SimSun" w:cs="Times New Roman"/>
          <w:sz w:val="24"/>
          <w:szCs w:val="24"/>
        </w:rPr>
        <w:t>https://doi.org/10.1586/erv.11.2</w:t>
      </w:r>
      <w:r>
        <w:rPr>
          <w:rFonts w:hint="default" w:ascii="Times New Roman" w:hAnsi="Times New Roman" w:eastAsia="SimSun" w:cs="Times New Roman"/>
          <w:sz w:val="24"/>
          <w:szCs w:val="24"/>
        </w:rPr>
        <w:fldChar w:fldCharType="end"/>
      </w:r>
    </w:p>
    <w:p w14:paraId="3725CFCB">
      <w:pPr>
        <w:pStyle w:val="6"/>
        <w:keepNext w:val="0"/>
        <w:keepLines w:val="0"/>
        <w:widowControl/>
        <w:numPr>
          <w:ilvl w:val="0"/>
          <w:numId w:val="0"/>
        </w:numPr>
        <w:suppressLineNumbers w:val="0"/>
        <w:tabs>
          <w:tab w:val="left" w:pos="7800"/>
        </w:tabs>
        <w:spacing w:line="360" w:lineRule="auto"/>
        <w:ind w:leftChars="0" w:right="-1400" w:rightChars="-700"/>
        <w:jc w:val="both"/>
        <w:rPr>
          <w:rFonts w:hint="default" w:ascii="Times New Roman" w:hAnsi="Times New Roman" w:cs="Times New Roman"/>
          <w:sz w:val="24"/>
          <w:szCs w:val="24"/>
        </w:rPr>
      </w:pPr>
      <w:r>
        <w:rPr>
          <w:rFonts w:hint="default" w:ascii="Times New Roman" w:hAnsi="Times New Roman" w:cs="Times New Roman"/>
          <w:sz w:val="24"/>
          <w:szCs w:val="24"/>
          <w:lang w:val="en-IN"/>
        </w:rPr>
        <w:t>19.</w:t>
      </w:r>
      <w:r>
        <w:rPr>
          <w:rFonts w:hint="default" w:ascii="Times New Roman" w:hAnsi="Times New Roman" w:cs="Times New Roman"/>
          <w:sz w:val="24"/>
          <w:szCs w:val="24"/>
        </w:rPr>
        <w:t xml:space="preserve">Sulakvelidze, A., Alavidze, Z., &amp; Morris, J. G. (2001). Bacteriophage therapy. </w:t>
      </w:r>
      <w:r>
        <w:rPr>
          <w:rStyle w:val="4"/>
          <w:rFonts w:hint="default" w:ascii="Times New Roman" w:hAnsi="Times New Roman" w:cs="Times New Roman"/>
          <w:sz w:val="24"/>
          <w:szCs w:val="24"/>
        </w:rPr>
        <w:t>Antimicrobial Agents and Chemotherapy</w:t>
      </w:r>
      <w:r>
        <w:rPr>
          <w:rFonts w:hint="default" w:ascii="Times New Roman" w:hAnsi="Times New Roman" w:cs="Times New Roman"/>
          <w:sz w:val="24"/>
          <w:szCs w:val="24"/>
        </w:rPr>
        <w:t xml:space="preserve">, 45(3), 649–659.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"https://doi.org/10.1128/AAC.45.3.649-659.2001" </w:instrText>
      </w:r>
      <w:r>
        <w:rPr>
          <w:rFonts w:hint="default" w:ascii="Times New Roman" w:hAnsi="Times New Roman" w:cs="Times New Roman"/>
          <w:sz w:val="24"/>
          <w:szCs w:val="24"/>
        </w:rPr>
        <w:fldChar w:fldCharType="separate"/>
      </w:r>
      <w:r>
        <w:rPr>
          <w:rStyle w:val="5"/>
          <w:rFonts w:hint="default" w:ascii="Times New Roman" w:hAnsi="Times New Roman" w:cs="Times New Roman"/>
          <w:sz w:val="24"/>
          <w:szCs w:val="24"/>
        </w:rPr>
        <w:t>https://doi.org/10.1128/AAC.45.3.649-659.2001</w:t>
      </w:r>
      <w:r>
        <w:rPr>
          <w:rFonts w:hint="default" w:ascii="Times New Roman" w:hAnsi="Times New Roman" w:cs="Times New Roman"/>
          <w:sz w:val="24"/>
          <w:szCs w:val="24"/>
        </w:rPr>
        <w:fldChar w:fldCharType="end"/>
      </w:r>
    </w:p>
    <w:p w14:paraId="02A0F943">
      <w:pPr>
        <w:pStyle w:val="6"/>
        <w:keepNext w:val="0"/>
        <w:keepLines w:val="0"/>
        <w:widowControl/>
        <w:numPr>
          <w:ilvl w:val="0"/>
          <w:numId w:val="0"/>
        </w:numPr>
        <w:suppressLineNumbers w:val="0"/>
        <w:tabs>
          <w:tab w:val="left" w:pos="9200"/>
        </w:tabs>
        <w:spacing w:line="360" w:lineRule="auto"/>
        <w:ind w:leftChars="0" w:right="-1400" w:rightChars="-700"/>
        <w:jc w:val="both"/>
        <w:rPr>
          <w:rFonts w:hint="default" w:ascii="Times New Roman" w:hAnsi="Times New Roman" w:cs="Times New Roman"/>
          <w:sz w:val="24"/>
          <w:szCs w:val="24"/>
        </w:rPr>
      </w:pPr>
      <w:r>
        <w:rPr>
          <w:rFonts w:hint="default" w:ascii="Times New Roman" w:hAnsi="Times New Roman" w:eastAsia="SimSun" w:cs="Times New Roman"/>
          <w:sz w:val="24"/>
          <w:szCs w:val="24"/>
          <w:lang w:val="en-IN"/>
        </w:rPr>
        <w:t>20.</w:t>
      </w:r>
      <w:r>
        <w:rPr>
          <w:rFonts w:hint="default" w:ascii="Times New Roman" w:hAnsi="Times New Roman" w:eastAsia="SimSun" w:cs="Times New Roman"/>
          <w:sz w:val="24"/>
          <w:szCs w:val="24"/>
        </w:rPr>
        <w:t xml:space="preserve">Yosef, I., Manor, M., Kiro, R., &amp; Qimron, U. (2015). Temperate and lytic bacteriophages programmed to sensitize and kill antibiotic-resistant bacteria. </w:t>
      </w:r>
      <w:r>
        <w:rPr>
          <w:rStyle w:val="4"/>
          <w:rFonts w:hint="default" w:ascii="Times New Roman" w:hAnsi="Times New Roman" w:eastAsia="SimSun" w:cs="Times New Roman"/>
          <w:sz w:val="24"/>
          <w:szCs w:val="24"/>
        </w:rPr>
        <w:t>Proceedings of the National Academy of Sciences</w:t>
      </w:r>
      <w:r>
        <w:rPr>
          <w:rFonts w:hint="default" w:ascii="Times New Roman" w:hAnsi="Times New Roman" w:eastAsia="SimSun" w:cs="Times New Roman"/>
          <w:sz w:val="24"/>
          <w:szCs w:val="24"/>
        </w:rPr>
        <w:t xml:space="preserve">, 112(23), 7267–7272. </w:t>
      </w: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"https://doi.org/10.1073/pnas.1500107112" </w:instrText>
      </w:r>
      <w:r>
        <w:rPr>
          <w:rFonts w:hint="default" w:ascii="Times New Roman" w:hAnsi="Times New Roman" w:eastAsia="SimSun" w:cs="Times New Roman"/>
          <w:sz w:val="24"/>
          <w:szCs w:val="24"/>
        </w:rPr>
        <w:fldChar w:fldCharType="separate"/>
      </w:r>
      <w:r>
        <w:rPr>
          <w:rStyle w:val="5"/>
          <w:rFonts w:hint="default" w:ascii="Times New Roman" w:hAnsi="Times New Roman" w:eastAsia="SimSun" w:cs="Times New Roman"/>
          <w:sz w:val="24"/>
          <w:szCs w:val="24"/>
        </w:rPr>
        <w:t>https://doi.org/10.1073/pnas.1500107112</w:t>
      </w:r>
      <w:r>
        <w:rPr>
          <w:rFonts w:hint="default" w:ascii="Times New Roman" w:hAnsi="Times New Roman" w:eastAsia="SimSun" w:cs="Times New Roman"/>
          <w:sz w:val="24"/>
          <w:szCs w:val="24"/>
        </w:rPr>
        <w:fldChar w:fldCharType="end"/>
      </w:r>
    </w:p>
    <w:p w14:paraId="6323096E">
      <w:pPr>
        <w:pStyle w:val="6"/>
        <w:keepNext w:val="0"/>
        <w:keepLines w:val="0"/>
        <w:widowControl/>
        <w:numPr>
          <w:ilvl w:val="0"/>
          <w:numId w:val="0"/>
        </w:numPr>
        <w:suppressLineNumbers w:val="0"/>
        <w:spacing w:before="0" w:beforeAutospacing="1" w:after="0" w:afterAutospacing="1" w:line="360" w:lineRule="auto"/>
        <w:ind w:leftChars="0" w:right="0" w:rightChars="0"/>
        <w:jc w:val="both"/>
        <w:rPr>
          <w:rFonts w:hint="default" w:ascii="Times New Roman" w:hAnsi="Times New Roman" w:eastAsia="SimSun" w:cs="Times New Roman"/>
          <w:sz w:val="24"/>
          <w:szCs w:val="24"/>
          <w:lang w:val="en-IN"/>
        </w:rPr>
      </w:pPr>
    </w:p>
    <w:p w14:paraId="5A8247A0">
      <w:pPr>
        <w:pStyle w:val="6"/>
        <w:keepNext w:val="0"/>
        <w:keepLines w:val="0"/>
        <w:widowControl/>
        <w:numPr>
          <w:ilvl w:val="0"/>
          <w:numId w:val="0"/>
        </w:numPr>
        <w:suppressLineNumbers w:val="0"/>
        <w:spacing w:line="360" w:lineRule="auto"/>
        <w:ind w:leftChars="0" w:right="0" w:rightChars="0"/>
        <w:jc w:val="both"/>
        <w:rPr>
          <w:rFonts w:hint="default" w:ascii="Times New Roman" w:hAnsi="Times New Roman" w:cs="Times New Roman"/>
          <w:sz w:val="24"/>
          <w:szCs w:val="24"/>
        </w:rPr>
      </w:pPr>
    </w:p>
    <w:p w14:paraId="55488C6F">
      <w:pPr>
        <w:pStyle w:val="6"/>
        <w:keepNext w:val="0"/>
        <w:keepLines w:val="0"/>
        <w:widowControl/>
        <w:numPr>
          <w:ilvl w:val="0"/>
          <w:numId w:val="0"/>
        </w:numPr>
        <w:suppressLineNumbers w:val="0"/>
        <w:spacing w:before="0" w:beforeAutospacing="1" w:after="0" w:afterAutospacing="1" w:line="360" w:lineRule="auto"/>
        <w:ind w:leftChars="0" w:right="0" w:rightChars="0"/>
        <w:jc w:val="both"/>
        <w:rPr>
          <w:rFonts w:hint="default" w:ascii="Times New Roman" w:hAnsi="Times New Roman" w:eastAsia="SimSun" w:cs="Times New Roman"/>
          <w:sz w:val="24"/>
          <w:szCs w:val="24"/>
          <w:lang w:val="en-IN"/>
        </w:rPr>
      </w:pPr>
    </w:p>
    <w:p w14:paraId="686AEF14">
      <w:pPr>
        <w:pStyle w:val="6"/>
        <w:keepNext w:val="0"/>
        <w:keepLines w:val="0"/>
        <w:widowControl/>
        <w:numPr>
          <w:ilvl w:val="0"/>
          <w:numId w:val="0"/>
        </w:numPr>
        <w:suppressLineNumbers w:val="0"/>
        <w:spacing w:line="360" w:lineRule="auto"/>
        <w:ind w:leftChars="0" w:right="0" w:rightChars="0"/>
        <w:jc w:val="both"/>
        <w:rPr>
          <w:rFonts w:hint="default" w:ascii="Times New Roman" w:hAnsi="Times New Roman" w:cs="Times New Roman"/>
          <w:sz w:val="24"/>
          <w:szCs w:val="24"/>
          <w:lang w:val="en-IN"/>
        </w:rPr>
      </w:pPr>
    </w:p>
    <w:p w14:paraId="315E27B3">
      <w:pPr>
        <w:pStyle w:val="6"/>
        <w:keepNext w:val="0"/>
        <w:keepLines w:val="0"/>
        <w:widowControl/>
        <w:numPr>
          <w:ilvl w:val="0"/>
          <w:numId w:val="0"/>
        </w:numPr>
        <w:suppressLineNumbers w:val="0"/>
        <w:spacing w:line="360" w:lineRule="auto"/>
        <w:ind w:right="-1400" w:rightChars="-700"/>
        <w:jc w:val="both"/>
        <w:rPr>
          <w:rFonts w:hint="default" w:ascii="Times New Roman" w:hAnsi="Times New Roman" w:cs="Times New Roman"/>
          <w:sz w:val="24"/>
          <w:szCs w:val="24"/>
          <w:lang w:val="en-IN"/>
        </w:rPr>
      </w:pPr>
    </w:p>
    <w:p w14:paraId="3522524F">
      <w:pPr>
        <w:keepNext w:val="0"/>
        <w:keepLines w:val="0"/>
        <w:widowControl/>
        <w:suppressLineNumbers w:val="0"/>
        <w:tabs>
          <w:tab w:val="left" w:pos="7800"/>
        </w:tabs>
        <w:spacing w:line="360" w:lineRule="auto"/>
        <w:ind w:right="-1400" w:rightChars="-700"/>
        <w:jc w:val="both"/>
        <w:rPr>
          <w:rFonts w:hint="default" w:ascii="Times New Roman" w:hAnsi="Times New Roman" w:cs="Times New Roman"/>
          <w:b/>
          <w:bCs/>
          <w:sz w:val="24"/>
          <w:szCs w:val="24"/>
          <w:lang w:val="en-IN"/>
        </w:rPr>
      </w:pPr>
    </w:p>
    <w:p w14:paraId="64E28758">
      <w:pPr>
        <w:keepNext w:val="0"/>
        <w:keepLines w:val="0"/>
        <w:widowControl/>
        <w:suppressLineNumbers w:val="0"/>
        <w:spacing w:line="360" w:lineRule="auto"/>
        <w:ind w:right="-1400" w:rightChars="-700"/>
        <w:jc w:val="both"/>
        <w:rPr>
          <w:rFonts w:hint="default" w:ascii="Times New Roman" w:hAnsi="Times New Roman" w:cs="Times New Roman"/>
          <w:sz w:val="24"/>
          <w:szCs w:val="24"/>
        </w:rPr>
      </w:pPr>
    </w:p>
    <w:p w14:paraId="2368FFB7">
      <w:pPr>
        <w:keepNext w:val="0"/>
        <w:keepLines w:val="0"/>
        <w:widowControl/>
        <w:suppressLineNumbers w:val="0"/>
        <w:spacing w:line="360" w:lineRule="auto"/>
        <w:ind w:right="-1400" w:rightChars="-700"/>
        <w:jc w:val="both"/>
        <w:rPr>
          <w:rFonts w:hint="default" w:ascii="Times New Roman" w:hAnsi="Times New Roman" w:cs="Times New Roman"/>
          <w:sz w:val="24"/>
          <w:szCs w:val="24"/>
        </w:rPr>
      </w:pPr>
    </w:p>
    <w:p w14:paraId="07242BDF">
      <w:pPr>
        <w:spacing w:line="360" w:lineRule="auto"/>
        <w:ind w:right="-1292" w:rightChars="-646"/>
        <w:jc w:val="both"/>
        <w:rPr>
          <w:rFonts w:hint="default" w:ascii="Times New Roman" w:hAnsi="Times New Roman" w:eastAsia="SimSun" w:cs="Times New Roman"/>
          <w:b w:val="0"/>
          <w:bCs w:val="0"/>
          <w:sz w:val="24"/>
          <w:szCs w:val="24"/>
          <w:lang w:val="en-IN"/>
        </w:rPr>
      </w:pPr>
    </w:p>
    <w:sectPr>
      <w:pgSz w:w="11906" w:h="16838"/>
      <w:pgMar w:top="1440" w:right="2306"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AF1BF"/>
    <w:multiLevelType w:val="singleLevel"/>
    <w:tmpl w:val="A63AF1B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6434FB"/>
    <w:rsid w:val="04621561"/>
    <w:rsid w:val="0EE4626E"/>
    <w:rsid w:val="1D6434FB"/>
    <w:rsid w:val="26A7783E"/>
    <w:rsid w:val="2ABB7E73"/>
    <w:rsid w:val="318A661D"/>
    <w:rsid w:val="45C623DA"/>
    <w:rsid w:val="701B0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Hyperlink"/>
    <w:basedOn w:val="2"/>
    <w:uiPriority w:val="0"/>
    <w:rPr>
      <w:color w:val="0000FF"/>
      <w:u w:val="single"/>
    </w:r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NUL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78</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2025-01-15T10:13:00Z</dcterms:created>
  <dc:creator>lenovo</dc:creator>
  <cp:lastModifiedBy>WPS_1726044113</cp:lastModifiedBy>
  <dcterms:modified xsi:type="dcterms:W3CDTF">2025-03-23T04:38:27Z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B14978B9692F4550BBAA95E9748780BE_13</vt:lpwstr>
  </property>
</Properties>
</file>