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B3796" w14:textId="77777777" w:rsidR="00D65D0B" w:rsidRDefault="00D65D0B" w:rsidP="009F6540">
      <w:pPr>
        <w:spacing w:before="54" w:after="0" w:line="276" w:lineRule="auto"/>
        <w:jc w:val="center"/>
        <w:rPr>
          <w:rFonts w:ascii="Times New Roman" w:hAnsi="Times New Roman" w:cs="Times New Roman"/>
          <w:b/>
          <w:bCs/>
          <w:color w:val="000000" w:themeColor="text1"/>
          <w:sz w:val="28"/>
          <w:szCs w:val="28"/>
        </w:rPr>
      </w:pPr>
      <w:r w:rsidRPr="00D65D0B">
        <w:rPr>
          <w:rFonts w:ascii="Times New Roman" w:hAnsi="Times New Roman" w:cs="Times New Roman"/>
          <w:b/>
          <w:bCs/>
          <w:color w:val="000000" w:themeColor="text1"/>
          <w:sz w:val="28"/>
          <w:szCs w:val="28"/>
        </w:rPr>
        <w:t xml:space="preserve">Evaluation of Permeable Flexible Pavements: A Comparative Study Using </w:t>
      </w:r>
    </w:p>
    <w:p w14:paraId="00EEA64F" w14:textId="362B15AC" w:rsidR="00D65D0B" w:rsidRDefault="00D65D0B" w:rsidP="009F6540">
      <w:pPr>
        <w:spacing w:before="54" w:after="0" w:line="276" w:lineRule="auto"/>
        <w:jc w:val="center"/>
        <w:rPr>
          <w:rFonts w:ascii="Times New Roman" w:hAnsi="Times New Roman" w:cs="Times New Roman"/>
          <w:b/>
          <w:bCs/>
          <w:color w:val="000000" w:themeColor="text1"/>
          <w:sz w:val="28"/>
          <w:szCs w:val="28"/>
        </w:rPr>
      </w:pPr>
      <w:r w:rsidRPr="00D65D0B">
        <w:rPr>
          <w:rFonts w:ascii="Times New Roman" w:hAnsi="Times New Roman" w:cs="Times New Roman"/>
          <w:b/>
          <w:bCs/>
          <w:color w:val="000000" w:themeColor="text1"/>
          <w:sz w:val="28"/>
          <w:szCs w:val="28"/>
        </w:rPr>
        <w:t>IRC 37-2018 and IIT PAVE</w:t>
      </w:r>
    </w:p>
    <w:p w14:paraId="6B198603" w14:textId="719875DD" w:rsidR="00666321" w:rsidRDefault="004E1626"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Amal Prasad</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Aniketh G Menon</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Anil Prasad</w:t>
      </w:r>
      <w:r w:rsidR="00DA52F4"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 Athul Krishna C S</w:t>
      </w:r>
      <w:r w:rsidR="00CB515A" w:rsidRPr="00CB515A">
        <w:rPr>
          <w:rFonts w:ascii="Times New Roman" w:hAnsi="Times New Roman" w:cs="Times New Roman"/>
          <w:b/>
          <w:bCs/>
          <w:color w:val="000000" w:themeColor="text1"/>
          <w:sz w:val="24"/>
          <w:szCs w:val="24"/>
          <w:vertAlign w:val="superscript"/>
        </w:rPr>
        <w:t>4</w:t>
      </w:r>
      <w:r w:rsidR="00666321">
        <w:rPr>
          <w:rFonts w:ascii="Times New Roman" w:hAnsi="Times New Roman" w:cs="Times New Roman"/>
          <w:b/>
          <w:bCs/>
          <w:color w:val="000000" w:themeColor="text1"/>
          <w:sz w:val="24"/>
          <w:szCs w:val="24"/>
        </w:rPr>
        <w:t>,</w:t>
      </w:r>
    </w:p>
    <w:p w14:paraId="736B6AC8" w14:textId="44A2E95D" w:rsidR="00DA52F4" w:rsidRPr="001E51F3" w:rsidRDefault="00CB515A"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Eldhose M M</w:t>
      </w:r>
      <w:r w:rsidR="00795F66">
        <w:rPr>
          <w:rFonts w:ascii="Times New Roman" w:hAnsi="Times New Roman" w:cs="Times New Roman"/>
          <w:b/>
          <w:bCs/>
          <w:color w:val="000000" w:themeColor="text1"/>
          <w:sz w:val="24"/>
          <w:szCs w:val="24"/>
        </w:rPr>
        <w:t>anjummekudiyil</w:t>
      </w:r>
      <w:r w:rsidRPr="00CB515A">
        <w:rPr>
          <w:rFonts w:ascii="Times New Roman" w:hAnsi="Times New Roman" w:cs="Times New Roman"/>
          <w:b/>
          <w:bCs/>
          <w:color w:val="000000" w:themeColor="text1"/>
          <w:sz w:val="24"/>
          <w:szCs w:val="24"/>
          <w:vertAlign w:val="superscript"/>
        </w:rPr>
        <w:t>5</w:t>
      </w:r>
    </w:p>
    <w:p w14:paraId="0CAA51E3" w14:textId="7C54FEC5" w:rsidR="00CB515A" w:rsidRDefault="00DA52F4" w:rsidP="004E2E37">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666321">
        <w:rPr>
          <w:rFonts w:ascii="Times New Roman" w:hAnsi="Times New Roman" w:cs="Times New Roman"/>
          <w:color w:val="000000" w:themeColor="text1"/>
          <w:vertAlign w:val="superscript"/>
        </w:rPr>
        <w:t>,2,3,4</w:t>
      </w:r>
      <w:r w:rsidR="00CB515A">
        <w:rPr>
          <w:rFonts w:ascii="Times New Roman" w:hAnsi="Times New Roman" w:cs="Times New Roman"/>
          <w:color w:val="000000" w:themeColor="text1"/>
        </w:rPr>
        <w:t>B. Tech student</w:t>
      </w:r>
      <w:r w:rsidRPr="001E51F3">
        <w:rPr>
          <w:rFonts w:ascii="Times New Roman" w:hAnsi="Times New Roman" w:cs="Times New Roman"/>
          <w:color w:val="000000" w:themeColor="text1"/>
        </w:rPr>
        <w:t>, Department</w:t>
      </w:r>
      <w:r w:rsidR="00CB515A">
        <w:rPr>
          <w:rFonts w:ascii="Times New Roman" w:hAnsi="Times New Roman" w:cs="Times New Roman"/>
          <w:color w:val="000000" w:themeColor="text1"/>
        </w:rPr>
        <w:t xml:space="preserve"> of Civil Engineering</w:t>
      </w:r>
      <w:r w:rsidRPr="001E51F3">
        <w:rPr>
          <w:rFonts w:ascii="Times New Roman" w:hAnsi="Times New Roman" w:cs="Times New Roman"/>
          <w:color w:val="000000" w:themeColor="text1"/>
        </w:rPr>
        <w:t xml:space="preserve">, </w:t>
      </w:r>
      <w:r w:rsidR="00CB515A">
        <w:rPr>
          <w:rFonts w:ascii="Times New Roman" w:hAnsi="Times New Roman" w:cs="Times New Roman"/>
          <w:color w:val="000000" w:themeColor="text1"/>
        </w:rPr>
        <w:t>Mar Athanasius College of Engineering</w:t>
      </w:r>
      <w:r w:rsidRPr="001E51F3">
        <w:rPr>
          <w:rFonts w:ascii="Times New Roman" w:hAnsi="Times New Roman" w:cs="Times New Roman"/>
          <w:color w:val="000000" w:themeColor="text1"/>
        </w:rPr>
        <w:t xml:space="preserve">, </w:t>
      </w:r>
      <w:r w:rsidR="00CB515A">
        <w:rPr>
          <w:rFonts w:ascii="Times New Roman" w:hAnsi="Times New Roman" w:cs="Times New Roman"/>
          <w:color w:val="000000" w:themeColor="text1"/>
        </w:rPr>
        <w:t>Kothamangalam</w:t>
      </w:r>
      <w:r w:rsidRPr="001E51F3">
        <w:rPr>
          <w:rFonts w:ascii="Times New Roman" w:hAnsi="Times New Roman" w:cs="Times New Roman"/>
          <w:color w:val="000000" w:themeColor="text1"/>
        </w:rPr>
        <w:t>,</w:t>
      </w:r>
    </w:p>
    <w:p w14:paraId="491E173D" w14:textId="226E4A04" w:rsidR="00CB515A" w:rsidRDefault="00CB515A" w:rsidP="004E2E37">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Kerala</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08D7C48C" w14:textId="644222EA" w:rsidR="00CB515A" w:rsidRPr="00CB515A" w:rsidRDefault="00CB515A" w:rsidP="004E2E37">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5</w:t>
      </w:r>
      <w:r>
        <w:rPr>
          <w:rFonts w:ascii="Times New Roman" w:hAnsi="Times New Roman" w:cs="Times New Roman"/>
          <w:color w:val="000000" w:themeColor="text1"/>
        </w:rPr>
        <w:t>Assistant Professor</w:t>
      </w:r>
      <w:r w:rsidRPr="00CB515A">
        <w:rPr>
          <w:rFonts w:ascii="Times New Roman" w:hAnsi="Times New Roman" w:cs="Times New Roman"/>
          <w:color w:val="000000" w:themeColor="text1"/>
        </w:rPr>
        <w:t>, Department of Civil Engineering, Mar Athanasius College of Engineering, Kothamangalam,</w:t>
      </w:r>
    </w:p>
    <w:p w14:paraId="0E82ABB5" w14:textId="5B333B61" w:rsidR="00CB515A" w:rsidRPr="001E51F3" w:rsidRDefault="00CB515A" w:rsidP="004E2E37">
      <w:pPr>
        <w:spacing w:before="54" w:after="0" w:line="276" w:lineRule="auto"/>
        <w:jc w:val="center"/>
        <w:rPr>
          <w:rFonts w:ascii="Times New Roman" w:hAnsi="Times New Roman" w:cs="Times New Roman"/>
          <w:color w:val="000000" w:themeColor="text1"/>
        </w:rPr>
      </w:pPr>
      <w:r w:rsidRPr="00CB515A">
        <w:rPr>
          <w:rFonts w:ascii="Times New Roman" w:hAnsi="Times New Roman" w:cs="Times New Roman"/>
          <w:color w:val="000000" w:themeColor="text1"/>
        </w:rPr>
        <w:t>Kerala, India</w:t>
      </w:r>
    </w:p>
    <w:p w14:paraId="7C6E1520" w14:textId="108A10F1" w:rsidR="00DA52F4" w:rsidRPr="001E51F3" w:rsidRDefault="00DA52F4" w:rsidP="00CB515A">
      <w:pPr>
        <w:pBdr>
          <w:bottom w:val="single" w:sz="4" w:space="1" w:color="auto"/>
        </w:pBdr>
        <w:spacing w:before="54" w:after="0" w:line="276" w:lineRule="auto"/>
        <w:rPr>
          <w:rFonts w:ascii="Times New Roman" w:hAnsi="Times New Roman" w:cs="Times New Roman"/>
          <w:color w:val="000000" w:themeColor="text1"/>
        </w:rPr>
      </w:pPr>
    </w:p>
    <w:p w14:paraId="3B34A121" w14:textId="77777777" w:rsidR="008174FD" w:rsidRDefault="00DA52F4" w:rsidP="008174FD">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0F6382A6" w14:textId="5C476D30" w:rsidR="005A7EC1" w:rsidRPr="005A7EC1" w:rsidRDefault="00782966" w:rsidP="008174FD">
      <w:pPr>
        <w:spacing w:before="54" w:after="0" w:line="276" w:lineRule="auto"/>
        <w:jc w:val="both"/>
        <w:rPr>
          <w:rFonts w:ascii="Times New Roman" w:hAnsi="Times New Roman" w:cs="Times New Roman"/>
          <w:color w:val="000000" w:themeColor="text1"/>
          <w:sz w:val="20"/>
          <w:szCs w:val="20"/>
        </w:rPr>
      </w:pPr>
      <w:r w:rsidRPr="00782966">
        <w:rPr>
          <w:rFonts w:ascii="Times New Roman" w:hAnsi="Times New Roman" w:cs="Times New Roman"/>
          <w:color w:val="000000" w:themeColor="text1"/>
          <w:sz w:val="20"/>
          <w:szCs w:val="20"/>
        </w:rPr>
        <w:t xml:space="preserve">Pavement design is an integral part of sustainable and resilient infrastructure. In Kerala, flexible pavements undergo premature failure before their design life. There are many reasons for this, including inappropriate material selection and lack of dependable traffic and axle load data. </w:t>
      </w:r>
      <w:r w:rsidR="005A7EC1" w:rsidRPr="005A7EC1">
        <w:rPr>
          <w:rFonts w:ascii="Times New Roman" w:hAnsi="Times New Roman" w:cs="Times New Roman"/>
          <w:color w:val="000000" w:themeColor="text1"/>
          <w:sz w:val="20"/>
          <w:szCs w:val="20"/>
        </w:rPr>
        <w:t>The study analyzes the performance of</w:t>
      </w:r>
      <w:r w:rsidR="005A7EC1">
        <w:rPr>
          <w:rFonts w:ascii="Times New Roman" w:hAnsi="Times New Roman" w:cs="Times New Roman"/>
          <w:color w:val="000000" w:themeColor="text1"/>
          <w:sz w:val="20"/>
          <w:szCs w:val="20"/>
        </w:rPr>
        <w:t xml:space="preserve"> permeable</w:t>
      </w:r>
      <w:r w:rsidR="005A7EC1" w:rsidRPr="005A7EC1">
        <w:rPr>
          <w:rFonts w:ascii="Times New Roman" w:hAnsi="Times New Roman" w:cs="Times New Roman"/>
          <w:color w:val="000000" w:themeColor="text1"/>
          <w:sz w:val="20"/>
          <w:szCs w:val="20"/>
        </w:rPr>
        <w:t xml:space="preserve"> flexible pavement using IITPAVE software, which evaluates stresses, strains, and deflections in a linear elastic layered pavement system under applied loads. The research follows the mechanistic-empirical method, utilizing key input parameters such as layer thickness, Poisson’s ratio, elastic modulus, wheel load, and </w:t>
      </w:r>
      <w:r w:rsidR="009733A8">
        <w:rPr>
          <w:rFonts w:ascii="Times New Roman" w:hAnsi="Times New Roman" w:cs="Times New Roman"/>
          <w:color w:val="000000" w:themeColor="text1"/>
          <w:sz w:val="20"/>
          <w:szCs w:val="20"/>
        </w:rPr>
        <w:t>tire</w:t>
      </w:r>
      <w:r w:rsidR="005A7EC1" w:rsidRPr="005A7EC1">
        <w:rPr>
          <w:rFonts w:ascii="Times New Roman" w:hAnsi="Times New Roman" w:cs="Times New Roman"/>
          <w:color w:val="000000" w:themeColor="text1"/>
          <w:sz w:val="20"/>
          <w:szCs w:val="20"/>
        </w:rPr>
        <w:t xml:space="preserve"> pressure. The study compares critical pavement strains computed using IITPAVE with allowable strain values from IRC</w:t>
      </w:r>
      <w:r w:rsidR="008675B9">
        <w:rPr>
          <w:rFonts w:ascii="Times New Roman" w:hAnsi="Times New Roman" w:cs="Times New Roman"/>
          <w:color w:val="000000" w:themeColor="text1"/>
          <w:sz w:val="20"/>
          <w:szCs w:val="20"/>
        </w:rPr>
        <w:t>:</w:t>
      </w:r>
      <w:r w:rsidR="005A7EC1" w:rsidRPr="005A7EC1">
        <w:rPr>
          <w:rFonts w:ascii="Times New Roman" w:hAnsi="Times New Roman" w:cs="Times New Roman"/>
          <w:color w:val="000000" w:themeColor="text1"/>
          <w:sz w:val="20"/>
          <w:szCs w:val="20"/>
        </w:rPr>
        <w:t>37-2018 guidelines. Results indicate that the actual horizontal tensile strain at the asphalt layer bottom and the vertical compressive strain at the subgrade top are well within permissible limits, ensuring the pavement's structural safety. The findings confirm that the design thickness of 595 mm is sufficient for anticipated traffic loads, demonstrating IITPAVE's effectiveness in pavement analysis.</w:t>
      </w:r>
    </w:p>
    <w:p w14:paraId="5501AD32" w14:textId="1561A8D3"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8675B9">
        <w:rPr>
          <w:rFonts w:ascii="Times New Roman" w:hAnsi="Times New Roman" w:cs="Times New Roman"/>
          <w:color w:val="000000" w:themeColor="text1"/>
          <w:sz w:val="20"/>
          <w:szCs w:val="20"/>
        </w:rPr>
        <w:t xml:space="preserve">IIT PAVE, Pavement </w:t>
      </w:r>
      <w:r w:rsidR="00782966">
        <w:rPr>
          <w:rFonts w:ascii="Times New Roman" w:hAnsi="Times New Roman" w:cs="Times New Roman"/>
          <w:color w:val="000000" w:themeColor="text1"/>
          <w:sz w:val="20"/>
          <w:szCs w:val="20"/>
        </w:rPr>
        <w:t>a</w:t>
      </w:r>
      <w:r w:rsidR="008675B9">
        <w:rPr>
          <w:rFonts w:ascii="Times New Roman" w:hAnsi="Times New Roman" w:cs="Times New Roman"/>
          <w:color w:val="000000" w:themeColor="text1"/>
          <w:sz w:val="20"/>
          <w:szCs w:val="20"/>
        </w:rPr>
        <w:t xml:space="preserve">nalysis, IRC:37-2018, </w:t>
      </w:r>
      <w:r w:rsidR="00782966">
        <w:rPr>
          <w:rFonts w:ascii="Times New Roman" w:hAnsi="Times New Roman" w:cs="Times New Roman"/>
          <w:color w:val="000000" w:themeColor="text1"/>
          <w:sz w:val="20"/>
          <w:szCs w:val="20"/>
        </w:rPr>
        <w:t xml:space="preserve">Horizontal strain, Traffic loads, Poisson’s ratio </w:t>
      </w:r>
    </w:p>
    <w:p w14:paraId="295E75AC" w14:textId="77777777" w:rsidR="008174FD" w:rsidRPr="008174FD" w:rsidRDefault="00911ACD" w:rsidP="00A3623A">
      <w:pPr>
        <w:pStyle w:val="ListParagraph"/>
        <w:numPr>
          <w:ilvl w:val="0"/>
          <w:numId w:val="21"/>
        </w:numPr>
        <w:spacing w:before="54" w:after="0" w:line="276" w:lineRule="auto"/>
        <w:ind w:left="284" w:hanging="284"/>
        <w:jc w:val="both"/>
        <w:rPr>
          <w:rFonts w:ascii="Times New Roman" w:hAnsi="Times New Roman" w:cs="Times New Roman"/>
          <w:color w:val="000000" w:themeColor="text1"/>
          <w:sz w:val="20"/>
          <w:szCs w:val="20"/>
        </w:rPr>
      </w:pPr>
      <w:r w:rsidRPr="008174FD">
        <w:rPr>
          <w:rFonts w:ascii="Times New Roman" w:hAnsi="Times New Roman" w:cs="Times New Roman"/>
          <w:color w:val="000000" w:themeColor="text1"/>
          <w:sz w:val="20"/>
          <w:szCs w:val="20"/>
        </w:rPr>
        <w:t xml:space="preserve"> </w:t>
      </w:r>
      <w:r w:rsidR="00DA52F4" w:rsidRPr="008174FD">
        <w:rPr>
          <w:rFonts w:ascii="Times New Roman" w:hAnsi="Times New Roman" w:cs="Times New Roman"/>
          <w:b/>
          <w:bCs/>
          <w:color w:val="000000" w:themeColor="text1"/>
          <w:sz w:val="24"/>
          <w:szCs w:val="24"/>
        </w:rPr>
        <w:t>INTRODUCTION</w:t>
      </w:r>
      <w:r w:rsidR="009F6540" w:rsidRPr="008174FD">
        <w:rPr>
          <w:rFonts w:ascii="Times New Roman" w:hAnsi="Times New Roman" w:cs="Times New Roman"/>
          <w:b/>
          <w:bCs/>
          <w:color w:val="000000" w:themeColor="text1"/>
          <w:sz w:val="24"/>
          <w:szCs w:val="24"/>
        </w:rPr>
        <w:t xml:space="preserve"> </w:t>
      </w:r>
    </w:p>
    <w:p w14:paraId="3DEBF995" w14:textId="2171E4AD" w:rsidR="002A256B" w:rsidRPr="008174FD" w:rsidRDefault="009733A8" w:rsidP="008174FD">
      <w:pPr>
        <w:spacing w:before="54" w:after="0" w:line="276" w:lineRule="auto"/>
        <w:jc w:val="both"/>
        <w:rPr>
          <w:rFonts w:ascii="Times New Roman" w:hAnsi="Times New Roman" w:cs="Times New Roman"/>
          <w:color w:val="000000" w:themeColor="text1"/>
          <w:sz w:val="20"/>
          <w:szCs w:val="20"/>
        </w:rPr>
      </w:pPr>
      <w:r w:rsidRPr="008174FD">
        <w:rPr>
          <w:rFonts w:ascii="Times New Roman" w:hAnsi="Times New Roman" w:cs="Times New Roman"/>
          <w:color w:val="000000" w:themeColor="text1"/>
          <w:sz w:val="20"/>
          <w:szCs w:val="20"/>
        </w:rPr>
        <w:t xml:space="preserve">The success of transportation programs is dependent on pavement structure design and pavement analysis, which are critical to </w:t>
      </w:r>
      <w:r w:rsidR="00C02C03" w:rsidRPr="008174FD">
        <w:rPr>
          <w:rFonts w:ascii="Times New Roman" w:hAnsi="Times New Roman" w:cs="Times New Roman"/>
          <w:color w:val="000000" w:themeColor="text1"/>
          <w:sz w:val="20"/>
          <w:szCs w:val="20"/>
        </w:rPr>
        <w:t xml:space="preserve">maximizing </w:t>
      </w:r>
      <w:r w:rsidRPr="008174FD">
        <w:rPr>
          <w:rFonts w:ascii="Times New Roman" w:hAnsi="Times New Roman" w:cs="Times New Roman"/>
          <w:color w:val="000000" w:themeColor="text1"/>
          <w:sz w:val="20"/>
          <w:szCs w:val="20"/>
        </w:rPr>
        <w:t xml:space="preserve">performance, saving cost, and </w:t>
      </w:r>
      <w:r w:rsidR="00C02C03" w:rsidRPr="008174FD">
        <w:rPr>
          <w:rFonts w:ascii="Times New Roman" w:hAnsi="Times New Roman" w:cs="Times New Roman"/>
          <w:color w:val="000000" w:themeColor="text1"/>
          <w:sz w:val="20"/>
          <w:szCs w:val="20"/>
        </w:rPr>
        <w:t>improving</w:t>
      </w:r>
      <w:r w:rsidRPr="008174FD">
        <w:rPr>
          <w:rFonts w:ascii="Times New Roman" w:hAnsi="Times New Roman" w:cs="Times New Roman"/>
          <w:color w:val="000000" w:themeColor="text1"/>
          <w:sz w:val="20"/>
          <w:szCs w:val="20"/>
        </w:rPr>
        <w:t xml:space="preserve"> road safety. </w:t>
      </w:r>
      <w:r w:rsidR="00C02C03" w:rsidRPr="008174FD">
        <w:rPr>
          <w:rFonts w:ascii="Times New Roman" w:hAnsi="Times New Roman" w:cs="Times New Roman"/>
          <w:color w:val="000000" w:themeColor="text1"/>
          <w:sz w:val="20"/>
          <w:szCs w:val="20"/>
        </w:rPr>
        <w:t>Increasing</w:t>
      </w:r>
      <w:r w:rsidRPr="008174FD">
        <w:rPr>
          <w:rFonts w:ascii="Times New Roman" w:hAnsi="Times New Roman" w:cs="Times New Roman"/>
          <w:color w:val="000000" w:themeColor="text1"/>
          <w:sz w:val="20"/>
          <w:szCs w:val="20"/>
        </w:rPr>
        <w:t xml:space="preserve"> traffic loads and environmental conditions developed a need for more effective and precise pavement evaluation techniques. Existing pavement design methods are mostly empirical, and they might not reflect the comprehensive interaction of various pavement layers and loads applied.</w:t>
      </w:r>
      <w:r w:rsidR="00C02C03" w:rsidRPr="008174FD">
        <w:rPr>
          <w:rFonts w:ascii="Times New Roman" w:hAnsi="Times New Roman" w:cs="Times New Roman"/>
          <w:color w:val="000000" w:themeColor="text1"/>
          <w:sz w:val="20"/>
          <w:szCs w:val="20"/>
        </w:rPr>
        <w:t xml:space="preserve"> In contrast, mechanistic-empirical approaches, such as those implemented in IITPAVE software, provide a more comprehensive understanding of pavement behavior by analyzing stresses, strains, and deflections under realistic loading conditions.</w:t>
      </w:r>
    </w:p>
    <w:p w14:paraId="028769EF" w14:textId="67B6801A" w:rsidR="00C02C03" w:rsidRPr="00C02C03" w:rsidRDefault="00C02C03" w:rsidP="00C02C03">
      <w:pPr>
        <w:spacing w:before="54" w:after="0" w:line="276" w:lineRule="auto"/>
        <w:jc w:val="both"/>
        <w:rPr>
          <w:rFonts w:ascii="Times New Roman" w:hAnsi="Times New Roman" w:cs="Times New Roman"/>
          <w:color w:val="000000" w:themeColor="text1"/>
          <w:sz w:val="20"/>
          <w:szCs w:val="20"/>
        </w:rPr>
      </w:pPr>
      <w:r w:rsidRPr="00C02C03">
        <w:rPr>
          <w:rFonts w:ascii="Times New Roman" w:hAnsi="Times New Roman" w:cs="Times New Roman"/>
          <w:color w:val="000000" w:themeColor="text1"/>
          <w:sz w:val="20"/>
          <w:szCs w:val="20"/>
        </w:rPr>
        <w:t xml:space="preserve">IITPAVE is a widely used software tool </w:t>
      </w:r>
      <w:r>
        <w:rPr>
          <w:rFonts w:ascii="Times New Roman" w:hAnsi="Times New Roman" w:cs="Times New Roman"/>
          <w:color w:val="000000" w:themeColor="text1"/>
          <w:sz w:val="20"/>
          <w:szCs w:val="20"/>
        </w:rPr>
        <w:t>recommended by IRC:37-2018</w:t>
      </w:r>
      <w:r w:rsidR="002A256B">
        <w:rPr>
          <w:rFonts w:ascii="Times New Roman" w:hAnsi="Times New Roman" w:cs="Times New Roman"/>
          <w:color w:val="000000" w:themeColor="text1"/>
          <w:sz w:val="20"/>
          <w:szCs w:val="20"/>
        </w:rPr>
        <w:t xml:space="preserve"> </w:t>
      </w:r>
      <w:r w:rsidRPr="00C02C03">
        <w:rPr>
          <w:rFonts w:ascii="Times New Roman" w:hAnsi="Times New Roman" w:cs="Times New Roman"/>
          <w:color w:val="000000" w:themeColor="text1"/>
          <w:sz w:val="20"/>
          <w:szCs w:val="20"/>
        </w:rPr>
        <w:t xml:space="preserve">for the mechanistic analysis of flexible pavements, incorporating a multi-layer elastic theory to evaluate pavement performance. It calculates critical pavement responses, such as horizontal tensile strain at the </w:t>
      </w:r>
      <w:r w:rsidR="002A256B">
        <w:rPr>
          <w:rFonts w:ascii="Times New Roman" w:hAnsi="Times New Roman" w:cs="Times New Roman"/>
          <w:color w:val="000000" w:themeColor="text1"/>
          <w:sz w:val="20"/>
          <w:szCs w:val="20"/>
        </w:rPr>
        <w:t>bituminous</w:t>
      </w:r>
      <w:r w:rsidRPr="00C02C03">
        <w:rPr>
          <w:rFonts w:ascii="Times New Roman" w:hAnsi="Times New Roman" w:cs="Times New Roman"/>
          <w:color w:val="000000" w:themeColor="text1"/>
          <w:sz w:val="20"/>
          <w:szCs w:val="20"/>
        </w:rPr>
        <w:t xml:space="preserve"> layer bottom and vertical compressive strain at the subgrade top, to assess fatigue and rutting potential. These parameters are compared against allowable limits prescribed in IRC 37-2018 guidelines to determine pavement safety and durability.</w:t>
      </w:r>
      <w:r w:rsidR="002A256B">
        <w:rPr>
          <w:rFonts w:ascii="Times New Roman" w:hAnsi="Times New Roman" w:cs="Times New Roman"/>
          <w:color w:val="000000" w:themeColor="text1"/>
          <w:sz w:val="20"/>
          <w:szCs w:val="20"/>
        </w:rPr>
        <w:t xml:space="preserve"> </w:t>
      </w:r>
      <w:r w:rsidR="002A256B" w:rsidRPr="002A256B">
        <w:rPr>
          <w:rFonts w:ascii="Times New Roman" w:hAnsi="Times New Roman" w:cs="Times New Roman"/>
          <w:color w:val="000000" w:themeColor="text1"/>
          <w:sz w:val="20"/>
          <w:szCs w:val="20"/>
        </w:rPr>
        <w:t xml:space="preserve">Current </w:t>
      </w:r>
      <w:r w:rsidR="002A256B">
        <w:rPr>
          <w:rFonts w:ascii="Times New Roman" w:hAnsi="Times New Roman" w:cs="Times New Roman"/>
          <w:color w:val="000000" w:themeColor="text1"/>
          <w:sz w:val="20"/>
          <w:szCs w:val="20"/>
        </w:rPr>
        <w:t>pavement engineering research focuses on improving analysis accuracy</w:t>
      </w:r>
      <w:r w:rsidR="002A256B" w:rsidRPr="002A256B">
        <w:rPr>
          <w:rFonts w:ascii="Times New Roman" w:hAnsi="Times New Roman" w:cs="Times New Roman"/>
          <w:color w:val="000000" w:themeColor="text1"/>
          <w:sz w:val="20"/>
          <w:szCs w:val="20"/>
        </w:rPr>
        <w:t xml:space="preserve"> by integrating advanced material models and computational techniques. This study utilizes IITPAVE to evaluate a pavement design, ensuring its adequacy in handling anticipated traffic loads. The findings contribute to the ongoing efforts </w:t>
      </w:r>
      <w:r w:rsidR="002A256B">
        <w:rPr>
          <w:rFonts w:ascii="Times New Roman" w:hAnsi="Times New Roman" w:cs="Times New Roman"/>
          <w:color w:val="000000" w:themeColor="text1"/>
          <w:sz w:val="20"/>
          <w:szCs w:val="20"/>
        </w:rPr>
        <w:t>to optimize</w:t>
      </w:r>
      <w:r w:rsidR="002A256B" w:rsidRPr="002A256B">
        <w:rPr>
          <w:rFonts w:ascii="Times New Roman" w:hAnsi="Times New Roman" w:cs="Times New Roman"/>
          <w:color w:val="000000" w:themeColor="text1"/>
          <w:sz w:val="20"/>
          <w:szCs w:val="20"/>
        </w:rPr>
        <w:t xml:space="preserve"> pavement design for improved sustainability and performance.</w:t>
      </w:r>
    </w:p>
    <w:p w14:paraId="1FF7A269" w14:textId="77777777" w:rsidR="00C02C03" w:rsidRPr="00C02C03" w:rsidRDefault="00C02C03" w:rsidP="00C02C03">
      <w:pPr>
        <w:spacing w:before="54" w:after="0" w:line="276" w:lineRule="auto"/>
        <w:jc w:val="both"/>
        <w:rPr>
          <w:rFonts w:ascii="Times New Roman" w:hAnsi="Times New Roman" w:cs="Times New Roman"/>
          <w:color w:val="000000" w:themeColor="text1"/>
          <w:sz w:val="20"/>
          <w:szCs w:val="20"/>
        </w:rPr>
      </w:pPr>
    </w:p>
    <w:p w14:paraId="7A033264" w14:textId="77777777"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7D74E956" w14:textId="78E5AEE3" w:rsidR="005D1674" w:rsidRDefault="005D1674" w:rsidP="005D1674">
      <w:pPr>
        <w:spacing w:before="54" w:after="0" w:line="276" w:lineRule="auto"/>
        <w:jc w:val="both"/>
        <w:rPr>
          <w:rFonts w:ascii="Times New Roman" w:hAnsi="Times New Roman" w:cs="Times New Roman"/>
          <w:color w:val="000000" w:themeColor="text1"/>
          <w:sz w:val="20"/>
          <w:szCs w:val="20"/>
        </w:rPr>
      </w:pPr>
      <w:r w:rsidRPr="005D1674">
        <w:rPr>
          <w:rFonts w:ascii="Times New Roman" w:hAnsi="Times New Roman" w:cs="Times New Roman"/>
          <w:color w:val="000000" w:themeColor="text1"/>
          <w:sz w:val="20"/>
          <w:szCs w:val="20"/>
        </w:rPr>
        <w:t xml:space="preserve">The approach employed in data analysis is the </w:t>
      </w:r>
      <w:r>
        <w:rPr>
          <w:rFonts w:ascii="Times New Roman" w:hAnsi="Times New Roman" w:cs="Times New Roman"/>
          <w:color w:val="000000" w:themeColor="text1"/>
          <w:sz w:val="20"/>
          <w:szCs w:val="20"/>
        </w:rPr>
        <w:t>mechanistic-empirical</w:t>
      </w:r>
      <w:r w:rsidRPr="005D1674">
        <w:rPr>
          <w:rFonts w:ascii="Times New Roman" w:hAnsi="Times New Roman" w:cs="Times New Roman"/>
          <w:color w:val="000000" w:themeColor="text1"/>
          <w:sz w:val="20"/>
          <w:szCs w:val="20"/>
        </w:rPr>
        <w:t xml:space="preserve"> method, which takes into account the design lifespan of pavement until either the fatigue cracking in the bituminous surface extends to 20 percent of the pavement's surface area or the rutting reaches a terminal depth of 20 mm, whichever occurs first. The analysis of </w:t>
      </w:r>
      <w:r>
        <w:rPr>
          <w:rFonts w:ascii="Times New Roman" w:hAnsi="Times New Roman" w:cs="Times New Roman"/>
          <w:color w:val="000000" w:themeColor="text1"/>
          <w:sz w:val="20"/>
          <w:szCs w:val="20"/>
        </w:rPr>
        <w:t xml:space="preserve">the </w:t>
      </w:r>
      <w:r w:rsidRPr="005D1674">
        <w:rPr>
          <w:rFonts w:ascii="Times New Roman" w:hAnsi="Times New Roman" w:cs="Times New Roman"/>
          <w:color w:val="000000" w:themeColor="text1"/>
          <w:sz w:val="20"/>
          <w:szCs w:val="20"/>
        </w:rPr>
        <w:t>flexible pavement by IIT-PAVE is based on the multi-layer theory. Stresses and strains at various points of layers were determined using a linear layered elastic model. Tensile strain(Ꜫ</w:t>
      </w:r>
      <w:r w:rsidRPr="005849FA">
        <w:rPr>
          <w:rFonts w:ascii="Times New Roman" w:hAnsi="Times New Roman" w:cs="Times New Roman"/>
          <w:color w:val="000000" w:themeColor="text1"/>
          <w:sz w:val="20"/>
          <w:szCs w:val="20"/>
          <w:vertAlign w:val="subscript"/>
        </w:rPr>
        <w:t>t</w:t>
      </w:r>
      <w:r w:rsidRPr="005D1674">
        <w:rPr>
          <w:rFonts w:ascii="Times New Roman" w:hAnsi="Times New Roman" w:cs="Times New Roman"/>
          <w:color w:val="000000" w:themeColor="text1"/>
          <w:sz w:val="20"/>
          <w:szCs w:val="20"/>
        </w:rPr>
        <w:t>) at the bottom of the bituminous layer and the vertical subgrade strain, (Ꜫ</w:t>
      </w:r>
      <w:r w:rsidRPr="005849FA">
        <w:rPr>
          <w:rFonts w:ascii="Times New Roman" w:hAnsi="Times New Roman" w:cs="Times New Roman"/>
          <w:color w:val="000000" w:themeColor="text1"/>
          <w:sz w:val="20"/>
          <w:szCs w:val="20"/>
          <w:vertAlign w:val="subscript"/>
        </w:rPr>
        <w:t>v</w:t>
      </w:r>
      <w:r w:rsidRPr="005D1674">
        <w:rPr>
          <w:rFonts w:ascii="Times New Roman" w:hAnsi="Times New Roman" w:cs="Times New Roman"/>
          <w:color w:val="000000" w:themeColor="text1"/>
          <w:sz w:val="20"/>
          <w:szCs w:val="20"/>
        </w:rPr>
        <w:t>) at the top of the subgrade are typically regarded as key factors for pavement design to prevent cracking and rutting in both the bituminous and non-bituminous layers.</w:t>
      </w:r>
      <w:r>
        <w:rPr>
          <w:rFonts w:ascii="Times New Roman" w:hAnsi="Times New Roman" w:cs="Times New Roman"/>
          <w:color w:val="000000" w:themeColor="text1"/>
          <w:sz w:val="20"/>
          <w:szCs w:val="20"/>
        </w:rPr>
        <w:t xml:space="preserve"> </w:t>
      </w:r>
      <w:r w:rsidRPr="005D1674">
        <w:rPr>
          <w:rFonts w:ascii="Times New Roman" w:hAnsi="Times New Roman" w:cs="Times New Roman"/>
          <w:color w:val="000000" w:themeColor="text1"/>
          <w:sz w:val="20"/>
          <w:szCs w:val="20"/>
        </w:rPr>
        <w:t>The calculation suggests that tensile strain near the surface, particularly at the wheel's edge, can become significant enough to trigger longitudinal surface cracking, followed by transverse cracking, well before the flexural cracking of the bottom layer if the mix's tensile strength is insufficient at elevated temperatures.</w:t>
      </w:r>
    </w:p>
    <w:p w14:paraId="2A7DA9DA" w14:textId="31E9E072" w:rsidR="00E1112A" w:rsidRPr="00E1112A" w:rsidRDefault="00E1112A" w:rsidP="00E1112A">
      <w:pPr>
        <w:tabs>
          <w:tab w:val="left" w:pos="9216"/>
        </w:tabs>
        <w:rPr>
          <w:rFonts w:ascii="Times New Roman" w:hAnsi="Times New Roman" w:cs="Times New Roman"/>
          <w:sz w:val="20"/>
          <w:szCs w:val="20"/>
        </w:rPr>
      </w:pPr>
      <w:r>
        <w:rPr>
          <w:rFonts w:ascii="Times New Roman" w:hAnsi="Times New Roman" w:cs="Times New Roman"/>
          <w:sz w:val="20"/>
          <w:szCs w:val="20"/>
        </w:rPr>
        <w:tab/>
      </w:r>
    </w:p>
    <w:p w14:paraId="485FBF58" w14:textId="13EFF869" w:rsidR="007C0C41" w:rsidRDefault="007C0C41" w:rsidP="007C0C41">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sz w:val="28"/>
          <w:szCs w:val="28"/>
        </w:rPr>
        <w:lastRenderedPageBreak/>
        <w:drawing>
          <wp:inline distT="0" distB="0" distL="0" distR="0" wp14:anchorId="78198E49" wp14:editId="28BDF70D">
            <wp:extent cx="3182030" cy="1973580"/>
            <wp:effectExtent l="0" t="0" r="0" b="7620"/>
            <wp:docPr id="1817241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5007" cy="2006438"/>
                    </a:xfrm>
                    <a:prstGeom prst="rect">
                      <a:avLst/>
                    </a:prstGeom>
                    <a:noFill/>
                  </pic:spPr>
                </pic:pic>
              </a:graphicData>
            </a:graphic>
          </wp:inline>
        </w:drawing>
      </w:r>
    </w:p>
    <w:p w14:paraId="0BE2C60C" w14:textId="044E5E8E" w:rsidR="007C0C41" w:rsidRDefault="007C0C41" w:rsidP="007C0C41">
      <w:pPr>
        <w:spacing w:before="54" w:after="0" w:line="276" w:lineRule="auto"/>
        <w:jc w:val="center"/>
        <w:rPr>
          <w:rFonts w:ascii="Times New Roman" w:hAnsi="Times New Roman" w:cs="Times New Roman"/>
          <w:sz w:val="20"/>
          <w:szCs w:val="20"/>
        </w:rPr>
      </w:pPr>
      <w:r w:rsidRPr="007C0C41">
        <w:rPr>
          <w:rFonts w:ascii="Times New Roman" w:hAnsi="Times New Roman" w:cs="Times New Roman"/>
          <w:color w:val="000000" w:themeColor="text1"/>
          <w:sz w:val="20"/>
          <w:szCs w:val="20"/>
        </w:rPr>
        <w:t xml:space="preserve">Fig </w:t>
      </w:r>
      <w:r w:rsidRPr="007C0C41">
        <w:rPr>
          <w:rFonts w:ascii="Times New Roman" w:hAnsi="Times New Roman" w:cs="Times New Roman"/>
          <w:sz w:val="20"/>
          <w:szCs w:val="20"/>
        </w:rPr>
        <w:t>A Pavement section with Bituminous Layer(s), Granular Base, and GSB showing the Locations of Critical strains.</w:t>
      </w:r>
    </w:p>
    <w:p w14:paraId="7339500C" w14:textId="77777777" w:rsidR="007C0C41" w:rsidRPr="007C0C41" w:rsidRDefault="007C0C41" w:rsidP="007C0C41">
      <w:pPr>
        <w:spacing w:before="54" w:after="0" w:line="276" w:lineRule="auto"/>
        <w:jc w:val="center"/>
        <w:rPr>
          <w:rFonts w:ascii="Times New Roman" w:hAnsi="Times New Roman" w:cs="Times New Roman"/>
          <w:color w:val="000000" w:themeColor="text1"/>
          <w:sz w:val="20"/>
          <w:szCs w:val="20"/>
        </w:rPr>
      </w:pPr>
    </w:p>
    <w:p w14:paraId="618C8041" w14:textId="37AD0ADB" w:rsidR="00DA52F4" w:rsidRPr="001E51F3" w:rsidRDefault="007C0C41" w:rsidP="008754DA">
      <w:pPr>
        <w:pStyle w:val="ListParagraph"/>
        <w:numPr>
          <w:ilvl w:val="0"/>
          <w:numId w:val="21"/>
        </w:numPr>
        <w:spacing w:before="54" w:after="0" w:line="276" w:lineRule="auto"/>
        <w:rPr>
          <w:rFonts w:ascii="Times New Roman" w:hAnsi="Times New Roman" w:cs="Times New Roman"/>
          <w:color w:val="000000" w:themeColor="text1"/>
          <w:sz w:val="20"/>
          <w:szCs w:val="20"/>
        </w:rPr>
      </w:pPr>
      <w:r>
        <w:rPr>
          <w:rFonts w:ascii="Times New Roman" w:hAnsi="Times New Roman" w:cs="Times New Roman"/>
          <w:b/>
          <w:bCs/>
          <w:color w:val="000000" w:themeColor="text1"/>
          <w:sz w:val="24"/>
          <w:szCs w:val="24"/>
        </w:rPr>
        <w:t>DESIGN</w:t>
      </w:r>
      <w:r w:rsidR="00DA52F4" w:rsidRPr="001E51F3">
        <w:rPr>
          <w:rFonts w:ascii="Times New Roman" w:hAnsi="Times New Roman" w:cs="Times New Roman"/>
          <w:b/>
          <w:bCs/>
          <w:color w:val="000000" w:themeColor="text1"/>
          <w:sz w:val="24"/>
          <w:szCs w:val="24"/>
        </w:rPr>
        <w:t xml:space="preserve"> AND ANALYSIS</w:t>
      </w:r>
      <w:r w:rsidR="006A6434" w:rsidRPr="006A6434">
        <w:rPr>
          <w:rFonts w:ascii="Times New Roman" w:hAnsi="Times New Roman" w:cs="Times New Roman"/>
          <w:color w:val="000000" w:themeColor="text1"/>
          <w:sz w:val="20"/>
          <w:szCs w:val="20"/>
        </w:rPr>
        <w:t xml:space="preserve"> </w:t>
      </w:r>
    </w:p>
    <w:p w14:paraId="7C10F0DB" w14:textId="13D99DB7" w:rsidR="00490C16" w:rsidRPr="00490C16" w:rsidRDefault="007C0C41" w:rsidP="00490C16">
      <w:pPr>
        <w:pStyle w:val="NormalWeb"/>
        <w:rPr>
          <w:b/>
          <w:bCs/>
          <w:color w:val="000000" w:themeColor="text1"/>
          <w:sz w:val="20"/>
          <w:szCs w:val="20"/>
        </w:rPr>
      </w:pPr>
      <w:r w:rsidRPr="00490C16">
        <w:rPr>
          <w:b/>
          <w:bCs/>
          <w:color w:val="000000" w:themeColor="text1"/>
          <w:sz w:val="20"/>
          <w:szCs w:val="20"/>
        </w:rPr>
        <w:t xml:space="preserve">3.1 </w:t>
      </w:r>
      <w:r w:rsidR="00490C16" w:rsidRPr="00490C16">
        <w:rPr>
          <w:b/>
          <w:bCs/>
          <w:color w:val="000000" w:themeColor="text1"/>
          <w:sz w:val="20"/>
          <w:szCs w:val="20"/>
        </w:rPr>
        <w:t>Rutting Model</w:t>
      </w:r>
    </w:p>
    <w:p w14:paraId="515D4570" w14:textId="77777777" w:rsidR="00490C16" w:rsidRPr="00490C16" w:rsidRDefault="00490C16" w:rsidP="00110EA9">
      <w:pPr>
        <w:pStyle w:val="NormalWeb"/>
        <w:spacing w:line="276" w:lineRule="auto"/>
        <w:jc w:val="both"/>
        <w:rPr>
          <w:sz w:val="20"/>
          <w:szCs w:val="20"/>
        </w:rPr>
      </w:pPr>
      <w:r w:rsidRPr="00490C16">
        <w:rPr>
          <w:sz w:val="20"/>
          <w:szCs w:val="20"/>
        </w:rPr>
        <w:t xml:space="preserve">Rutting is the lasting change in pavement that typically happens longitudinally along the route of the wheels. The rutting might be partially attributed to deformation in the subgrade and other non-bituminous layers, which can cause the upper layers to adopt a deformed shape. </w:t>
      </w:r>
    </w:p>
    <w:p w14:paraId="5059109A" w14:textId="1E8437CC" w:rsidR="00490C16" w:rsidRPr="00490C16" w:rsidRDefault="00490C16" w:rsidP="00110EA9">
      <w:pPr>
        <w:pStyle w:val="NormalWeb"/>
        <w:spacing w:line="276" w:lineRule="auto"/>
        <w:jc w:val="both"/>
        <w:rPr>
          <w:sz w:val="20"/>
          <w:szCs w:val="20"/>
        </w:rPr>
      </w:pPr>
      <w:r w:rsidRPr="00490C16">
        <w:rPr>
          <w:sz w:val="20"/>
          <w:szCs w:val="20"/>
        </w:rPr>
        <w:t>The rutting model also has been calibrated in the studies using the pavement performance data collected during the studies at 80% and 90% reliability levels.</w:t>
      </w:r>
    </w:p>
    <w:p w14:paraId="7C6353D9" w14:textId="427295F0" w:rsidR="00490C16" w:rsidRPr="00490C16" w:rsidRDefault="00490C16" w:rsidP="00490C16">
      <w:pPr>
        <w:spacing w:line="360" w:lineRule="auto"/>
        <w:jc w:val="both"/>
        <w:rPr>
          <w:rFonts w:ascii="Times New Roman" w:hAnsi="Times New Roman" w:cs="Times New Roman"/>
          <w:color w:val="000000" w:themeColor="text1"/>
          <w:sz w:val="20"/>
          <w:szCs w:val="20"/>
        </w:rPr>
      </w:pPr>
      <w:r w:rsidRPr="00490C16">
        <w:rPr>
          <w:rFonts w:ascii="Times New Roman" w:hAnsi="Times New Roman" w:cs="Times New Roman"/>
          <w:b/>
          <w:bCs/>
          <w:color w:val="000000" w:themeColor="text1"/>
          <w:sz w:val="20"/>
          <w:szCs w:val="20"/>
        </w:rPr>
        <w:t>N</w:t>
      </w:r>
      <w:r w:rsidRPr="00490C16">
        <w:rPr>
          <w:rFonts w:ascii="Times New Roman" w:hAnsi="Times New Roman" w:cs="Times New Roman"/>
          <w:b/>
          <w:bCs/>
          <w:color w:val="000000" w:themeColor="text1"/>
          <w:sz w:val="20"/>
          <w:szCs w:val="20"/>
          <w:vertAlign w:val="subscript"/>
        </w:rPr>
        <w:t xml:space="preserve">R </w:t>
      </w:r>
      <w:r w:rsidRPr="00490C16">
        <w:rPr>
          <w:rFonts w:ascii="Times New Roman" w:hAnsi="Times New Roman" w:cs="Times New Roman"/>
          <w:b/>
          <w:bCs/>
          <w:color w:val="000000" w:themeColor="text1"/>
          <w:sz w:val="20"/>
          <w:szCs w:val="20"/>
        </w:rPr>
        <w:t>= 4.1656 x 10</w:t>
      </w:r>
      <w:r w:rsidRPr="00490C16">
        <w:rPr>
          <w:rFonts w:ascii="Times New Roman" w:hAnsi="Times New Roman" w:cs="Times New Roman"/>
          <w:b/>
          <w:bCs/>
          <w:color w:val="000000" w:themeColor="text1"/>
          <w:sz w:val="20"/>
          <w:szCs w:val="20"/>
          <w:vertAlign w:val="superscript"/>
        </w:rPr>
        <w:t>-08</w:t>
      </w:r>
      <w:r w:rsidRPr="00490C16">
        <w:rPr>
          <w:rFonts w:ascii="Times New Roman" w:hAnsi="Times New Roman" w:cs="Times New Roman"/>
          <w:b/>
          <w:bCs/>
          <w:color w:val="000000" w:themeColor="text1"/>
          <w:sz w:val="20"/>
          <w:szCs w:val="20"/>
        </w:rPr>
        <w:t xml:space="preserve"> [1/Ꜫ</w:t>
      </w:r>
      <w:r w:rsidRPr="00490C16">
        <w:rPr>
          <w:rFonts w:ascii="Times New Roman" w:hAnsi="Times New Roman" w:cs="Times New Roman"/>
          <w:b/>
          <w:bCs/>
          <w:color w:val="000000" w:themeColor="text1"/>
          <w:sz w:val="20"/>
          <w:szCs w:val="20"/>
          <w:vertAlign w:val="subscript"/>
        </w:rPr>
        <w:t>v</w:t>
      </w:r>
      <w:r w:rsidRPr="00490C16">
        <w:rPr>
          <w:rFonts w:ascii="Times New Roman" w:hAnsi="Times New Roman" w:cs="Times New Roman"/>
          <w:b/>
          <w:bCs/>
          <w:color w:val="000000" w:themeColor="text1"/>
          <w:sz w:val="20"/>
          <w:szCs w:val="20"/>
        </w:rPr>
        <w:t>]</w:t>
      </w:r>
      <w:r w:rsidRPr="00490C16">
        <w:rPr>
          <w:rFonts w:ascii="Times New Roman" w:hAnsi="Times New Roman" w:cs="Times New Roman"/>
          <w:b/>
          <w:bCs/>
          <w:color w:val="000000" w:themeColor="text1"/>
          <w:sz w:val="20"/>
          <w:szCs w:val="20"/>
          <w:vertAlign w:val="superscript"/>
        </w:rPr>
        <w:t>4.5337</w:t>
      </w:r>
      <w:r w:rsidRPr="00490C16">
        <w:rPr>
          <w:rFonts w:ascii="Times New Roman" w:hAnsi="Times New Roman" w:cs="Times New Roman"/>
          <w:color w:val="000000" w:themeColor="text1"/>
          <w:sz w:val="20"/>
          <w:szCs w:val="20"/>
          <w:vertAlign w:val="superscript"/>
        </w:rPr>
        <w:t xml:space="preserve">                                     </w:t>
      </w:r>
      <w:proofErr w:type="gramStart"/>
      <w:r w:rsidRPr="00490C16">
        <w:rPr>
          <w:rFonts w:ascii="Times New Roman" w:hAnsi="Times New Roman" w:cs="Times New Roman"/>
          <w:color w:val="000000" w:themeColor="text1"/>
          <w:sz w:val="20"/>
          <w:szCs w:val="20"/>
          <w:vertAlign w:val="superscript"/>
        </w:rPr>
        <w:t xml:space="preserve">   </w:t>
      </w:r>
      <w:r w:rsidRPr="00490C16">
        <w:rPr>
          <w:rFonts w:ascii="Times New Roman" w:hAnsi="Times New Roman" w:cs="Times New Roman"/>
          <w:color w:val="000000" w:themeColor="text1"/>
          <w:sz w:val="20"/>
          <w:szCs w:val="20"/>
        </w:rPr>
        <w:t>(</w:t>
      </w:r>
      <w:bookmarkStart w:id="0" w:name="_Hlk191230149"/>
      <w:proofErr w:type="gramEnd"/>
      <w:r w:rsidRPr="00490C16">
        <w:rPr>
          <w:rFonts w:ascii="Times New Roman" w:hAnsi="Times New Roman" w:cs="Times New Roman"/>
          <w:color w:val="000000" w:themeColor="text1"/>
          <w:sz w:val="20"/>
          <w:szCs w:val="20"/>
        </w:rPr>
        <w:t>for</w:t>
      </w:r>
      <w:r w:rsidRPr="00490C16">
        <w:rPr>
          <w:rFonts w:ascii="Times New Roman" w:hAnsi="Times New Roman" w:cs="Times New Roman"/>
          <w:color w:val="000000" w:themeColor="text1"/>
          <w:sz w:val="20"/>
          <w:szCs w:val="20"/>
          <w:vertAlign w:val="superscript"/>
        </w:rPr>
        <w:t xml:space="preserve"> </w:t>
      </w:r>
      <w:r w:rsidRPr="00490C16">
        <w:rPr>
          <w:rFonts w:ascii="Times New Roman" w:hAnsi="Times New Roman" w:cs="Times New Roman"/>
          <w:color w:val="000000" w:themeColor="text1"/>
          <w:sz w:val="20"/>
          <w:szCs w:val="20"/>
        </w:rPr>
        <w:t>80% reliability)              -------------   (1)</w:t>
      </w:r>
      <w:bookmarkEnd w:id="0"/>
    </w:p>
    <w:p w14:paraId="0994B45B" w14:textId="26C56AE0" w:rsidR="00490C16" w:rsidRPr="00490C16" w:rsidRDefault="00490C16" w:rsidP="00490C16">
      <w:pPr>
        <w:spacing w:line="360" w:lineRule="auto"/>
        <w:jc w:val="both"/>
        <w:rPr>
          <w:rFonts w:ascii="Times New Roman" w:hAnsi="Times New Roman" w:cs="Times New Roman"/>
          <w:color w:val="000000" w:themeColor="text1"/>
          <w:sz w:val="20"/>
          <w:szCs w:val="20"/>
        </w:rPr>
      </w:pPr>
      <w:r w:rsidRPr="00490C16">
        <w:rPr>
          <w:rFonts w:ascii="Times New Roman" w:hAnsi="Times New Roman" w:cs="Times New Roman"/>
          <w:b/>
          <w:bCs/>
          <w:color w:val="000000" w:themeColor="text1"/>
          <w:sz w:val="20"/>
          <w:szCs w:val="20"/>
        </w:rPr>
        <w:t>N</w:t>
      </w:r>
      <w:r w:rsidRPr="00490C16">
        <w:rPr>
          <w:rFonts w:ascii="Times New Roman" w:hAnsi="Times New Roman" w:cs="Times New Roman"/>
          <w:b/>
          <w:bCs/>
          <w:color w:val="000000" w:themeColor="text1"/>
          <w:sz w:val="20"/>
          <w:szCs w:val="20"/>
          <w:vertAlign w:val="subscript"/>
        </w:rPr>
        <w:t xml:space="preserve">R </w:t>
      </w:r>
      <w:r w:rsidRPr="00490C16">
        <w:rPr>
          <w:rFonts w:ascii="Times New Roman" w:hAnsi="Times New Roman" w:cs="Times New Roman"/>
          <w:b/>
          <w:bCs/>
          <w:color w:val="000000" w:themeColor="text1"/>
          <w:sz w:val="20"/>
          <w:szCs w:val="20"/>
        </w:rPr>
        <w:t>= 1.4100 x 10</w:t>
      </w:r>
      <w:r w:rsidRPr="00490C16">
        <w:rPr>
          <w:rFonts w:ascii="Times New Roman" w:hAnsi="Times New Roman" w:cs="Times New Roman"/>
          <w:b/>
          <w:bCs/>
          <w:color w:val="000000" w:themeColor="text1"/>
          <w:sz w:val="20"/>
          <w:szCs w:val="20"/>
          <w:vertAlign w:val="superscript"/>
        </w:rPr>
        <w:t xml:space="preserve">-08 </w:t>
      </w:r>
      <w:r w:rsidRPr="00490C16">
        <w:rPr>
          <w:rFonts w:ascii="Times New Roman" w:hAnsi="Times New Roman" w:cs="Times New Roman"/>
          <w:b/>
          <w:bCs/>
          <w:color w:val="000000" w:themeColor="text1"/>
          <w:sz w:val="20"/>
          <w:szCs w:val="20"/>
        </w:rPr>
        <w:t>[1/Ꜫ</w:t>
      </w:r>
      <w:r w:rsidRPr="00490C16">
        <w:rPr>
          <w:rFonts w:ascii="Times New Roman" w:hAnsi="Times New Roman" w:cs="Times New Roman"/>
          <w:b/>
          <w:bCs/>
          <w:color w:val="000000" w:themeColor="text1"/>
          <w:sz w:val="20"/>
          <w:szCs w:val="20"/>
          <w:vertAlign w:val="subscript"/>
        </w:rPr>
        <w:t>v</w:t>
      </w:r>
      <w:r w:rsidRPr="00490C16">
        <w:rPr>
          <w:rFonts w:ascii="Times New Roman" w:hAnsi="Times New Roman" w:cs="Times New Roman"/>
          <w:b/>
          <w:bCs/>
          <w:color w:val="000000" w:themeColor="text1"/>
          <w:sz w:val="20"/>
          <w:szCs w:val="20"/>
        </w:rPr>
        <w:t>]</w:t>
      </w:r>
      <w:r w:rsidRPr="00490C16">
        <w:rPr>
          <w:rFonts w:ascii="Times New Roman" w:hAnsi="Times New Roman" w:cs="Times New Roman"/>
          <w:b/>
          <w:bCs/>
          <w:color w:val="000000" w:themeColor="text1"/>
          <w:sz w:val="20"/>
          <w:szCs w:val="20"/>
          <w:vertAlign w:val="superscript"/>
        </w:rPr>
        <w:t>4.5337</w:t>
      </w:r>
      <w:r w:rsidRPr="00490C16">
        <w:rPr>
          <w:rFonts w:ascii="Times New Roman" w:hAnsi="Times New Roman" w:cs="Times New Roman"/>
          <w:color w:val="000000" w:themeColor="text1"/>
          <w:sz w:val="20"/>
          <w:szCs w:val="20"/>
        </w:rPr>
        <w:t xml:space="preserve">                       </w:t>
      </w:r>
      <w:proofErr w:type="gramStart"/>
      <w:r w:rsidRPr="00490C16">
        <w:rPr>
          <w:rFonts w:ascii="Times New Roman" w:hAnsi="Times New Roman" w:cs="Times New Roman"/>
          <w:color w:val="000000" w:themeColor="text1"/>
          <w:sz w:val="20"/>
          <w:szCs w:val="20"/>
        </w:rPr>
        <w:t xml:space="preserve">   (</w:t>
      </w:r>
      <w:proofErr w:type="gramEnd"/>
      <w:r w:rsidRPr="00490C16">
        <w:rPr>
          <w:rFonts w:ascii="Times New Roman" w:hAnsi="Times New Roman" w:cs="Times New Roman"/>
          <w:color w:val="000000" w:themeColor="text1"/>
          <w:sz w:val="20"/>
          <w:szCs w:val="20"/>
        </w:rPr>
        <w:t>for 90 % reliability)             -------------   (2)</w:t>
      </w:r>
    </w:p>
    <w:p w14:paraId="28D7B8BD" w14:textId="77777777" w:rsidR="00490C16" w:rsidRPr="00490C16" w:rsidRDefault="00490C16" w:rsidP="00490C16">
      <w:pPr>
        <w:spacing w:line="360" w:lineRule="auto"/>
        <w:jc w:val="both"/>
        <w:rPr>
          <w:rFonts w:ascii="Times New Roman" w:hAnsi="Times New Roman" w:cs="Times New Roman"/>
          <w:sz w:val="20"/>
          <w:szCs w:val="20"/>
        </w:rPr>
      </w:pPr>
      <w:r w:rsidRPr="00490C16">
        <w:rPr>
          <w:rFonts w:ascii="Times New Roman" w:hAnsi="Times New Roman" w:cs="Times New Roman"/>
          <w:sz w:val="20"/>
          <w:szCs w:val="20"/>
        </w:rPr>
        <w:t>Where N</w:t>
      </w:r>
      <w:r w:rsidRPr="00490C16">
        <w:rPr>
          <w:rFonts w:ascii="Times New Roman" w:hAnsi="Times New Roman" w:cs="Times New Roman"/>
          <w:sz w:val="20"/>
          <w:szCs w:val="20"/>
          <w:vertAlign w:val="subscript"/>
        </w:rPr>
        <w:t xml:space="preserve">R </w:t>
      </w:r>
      <w:r w:rsidRPr="00490C16">
        <w:rPr>
          <w:rFonts w:ascii="Times New Roman" w:hAnsi="Times New Roman" w:cs="Times New Roman"/>
          <w:sz w:val="20"/>
          <w:szCs w:val="20"/>
        </w:rPr>
        <w:t xml:space="preserve">= subgrade rutting life </w:t>
      </w:r>
    </w:p>
    <w:p w14:paraId="76D6EE8B" w14:textId="77777777" w:rsidR="00490C16" w:rsidRPr="00490C16" w:rsidRDefault="00490C16" w:rsidP="00490C16">
      <w:pPr>
        <w:spacing w:line="360" w:lineRule="auto"/>
        <w:jc w:val="both"/>
        <w:rPr>
          <w:rFonts w:ascii="Times New Roman" w:hAnsi="Times New Roman" w:cs="Times New Roman"/>
          <w:color w:val="000000" w:themeColor="text1"/>
          <w:sz w:val="20"/>
          <w:szCs w:val="20"/>
        </w:rPr>
      </w:pPr>
      <w:r w:rsidRPr="00490C16">
        <w:rPr>
          <w:sz w:val="20"/>
          <w:szCs w:val="20"/>
        </w:rPr>
        <w:t xml:space="preserve"> </w:t>
      </w:r>
      <w:r w:rsidRPr="00490C16">
        <w:rPr>
          <w:rFonts w:cstheme="minorHAnsi"/>
          <w:sz w:val="20"/>
          <w:szCs w:val="20"/>
        </w:rPr>
        <w:t>Ꜫ</w:t>
      </w:r>
      <w:r w:rsidRPr="00490C16">
        <w:rPr>
          <w:rFonts w:ascii="Times New Roman" w:hAnsi="Times New Roman" w:cs="Times New Roman"/>
          <w:sz w:val="20"/>
          <w:szCs w:val="20"/>
          <w:vertAlign w:val="subscript"/>
        </w:rPr>
        <w:t>v</w:t>
      </w:r>
      <w:r w:rsidRPr="00490C16">
        <w:rPr>
          <w:sz w:val="20"/>
          <w:szCs w:val="20"/>
        </w:rPr>
        <w:t xml:space="preserve"> = </w:t>
      </w:r>
      <w:r w:rsidRPr="00490C16">
        <w:rPr>
          <w:rFonts w:ascii="Times New Roman" w:hAnsi="Times New Roman" w:cs="Times New Roman"/>
          <w:sz w:val="20"/>
          <w:szCs w:val="20"/>
        </w:rPr>
        <w:t>Vertical compressive strain at the top of the subgrade.</w:t>
      </w:r>
    </w:p>
    <w:p w14:paraId="37628D95" w14:textId="27B35FFD" w:rsidR="00490C16" w:rsidRPr="00490C16" w:rsidRDefault="00490C16" w:rsidP="00490C16">
      <w:pPr>
        <w:spacing w:line="360" w:lineRule="auto"/>
        <w:jc w:val="both"/>
        <w:rPr>
          <w:rFonts w:ascii="Times New Roman" w:hAnsi="Times New Roman" w:cs="Times New Roman"/>
          <w:b/>
          <w:bCs/>
          <w:sz w:val="20"/>
          <w:szCs w:val="20"/>
        </w:rPr>
      </w:pPr>
      <w:r w:rsidRPr="00490C16">
        <w:rPr>
          <w:b/>
          <w:bCs/>
          <w:sz w:val="20"/>
          <w:szCs w:val="20"/>
        </w:rPr>
        <w:t xml:space="preserve">3.2 </w:t>
      </w:r>
      <w:r w:rsidRPr="00490C16">
        <w:rPr>
          <w:rFonts w:ascii="Times New Roman" w:hAnsi="Times New Roman" w:cs="Times New Roman"/>
          <w:b/>
          <w:bCs/>
          <w:sz w:val="20"/>
          <w:szCs w:val="20"/>
        </w:rPr>
        <w:t>Fatigue model</w:t>
      </w:r>
    </w:p>
    <w:p w14:paraId="5ADE65C5" w14:textId="49106F64" w:rsidR="00490C16" w:rsidRPr="005A59F3" w:rsidRDefault="00490C16" w:rsidP="00110EA9">
      <w:pPr>
        <w:spacing w:line="276" w:lineRule="auto"/>
        <w:jc w:val="both"/>
        <w:rPr>
          <w:rFonts w:ascii="Times New Roman" w:hAnsi="Times New Roman" w:cs="Times New Roman"/>
          <w:color w:val="000000"/>
          <w:sz w:val="20"/>
          <w:szCs w:val="20"/>
          <w:shd w:val="clear" w:color="auto" w:fill="FFFFFF"/>
        </w:rPr>
      </w:pPr>
      <w:r w:rsidRPr="005A59F3">
        <w:rPr>
          <w:rFonts w:ascii="Times New Roman" w:hAnsi="Times New Roman" w:cs="Times New Roman"/>
          <w:color w:val="000000"/>
          <w:sz w:val="20"/>
          <w:szCs w:val="20"/>
          <w:shd w:val="clear" w:color="auto" w:fill="FFFFFF"/>
        </w:rPr>
        <w:t xml:space="preserve">Fatigue cracking is traditionally </w:t>
      </w:r>
      <w:r w:rsidR="005A59F3" w:rsidRPr="005A59F3">
        <w:rPr>
          <w:rFonts w:ascii="Times New Roman" w:hAnsi="Times New Roman" w:cs="Times New Roman"/>
          <w:color w:val="000000"/>
          <w:sz w:val="20"/>
          <w:szCs w:val="20"/>
          <w:shd w:val="clear" w:color="auto" w:fill="FFFFFF"/>
        </w:rPr>
        <w:t>seen</w:t>
      </w:r>
      <w:r w:rsidRPr="005A59F3">
        <w:rPr>
          <w:rFonts w:ascii="Times New Roman" w:hAnsi="Times New Roman" w:cs="Times New Roman"/>
          <w:color w:val="000000"/>
          <w:sz w:val="20"/>
          <w:szCs w:val="20"/>
          <w:shd w:val="clear" w:color="auto" w:fill="FFFFFF"/>
        </w:rPr>
        <w:t xml:space="preserve"> as a 'bottom-up cracking' occurrence, resulting from heavy axle loads affecting the bottom of the bituminous layers. </w:t>
      </w:r>
    </w:p>
    <w:p w14:paraId="269B45F7" w14:textId="1E489E01" w:rsidR="005A59F3" w:rsidRPr="005A59F3" w:rsidRDefault="00490C16" w:rsidP="00110EA9">
      <w:pPr>
        <w:spacing w:line="276" w:lineRule="auto"/>
        <w:jc w:val="both"/>
        <w:rPr>
          <w:rFonts w:ascii="Times New Roman" w:hAnsi="Times New Roman" w:cs="Times New Roman"/>
          <w:color w:val="000000" w:themeColor="text1"/>
          <w:sz w:val="20"/>
          <w:szCs w:val="20"/>
        </w:rPr>
      </w:pPr>
      <w:r w:rsidRPr="005A59F3">
        <w:rPr>
          <w:rFonts w:ascii="Times New Roman" w:hAnsi="Times New Roman" w:cs="Times New Roman"/>
          <w:color w:val="000000" w:themeColor="text1"/>
          <w:sz w:val="20"/>
          <w:szCs w:val="20"/>
        </w:rPr>
        <w:t xml:space="preserve">Two fatigue equations were fitted, one in which the computed strains in 80 </w:t>
      </w:r>
      <w:r w:rsidR="005A59F3" w:rsidRPr="005A59F3">
        <w:rPr>
          <w:rFonts w:ascii="Times New Roman" w:hAnsi="Times New Roman" w:cs="Times New Roman"/>
          <w:color w:val="000000" w:themeColor="text1"/>
          <w:sz w:val="20"/>
          <w:szCs w:val="20"/>
        </w:rPr>
        <w:t>percent</w:t>
      </w:r>
      <w:r w:rsidRPr="005A59F3">
        <w:rPr>
          <w:rFonts w:ascii="Times New Roman" w:hAnsi="Times New Roman" w:cs="Times New Roman"/>
          <w:color w:val="000000" w:themeColor="text1"/>
          <w:sz w:val="20"/>
          <w:szCs w:val="20"/>
        </w:rPr>
        <w:t xml:space="preserve"> of the actual data in the scatter plot were higher than the limiting strains predicted by the model (and termed as 80 </w:t>
      </w:r>
      <w:r w:rsidR="005A59F3" w:rsidRPr="005A59F3">
        <w:rPr>
          <w:rFonts w:ascii="Times New Roman" w:hAnsi="Times New Roman" w:cs="Times New Roman"/>
          <w:color w:val="000000" w:themeColor="text1"/>
          <w:sz w:val="20"/>
          <w:szCs w:val="20"/>
        </w:rPr>
        <w:t>percent</w:t>
      </w:r>
      <w:r w:rsidRPr="005A59F3">
        <w:rPr>
          <w:rFonts w:ascii="Times New Roman" w:hAnsi="Times New Roman" w:cs="Times New Roman"/>
          <w:color w:val="000000" w:themeColor="text1"/>
          <w:sz w:val="20"/>
          <w:szCs w:val="20"/>
        </w:rPr>
        <w:t xml:space="preserve"> reliability level in these guidelines) and the other corresponding to 90 </w:t>
      </w:r>
      <w:r w:rsidR="005A59F3" w:rsidRPr="005A59F3">
        <w:rPr>
          <w:rFonts w:ascii="Times New Roman" w:hAnsi="Times New Roman" w:cs="Times New Roman"/>
          <w:color w:val="000000" w:themeColor="text1"/>
          <w:sz w:val="20"/>
          <w:szCs w:val="20"/>
        </w:rPr>
        <w:t>percent</w:t>
      </w:r>
      <w:r w:rsidRPr="005A59F3">
        <w:rPr>
          <w:rFonts w:ascii="Times New Roman" w:hAnsi="Times New Roman" w:cs="Times New Roman"/>
          <w:color w:val="000000" w:themeColor="text1"/>
          <w:sz w:val="20"/>
          <w:szCs w:val="20"/>
        </w:rPr>
        <w:t xml:space="preserve"> reliability level. </w:t>
      </w:r>
    </w:p>
    <w:p w14:paraId="2719DF58" w14:textId="44011D47" w:rsidR="00490C16" w:rsidRPr="005A59F3" w:rsidRDefault="00490C16" w:rsidP="00110EA9">
      <w:pPr>
        <w:spacing w:line="276" w:lineRule="auto"/>
        <w:jc w:val="both"/>
        <w:rPr>
          <w:rFonts w:ascii="Times New Roman" w:hAnsi="Times New Roman" w:cs="Times New Roman"/>
          <w:sz w:val="20"/>
          <w:szCs w:val="20"/>
        </w:rPr>
      </w:pPr>
      <w:proofErr w:type="spellStart"/>
      <w:r w:rsidRPr="005A59F3">
        <w:rPr>
          <w:rFonts w:ascii="Times New Roman" w:hAnsi="Times New Roman" w:cs="Times New Roman"/>
          <w:sz w:val="20"/>
          <w:szCs w:val="20"/>
        </w:rPr>
        <w:t>N</w:t>
      </w:r>
      <w:r w:rsidRPr="005A59F3">
        <w:rPr>
          <w:rFonts w:ascii="Times New Roman" w:hAnsi="Times New Roman" w:cs="Times New Roman"/>
          <w:sz w:val="20"/>
          <w:szCs w:val="20"/>
          <w:vertAlign w:val="subscript"/>
        </w:rPr>
        <w:t>f</w:t>
      </w:r>
      <w:proofErr w:type="spellEnd"/>
      <w:r w:rsidRPr="005A59F3">
        <w:rPr>
          <w:rFonts w:ascii="Times New Roman" w:hAnsi="Times New Roman" w:cs="Times New Roman"/>
          <w:sz w:val="20"/>
          <w:szCs w:val="20"/>
        </w:rPr>
        <w:t xml:space="preserve"> = 1.6064*C*10</w:t>
      </w:r>
      <w:r w:rsidRPr="005A59F3">
        <w:rPr>
          <w:rFonts w:ascii="Times New Roman" w:hAnsi="Times New Roman" w:cs="Times New Roman"/>
          <w:sz w:val="20"/>
          <w:szCs w:val="20"/>
          <w:vertAlign w:val="superscript"/>
        </w:rPr>
        <w:t>-04</w:t>
      </w:r>
      <w:r w:rsidRPr="005A59F3">
        <w:rPr>
          <w:rFonts w:ascii="Times New Roman" w:hAnsi="Times New Roman" w:cs="Times New Roman"/>
          <w:sz w:val="20"/>
          <w:szCs w:val="20"/>
        </w:rPr>
        <w:t xml:space="preserve"> [1/Ꜫ</w:t>
      </w:r>
      <w:r w:rsidRPr="005A59F3">
        <w:rPr>
          <w:rFonts w:ascii="Times New Roman" w:hAnsi="Times New Roman" w:cs="Times New Roman"/>
          <w:sz w:val="20"/>
          <w:szCs w:val="20"/>
          <w:vertAlign w:val="subscript"/>
        </w:rPr>
        <w:t>t</w:t>
      </w:r>
      <w:r w:rsidRPr="005A59F3">
        <w:rPr>
          <w:rFonts w:ascii="Times New Roman" w:hAnsi="Times New Roman" w:cs="Times New Roman"/>
          <w:sz w:val="20"/>
          <w:szCs w:val="20"/>
        </w:rPr>
        <w:t xml:space="preserve"> ]</w:t>
      </w:r>
      <w:r w:rsidRPr="005A59F3">
        <w:rPr>
          <w:rFonts w:ascii="Times New Roman" w:hAnsi="Times New Roman" w:cs="Times New Roman"/>
          <w:sz w:val="20"/>
          <w:szCs w:val="20"/>
          <w:vertAlign w:val="superscript"/>
        </w:rPr>
        <w:t>3.89</w:t>
      </w:r>
      <w:r w:rsidRPr="005A59F3">
        <w:rPr>
          <w:rFonts w:ascii="Times New Roman" w:hAnsi="Times New Roman" w:cs="Times New Roman"/>
          <w:sz w:val="20"/>
          <w:szCs w:val="20"/>
        </w:rPr>
        <w:t>*[1/</w:t>
      </w:r>
      <w:proofErr w:type="spellStart"/>
      <w:r w:rsidRPr="005A59F3">
        <w:rPr>
          <w:rFonts w:ascii="Times New Roman" w:hAnsi="Times New Roman" w:cs="Times New Roman"/>
          <w:sz w:val="20"/>
          <w:szCs w:val="20"/>
        </w:rPr>
        <w:t>M</w:t>
      </w:r>
      <w:r w:rsidRPr="005A59F3">
        <w:rPr>
          <w:rFonts w:ascii="Times New Roman" w:hAnsi="Times New Roman" w:cs="Times New Roman"/>
          <w:sz w:val="20"/>
          <w:szCs w:val="20"/>
          <w:vertAlign w:val="subscript"/>
        </w:rPr>
        <w:t>Rm</w:t>
      </w:r>
      <w:proofErr w:type="spellEnd"/>
      <w:r w:rsidRPr="005A59F3">
        <w:rPr>
          <w:rFonts w:ascii="Times New Roman" w:hAnsi="Times New Roman" w:cs="Times New Roman"/>
          <w:sz w:val="20"/>
          <w:szCs w:val="20"/>
        </w:rPr>
        <w:t xml:space="preserve"> ]</w:t>
      </w:r>
      <w:r w:rsidRPr="005A59F3">
        <w:rPr>
          <w:rFonts w:ascii="Times New Roman" w:hAnsi="Times New Roman" w:cs="Times New Roman"/>
          <w:sz w:val="20"/>
          <w:szCs w:val="20"/>
          <w:vertAlign w:val="superscript"/>
        </w:rPr>
        <w:t xml:space="preserve">0.854 </w:t>
      </w:r>
      <w:r w:rsidRPr="005A59F3">
        <w:rPr>
          <w:rFonts w:ascii="Times New Roman" w:hAnsi="Times New Roman" w:cs="Times New Roman"/>
          <w:sz w:val="20"/>
          <w:szCs w:val="20"/>
        </w:rPr>
        <w:t xml:space="preserve">      </w:t>
      </w:r>
      <w:proofErr w:type="gramStart"/>
      <w:r w:rsidRPr="005A59F3">
        <w:rPr>
          <w:rFonts w:ascii="Times New Roman" w:hAnsi="Times New Roman" w:cs="Times New Roman"/>
          <w:sz w:val="20"/>
          <w:szCs w:val="20"/>
        </w:rPr>
        <w:t xml:space="preserve">   (</w:t>
      </w:r>
      <w:proofErr w:type="gramEnd"/>
      <w:r w:rsidRPr="005A59F3">
        <w:rPr>
          <w:rFonts w:ascii="Times New Roman" w:hAnsi="Times New Roman" w:cs="Times New Roman"/>
          <w:sz w:val="20"/>
          <w:szCs w:val="20"/>
        </w:rPr>
        <w:t xml:space="preserve"> </w:t>
      </w:r>
      <w:r w:rsidRPr="005A59F3">
        <w:rPr>
          <w:rFonts w:ascii="Times New Roman" w:hAnsi="Times New Roman" w:cs="Times New Roman"/>
          <w:color w:val="000000" w:themeColor="text1"/>
          <w:sz w:val="20"/>
          <w:szCs w:val="20"/>
        </w:rPr>
        <w:t>for</w:t>
      </w:r>
      <w:r w:rsidRPr="005A59F3">
        <w:rPr>
          <w:rFonts w:ascii="Times New Roman" w:hAnsi="Times New Roman" w:cs="Times New Roman"/>
          <w:color w:val="000000" w:themeColor="text1"/>
          <w:sz w:val="20"/>
          <w:szCs w:val="20"/>
          <w:vertAlign w:val="superscript"/>
        </w:rPr>
        <w:t xml:space="preserve"> </w:t>
      </w:r>
      <w:r w:rsidRPr="005A59F3">
        <w:rPr>
          <w:rFonts w:ascii="Times New Roman" w:hAnsi="Times New Roman" w:cs="Times New Roman"/>
          <w:color w:val="000000" w:themeColor="text1"/>
          <w:sz w:val="20"/>
          <w:szCs w:val="20"/>
        </w:rPr>
        <w:t>80% reliability)              -------------   (</w:t>
      </w:r>
      <w:r w:rsidR="005A59F3">
        <w:rPr>
          <w:rFonts w:ascii="Times New Roman" w:hAnsi="Times New Roman" w:cs="Times New Roman"/>
          <w:color w:val="000000" w:themeColor="text1"/>
          <w:sz w:val="20"/>
          <w:szCs w:val="20"/>
        </w:rPr>
        <w:t>3</w:t>
      </w:r>
      <w:r w:rsidRPr="005A59F3">
        <w:rPr>
          <w:rFonts w:ascii="Times New Roman" w:hAnsi="Times New Roman" w:cs="Times New Roman"/>
          <w:color w:val="000000" w:themeColor="text1"/>
          <w:sz w:val="20"/>
          <w:szCs w:val="20"/>
        </w:rPr>
        <w:t>)</w:t>
      </w:r>
    </w:p>
    <w:p w14:paraId="2699FB34" w14:textId="5BFDDF90" w:rsidR="00490C16" w:rsidRPr="005A59F3" w:rsidRDefault="00490C16" w:rsidP="00110EA9">
      <w:pPr>
        <w:spacing w:line="276" w:lineRule="auto"/>
        <w:jc w:val="both"/>
        <w:rPr>
          <w:rFonts w:ascii="Times New Roman" w:hAnsi="Times New Roman" w:cs="Times New Roman"/>
          <w:sz w:val="20"/>
          <w:szCs w:val="20"/>
        </w:rPr>
      </w:pPr>
      <w:proofErr w:type="spellStart"/>
      <w:r w:rsidRPr="005A59F3">
        <w:rPr>
          <w:rFonts w:ascii="Times New Roman" w:hAnsi="Times New Roman" w:cs="Times New Roman"/>
          <w:sz w:val="20"/>
          <w:szCs w:val="20"/>
        </w:rPr>
        <w:t>N</w:t>
      </w:r>
      <w:r w:rsidRPr="005A59F3">
        <w:rPr>
          <w:rFonts w:ascii="Times New Roman" w:hAnsi="Times New Roman" w:cs="Times New Roman"/>
          <w:sz w:val="20"/>
          <w:szCs w:val="20"/>
          <w:vertAlign w:val="subscript"/>
        </w:rPr>
        <w:t>f</w:t>
      </w:r>
      <w:proofErr w:type="spellEnd"/>
      <w:r w:rsidRPr="005A59F3">
        <w:rPr>
          <w:rFonts w:ascii="Times New Roman" w:hAnsi="Times New Roman" w:cs="Times New Roman"/>
          <w:sz w:val="20"/>
          <w:szCs w:val="20"/>
        </w:rPr>
        <w:t xml:space="preserve"> = 0.5161*C*10</w:t>
      </w:r>
      <w:r w:rsidRPr="005A59F3">
        <w:rPr>
          <w:rFonts w:ascii="Times New Roman" w:hAnsi="Times New Roman" w:cs="Times New Roman"/>
          <w:sz w:val="20"/>
          <w:szCs w:val="20"/>
          <w:vertAlign w:val="superscript"/>
        </w:rPr>
        <w:t>-04</w:t>
      </w:r>
      <w:r w:rsidRPr="005A59F3">
        <w:rPr>
          <w:rFonts w:ascii="Times New Roman" w:hAnsi="Times New Roman" w:cs="Times New Roman"/>
          <w:sz w:val="20"/>
          <w:szCs w:val="20"/>
        </w:rPr>
        <w:t xml:space="preserve"> [1/Ꜫ</w:t>
      </w:r>
      <w:r w:rsidRPr="005A59F3">
        <w:rPr>
          <w:rFonts w:ascii="Times New Roman" w:hAnsi="Times New Roman" w:cs="Times New Roman"/>
          <w:sz w:val="20"/>
          <w:szCs w:val="20"/>
          <w:vertAlign w:val="subscript"/>
        </w:rPr>
        <w:t>t</w:t>
      </w:r>
      <w:r w:rsidRPr="005A59F3">
        <w:rPr>
          <w:rFonts w:ascii="Times New Roman" w:hAnsi="Times New Roman" w:cs="Times New Roman"/>
          <w:sz w:val="20"/>
          <w:szCs w:val="20"/>
        </w:rPr>
        <w:t xml:space="preserve"> ]</w:t>
      </w:r>
      <w:r w:rsidRPr="005A59F3">
        <w:rPr>
          <w:rFonts w:ascii="Times New Roman" w:hAnsi="Times New Roman" w:cs="Times New Roman"/>
          <w:sz w:val="20"/>
          <w:szCs w:val="20"/>
          <w:vertAlign w:val="superscript"/>
        </w:rPr>
        <w:t>3.89</w:t>
      </w:r>
      <w:r w:rsidRPr="005A59F3">
        <w:rPr>
          <w:rFonts w:ascii="Times New Roman" w:hAnsi="Times New Roman" w:cs="Times New Roman"/>
          <w:sz w:val="20"/>
          <w:szCs w:val="20"/>
        </w:rPr>
        <w:t>*[1/</w:t>
      </w:r>
      <w:proofErr w:type="spellStart"/>
      <w:r w:rsidRPr="005A59F3">
        <w:rPr>
          <w:rFonts w:ascii="Times New Roman" w:hAnsi="Times New Roman" w:cs="Times New Roman"/>
          <w:sz w:val="20"/>
          <w:szCs w:val="20"/>
        </w:rPr>
        <w:t>M</w:t>
      </w:r>
      <w:r w:rsidRPr="005A59F3">
        <w:rPr>
          <w:rFonts w:ascii="Times New Roman" w:hAnsi="Times New Roman" w:cs="Times New Roman"/>
          <w:sz w:val="20"/>
          <w:szCs w:val="20"/>
          <w:vertAlign w:val="subscript"/>
        </w:rPr>
        <w:t>Rm</w:t>
      </w:r>
      <w:proofErr w:type="spellEnd"/>
      <w:r w:rsidRPr="005A59F3">
        <w:rPr>
          <w:rFonts w:ascii="Times New Roman" w:hAnsi="Times New Roman" w:cs="Times New Roman"/>
          <w:sz w:val="20"/>
          <w:szCs w:val="20"/>
        </w:rPr>
        <w:t xml:space="preserve"> ]</w:t>
      </w:r>
      <w:r w:rsidRPr="005A59F3">
        <w:rPr>
          <w:rFonts w:ascii="Times New Roman" w:hAnsi="Times New Roman" w:cs="Times New Roman"/>
          <w:sz w:val="20"/>
          <w:szCs w:val="20"/>
          <w:vertAlign w:val="superscript"/>
        </w:rPr>
        <w:t xml:space="preserve">0.854 </w:t>
      </w:r>
      <w:r w:rsidRPr="005A59F3">
        <w:rPr>
          <w:rFonts w:ascii="Times New Roman" w:hAnsi="Times New Roman" w:cs="Times New Roman"/>
          <w:sz w:val="20"/>
          <w:szCs w:val="20"/>
        </w:rPr>
        <w:t xml:space="preserve">      </w:t>
      </w:r>
      <w:proofErr w:type="gramStart"/>
      <w:r w:rsidRPr="005A59F3">
        <w:rPr>
          <w:rFonts w:ascii="Times New Roman" w:hAnsi="Times New Roman" w:cs="Times New Roman"/>
          <w:sz w:val="20"/>
          <w:szCs w:val="20"/>
        </w:rPr>
        <w:t xml:space="preserve">  </w:t>
      </w:r>
      <w:r w:rsidR="00110EA9">
        <w:rPr>
          <w:rFonts w:ascii="Times New Roman" w:hAnsi="Times New Roman" w:cs="Times New Roman"/>
          <w:sz w:val="20"/>
          <w:szCs w:val="20"/>
        </w:rPr>
        <w:t xml:space="preserve"> </w:t>
      </w:r>
      <w:r w:rsidRPr="005A59F3">
        <w:rPr>
          <w:rFonts w:ascii="Times New Roman" w:hAnsi="Times New Roman" w:cs="Times New Roman"/>
          <w:sz w:val="20"/>
          <w:szCs w:val="20"/>
        </w:rPr>
        <w:t>(</w:t>
      </w:r>
      <w:proofErr w:type="gramEnd"/>
      <w:r w:rsidRPr="005A59F3">
        <w:rPr>
          <w:rFonts w:ascii="Times New Roman" w:hAnsi="Times New Roman" w:cs="Times New Roman"/>
          <w:sz w:val="20"/>
          <w:szCs w:val="20"/>
        </w:rPr>
        <w:t xml:space="preserve"> </w:t>
      </w:r>
      <w:r w:rsidRPr="005A59F3">
        <w:rPr>
          <w:rFonts w:ascii="Times New Roman" w:hAnsi="Times New Roman" w:cs="Times New Roman"/>
          <w:color w:val="000000" w:themeColor="text1"/>
          <w:sz w:val="20"/>
          <w:szCs w:val="20"/>
        </w:rPr>
        <w:t>for</w:t>
      </w:r>
      <w:r w:rsidRPr="005A59F3">
        <w:rPr>
          <w:rFonts w:ascii="Times New Roman" w:hAnsi="Times New Roman" w:cs="Times New Roman"/>
          <w:color w:val="000000" w:themeColor="text1"/>
          <w:sz w:val="20"/>
          <w:szCs w:val="20"/>
          <w:vertAlign w:val="superscript"/>
        </w:rPr>
        <w:t xml:space="preserve"> </w:t>
      </w:r>
      <w:r w:rsidRPr="005A59F3">
        <w:rPr>
          <w:rFonts w:ascii="Times New Roman" w:hAnsi="Times New Roman" w:cs="Times New Roman"/>
          <w:color w:val="000000" w:themeColor="text1"/>
          <w:sz w:val="20"/>
          <w:szCs w:val="20"/>
        </w:rPr>
        <w:t>90% reliability)               -------------   (</w:t>
      </w:r>
      <w:r w:rsidR="005A59F3">
        <w:rPr>
          <w:rFonts w:ascii="Times New Roman" w:hAnsi="Times New Roman" w:cs="Times New Roman"/>
          <w:color w:val="000000" w:themeColor="text1"/>
          <w:sz w:val="20"/>
          <w:szCs w:val="20"/>
        </w:rPr>
        <w:t>4</w:t>
      </w:r>
      <w:r w:rsidRPr="005A59F3">
        <w:rPr>
          <w:rFonts w:ascii="Times New Roman" w:hAnsi="Times New Roman" w:cs="Times New Roman"/>
          <w:color w:val="000000" w:themeColor="text1"/>
          <w:sz w:val="20"/>
          <w:szCs w:val="20"/>
        </w:rPr>
        <w:t>)</w:t>
      </w:r>
    </w:p>
    <w:p w14:paraId="1BABF92C" w14:textId="77777777" w:rsidR="00110EA9" w:rsidRDefault="00490C16" w:rsidP="00490C16">
      <w:pPr>
        <w:spacing w:line="360" w:lineRule="auto"/>
        <w:jc w:val="both"/>
        <w:rPr>
          <w:sz w:val="20"/>
          <w:szCs w:val="20"/>
        </w:rPr>
      </w:pPr>
      <w:r w:rsidRPr="005A59F3">
        <w:rPr>
          <w:sz w:val="20"/>
          <w:szCs w:val="20"/>
        </w:rPr>
        <w:t xml:space="preserve">Where, </w:t>
      </w:r>
      <w:r w:rsidRPr="005A59F3">
        <w:rPr>
          <w:rFonts w:ascii="Times New Roman" w:hAnsi="Times New Roman" w:cs="Times New Roman"/>
          <w:sz w:val="20"/>
          <w:szCs w:val="20"/>
        </w:rPr>
        <w:t>C = 10M</w:t>
      </w:r>
      <w:r w:rsidRPr="005A59F3">
        <w:rPr>
          <w:sz w:val="20"/>
          <w:szCs w:val="20"/>
        </w:rPr>
        <w:t xml:space="preserve">, </w:t>
      </w:r>
    </w:p>
    <w:p w14:paraId="7C46B142" w14:textId="1F0B0180" w:rsidR="00490C16" w:rsidRPr="005A59F3" w:rsidRDefault="00110EA9" w:rsidP="00490C16">
      <w:pPr>
        <w:spacing w:line="360" w:lineRule="auto"/>
        <w:jc w:val="both"/>
        <w:rPr>
          <w:sz w:val="20"/>
          <w:szCs w:val="20"/>
        </w:rPr>
      </w:pPr>
      <w:r>
        <w:rPr>
          <w:sz w:val="20"/>
          <w:szCs w:val="20"/>
        </w:rPr>
        <w:t xml:space="preserve">             </w:t>
      </w:r>
      <w:r w:rsidR="00490C16" w:rsidRPr="005A59F3">
        <w:rPr>
          <w:sz w:val="20"/>
          <w:szCs w:val="20"/>
        </w:rPr>
        <w:t xml:space="preserve"> </w:t>
      </w:r>
      <w:r w:rsidR="00490C16" w:rsidRPr="005A59F3">
        <w:rPr>
          <w:noProof/>
          <w:sz w:val="20"/>
          <w:szCs w:val="20"/>
        </w:rPr>
        <w:drawing>
          <wp:inline distT="0" distB="0" distL="0" distR="0" wp14:anchorId="567E77D2" wp14:editId="4CC79A8A">
            <wp:extent cx="1135380" cy="356725"/>
            <wp:effectExtent l="0" t="0" r="7620" b="5715"/>
            <wp:docPr id="9902601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260131" name=""/>
                    <pic:cNvPicPr/>
                  </pic:nvPicPr>
                  <pic:blipFill>
                    <a:blip r:embed="rId9"/>
                    <a:stretch>
                      <a:fillRect/>
                    </a:stretch>
                  </pic:blipFill>
                  <pic:spPr>
                    <a:xfrm>
                      <a:off x="0" y="0"/>
                      <a:ext cx="1243849" cy="390805"/>
                    </a:xfrm>
                    <a:prstGeom prst="rect">
                      <a:avLst/>
                    </a:prstGeom>
                  </pic:spPr>
                </pic:pic>
              </a:graphicData>
            </a:graphic>
          </wp:inline>
        </w:drawing>
      </w:r>
    </w:p>
    <w:p w14:paraId="3F0B3A19" w14:textId="1369E7AE" w:rsidR="00490C16" w:rsidRPr="005A59F3" w:rsidRDefault="00490C16" w:rsidP="00110EA9">
      <w:pPr>
        <w:spacing w:line="276" w:lineRule="auto"/>
        <w:jc w:val="both"/>
        <w:rPr>
          <w:rFonts w:ascii="Times New Roman" w:hAnsi="Times New Roman" w:cs="Times New Roman"/>
          <w:sz w:val="20"/>
          <w:szCs w:val="20"/>
        </w:rPr>
      </w:pPr>
      <w:r w:rsidRPr="005A59F3">
        <w:rPr>
          <w:rFonts w:ascii="Times New Roman" w:hAnsi="Times New Roman" w:cs="Times New Roman"/>
          <w:sz w:val="20"/>
          <w:szCs w:val="20"/>
        </w:rPr>
        <w:t>V</w:t>
      </w:r>
      <w:r w:rsidRPr="005A59F3">
        <w:rPr>
          <w:rFonts w:ascii="Times New Roman" w:hAnsi="Times New Roman" w:cs="Times New Roman"/>
          <w:sz w:val="20"/>
          <w:szCs w:val="20"/>
          <w:vertAlign w:val="subscript"/>
        </w:rPr>
        <w:t>a</w:t>
      </w:r>
      <w:r w:rsidRPr="005A59F3">
        <w:rPr>
          <w:rFonts w:ascii="Times New Roman" w:hAnsi="Times New Roman" w:cs="Times New Roman"/>
          <w:sz w:val="20"/>
          <w:szCs w:val="20"/>
        </w:rPr>
        <w:t xml:space="preserve"> = </w:t>
      </w:r>
      <w:r w:rsidR="005A59F3">
        <w:rPr>
          <w:rFonts w:ascii="Times New Roman" w:hAnsi="Times New Roman" w:cs="Times New Roman"/>
          <w:sz w:val="20"/>
          <w:szCs w:val="20"/>
        </w:rPr>
        <w:t>percent</w:t>
      </w:r>
      <w:r w:rsidRPr="005A59F3">
        <w:rPr>
          <w:rFonts w:ascii="Times New Roman" w:hAnsi="Times New Roman" w:cs="Times New Roman"/>
          <w:sz w:val="20"/>
          <w:szCs w:val="20"/>
        </w:rPr>
        <w:t xml:space="preserve"> volume of air void in the mix used in the bottom bituminous layer </w:t>
      </w:r>
    </w:p>
    <w:p w14:paraId="2CC09425" w14:textId="4E8A7A62" w:rsidR="00490C16" w:rsidRPr="005A59F3" w:rsidRDefault="00490C16" w:rsidP="00110EA9">
      <w:pPr>
        <w:spacing w:line="276" w:lineRule="auto"/>
        <w:jc w:val="both"/>
        <w:rPr>
          <w:rFonts w:ascii="Times New Roman" w:hAnsi="Times New Roman" w:cs="Times New Roman"/>
          <w:sz w:val="20"/>
          <w:szCs w:val="20"/>
        </w:rPr>
      </w:pPr>
      <w:proofErr w:type="spellStart"/>
      <w:r w:rsidRPr="005A59F3">
        <w:rPr>
          <w:rFonts w:ascii="Times New Roman" w:hAnsi="Times New Roman" w:cs="Times New Roman"/>
          <w:sz w:val="20"/>
          <w:szCs w:val="20"/>
        </w:rPr>
        <w:t>V</w:t>
      </w:r>
      <w:r w:rsidRPr="005A59F3">
        <w:rPr>
          <w:rFonts w:ascii="Times New Roman" w:hAnsi="Times New Roman" w:cs="Times New Roman"/>
          <w:sz w:val="20"/>
          <w:szCs w:val="20"/>
          <w:vertAlign w:val="subscript"/>
        </w:rPr>
        <w:t>be</w:t>
      </w:r>
      <w:proofErr w:type="spellEnd"/>
      <w:r w:rsidRPr="005A59F3">
        <w:rPr>
          <w:rFonts w:ascii="Times New Roman" w:hAnsi="Times New Roman" w:cs="Times New Roman"/>
          <w:sz w:val="20"/>
          <w:szCs w:val="20"/>
        </w:rPr>
        <w:t xml:space="preserve"> = </w:t>
      </w:r>
      <w:r w:rsidR="005A59F3" w:rsidRPr="005A59F3">
        <w:rPr>
          <w:rFonts w:ascii="Times New Roman" w:hAnsi="Times New Roman" w:cs="Times New Roman"/>
          <w:sz w:val="20"/>
          <w:szCs w:val="20"/>
        </w:rPr>
        <w:t>percent</w:t>
      </w:r>
      <w:r w:rsidRPr="005A59F3">
        <w:rPr>
          <w:rFonts w:ascii="Times New Roman" w:hAnsi="Times New Roman" w:cs="Times New Roman"/>
          <w:sz w:val="20"/>
          <w:szCs w:val="20"/>
        </w:rPr>
        <w:t xml:space="preserve"> volume of effective bitumen in the mix used in the bottom bituminous layer </w:t>
      </w:r>
    </w:p>
    <w:p w14:paraId="730018B8" w14:textId="77777777" w:rsidR="00490C16" w:rsidRPr="005A59F3" w:rsidRDefault="00490C16" w:rsidP="00110EA9">
      <w:pPr>
        <w:spacing w:line="276" w:lineRule="auto"/>
        <w:jc w:val="both"/>
        <w:rPr>
          <w:rFonts w:ascii="Times New Roman" w:hAnsi="Times New Roman" w:cs="Times New Roman"/>
          <w:sz w:val="20"/>
          <w:szCs w:val="20"/>
        </w:rPr>
      </w:pPr>
      <w:proofErr w:type="spellStart"/>
      <w:r w:rsidRPr="005A59F3">
        <w:rPr>
          <w:rFonts w:ascii="Times New Roman" w:hAnsi="Times New Roman" w:cs="Times New Roman"/>
          <w:sz w:val="20"/>
          <w:szCs w:val="20"/>
        </w:rPr>
        <w:t>N</w:t>
      </w:r>
      <w:r w:rsidRPr="005A59F3">
        <w:rPr>
          <w:rFonts w:ascii="Times New Roman" w:hAnsi="Times New Roman" w:cs="Times New Roman"/>
          <w:sz w:val="20"/>
          <w:szCs w:val="20"/>
          <w:vertAlign w:val="subscript"/>
        </w:rPr>
        <w:t>f</w:t>
      </w:r>
      <w:proofErr w:type="spellEnd"/>
      <w:r w:rsidRPr="005A59F3">
        <w:rPr>
          <w:rFonts w:ascii="Times New Roman" w:hAnsi="Times New Roman" w:cs="Times New Roman"/>
          <w:sz w:val="20"/>
          <w:szCs w:val="20"/>
        </w:rPr>
        <w:t xml:space="preserve"> = Fatigue life of bituminous layer </w:t>
      </w:r>
    </w:p>
    <w:p w14:paraId="65C13D68" w14:textId="77777777" w:rsidR="00490C16" w:rsidRPr="005A59F3" w:rsidRDefault="00490C16" w:rsidP="00110EA9">
      <w:pPr>
        <w:spacing w:line="276" w:lineRule="auto"/>
        <w:jc w:val="both"/>
        <w:rPr>
          <w:rFonts w:ascii="Times New Roman" w:hAnsi="Times New Roman" w:cs="Times New Roman"/>
          <w:sz w:val="20"/>
          <w:szCs w:val="20"/>
        </w:rPr>
      </w:pPr>
      <w:r w:rsidRPr="005A59F3">
        <w:rPr>
          <w:rFonts w:ascii="Times New Roman" w:hAnsi="Times New Roman" w:cs="Times New Roman"/>
          <w:sz w:val="20"/>
          <w:szCs w:val="20"/>
        </w:rPr>
        <w:lastRenderedPageBreak/>
        <w:t>Ꜫ</w:t>
      </w:r>
      <w:r w:rsidRPr="005A59F3">
        <w:rPr>
          <w:rFonts w:ascii="Times New Roman" w:hAnsi="Times New Roman" w:cs="Times New Roman"/>
          <w:sz w:val="20"/>
          <w:szCs w:val="20"/>
          <w:vertAlign w:val="subscript"/>
        </w:rPr>
        <w:t>t</w:t>
      </w:r>
      <w:r w:rsidRPr="005A59F3">
        <w:rPr>
          <w:rFonts w:ascii="Times New Roman" w:hAnsi="Times New Roman" w:cs="Times New Roman"/>
          <w:sz w:val="20"/>
          <w:szCs w:val="20"/>
        </w:rPr>
        <w:t xml:space="preserve"> = Maximum horizontal tensile strain at the bottom of the bottom bituminous layer </w:t>
      </w:r>
    </w:p>
    <w:p w14:paraId="78E51081" w14:textId="70BC767E" w:rsidR="006A6434" w:rsidRPr="005A59F3" w:rsidRDefault="00490C16" w:rsidP="00110EA9">
      <w:pPr>
        <w:spacing w:line="276" w:lineRule="auto"/>
        <w:jc w:val="both"/>
        <w:rPr>
          <w:rFonts w:ascii="Times New Roman" w:hAnsi="Times New Roman" w:cs="Times New Roman"/>
          <w:sz w:val="20"/>
          <w:szCs w:val="20"/>
        </w:rPr>
      </w:pPr>
      <w:proofErr w:type="spellStart"/>
      <w:r w:rsidRPr="005A59F3">
        <w:rPr>
          <w:rFonts w:ascii="Times New Roman" w:hAnsi="Times New Roman" w:cs="Times New Roman"/>
          <w:sz w:val="20"/>
          <w:szCs w:val="20"/>
        </w:rPr>
        <w:t>M</w:t>
      </w:r>
      <w:r w:rsidRPr="005A59F3">
        <w:rPr>
          <w:rFonts w:ascii="Times New Roman" w:hAnsi="Times New Roman" w:cs="Times New Roman"/>
          <w:sz w:val="20"/>
          <w:szCs w:val="20"/>
          <w:vertAlign w:val="subscript"/>
        </w:rPr>
        <w:t>Rm</w:t>
      </w:r>
      <w:proofErr w:type="spellEnd"/>
      <w:r w:rsidRPr="005A59F3">
        <w:rPr>
          <w:rFonts w:ascii="Times New Roman" w:hAnsi="Times New Roman" w:cs="Times New Roman"/>
          <w:sz w:val="20"/>
          <w:szCs w:val="20"/>
        </w:rPr>
        <w:t xml:space="preserve"> = Resilient modulus (MPa) of the bituminous mix used in the bottom bituminous layer</w:t>
      </w:r>
    </w:p>
    <w:p w14:paraId="2F3C66E8" w14:textId="77777777"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2F041FE8" w14:textId="77777777" w:rsidR="005A59F3" w:rsidRDefault="005A59F3" w:rsidP="005A59F3">
      <w:pPr>
        <w:pStyle w:val="ListParagraph"/>
        <w:spacing w:before="54" w:after="0" w:line="276" w:lineRule="auto"/>
        <w:ind w:left="360"/>
        <w:rPr>
          <w:rFonts w:ascii="Times New Roman" w:hAnsi="Times New Roman" w:cs="Times New Roman"/>
          <w:b/>
          <w:bCs/>
          <w:color w:val="000000" w:themeColor="text1"/>
          <w:sz w:val="24"/>
          <w:szCs w:val="24"/>
        </w:rPr>
      </w:pPr>
    </w:p>
    <w:p w14:paraId="4662A15E" w14:textId="4AAF380D" w:rsidR="005A59F3" w:rsidRPr="00110EA9" w:rsidRDefault="005A59F3" w:rsidP="005A59F3">
      <w:pPr>
        <w:spacing w:line="360" w:lineRule="auto"/>
        <w:jc w:val="both"/>
        <w:rPr>
          <w:rFonts w:ascii="Times New Roman" w:hAnsi="Times New Roman" w:cs="Times New Roman"/>
          <w:b/>
          <w:bCs/>
          <w:sz w:val="20"/>
          <w:szCs w:val="20"/>
        </w:rPr>
      </w:pPr>
      <w:r w:rsidRPr="00110EA9">
        <w:rPr>
          <w:rFonts w:ascii="Times New Roman" w:hAnsi="Times New Roman" w:cs="Times New Roman"/>
          <w:b/>
          <w:bCs/>
          <w:sz w:val="20"/>
          <w:szCs w:val="20"/>
        </w:rPr>
        <w:t>4.1 Determination of Vertical Compressive Strain (Rutting Model)</w:t>
      </w:r>
    </w:p>
    <w:p w14:paraId="50D57ED2" w14:textId="758FAF50" w:rsidR="005A59F3" w:rsidRPr="00110EA9" w:rsidRDefault="005A59F3" w:rsidP="00110EA9">
      <w:pPr>
        <w:pStyle w:val="NormalWeb"/>
        <w:spacing w:before="0" w:beforeAutospacing="0" w:after="0" w:afterAutospacing="0" w:line="276" w:lineRule="auto"/>
        <w:jc w:val="both"/>
        <w:rPr>
          <w:rFonts w:eastAsiaTheme="minorEastAsia"/>
          <w:color w:val="000000" w:themeColor="text1"/>
          <w:kern w:val="24"/>
          <w:position w:val="10"/>
          <w:sz w:val="20"/>
          <w:szCs w:val="20"/>
          <w:vertAlign w:val="superscript"/>
        </w:rPr>
      </w:pPr>
      <w:r w:rsidRPr="00110EA9">
        <w:rPr>
          <w:sz w:val="20"/>
          <w:szCs w:val="20"/>
        </w:rPr>
        <w:t>The vertical compressive strain (</w:t>
      </w:r>
      <w:r w:rsidRPr="00110EA9">
        <w:rPr>
          <w:rFonts w:cstheme="minorHAnsi"/>
          <w:sz w:val="20"/>
          <w:szCs w:val="20"/>
        </w:rPr>
        <w:t>Ꜫ</w:t>
      </w:r>
      <w:r w:rsidRPr="00110EA9">
        <w:rPr>
          <w:sz w:val="20"/>
          <w:szCs w:val="20"/>
          <w:vertAlign w:val="subscript"/>
        </w:rPr>
        <w:t>v</w:t>
      </w:r>
      <w:r w:rsidRPr="00110EA9">
        <w:rPr>
          <w:sz w:val="20"/>
          <w:szCs w:val="20"/>
        </w:rPr>
        <w:t>) at the bottom of the subgrade layer is estimated by substituting the relevant data (N</w:t>
      </w:r>
      <w:r w:rsidRPr="00110EA9">
        <w:rPr>
          <w:sz w:val="20"/>
          <w:szCs w:val="20"/>
          <w:vertAlign w:val="subscript"/>
        </w:rPr>
        <w:t xml:space="preserve">R </w:t>
      </w:r>
      <w:r w:rsidRPr="00110EA9">
        <w:rPr>
          <w:sz w:val="20"/>
          <w:szCs w:val="20"/>
        </w:rPr>
        <w:t>= 187) to Equation (</w:t>
      </w:r>
      <w:r w:rsidR="00110EA9" w:rsidRPr="00110EA9">
        <w:rPr>
          <w:sz w:val="20"/>
          <w:szCs w:val="20"/>
        </w:rPr>
        <w:t>2</w:t>
      </w:r>
      <w:r w:rsidRPr="00110EA9">
        <w:rPr>
          <w:sz w:val="20"/>
          <w:szCs w:val="20"/>
        </w:rPr>
        <w:t>) for 90% reliability and the obtained value of Ꜫ</w:t>
      </w:r>
      <w:r w:rsidRPr="00110EA9">
        <w:rPr>
          <w:sz w:val="20"/>
          <w:szCs w:val="20"/>
          <w:vertAlign w:val="subscript"/>
        </w:rPr>
        <w:t xml:space="preserve">v </w:t>
      </w:r>
      <w:r w:rsidRPr="00110EA9">
        <w:rPr>
          <w:sz w:val="20"/>
          <w:szCs w:val="20"/>
        </w:rPr>
        <w:t xml:space="preserve">as </w:t>
      </w:r>
      <w:r w:rsidRPr="00110EA9">
        <w:rPr>
          <w:rFonts w:eastAsiaTheme="minorEastAsia"/>
          <w:color w:val="000000" w:themeColor="text1"/>
          <w:kern w:val="24"/>
          <w:sz w:val="20"/>
          <w:szCs w:val="20"/>
        </w:rPr>
        <w:t>5851.2x10</w:t>
      </w:r>
      <w:r w:rsidRPr="00110EA9">
        <w:rPr>
          <w:rFonts w:eastAsiaTheme="minorEastAsia"/>
          <w:color w:val="000000" w:themeColor="text1"/>
          <w:kern w:val="24"/>
          <w:position w:val="10"/>
          <w:sz w:val="20"/>
          <w:szCs w:val="20"/>
          <w:vertAlign w:val="superscript"/>
        </w:rPr>
        <w:t>-6</w:t>
      </w:r>
    </w:p>
    <w:p w14:paraId="296F18CE" w14:textId="77777777" w:rsidR="005A59F3" w:rsidRPr="00110EA9" w:rsidRDefault="005A59F3" w:rsidP="005A59F3">
      <w:pPr>
        <w:pStyle w:val="NormalWeb"/>
        <w:spacing w:before="0" w:beforeAutospacing="0" w:after="0" w:afterAutospacing="0" w:line="360" w:lineRule="auto"/>
        <w:ind w:left="360"/>
        <w:jc w:val="both"/>
        <w:rPr>
          <w:sz w:val="20"/>
          <w:szCs w:val="20"/>
        </w:rPr>
      </w:pPr>
    </w:p>
    <w:p w14:paraId="26175A80" w14:textId="12A1623C" w:rsidR="005A59F3" w:rsidRPr="00110EA9" w:rsidRDefault="005A59F3" w:rsidP="005A59F3">
      <w:pPr>
        <w:pStyle w:val="ListParagraph"/>
        <w:numPr>
          <w:ilvl w:val="1"/>
          <w:numId w:val="21"/>
        </w:numPr>
        <w:spacing w:line="360" w:lineRule="auto"/>
        <w:jc w:val="both"/>
        <w:rPr>
          <w:rFonts w:ascii="Times New Roman" w:hAnsi="Times New Roman" w:cs="Times New Roman"/>
          <w:b/>
          <w:bCs/>
          <w:sz w:val="20"/>
          <w:szCs w:val="20"/>
        </w:rPr>
      </w:pPr>
      <w:r w:rsidRPr="00110EA9">
        <w:rPr>
          <w:rFonts w:ascii="Times New Roman" w:hAnsi="Times New Roman" w:cs="Times New Roman"/>
          <w:b/>
          <w:bCs/>
          <w:sz w:val="20"/>
          <w:szCs w:val="20"/>
        </w:rPr>
        <w:t>Determination of Horizontal Tensile Strain (Fatigue Model)</w:t>
      </w:r>
    </w:p>
    <w:p w14:paraId="68F794CC" w14:textId="39B6B9CD" w:rsidR="005A59F3" w:rsidRPr="00110EA9" w:rsidRDefault="005A59F3" w:rsidP="00110EA9">
      <w:pPr>
        <w:pStyle w:val="NormalWeb"/>
        <w:spacing w:before="0" w:beforeAutospacing="0" w:after="0" w:afterAutospacing="0" w:line="276" w:lineRule="auto"/>
        <w:jc w:val="both"/>
        <w:rPr>
          <w:sz w:val="20"/>
          <w:szCs w:val="20"/>
        </w:rPr>
      </w:pPr>
      <w:r w:rsidRPr="00110EA9">
        <w:rPr>
          <w:sz w:val="20"/>
          <w:szCs w:val="20"/>
        </w:rPr>
        <w:t>The horizontal tensile strain (Ꜫ</w:t>
      </w:r>
      <w:r w:rsidRPr="00110EA9">
        <w:rPr>
          <w:sz w:val="20"/>
          <w:szCs w:val="20"/>
          <w:vertAlign w:val="subscript"/>
        </w:rPr>
        <w:t>t</w:t>
      </w:r>
      <w:r w:rsidRPr="00110EA9">
        <w:rPr>
          <w:sz w:val="20"/>
          <w:szCs w:val="20"/>
        </w:rPr>
        <w:t xml:space="preserve">) at the bottom of the bituminous layers is </w:t>
      </w:r>
      <w:bookmarkStart w:id="1" w:name="_Hlk191231954"/>
      <w:r w:rsidRPr="00110EA9">
        <w:rPr>
          <w:sz w:val="20"/>
          <w:szCs w:val="20"/>
        </w:rPr>
        <w:t>estimated by substituting the relevant data (</w:t>
      </w:r>
      <w:proofErr w:type="spellStart"/>
      <w:proofErr w:type="gramStart"/>
      <w:r w:rsidRPr="00110EA9">
        <w:rPr>
          <w:sz w:val="20"/>
          <w:szCs w:val="20"/>
        </w:rPr>
        <w:t>N</w:t>
      </w:r>
      <w:r w:rsidRPr="00110EA9">
        <w:rPr>
          <w:sz w:val="20"/>
          <w:szCs w:val="20"/>
          <w:vertAlign w:val="subscript"/>
        </w:rPr>
        <w:t>f</w:t>
      </w:r>
      <w:proofErr w:type="spellEnd"/>
      <w:r w:rsidRPr="00110EA9">
        <w:rPr>
          <w:sz w:val="20"/>
          <w:szCs w:val="20"/>
          <w:vertAlign w:val="subscript"/>
        </w:rPr>
        <w:t xml:space="preserve">  </w:t>
      </w:r>
      <w:r w:rsidRPr="00110EA9">
        <w:rPr>
          <w:sz w:val="20"/>
          <w:szCs w:val="20"/>
        </w:rPr>
        <w:t>=</w:t>
      </w:r>
      <w:proofErr w:type="gramEnd"/>
      <w:r w:rsidRPr="00110EA9">
        <w:rPr>
          <w:sz w:val="20"/>
          <w:szCs w:val="20"/>
        </w:rPr>
        <w:t xml:space="preserve"> 53) to Equation (</w:t>
      </w:r>
      <w:r w:rsidR="00110EA9" w:rsidRPr="00110EA9">
        <w:rPr>
          <w:sz w:val="20"/>
          <w:szCs w:val="20"/>
        </w:rPr>
        <w:t>4</w:t>
      </w:r>
      <w:r w:rsidRPr="00110EA9">
        <w:rPr>
          <w:sz w:val="20"/>
          <w:szCs w:val="20"/>
        </w:rPr>
        <w:t>) for 90% reliability and the obtained value of Ꜫ</w:t>
      </w:r>
      <w:r w:rsidRPr="00110EA9">
        <w:rPr>
          <w:sz w:val="20"/>
          <w:szCs w:val="20"/>
          <w:vertAlign w:val="subscript"/>
        </w:rPr>
        <w:t xml:space="preserve">t </w:t>
      </w:r>
      <w:r w:rsidRPr="00110EA9">
        <w:rPr>
          <w:sz w:val="20"/>
          <w:szCs w:val="20"/>
        </w:rPr>
        <w:t xml:space="preserve">as </w:t>
      </w:r>
      <w:r w:rsidRPr="00110EA9">
        <w:rPr>
          <w:rFonts w:eastAsiaTheme="minorEastAsia"/>
          <w:color w:val="000000" w:themeColor="text1"/>
          <w:kern w:val="24"/>
          <w:sz w:val="20"/>
          <w:szCs w:val="20"/>
        </w:rPr>
        <w:t>1443.04x10</w:t>
      </w:r>
      <w:r w:rsidRPr="00110EA9">
        <w:rPr>
          <w:rFonts w:eastAsiaTheme="minorEastAsia"/>
          <w:color w:val="000000" w:themeColor="text1"/>
          <w:kern w:val="24"/>
          <w:position w:val="10"/>
          <w:sz w:val="20"/>
          <w:szCs w:val="20"/>
          <w:vertAlign w:val="superscript"/>
        </w:rPr>
        <w:t>-6</w:t>
      </w:r>
    </w:p>
    <w:bookmarkEnd w:id="1"/>
    <w:p w14:paraId="5F3E6E6E" w14:textId="77777777" w:rsidR="005A59F3" w:rsidRDefault="005A59F3" w:rsidP="005A59F3">
      <w:pPr>
        <w:spacing w:before="54" w:after="0" w:line="276" w:lineRule="auto"/>
        <w:rPr>
          <w:rFonts w:ascii="Times New Roman" w:hAnsi="Times New Roman" w:cs="Times New Roman"/>
          <w:b/>
          <w:bCs/>
          <w:color w:val="000000" w:themeColor="text1"/>
          <w:sz w:val="24"/>
          <w:szCs w:val="24"/>
        </w:rPr>
      </w:pPr>
    </w:p>
    <w:p w14:paraId="5C8BD992" w14:textId="3C3CEB68" w:rsidR="00110EA9" w:rsidRPr="00110EA9" w:rsidRDefault="00110EA9" w:rsidP="00110EA9">
      <w:pPr>
        <w:spacing w:before="54" w:after="0" w:line="276" w:lineRule="auto"/>
        <w:jc w:val="center"/>
        <w:rPr>
          <w:rFonts w:ascii="Times New Roman" w:hAnsi="Times New Roman" w:cs="Times New Roman"/>
          <w:b/>
          <w:bCs/>
          <w:color w:val="000000" w:themeColor="text1"/>
          <w:sz w:val="20"/>
          <w:szCs w:val="20"/>
        </w:rPr>
      </w:pPr>
      <w:r w:rsidRPr="00110EA9">
        <w:rPr>
          <w:rFonts w:ascii="Times New Roman" w:hAnsi="Times New Roman" w:cs="Times New Roman"/>
          <w:b/>
          <w:bCs/>
          <w:color w:val="000000" w:themeColor="text1"/>
          <w:sz w:val="20"/>
          <w:szCs w:val="20"/>
        </w:rPr>
        <w:t xml:space="preserve">Table 1 </w:t>
      </w:r>
      <w:r w:rsidRPr="00110EA9">
        <w:rPr>
          <w:rFonts w:ascii="Times New Roman" w:hAnsi="Times New Roman" w:cs="Times New Roman"/>
          <w:sz w:val="20"/>
          <w:szCs w:val="20"/>
        </w:rPr>
        <w:t>Comparison of Ꜫ</w:t>
      </w:r>
      <w:r w:rsidRPr="00110EA9">
        <w:rPr>
          <w:rFonts w:ascii="Times New Roman" w:hAnsi="Times New Roman" w:cs="Times New Roman"/>
          <w:sz w:val="20"/>
          <w:szCs w:val="20"/>
          <w:vertAlign w:val="subscript"/>
        </w:rPr>
        <w:t>t</w:t>
      </w:r>
      <w:r w:rsidRPr="00110EA9">
        <w:rPr>
          <w:rFonts w:ascii="Times New Roman" w:hAnsi="Times New Roman" w:cs="Times New Roman"/>
          <w:sz w:val="20"/>
          <w:szCs w:val="20"/>
        </w:rPr>
        <w:t xml:space="preserve"> and Ꜫ</w:t>
      </w:r>
      <w:r w:rsidRPr="00110EA9">
        <w:rPr>
          <w:rFonts w:ascii="Times New Roman" w:hAnsi="Times New Roman" w:cs="Times New Roman"/>
          <w:sz w:val="20"/>
          <w:szCs w:val="20"/>
          <w:vertAlign w:val="subscript"/>
        </w:rPr>
        <w:t>v</w:t>
      </w:r>
      <w:r w:rsidRPr="00110EA9">
        <w:rPr>
          <w:rFonts w:ascii="Times New Roman" w:hAnsi="Times New Roman" w:cs="Times New Roman"/>
          <w:sz w:val="20"/>
          <w:szCs w:val="20"/>
        </w:rPr>
        <w:t xml:space="preserve"> values obtained from IRC 37-2018 and IITPAVE Software</w:t>
      </w:r>
    </w:p>
    <w:tbl>
      <w:tblPr>
        <w:tblStyle w:val="TableGrid"/>
        <w:tblW w:w="8217" w:type="dxa"/>
        <w:jc w:val="center"/>
        <w:tblLook w:val="04A0" w:firstRow="1" w:lastRow="0" w:firstColumn="1" w:lastColumn="0" w:noHBand="0" w:noVBand="1"/>
      </w:tblPr>
      <w:tblGrid>
        <w:gridCol w:w="1980"/>
        <w:gridCol w:w="2551"/>
        <w:gridCol w:w="2268"/>
        <w:gridCol w:w="1418"/>
      </w:tblGrid>
      <w:tr w:rsidR="00110EA9" w14:paraId="07A0FA3B" w14:textId="77777777" w:rsidTr="00110EA9">
        <w:trPr>
          <w:jc w:val="center"/>
        </w:trPr>
        <w:tc>
          <w:tcPr>
            <w:tcW w:w="1980" w:type="dxa"/>
          </w:tcPr>
          <w:p w14:paraId="751D5864" w14:textId="77777777" w:rsidR="00110EA9" w:rsidRPr="0058743B" w:rsidRDefault="00110EA9" w:rsidP="007A7B85">
            <w:pPr>
              <w:spacing w:line="360" w:lineRule="auto"/>
              <w:jc w:val="both"/>
              <w:rPr>
                <w:rFonts w:ascii="Times New Roman" w:hAnsi="Times New Roman" w:cs="Times New Roman"/>
              </w:rPr>
            </w:pPr>
            <w:r w:rsidRPr="0058743B">
              <w:rPr>
                <w:rFonts w:ascii="Times New Roman" w:hAnsi="Times New Roman" w:cs="Times New Roman"/>
              </w:rPr>
              <w:t>Type of Strain</w:t>
            </w:r>
          </w:p>
        </w:tc>
        <w:tc>
          <w:tcPr>
            <w:tcW w:w="2551" w:type="dxa"/>
          </w:tcPr>
          <w:p w14:paraId="01D4F13D" w14:textId="77777777" w:rsidR="00110EA9" w:rsidRPr="0058743B" w:rsidRDefault="00110EA9" w:rsidP="007A7B85">
            <w:pPr>
              <w:spacing w:line="360" w:lineRule="auto"/>
              <w:jc w:val="both"/>
              <w:rPr>
                <w:rFonts w:ascii="Times New Roman" w:hAnsi="Times New Roman" w:cs="Times New Roman"/>
              </w:rPr>
            </w:pPr>
            <w:r w:rsidRPr="0058743B">
              <w:rPr>
                <w:rFonts w:ascii="Times New Roman" w:hAnsi="Times New Roman" w:cs="Times New Roman"/>
              </w:rPr>
              <w:t>Allowable Strain Values from IRC</w:t>
            </w:r>
            <w:r>
              <w:rPr>
                <w:rFonts w:ascii="Times New Roman" w:hAnsi="Times New Roman" w:cs="Times New Roman"/>
              </w:rPr>
              <w:t xml:space="preserve"> </w:t>
            </w:r>
            <w:r w:rsidRPr="0058743B">
              <w:rPr>
                <w:rFonts w:ascii="Times New Roman" w:hAnsi="Times New Roman" w:cs="Times New Roman"/>
              </w:rPr>
              <w:t>37-2018</w:t>
            </w:r>
          </w:p>
        </w:tc>
        <w:tc>
          <w:tcPr>
            <w:tcW w:w="2268" w:type="dxa"/>
          </w:tcPr>
          <w:p w14:paraId="61375CD7" w14:textId="77777777" w:rsidR="00110EA9" w:rsidRPr="0058743B" w:rsidRDefault="00110EA9" w:rsidP="007A7B85">
            <w:pPr>
              <w:spacing w:line="360" w:lineRule="auto"/>
              <w:jc w:val="both"/>
              <w:rPr>
                <w:rFonts w:ascii="Times New Roman" w:hAnsi="Times New Roman" w:cs="Times New Roman"/>
              </w:rPr>
            </w:pPr>
            <w:r w:rsidRPr="0058743B">
              <w:rPr>
                <w:rFonts w:ascii="Times New Roman" w:hAnsi="Times New Roman" w:cs="Times New Roman"/>
              </w:rPr>
              <w:t>Actual Strain Values from IITPAVE Software</w:t>
            </w:r>
          </w:p>
        </w:tc>
        <w:tc>
          <w:tcPr>
            <w:tcW w:w="1418" w:type="dxa"/>
          </w:tcPr>
          <w:p w14:paraId="23F1A057" w14:textId="77777777" w:rsidR="00110EA9" w:rsidRPr="0058743B" w:rsidRDefault="00110EA9" w:rsidP="007A7B85">
            <w:pPr>
              <w:spacing w:line="360" w:lineRule="auto"/>
              <w:jc w:val="center"/>
              <w:rPr>
                <w:rFonts w:ascii="Times New Roman" w:hAnsi="Times New Roman" w:cs="Times New Roman"/>
              </w:rPr>
            </w:pPr>
            <w:r w:rsidRPr="0058743B">
              <w:rPr>
                <w:rFonts w:ascii="Times New Roman" w:hAnsi="Times New Roman" w:cs="Times New Roman"/>
              </w:rPr>
              <w:t>Remarks</w:t>
            </w:r>
          </w:p>
        </w:tc>
      </w:tr>
      <w:tr w:rsidR="00110EA9" w14:paraId="531E8AA6" w14:textId="77777777" w:rsidTr="00110EA9">
        <w:trPr>
          <w:jc w:val="center"/>
        </w:trPr>
        <w:tc>
          <w:tcPr>
            <w:tcW w:w="1980" w:type="dxa"/>
          </w:tcPr>
          <w:p w14:paraId="45AC6DFE" w14:textId="77777777" w:rsidR="00110EA9" w:rsidRPr="0058743B" w:rsidRDefault="00110EA9" w:rsidP="007A7B85">
            <w:pPr>
              <w:spacing w:line="360" w:lineRule="auto"/>
              <w:rPr>
                <w:rFonts w:ascii="Times New Roman" w:hAnsi="Times New Roman" w:cs="Times New Roman"/>
              </w:rPr>
            </w:pPr>
            <w:r w:rsidRPr="0058743B">
              <w:rPr>
                <w:rFonts w:ascii="Times New Roman" w:hAnsi="Times New Roman" w:cs="Times New Roman"/>
              </w:rPr>
              <w:t>Horizontal Tensile Strain</w:t>
            </w:r>
            <w:r>
              <w:rPr>
                <w:rFonts w:ascii="Times New Roman" w:hAnsi="Times New Roman" w:cs="Times New Roman"/>
              </w:rPr>
              <w:t xml:space="preserve"> (Ꜫ</w:t>
            </w:r>
            <w:r w:rsidRPr="0058743B">
              <w:rPr>
                <w:rFonts w:ascii="Times New Roman" w:hAnsi="Times New Roman" w:cs="Times New Roman"/>
                <w:vertAlign w:val="subscript"/>
              </w:rPr>
              <w:t>t</w:t>
            </w:r>
            <w:r w:rsidRPr="0058743B">
              <w:rPr>
                <w:rFonts w:ascii="Times New Roman" w:hAnsi="Times New Roman" w:cs="Times New Roman"/>
              </w:rPr>
              <w:t>)</w:t>
            </w:r>
          </w:p>
        </w:tc>
        <w:tc>
          <w:tcPr>
            <w:tcW w:w="2551" w:type="dxa"/>
          </w:tcPr>
          <w:p w14:paraId="03048AD6" w14:textId="77777777" w:rsidR="00110EA9" w:rsidRPr="0058743B" w:rsidRDefault="00110EA9" w:rsidP="007A7B85">
            <w:pPr>
              <w:spacing w:line="360" w:lineRule="auto"/>
              <w:jc w:val="center"/>
              <w:rPr>
                <w:rFonts w:ascii="Times New Roman" w:hAnsi="Times New Roman" w:cs="Times New Roman"/>
              </w:rPr>
            </w:pPr>
            <w:r w:rsidRPr="0058743B">
              <w:rPr>
                <w:rFonts w:ascii="Times New Roman" w:hAnsi="Times New Roman" w:cs="Times New Roman"/>
              </w:rPr>
              <w:t>1443.04x10</w:t>
            </w:r>
            <w:r w:rsidRPr="0058743B">
              <w:rPr>
                <w:rFonts w:ascii="Times New Roman" w:hAnsi="Times New Roman" w:cs="Times New Roman"/>
                <w:vertAlign w:val="superscript"/>
              </w:rPr>
              <w:t>-6</w:t>
            </w:r>
          </w:p>
          <w:p w14:paraId="604ED3E3" w14:textId="77777777" w:rsidR="00110EA9" w:rsidRPr="0058743B" w:rsidRDefault="00110EA9" w:rsidP="007A7B85">
            <w:pPr>
              <w:spacing w:line="360" w:lineRule="auto"/>
              <w:jc w:val="center"/>
              <w:rPr>
                <w:rFonts w:ascii="Times New Roman" w:hAnsi="Times New Roman" w:cs="Times New Roman"/>
              </w:rPr>
            </w:pPr>
          </w:p>
        </w:tc>
        <w:tc>
          <w:tcPr>
            <w:tcW w:w="2268" w:type="dxa"/>
          </w:tcPr>
          <w:p w14:paraId="4B238262" w14:textId="77777777" w:rsidR="00110EA9" w:rsidRPr="0058743B" w:rsidRDefault="00110EA9" w:rsidP="007A7B85">
            <w:pPr>
              <w:spacing w:line="360" w:lineRule="auto"/>
              <w:jc w:val="center"/>
              <w:rPr>
                <w:rFonts w:ascii="Times New Roman" w:hAnsi="Times New Roman" w:cs="Times New Roman"/>
              </w:rPr>
            </w:pPr>
            <w:r w:rsidRPr="0058743B">
              <w:rPr>
                <w:rFonts w:ascii="Times New Roman" w:hAnsi="Times New Roman" w:cs="Times New Roman"/>
              </w:rPr>
              <w:t>326.1x10</w:t>
            </w:r>
            <w:r w:rsidRPr="0058743B">
              <w:rPr>
                <w:rFonts w:ascii="Times New Roman" w:hAnsi="Times New Roman" w:cs="Times New Roman"/>
                <w:vertAlign w:val="superscript"/>
              </w:rPr>
              <w:t>-6</w:t>
            </w:r>
          </w:p>
          <w:p w14:paraId="2C4DCF0E" w14:textId="77777777" w:rsidR="00110EA9" w:rsidRPr="0058743B" w:rsidRDefault="00110EA9" w:rsidP="007A7B85">
            <w:pPr>
              <w:spacing w:line="360" w:lineRule="auto"/>
              <w:jc w:val="center"/>
              <w:rPr>
                <w:rFonts w:ascii="Times New Roman" w:hAnsi="Times New Roman" w:cs="Times New Roman"/>
              </w:rPr>
            </w:pPr>
          </w:p>
        </w:tc>
        <w:tc>
          <w:tcPr>
            <w:tcW w:w="1418" w:type="dxa"/>
          </w:tcPr>
          <w:p w14:paraId="400D23AD" w14:textId="77777777" w:rsidR="00110EA9" w:rsidRPr="0058743B" w:rsidRDefault="00110EA9" w:rsidP="007A7B85">
            <w:pPr>
              <w:spacing w:line="360" w:lineRule="auto"/>
              <w:jc w:val="center"/>
              <w:rPr>
                <w:rFonts w:ascii="Times New Roman" w:hAnsi="Times New Roman" w:cs="Times New Roman"/>
              </w:rPr>
            </w:pPr>
            <w:r w:rsidRPr="0058743B">
              <w:rPr>
                <w:rFonts w:ascii="Times New Roman" w:hAnsi="Times New Roman" w:cs="Times New Roman"/>
              </w:rPr>
              <w:t>Safe</w:t>
            </w:r>
          </w:p>
        </w:tc>
      </w:tr>
      <w:tr w:rsidR="00110EA9" w14:paraId="55D1A88A" w14:textId="77777777" w:rsidTr="00110EA9">
        <w:trPr>
          <w:jc w:val="center"/>
        </w:trPr>
        <w:tc>
          <w:tcPr>
            <w:tcW w:w="1980" w:type="dxa"/>
          </w:tcPr>
          <w:p w14:paraId="55B9E43C" w14:textId="77777777" w:rsidR="00110EA9" w:rsidRPr="0058743B" w:rsidRDefault="00110EA9" w:rsidP="007A7B85">
            <w:pPr>
              <w:spacing w:line="360" w:lineRule="auto"/>
              <w:rPr>
                <w:rFonts w:ascii="Times New Roman" w:hAnsi="Times New Roman" w:cs="Times New Roman"/>
              </w:rPr>
            </w:pPr>
            <w:r w:rsidRPr="0058743B">
              <w:rPr>
                <w:rFonts w:ascii="Times New Roman" w:hAnsi="Times New Roman" w:cs="Times New Roman"/>
              </w:rPr>
              <w:t>Vertical</w:t>
            </w:r>
            <w:r>
              <w:rPr>
                <w:rFonts w:ascii="Times New Roman" w:hAnsi="Times New Roman" w:cs="Times New Roman"/>
              </w:rPr>
              <w:t xml:space="preserve"> </w:t>
            </w:r>
            <w:r w:rsidRPr="0058743B">
              <w:rPr>
                <w:rFonts w:ascii="Times New Roman" w:hAnsi="Times New Roman" w:cs="Times New Roman"/>
              </w:rPr>
              <w:t>Compressive Strain</w:t>
            </w:r>
            <w:r>
              <w:rPr>
                <w:rFonts w:ascii="Times New Roman" w:hAnsi="Times New Roman" w:cs="Times New Roman"/>
              </w:rPr>
              <w:t xml:space="preserve"> (Ꜫ</w:t>
            </w:r>
            <w:r w:rsidRPr="0058743B">
              <w:rPr>
                <w:rFonts w:ascii="Times New Roman" w:hAnsi="Times New Roman" w:cs="Times New Roman"/>
                <w:vertAlign w:val="subscript"/>
              </w:rPr>
              <w:t>v</w:t>
            </w:r>
            <w:r w:rsidRPr="0058743B">
              <w:rPr>
                <w:rFonts w:ascii="Times New Roman" w:hAnsi="Times New Roman" w:cs="Times New Roman"/>
              </w:rPr>
              <w:t>)</w:t>
            </w:r>
          </w:p>
        </w:tc>
        <w:tc>
          <w:tcPr>
            <w:tcW w:w="2551" w:type="dxa"/>
          </w:tcPr>
          <w:p w14:paraId="5775BB25" w14:textId="77777777" w:rsidR="00110EA9" w:rsidRPr="0058743B" w:rsidRDefault="00110EA9" w:rsidP="007A7B85">
            <w:pPr>
              <w:spacing w:line="360" w:lineRule="auto"/>
              <w:jc w:val="center"/>
              <w:rPr>
                <w:rFonts w:ascii="Times New Roman" w:hAnsi="Times New Roman" w:cs="Times New Roman"/>
              </w:rPr>
            </w:pPr>
            <w:r w:rsidRPr="0058743B">
              <w:rPr>
                <w:rFonts w:ascii="Times New Roman" w:hAnsi="Times New Roman" w:cs="Times New Roman"/>
              </w:rPr>
              <w:t>5851.2x10</w:t>
            </w:r>
            <w:r w:rsidRPr="0058743B">
              <w:rPr>
                <w:rFonts w:ascii="Times New Roman" w:hAnsi="Times New Roman" w:cs="Times New Roman"/>
                <w:vertAlign w:val="superscript"/>
              </w:rPr>
              <w:t>-6</w:t>
            </w:r>
          </w:p>
          <w:p w14:paraId="5A99631D" w14:textId="77777777" w:rsidR="00110EA9" w:rsidRPr="0058743B" w:rsidRDefault="00110EA9" w:rsidP="007A7B85">
            <w:pPr>
              <w:spacing w:line="360" w:lineRule="auto"/>
              <w:jc w:val="center"/>
              <w:rPr>
                <w:rFonts w:ascii="Times New Roman" w:hAnsi="Times New Roman" w:cs="Times New Roman"/>
              </w:rPr>
            </w:pPr>
          </w:p>
        </w:tc>
        <w:tc>
          <w:tcPr>
            <w:tcW w:w="2268" w:type="dxa"/>
          </w:tcPr>
          <w:p w14:paraId="497C4639" w14:textId="77777777" w:rsidR="00110EA9" w:rsidRPr="0058743B" w:rsidRDefault="00110EA9" w:rsidP="007A7B85">
            <w:pPr>
              <w:spacing w:line="360" w:lineRule="auto"/>
              <w:jc w:val="center"/>
              <w:rPr>
                <w:rFonts w:ascii="Times New Roman" w:hAnsi="Times New Roman" w:cs="Times New Roman"/>
              </w:rPr>
            </w:pPr>
            <w:r w:rsidRPr="0058743B">
              <w:rPr>
                <w:rFonts w:ascii="Times New Roman" w:hAnsi="Times New Roman" w:cs="Times New Roman"/>
              </w:rPr>
              <w:t>339.8x10</w:t>
            </w:r>
            <w:r w:rsidRPr="0058743B">
              <w:rPr>
                <w:rFonts w:ascii="Times New Roman" w:hAnsi="Times New Roman" w:cs="Times New Roman"/>
                <w:vertAlign w:val="superscript"/>
              </w:rPr>
              <w:t>-6</w:t>
            </w:r>
          </w:p>
          <w:p w14:paraId="3F9EC7C2" w14:textId="77777777" w:rsidR="00110EA9" w:rsidRPr="0058743B" w:rsidRDefault="00110EA9" w:rsidP="007A7B85">
            <w:pPr>
              <w:spacing w:line="360" w:lineRule="auto"/>
              <w:jc w:val="center"/>
              <w:rPr>
                <w:rFonts w:ascii="Times New Roman" w:hAnsi="Times New Roman" w:cs="Times New Roman"/>
              </w:rPr>
            </w:pPr>
          </w:p>
        </w:tc>
        <w:tc>
          <w:tcPr>
            <w:tcW w:w="1418" w:type="dxa"/>
          </w:tcPr>
          <w:p w14:paraId="49622927" w14:textId="77777777" w:rsidR="00110EA9" w:rsidRPr="0058743B" w:rsidRDefault="00110EA9" w:rsidP="007A7B85">
            <w:pPr>
              <w:spacing w:line="360" w:lineRule="auto"/>
              <w:jc w:val="center"/>
              <w:rPr>
                <w:rFonts w:ascii="Times New Roman" w:hAnsi="Times New Roman" w:cs="Times New Roman"/>
              </w:rPr>
            </w:pPr>
            <w:r w:rsidRPr="0058743B">
              <w:rPr>
                <w:rFonts w:ascii="Times New Roman" w:hAnsi="Times New Roman" w:cs="Times New Roman"/>
              </w:rPr>
              <w:t>Safe</w:t>
            </w:r>
          </w:p>
        </w:tc>
      </w:tr>
    </w:tbl>
    <w:p w14:paraId="69EAE60B" w14:textId="77777777" w:rsidR="00110EA9" w:rsidRPr="005A59F3" w:rsidRDefault="00110EA9" w:rsidP="005A59F3">
      <w:pPr>
        <w:spacing w:before="54" w:after="0" w:line="276" w:lineRule="auto"/>
        <w:rPr>
          <w:rFonts w:ascii="Times New Roman" w:hAnsi="Times New Roman" w:cs="Times New Roman"/>
          <w:b/>
          <w:bCs/>
          <w:color w:val="000000" w:themeColor="text1"/>
          <w:sz w:val="24"/>
          <w:szCs w:val="24"/>
        </w:rPr>
      </w:pPr>
    </w:p>
    <w:p w14:paraId="2A689519" w14:textId="31C917A0"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0AE2F857" w14:textId="3B1EF070" w:rsidR="00E770D5" w:rsidRDefault="00E770D5" w:rsidP="00E770D5">
      <w:pPr>
        <w:spacing w:before="54" w:after="0" w:line="276" w:lineRule="auto"/>
        <w:jc w:val="both"/>
        <w:rPr>
          <w:rFonts w:ascii="Times New Roman" w:hAnsi="Times New Roman" w:cs="Times New Roman"/>
          <w:color w:val="000000" w:themeColor="text1"/>
          <w:sz w:val="20"/>
          <w:szCs w:val="20"/>
        </w:rPr>
      </w:pPr>
      <w:r w:rsidRPr="00110EA9">
        <w:rPr>
          <w:rFonts w:ascii="Times New Roman" w:hAnsi="Times New Roman" w:cs="Times New Roman"/>
          <w:color w:val="000000" w:themeColor="text1"/>
          <w:sz w:val="20"/>
          <w:szCs w:val="20"/>
        </w:rPr>
        <w:t>The study demonstrates the effectiveness of IITPAVE software in evaluating the structural performance of flexible pavements based on IRC 37-2018 guidelines. By analyzing critical pavement responses such as horizontal tensile strain at the bottom of the asphalt layer and vertical compressive strain at the top of the subgrade, the research confirms that the actual strain values are well within allowable limits. This indicates that the pavement design with a total thickness of 595 mm is structurally sound and capable of sustaining the expected traffic loads without premature failure. Using a mechanistic-empirical approach ensures a more accurate prediction of pavement behavior compared to traditional empirical methods. The results validate IITPAVE as a reliable tool for pavement design and analysis, contributing to improved road infrastructure planning.</w:t>
      </w:r>
    </w:p>
    <w:p w14:paraId="2D099B1D" w14:textId="77777777" w:rsidR="00110EA9" w:rsidRPr="00110EA9" w:rsidRDefault="00110EA9" w:rsidP="00E770D5">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7331BB15" w14:textId="77777777" w:rsidR="00185AF3" w:rsidRPr="00185AF3" w:rsidRDefault="00185AF3" w:rsidP="00185AF3">
      <w:pPr>
        <w:pStyle w:val="ListParagraph"/>
        <w:numPr>
          <w:ilvl w:val="0"/>
          <w:numId w:val="19"/>
        </w:numPr>
        <w:rPr>
          <w:rFonts w:ascii="Times New Roman" w:hAnsi="Times New Roman" w:cs="Times New Roman"/>
          <w:color w:val="000000" w:themeColor="text1"/>
          <w:sz w:val="20"/>
          <w:szCs w:val="20"/>
        </w:rPr>
      </w:pPr>
      <w:r w:rsidRPr="00185AF3">
        <w:rPr>
          <w:rFonts w:ascii="Times New Roman" w:hAnsi="Times New Roman" w:cs="Times New Roman"/>
          <w:color w:val="000000" w:themeColor="text1"/>
          <w:sz w:val="20"/>
          <w:szCs w:val="20"/>
        </w:rPr>
        <w:t xml:space="preserve">Kumar, P. P., Manjunatha, S., &amp; </w:t>
      </w:r>
      <w:proofErr w:type="spellStart"/>
      <w:r w:rsidRPr="00185AF3">
        <w:rPr>
          <w:rFonts w:ascii="Times New Roman" w:hAnsi="Times New Roman" w:cs="Times New Roman"/>
          <w:color w:val="000000" w:themeColor="text1"/>
          <w:sz w:val="20"/>
          <w:szCs w:val="20"/>
        </w:rPr>
        <w:t>Gnanamurthy</w:t>
      </w:r>
      <w:proofErr w:type="spellEnd"/>
      <w:r w:rsidRPr="00185AF3">
        <w:rPr>
          <w:rFonts w:ascii="Times New Roman" w:hAnsi="Times New Roman" w:cs="Times New Roman"/>
          <w:color w:val="000000" w:themeColor="text1"/>
          <w:sz w:val="20"/>
          <w:szCs w:val="20"/>
        </w:rPr>
        <w:t>, P. B. (2023). A Comparative Analysis of Flexible Pavement Design using IRC 37-2012 and IITPAVE Software. Indian Journal of Science and Technology, 16(43), 3875-3883.</w:t>
      </w:r>
    </w:p>
    <w:p w14:paraId="2DB11EF8" w14:textId="77777777" w:rsidR="00185AF3" w:rsidRDefault="00185AF3" w:rsidP="001271C7">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85AF3">
        <w:rPr>
          <w:rFonts w:ascii="Times New Roman" w:hAnsi="Times New Roman" w:cs="Times New Roman"/>
          <w:color w:val="000000" w:themeColor="text1"/>
          <w:sz w:val="20"/>
          <w:szCs w:val="20"/>
        </w:rPr>
        <w:t xml:space="preserve">Patil, C. C., </w:t>
      </w:r>
      <w:proofErr w:type="spellStart"/>
      <w:r w:rsidRPr="00185AF3">
        <w:rPr>
          <w:rFonts w:ascii="Times New Roman" w:hAnsi="Times New Roman" w:cs="Times New Roman"/>
          <w:color w:val="000000" w:themeColor="text1"/>
          <w:sz w:val="20"/>
          <w:szCs w:val="20"/>
        </w:rPr>
        <w:t>Shivananda</w:t>
      </w:r>
      <w:proofErr w:type="spellEnd"/>
      <w:r w:rsidRPr="00185AF3">
        <w:rPr>
          <w:rFonts w:ascii="Times New Roman" w:hAnsi="Times New Roman" w:cs="Times New Roman"/>
          <w:color w:val="000000" w:themeColor="text1"/>
          <w:sz w:val="20"/>
          <w:szCs w:val="20"/>
        </w:rPr>
        <w:t xml:space="preserve">, P., &amp; Vinod, B. R. (2018). Flexible Pavement Evaluation </w:t>
      </w:r>
      <w:proofErr w:type="gramStart"/>
      <w:r w:rsidRPr="00185AF3">
        <w:rPr>
          <w:rFonts w:ascii="Times New Roman" w:hAnsi="Times New Roman" w:cs="Times New Roman"/>
          <w:color w:val="000000" w:themeColor="text1"/>
          <w:sz w:val="20"/>
          <w:szCs w:val="20"/>
        </w:rPr>
        <w:t>By</w:t>
      </w:r>
      <w:proofErr w:type="gramEnd"/>
      <w:r w:rsidRPr="00185AF3">
        <w:rPr>
          <w:rFonts w:ascii="Times New Roman" w:hAnsi="Times New Roman" w:cs="Times New Roman"/>
          <w:color w:val="000000" w:themeColor="text1"/>
          <w:sz w:val="20"/>
          <w:szCs w:val="20"/>
        </w:rPr>
        <w:t xml:space="preserve"> Falling Weight Deflectometer Test Using IIT-Pave And KGP Back Software. International Journal of Applied Engineering Research, 13(7), 180-183.</w:t>
      </w:r>
    </w:p>
    <w:p w14:paraId="40EFF21F" w14:textId="66D19851" w:rsidR="00911ACD" w:rsidRPr="00982822" w:rsidRDefault="00982822" w:rsidP="00982822">
      <w:pPr>
        <w:pStyle w:val="ListParagraph"/>
        <w:widowControl w:val="0"/>
        <w:numPr>
          <w:ilvl w:val="0"/>
          <w:numId w:val="19"/>
        </w:numPr>
        <w:autoSpaceDE w:val="0"/>
        <w:autoSpaceDN w:val="0"/>
        <w:spacing w:before="60" w:after="0" w:line="276" w:lineRule="auto"/>
        <w:contextualSpacing w:val="0"/>
        <w:jc w:val="both"/>
      </w:pPr>
      <w:r w:rsidRPr="00982822">
        <w:rPr>
          <w:rFonts w:ascii="Times New Roman" w:hAnsi="Times New Roman" w:cs="Times New Roman"/>
          <w:color w:val="000000" w:themeColor="text1"/>
          <w:sz w:val="20"/>
          <w:szCs w:val="20"/>
        </w:rPr>
        <w:t xml:space="preserve">Palla, H. K. (2024). Design of Flexible pavement using IITPAVE as per IRC-37-2018 and minimize the pavement thickness by using Geogrid. </w:t>
      </w:r>
      <w:r w:rsidR="007C7712">
        <w:rPr>
          <w:rFonts w:ascii="Times New Roman" w:hAnsi="Times New Roman" w:cs="Times New Roman"/>
          <w:color w:val="000000" w:themeColor="text1"/>
          <w:sz w:val="20"/>
          <w:szCs w:val="20"/>
        </w:rPr>
        <w:t>INTERNATIONAL</w:t>
      </w:r>
      <w:r w:rsidRPr="00982822">
        <w:rPr>
          <w:rFonts w:ascii="Times New Roman" w:hAnsi="Times New Roman" w:cs="Times New Roman"/>
          <w:color w:val="000000" w:themeColor="text1"/>
          <w:sz w:val="20"/>
          <w:szCs w:val="20"/>
        </w:rPr>
        <w:t xml:space="preserve"> JOURNAL OF SCIENTIFIC RESEARCH IN ENGINEERING AND MANAGEMENT, 08(05), 1–5. </w:t>
      </w:r>
      <w:hyperlink r:id="rId10" w:history="1">
        <w:r w:rsidRPr="0096403C">
          <w:rPr>
            <w:rStyle w:val="Hyperlink"/>
            <w:rFonts w:ascii="Times New Roman" w:hAnsi="Times New Roman"/>
            <w:sz w:val="20"/>
            <w:szCs w:val="20"/>
          </w:rPr>
          <w:t>https://doi.org/10.55041/ijsrem34322</w:t>
        </w:r>
      </w:hyperlink>
    </w:p>
    <w:p w14:paraId="6152ED4E" w14:textId="5F740045" w:rsidR="00982822" w:rsidRDefault="00AF62CA" w:rsidP="0098282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AF62CA">
        <w:rPr>
          <w:rFonts w:ascii="Times New Roman" w:hAnsi="Times New Roman" w:cs="Times New Roman"/>
          <w:sz w:val="20"/>
          <w:szCs w:val="20"/>
        </w:rPr>
        <w:t xml:space="preserve">G R, H. &amp; New Horizon College of Engineering, Bengaluru. (2017). Analysis of Flexible Pavements using IIT Pave [Research]. Imperial Journal of Interdisciplinary Research (IJIR), Vol-3(Issue-6), 815–816. </w:t>
      </w:r>
      <w:hyperlink r:id="rId11" w:history="1">
        <w:r w:rsidRPr="0096403C">
          <w:rPr>
            <w:rStyle w:val="Hyperlink"/>
            <w:rFonts w:ascii="Times New Roman" w:hAnsi="Times New Roman"/>
            <w:sz w:val="20"/>
            <w:szCs w:val="20"/>
          </w:rPr>
          <w:t>http://www.onlinejournal.in</w:t>
        </w:r>
      </w:hyperlink>
    </w:p>
    <w:p w14:paraId="1B2713D4" w14:textId="31AEE198" w:rsidR="00AF62CA" w:rsidRPr="00AF62CA" w:rsidRDefault="00AF62CA" w:rsidP="00AF62CA">
      <w:pPr>
        <w:pStyle w:val="ListParagraph"/>
        <w:widowControl w:val="0"/>
        <w:numPr>
          <w:ilvl w:val="0"/>
          <w:numId w:val="19"/>
        </w:numPr>
        <w:autoSpaceDE w:val="0"/>
        <w:autoSpaceDN w:val="0"/>
        <w:spacing w:before="60" w:after="0" w:line="276" w:lineRule="auto"/>
        <w:jc w:val="both"/>
        <w:rPr>
          <w:rFonts w:ascii="Times New Roman" w:hAnsi="Times New Roman" w:cs="Times New Roman"/>
          <w:sz w:val="20"/>
          <w:szCs w:val="20"/>
        </w:rPr>
      </w:pPr>
      <w:r>
        <w:rPr>
          <w:rFonts w:ascii="Times New Roman" w:hAnsi="Times New Roman" w:cs="Times New Roman"/>
          <w:sz w:val="20"/>
          <w:szCs w:val="20"/>
        </w:rPr>
        <w:t>IRC: 37-2018 “GUIDELINES</w:t>
      </w:r>
      <w:r w:rsidRPr="00AF62CA">
        <w:rPr>
          <w:rFonts w:ascii="Times New Roman" w:hAnsi="Times New Roman" w:cs="Times New Roman"/>
          <w:sz w:val="20"/>
          <w:szCs w:val="20"/>
        </w:rPr>
        <w:t xml:space="preserve"> FOR</w:t>
      </w:r>
      <w:r>
        <w:rPr>
          <w:rFonts w:ascii="Times New Roman" w:hAnsi="Times New Roman" w:cs="Times New Roman"/>
          <w:sz w:val="20"/>
          <w:szCs w:val="20"/>
        </w:rPr>
        <w:t xml:space="preserve"> </w:t>
      </w:r>
      <w:r w:rsidRPr="00AF62CA">
        <w:rPr>
          <w:rFonts w:ascii="Times New Roman" w:hAnsi="Times New Roman" w:cs="Times New Roman"/>
          <w:sz w:val="20"/>
          <w:szCs w:val="20"/>
        </w:rPr>
        <w:t xml:space="preserve">THE DESIGN OF FLEXIBLE </w:t>
      </w:r>
      <w:proofErr w:type="gramStart"/>
      <w:r w:rsidRPr="00AF62CA">
        <w:rPr>
          <w:rFonts w:ascii="Times New Roman" w:hAnsi="Times New Roman" w:cs="Times New Roman"/>
          <w:sz w:val="20"/>
          <w:szCs w:val="20"/>
        </w:rPr>
        <w:t>PAVEMENTS</w:t>
      </w:r>
      <w:r>
        <w:rPr>
          <w:rFonts w:ascii="Times New Roman" w:hAnsi="Times New Roman" w:cs="Times New Roman"/>
          <w:sz w:val="20"/>
          <w:szCs w:val="20"/>
        </w:rPr>
        <w:t>”</w:t>
      </w:r>
      <w:r w:rsidRPr="00AF62CA">
        <w:rPr>
          <w:rFonts w:ascii="Times New Roman" w:hAnsi="Times New Roman" w:cs="Times New Roman"/>
          <w:sz w:val="20"/>
          <w:szCs w:val="20"/>
        </w:rPr>
        <w:t>(</w:t>
      </w:r>
      <w:proofErr w:type="gramEnd"/>
      <w:r w:rsidRPr="00AF62CA">
        <w:rPr>
          <w:rFonts w:ascii="Times New Roman" w:hAnsi="Times New Roman" w:cs="Times New Roman"/>
          <w:sz w:val="20"/>
          <w:szCs w:val="20"/>
        </w:rPr>
        <w:t>Fourth Revision)</w:t>
      </w:r>
      <w:r>
        <w:rPr>
          <w:rFonts w:ascii="Times New Roman" w:hAnsi="Times New Roman" w:cs="Times New Roman"/>
          <w:sz w:val="20"/>
          <w:szCs w:val="20"/>
        </w:rPr>
        <w:t>-November 2018, New Delhi</w:t>
      </w:r>
    </w:p>
    <w:sectPr w:rsidR="00AF62CA" w:rsidRPr="00AF62CA" w:rsidSect="00E1112A">
      <w:headerReference w:type="default" r:id="rId12"/>
      <w:footerReference w:type="default" r:id="rId13"/>
      <w:type w:val="continuous"/>
      <w:pgSz w:w="11907" w:h="16839" w:code="9"/>
      <w:pgMar w:top="510" w:right="907" w:bottom="340" w:left="907" w:header="113" w:footer="170" w:gutter="0"/>
      <w:pgNumType w:start="104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9E93C" w14:textId="77777777" w:rsidR="00602299" w:rsidRDefault="00602299" w:rsidP="00C556D7">
      <w:pPr>
        <w:spacing w:after="0" w:line="240" w:lineRule="auto"/>
      </w:pPr>
      <w:r>
        <w:separator/>
      </w:r>
    </w:p>
  </w:endnote>
  <w:endnote w:type="continuationSeparator" w:id="0">
    <w:p w14:paraId="7C9C0FA1" w14:textId="77777777" w:rsidR="00602299" w:rsidRDefault="00602299"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11A2557A"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B359D" w14:textId="77777777" w:rsidR="00602299" w:rsidRDefault="00602299" w:rsidP="00C556D7">
      <w:pPr>
        <w:spacing w:after="0" w:line="240" w:lineRule="auto"/>
      </w:pPr>
      <w:r>
        <w:separator/>
      </w:r>
    </w:p>
  </w:footnote>
  <w:footnote w:type="continuationSeparator" w:id="0">
    <w:p w14:paraId="6BA83A1D" w14:textId="77777777" w:rsidR="00602299" w:rsidRDefault="00602299"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881371458" name="Picture 881371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2"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742BD379" w14:textId="3317C425" w:rsidR="004E2E37" w:rsidRDefault="004E2E37" w:rsidP="006C74D5">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(Int Peer </w:t>
          </w:r>
          <w:proofErr w:type="spellStart"/>
          <w:r>
            <w:rPr>
              <w:rFonts w:ascii="Times New Roman" w:hAnsi="Times New Roman" w:cs="Times New Roman"/>
              <w:b/>
              <w:color w:val="1F497D"/>
              <w:sz w:val="22"/>
              <w:szCs w:val="22"/>
              <w:lang w:val="fr-FR"/>
            </w:rPr>
            <w:t>Reviewed</w:t>
          </w:r>
          <w:proofErr w:type="spellEnd"/>
          <w:r>
            <w:rPr>
              <w:rFonts w:ascii="Times New Roman" w:hAnsi="Times New Roman" w:cs="Times New Roman"/>
              <w:b/>
              <w:color w:val="1F497D"/>
              <w:sz w:val="22"/>
              <w:szCs w:val="22"/>
              <w:lang w:val="fr-FR"/>
            </w:rPr>
            <w:t xml:space="preserve"> Journal)</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2F592839"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E2E37">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E2E37">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w:t>
          </w:r>
          <w:r w:rsidR="004E2E37">
            <w:rPr>
              <w:rFonts w:ascii="Times New Roman" w:hAnsi="Times New Roman" w:cs="Times New Roman"/>
              <w:bCs/>
              <w:sz w:val="24"/>
              <w:szCs w:val="24"/>
              <w:lang w:val="fr-FR" w:eastAsia="en-IN"/>
            </w:rPr>
            <w:t>March 2025</w:t>
          </w:r>
          <w:r w:rsidRPr="00536ADF">
            <w:rPr>
              <w:rFonts w:ascii="Times New Roman" w:hAnsi="Times New Roman" w:cs="Times New Roman"/>
              <w:bCs/>
              <w:sz w:val="24"/>
              <w:szCs w:val="24"/>
              <w:lang w:val="fr-FR" w:eastAsia="en-IN"/>
            </w:rPr>
            <w:t>, pp :</w:t>
          </w:r>
          <w:r w:rsidR="00DA0CF2">
            <w:rPr>
              <w:rFonts w:ascii="Times New Roman" w:hAnsi="Times New Roman" w:cs="Times New Roman"/>
              <w:bCs/>
              <w:sz w:val="24"/>
              <w:szCs w:val="24"/>
              <w:lang w:val="fr-FR" w:eastAsia="en-IN"/>
            </w:rPr>
            <w:t xml:space="preserve"> 1049 - 1051</w:t>
          </w:r>
          <w:r w:rsidR="008754DA">
            <w:rPr>
              <w:rFonts w:ascii="Times New Roman" w:hAnsi="Times New Roman" w:cs="Times New Roman"/>
              <w:bCs/>
              <w:sz w:val="24"/>
              <w:szCs w:val="24"/>
              <w:lang w:val="fr-FR" w:eastAsia="en-IN"/>
            </w:rPr>
            <w:t xml:space="preserve"> </w:t>
          </w:r>
        </w:p>
      </w:tc>
      <w:bookmarkEnd w:id="2"/>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29B277A0" w:rsidR="002A579C" w:rsidRDefault="004E2E37"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7.001</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multilevel"/>
    <w:tmpl w:val="D3DC407A"/>
    <w:lvl w:ilvl="0">
      <w:start w:val="1"/>
      <w:numFmt w:val="decimal"/>
      <w:lvlText w:val="%1."/>
      <w:lvlJc w:val="left"/>
      <w:pPr>
        <w:ind w:left="360" w:hanging="360"/>
      </w:pPr>
      <w:rPr>
        <w:rFonts w:hint="default"/>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0"/>
  </w:num>
  <w:num w:numId="9" w16cid:durableId="851842906">
    <w:abstractNumId w:val="0"/>
  </w:num>
  <w:num w:numId="10" w16cid:durableId="350229811">
    <w:abstractNumId w:val="4"/>
  </w:num>
  <w:num w:numId="11" w16cid:durableId="2128309775">
    <w:abstractNumId w:val="18"/>
  </w:num>
  <w:num w:numId="12" w16cid:durableId="350029887">
    <w:abstractNumId w:val="14"/>
  </w:num>
  <w:num w:numId="13" w16cid:durableId="591670422">
    <w:abstractNumId w:val="10"/>
  </w:num>
  <w:num w:numId="14" w16cid:durableId="532691435">
    <w:abstractNumId w:val="3"/>
  </w:num>
  <w:num w:numId="15" w16cid:durableId="1268083021">
    <w:abstractNumId w:val="17"/>
  </w:num>
  <w:num w:numId="16" w16cid:durableId="1447193248">
    <w:abstractNumId w:val="9"/>
  </w:num>
  <w:num w:numId="17" w16cid:durableId="843742299">
    <w:abstractNumId w:val="13"/>
  </w:num>
  <w:num w:numId="18" w16cid:durableId="110824490">
    <w:abstractNumId w:val="2"/>
  </w:num>
  <w:num w:numId="19" w16cid:durableId="1376078544">
    <w:abstractNumId w:val="19"/>
  </w:num>
  <w:num w:numId="20" w16cid:durableId="888303389">
    <w:abstractNumId w:val="6"/>
  </w:num>
  <w:num w:numId="21" w16cid:durableId="1641256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1B1A"/>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05E8"/>
    <w:rsid w:val="000E5718"/>
    <w:rsid w:val="000F2747"/>
    <w:rsid w:val="000F2DCD"/>
    <w:rsid w:val="0010160E"/>
    <w:rsid w:val="00110EA9"/>
    <w:rsid w:val="00115146"/>
    <w:rsid w:val="00125B8F"/>
    <w:rsid w:val="00127B8C"/>
    <w:rsid w:val="00130820"/>
    <w:rsid w:val="0013642C"/>
    <w:rsid w:val="00140E84"/>
    <w:rsid w:val="0014571A"/>
    <w:rsid w:val="00157BEC"/>
    <w:rsid w:val="001669B3"/>
    <w:rsid w:val="00167C79"/>
    <w:rsid w:val="0017211F"/>
    <w:rsid w:val="00176B33"/>
    <w:rsid w:val="0018026F"/>
    <w:rsid w:val="001814AA"/>
    <w:rsid w:val="00185AF3"/>
    <w:rsid w:val="00187922"/>
    <w:rsid w:val="001C0F2F"/>
    <w:rsid w:val="001C15A0"/>
    <w:rsid w:val="001C75F5"/>
    <w:rsid w:val="001D095B"/>
    <w:rsid w:val="001D1DD3"/>
    <w:rsid w:val="001E4A2E"/>
    <w:rsid w:val="001E4ACD"/>
    <w:rsid w:val="001E51F3"/>
    <w:rsid w:val="001E52D3"/>
    <w:rsid w:val="001F0BB1"/>
    <w:rsid w:val="00205839"/>
    <w:rsid w:val="00205A73"/>
    <w:rsid w:val="00206DE4"/>
    <w:rsid w:val="00227FA8"/>
    <w:rsid w:val="002426D5"/>
    <w:rsid w:val="002503CD"/>
    <w:rsid w:val="002650CA"/>
    <w:rsid w:val="00273038"/>
    <w:rsid w:val="002A256B"/>
    <w:rsid w:val="002A579C"/>
    <w:rsid w:val="002E72CF"/>
    <w:rsid w:val="002F3187"/>
    <w:rsid w:val="002F43A5"/>
    <w:rsid w:val="003265E6"/>
    <w:rsid w:val="00350F8D"/>
    <w:rsid w:val="00361C3F"/>
    <w:rsid w:val="003656D1"/>
    <w:rsid w:val="00366128"/>
    <w:rsid w:val="00392E5A"/>
    <w:rsid w:val="003A3AED"/>
    <w:rsid w:val="003B13EB"/>
    <w:rsid w:val="003B34DD"/>
    <w:rsid w:val="003C3221"/>
    <w:rsid w:val="003C4071"/>
    <w:rsid w:val="003C6D94"/>
    <w:rsid w:val="003D2120"/>
    <w:rsid w:val="003E2ECA"/>
    <w:rsid w:val="003E49D7"/>
    <w:rsid w:val="003E7930"/>
    <w:rsid w:val="003F6F2B"/>
    <w:rsid w:val="004161D7"/>
    <w:rsid w:val="004257B8"/>
    <w:rsid w:val="0044570C"/>
    <w:rsid w:val="00446FEA"/>
    <w:rsid w:val="00450069"/>
    <w:rsid w:val="004623B5"/>
    <w:rsid w:val="004668D7"/>
    <w:rsid w:val="004808B7"/>
    <w:rsid w:val="0048549C"/>
    <w:rsid w:val="00490C16"/>
    <w:rsid w:val="004960D6"/>
    <w:rsid w:val="00496A8A"/>
    <w:rsid w:val="004A26D4"/>
    <w:rsid w:val="004A52B3"/>
    <w:rsid w:val="004B0E1D"/>
    <w:rsid w:val="004D5813"/>
    <w:rsid w:val="004D5DC8"/>
    <w:rsid w:val="004D5FF5"/>
    <w:rsid w:val="004E1626"/>
    <w:rsid w:val="004E2E37"/>
    <w:rsid w:val="00505045"/>
    <w:rsid w:val="005165E7"/>
    <w:rsid w:val="00524B78"/>
    <w:rsid w:val="005256A9"/>
    <w:rsid w:val="00526DDB"/>
    <w:rsid w:val="005338E6"/>
    <w:rsid w:val="00535548"/>
    <w:rsid w:val="00557B92"/>
    <w:rsid w:val="005849FA"/>
    <w:rsid w:val="005A2F06"/>
    <w:rsid w:val="005A48C2"/>
    <w:rsid w:val="005A59F3"/>
    <w:rsid w:val="005A7EC1"/>
    <w:rsid w:val="005B3887"/>
    <w:rsid w:val="005B73A4"/>
    <w:rsid w:val="005C1D19"/>
    <w:rsid w:val="005D1674"/>
    <w:rsid w:val="005D265F"/>
    <w:rsid w:val="005F294E"/>
    <w:rsid w:val="005F717A"/>
    <w:rsid w:val="00602299"/>
    <w:rsid w:val="006110CA"/>
    <w:rsid w:val="00617A82"/>
    <w:rsid w:val="00632466"/>
    <w:rsid w:val="00633CDF"/>
    <w:rsid w:val="006413AE"/>
    <w:rsid w:val="00654EC1"/>
    <w:rsid w:val="00662C8A"/>
    <w:rsid w:val="00666321"/>
    <w:rsid w:val="00690A1B"/>
    <w:rsid w:val="006918DA"/>
    <w:rsid w:val="006962A4"/>
    <w:rsid w:val="006A5E5C"/>
    <w:rsid w:val="006A6434"/>
    <w:rsid w:val="006B2ED8"/>
    <w:rsid w:val="006C11CA"/>
    <w:rsid w:val="006C74D5"/>
    <w:rsid w:val="006D7E62"/>
    <w:rsid w:val="006F51F4"/>
    <w:rsid w:val="00732B32"/>
    <w:rsid w:val="00756E86"/>
    <w:rsid w:val="00767719"/>
    <w:rsid w:val="00782966"/>
    <w:rsid w:val="0079243B"/>
    <w:rsid w:val="007936C8"/>
    <w:rsid w:val="00795F66"/>
    <w:rsid w:val="007B170D"/>
    <w:rsid w:val="007B6A96"/>
    <w:rsid w:val="007C0C41"/>
    <w:rsid w:val="007C7712"/>
    <w:rsid w:val="007D5C9A"/>
    <w:rsid w:val="007E75BA"/>
    <w:rsid w:val="007E79D6"/>
    <w:rsid w:val="007F4C35"/>
    <w:rsid w:val="007F6CE4"/>
    <w:rsid w:val="00814B7E"/>
    <w:rsid w:val="008174FD"/>
    <w:rsid w:val="00826BF1"/>
    <w:rsid w:val="00837A71"/>
    <w:rsid w:val="00855648"/>
    <w:rsid w:val="00861EE8"/>
    <w:rsid w:val="008675B9"/>
    <w:rsid w:val="008741D3"/>
    <w:rsid w:val="008754DA"/>
    <w:rsid w:val="00880D03"/>
    <w:rsid w:val="00887593"/>
    <w:rsid w:val="008A72D8"/>
    <w:rsid w:val="008A74F7"/>
    <w:rsid w:val="008B5B88"/>
    <w:rsid w:val="008C56E6"/>
    <w:rsid w:val="008C7F5F"/>
    <w:rsid w:val="008D1F25"/>
    <w:rsid w:val="0090504D"/>
    <w:rsid w:val="00905466"/>
    <w:rsid w:val="00911ACD"/>
    <w:rsid w:val="0091436C"/>
    <w:rsid w:val="0093005F"/>
    <w:rsid w:val="0093478F"/>
    <w:rsid w:val="0094277C"/>
    <w:rsid w:val="009446C5"/>
    <w:rsid w:val="0094642D"/>
    <w:rsid w:val="00971033"/>
    <w:rsid w:val="009733A8"/>
    <w:rsid w:val="00982822"/>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AF62CA"/>
    <w:rsid w:val="00B0156E"/>
    <w:rsid w:val="00B07F98"/>
    <w:rsid w:val="00B127F4"/>
    <w:rsid w:val="00B17F4E"/>
    <w:rsid w:val="00B21E66"/>
    <w:rsid w:val="00B60F30"/>
    <w:rsid w:val="00B71A47"/>
    <w:rsid w:val="00B76621"/>
    <w:rsid w:val="00B81F2C"/>
    <w:rsid w:val="00B82E3B"/>
    <w:rsid w:val="00BA6D24"/>
    <w:rsid w:val="00BC087A"/>
    <w:rsid w:val="00BC37A0"/>
    <w:rsid w:val="00BD0DF3"/>
    <w:rsid w:val="00BE5B25"/>
    <w:rsid w:val="00C02C03"/>
    <w:rsid w:val="00C06965"/>
    <w:rsid w:val="00C13545"/>
    <w:rsid w:val="00C1473A"/>
    <w:rsid w:val="00C20B7A"/>
    <w:rsid w:val="00C35F1D"/>
    <w:rsid w:val="00C378A3"/>
    <w:rsid w:val="00C43197"/>
    <w:rsid w:val="00C556D7"/>
    <w:rsid w:val="00C56420"/>
    <w:rsid w:val="00C5653F"/>
    <w:rsid w:val="00C67369"/>
    <w:rsid w:val="00C80495"/>
    <w:rsid w:val="00C8572B"/>
    <w:rsid w:val="00C87AD7"/>
    <w:rsid w:val="00C87DAA"/>
    <w:rsid w:val="00C9394F"/>
    <w:rsid w:val="00CA0B60"/>
    <w:rsid w:val="00CA6977"/>
    <w:rsid w:val="00CB515A"/>
    <w:rsid w:val="00CD7165"/>
    <w:rsid w:val="00CE4576"/>
    <w:rsid w:val="00CE4A54"/>
    <w:rsid w:val="00CE5A19"/>
    <w:rsid w:val="00D25854"/>
    <w:rsid w:val="00D3084A"/>
    <w:rsid w:val="00D451A8"/>
    <w:rsid w:val="00D65D0B"/>
    <w:rsid w:val="00D74DDA"/>
    <w:rsid w:val="00DA0CF2"/>
    <w:rsid w:val="00DA52F4"/>
    <w:rsid w:val="00DD6B36"/>
    <w:rsid w:val="00DD7C7C"/>
    <w:rsid w:val="00DE5016"/>
    <w:rsid w:val="00DE68FE"/>
    <w:rsid w:val="00DF201E"/>
    <w:rsid w:val="00DF317B"/>
    <w:rsid w:val="00DF6FFA"/>
    <w:rsid w:val="00E03AB8"/>
    <w:rsid w:val="00E058D9"/>
    <w:rsid w:val="00E1112A"/>
    <w:rsid w:val="00E25368"/>
    <w:rsid w:val="00E26448"/>
    <w:rsid w:val="00E26687"/>
    <w:rsid w:val="00E34078"/>
    <w:rsid w:val="00E35FB6"/>
    <w:rsid w:val="00E5720C"/>
    <w:rsid w:val="00E71348"/>
    <w:rsid w:val="00E73492"/>
    <w:rsid w:val="00E770D5"/>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B2F5C"/>
    <w:rsid w:val="00FC7701"/>
    <w:rsid w:val="00FD3372"/>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unhideWhenUsed/>
    <w:rsid w:val="00490C1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UnresolvedMention">
    <w:name w:val="Unresolved Mention"/>
    <w:basedOn w:val="DefaultParagraphFont"/>
    <w:uiPriority w:val="99"/>
    <w:semiHidden/>
    <w:unhideWhenUsed/>
    <w:rsid w:val="009828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876561">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linejournal.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55041/ijsrem3432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1340</Words>
  <Characters>8134</Characters>
  <Application>Microsoft Office Word</Application>
  <DocSecurity>0</DocSecurity>
  <Lines>198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AMAL PRASAD</cp:lastModifiedBy>
  <cp:revision>3</cp:revision>
  <cp:lastPrinted>2025-03-19T10:17:00Z</cp:lastPrinted>
  <dcterms:created xsi:type="dcterms:W3CDTF">2025-03-19T10:17:00Z</dcterms:created>
  <dcterms:modified xsi:type="dcterms:W3CDTF">2025-03-19T14:15:00Z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195e32e7e98e10259fbaeac2eda23f2b79316a7789c5b4269abb8fcfbb939f6c</vt:lpwstr>
  </property>
</Properties>
</file>