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7F65" w14:textId="464AE4F1" w:rsidR="00CC5270" w:rsidRPr="00E014BE" w:rsidRDefault="008243FB" w:rsidP="00E014BE">
      <w:pPr>
        <w:tabs>
          <w:tab w:val="left" w:pos="8460"/>
          <w:tab w:val="left" w:pos="9356"/>
        </w:tabs>
        <w:spacing w:line="360" w:lineRule="auto"/>
        <w:jc w:val="center"/>
        <w:rPr>
          <w:rFonts w:ascii="Times New Roman" w:hAnsi="Times New Roman" w:cs="Times New Roman"/>
          <w:b/>
          <w:bCs/>
          <w:sz w:val="28"/>
          <w:szCs w:val="28"/>
        </w:rPr>
      </w:pPr>
      <w:r w:rsidRPr="00E014BE">
        <w:rPr>
          <w:rFonts w:ascii="Times New Roman" w:hAnsi="Times New Roman" w:cs="Times New Roman"/>
          <w:b/>
          <w:bCs/>
          <w:sz w:val="28"/>
          <w:szCs w:val="28"/>
        </w:rPr>
        <w:t xml:space="preserve">A </w:t>
      </w:r>
      <w:r w:rsidR="00E014BE" w:rsidRPr="00E014BE">
        <w:rPr>
          <w:rFonts w:ascii="Times New Roman" w:hAnsi="Times New Roman" w:cs="Times New Roman"/>
          <w:b/>
          <w:bCs/>
          <w:sz w:val="28"/>
          <w:szCs w:val="28"/>
        </w:rPr>
        <w:t xml:space="preserve">study of customer awareness on green </w:t>
      </w:r>
      <w:r w:rsidR="005D5992">
        <w:rPr>
          <w:rFonts w:ascii="Times New Roman" w:hAnsi="Times New Roman" w:cs="Times New Roman"/>
          <w:b/>
          <w:bCs/>
          <w:sz w:val="28"/>
          <w:szCs w:val="28"/>
        </w:rPr>
        <w:t>capital</w:t>
      </w:r>
      <w:r w:rsidR="00E45C17">
        <w:rPr>
          <w:rFonts w:ascii="Times New Roman" w:hAnsi="Times New Roman" w:cs="Times New Roman"/>
          <w:b/>
          <w:bCs/>
          <w:sz w:val="28"/>
          <w:szCs w:val="28"/>
        </w:rPr>
        <w:t xml:space="preserve"> </w:t>
      </w:r>
      <w:r w:rsidR="006777D1">
        <w:rPr>
          <w:rFonts w:ascii="Times New Roman" w:hAnsi="Times New Roman" w:cs="Times New Roman"/>
          <w:b/>
          <w:bCs/>
          <w:sz w:val="28"/>
          <w:szCs w:val="28"/>
        </w:rPr>
        <w:t>as a sustainable energy</w:t>
      </w:r>
      <w:r w:rsidR="001234F5">
        <w:rPr>
          <w:rFonts w:ascii="Times New Roman" w:hAnsi="Times New Roman" w:cs="Times New Roman"/>
          <w:b/>
          <w:bCs/>
          <w:sz w:val="28"/>
          <w:szCs w:val="28"/>
        </w:rPr>
        <w:t xml:space="preserve"> with a special reference to selected private sector banks.</w:t>
      </w:r>
    </w:p>
    <w:p w14:paraId="3F2DD010" w14:textId="213DB056" w:rsidR="00EC20A2" w:rsidRPr="00FB741D" w:rsidRDefault="008243FB" w:rsidP="00FC6121">
      <w:pPr>
        <w:spacing w:line="360" w:lineRule="auto"/>
        <w:jc w:val="center"/>
        <w:rPr>
          <w:rFonts w:ascii="Times New Roman" w:hAnsi="Times New Roman" w:cs="Times New Roman"/>
          <w:b/>
        </w:rPr>
      </w:pPr>
      <w:r w:rsidRPr="00FB741D">
        <w:rPr>
          <w:rFonts w:ascii="Times New Roman" w:hAnsi="Times New Roman" w:cs="Times New Roman"/>
          <w:b/>
        </w:rPr>
        <w:t xml:space="preserve">Author: </w:t>
      </w:r>
      <w:r w:rsidR="00CC5270">
        <w:rPr>
          <w:rFonts w:ascii="Times New Roman" w:hAnsi="Times New Roman" w:cs="Times New Roman"/>
          <w:b/>
        </w:rPr>
        <w:t>Vidya Sasikumar Nair</w:t>
      </w:r>
      <w:r w:rsidRPr="00FB741D">
        <w:rPr>
          <w:rFonts w:ascii="Times New Roman" w:hAnsi="Times New Roman" w:cs="Times New Roman"/>
          <w:b/>
        </w:rPr>
        <w:t>,</w:t>
      </w:r>
      <w:r w:rsidR="00CC5270">
        <w:rPr>
          <w:rFonts w:ascii="Times New Roman" w:hAnsi="Times New Roman" w:cs="Times New Roman"/>
          <w:b/>
        </w:rPr>
        <w:t xml:space="preserve"> </w:t>
      </w:r>
      <w:r w:rsidRPr="00FB741D">
        <w:rPr>
          <w:rFonts w:ascii="Times New Roman" w:hAnsi="Times New Roman" w:cs="Times New Roman"/>
          <w:b/>
        </w:rPr>
        <w:t>23MCOM</w:t>
      </w:r>
      <w:r w:rsidR="00CC5270">
        <w:rPr>
          <w:rFonts w:ascii="Times New Roman" w:hAnsi="Times New Roman" w:cs="Times New Roman"/>
          <w:b/>
        </w:rPr>
        <w:t>49</w:t>
      </w:r>
      <w:r w:rsidRPr="00FB741D">
        <w:rPr>
          <w:rFonts w:ascii="Times New Roman" w:hAnsi="Times New Roman" w:cs="Times New Roman"/>
          <w:b/>
        </w:rPr>
        <w:t xml:space="preserve">, </w:t>
      </w:r>
      <w:r w:rsidR="00CC5270" w:rsidRPr="00FB741D">
        <w:rPr>
          <w:rFonts w:ascii="Times New Roman" w:hAnsi="Times New Roman" w:cs="Times New Roman"/>
          <w:b/>
        </w:rPr>
        <w:t>M.Com</w:t>
      </w:r>
      <w:r w:rsidRPr="00FB741D">
        <w:rPr>
          <w:rFonts w:ascii="Times New Roman" w:hAnsi="Times New Roman" w:cs="Times New Roman"/>
          <w:b/>
        </w:rPr>
        <w:t xml:space="preserve"> Student,</w:t>
      </w:r>
    </w:p>
    <w:p w14:paraId="417D0CE5" w14:textId="03479AB9" w:rsidR="00CC5270" w:rsidRDefault="008243FB" w:rsidP="00CC5270">
      <w:pPr>
        <w:spacing w:line="360" w:lineRule="auto"/>
        <w:jc w:val="center"/>
        <w:rPr>
          <w:rFonts w:ascii="Times New Roman" w:hAnsi="Times New Roman" w:cs="Times New Roman"/>
          <w:b/>
        </w:rPr>
      </w:pPr>
      <w:r w:rsidRPr="00FB741D">
        <w:rPr>
          <w:rFonts w:ascii="Times New Roman" w:hAnsi="Times New Roman" w:cs="Times New Roman"/>
          <w:b/>
        </w:rPr>
        <w:t xml:space="preserve">Kristu Jayanti College: </w:t>
      </w:r>
      <w:hyperlink r:id="rId8" w:history="1">
        <w:r w:rsidR="00CC5270" w:rsidRPr="00632B1B">
          <w:rPr>
            <w:rStyle w:val="Hyperlink"/>
            <w:rFonts w:ascii="Times New Roman" w:hAnsi="Times New Roman" w:cs="Times New Roman"/>
            <w:b/>
          </w:rPr>
          <w:t>nairvidu26@gmail.com</w:t>
        </w:r>
      </w:hyperlink>
    </w:p>
    <w:p w14:paraId="52133A02" w14:textId="1260D159" w:rsidR="008243FB" w:rsidRPr="00FB741D" w:rsidRDefault="008243FB" w:rsidP="00FC6121">
      <w:pPr>
        <w:spacing w:line="360" w:lineRule="auto"/>
        <w:jc w:val="center"/>
        <w:rPr>
          <w:rFonts w:ascii="Times New Roman" w:hAnsi="Times New Roman" w:cs="Times New Roman"/>
          <w:b/>
        </w:rPr>
      </w:pPr>
      <w:r w:rsidRPr="00FB741D">
        <w:rPr>
          <w:rFonts w:ascii="Times New Roman" w:hAnsi="Times New Roman" w:cs="Times New Roman"/>
          <w:b/>
        </w:rPr>
        <w:t>Co-Author: Dr</w:t>
      </w:r>
      <w:r w:rsidR="00CC5270">
        <w:rPr>
          <w:rFonts w:ascii="Times New Roman" w:hAnsi="Times New Roman" w:cs="Times New Roman"/>
          <w:b/>
        </w:rPr>
        <w:t>.</w:t>
      </w:r>
      <w:r w:rsidRPr="00FB741D">
        <w:rPr>
          <w:rFonts w:ascii="Times New Roman" w:hAnsi="Times New Roman" w:cs="Times New Roman"/>
          <w:b/>
        </w:rPr>
        <w:t xml:space="preserve"> </w:t>
      </w:r>
      <w:r w:rsidR="00CC5270">
        <w:rPr>
          <w:rFonts w:ascii="Times New Roman" w:hAnsi="Times New Roman" w:cs="Times New Roman"/>
          <w:b/>
        </w:rPr>
        <w:t>Madhu Druvakumar</w:t>
      </w:r>
      <w:r w:rsidRPr="00FB741D">
        <w:rPr>
          <w:rFonts w:ascii="Times New Roman" w:hAnsi="Times New Roman" w:cs="Times New Roman"/>
          <w:b/>
        </w:rPr>
        <w:t xml:space="preserve">, </w:t>
      </w:r>
      <w:r w:rsidR="00CC5270">
        <w:rPr>
          <w:rFonts w:ascii="Times New Roman" w:hAnsi="Times New Roman" w:cs="Times New Roman"/>
          <w:b/>
        </w:rPr>
        <w:t>Head of</w:t>
      </w:r>
      <w:r w:rsidRPr="00FB741D">
        <w:rPr>
          <w:rFonts w:ascii="Times New Roman" w:hAnsi="Times New Roman" w:cs="Times New Roman"/>
          <w:b/>
        </w:rPr>
        <w:t xml:space="preserve"> Department of Commerce PG,</w:t>
      </w:r>
    </w:p>
    <w:p w14:paraId="46A54F58" w14:textId="193F197D" w:rsidR="008243FB" w:rsidRDefault="008243FB" w:rsidP="00FC6121">
      <w:pPr>
        <w:spacing w:line="360" w:lineRule="auto"/>
        <w:jc w:val="center"/>
        <w:rPr>
          <w:rFonts w:ascii="Times New Roman" w:hAnsi="Times New Roman" w:cs="Times New Roman"/>
          <w:b/>
        </w:rPr>
      </w:pPr>
      <w:r w:rsidRPr="00FB741D">
        <w:rPr>
          <w:rFonts w:ascii="Times New Roman" w:hAnsi="Times New Roman" w:cs="Times New Roman"/>
          <w:b/>
        </w:rPr>
        <w:t xml:space="preserve">Kristu Jayanti College: </w:t>
      </w:r>
      <w:hyperlink r:id="rId9" w:history="1">
        <w:r w:rsidR="00CC5270" w:rsidRPr="00632B1B">
          <w:rPr>
            <w:rStyle w:val="Hyperlink"/>
            <w:rFonts w:ascii="Times New Roman" w:hAnsi="Times New Roman" w:cs="Times New Roman"/>
            <w:b/>
          </w:rPr>
          <w:t>madhumalathi@kristujayanti.com</w:t>
        </w:r>
      </w:hyperlink>
    </w:p>
    <w:p w14:paraId="4EE1BD08" w14:textId="77777777" w:rsidR="00FC6121" w:rsidRDefault="00FC6121" w:rsidP="00FC6121">
      <w:pPr>
        <w:spacing w:line="360" w:lineRule="auto"/>
        <w:jc w:val="center"/>
        <w:rPr>
          <w:rFonts w:ascii="Times New Roman" w:hAnsi="Times New Roman" w:cs="Times New Roman"/>
          <w:b/>
        </w:rPr>
      </w:pPr>
      <w:r w:rsidRPr="00FB741D">
        <w:rPr>
          <w:rFonts w:ascii="Times New Roman" w:hAnsi="Times New Roman" w:cs="Times New Roman"/>
          <w:b/>
        </w:rPr>
        <w:t>Kristu Jayanti College</w:t>
      </w:r>
      <w:r>
        <w:rPr>
          <w:rFonts w:ascii="Times New Roman" w:hAnsi="Times New Roman" w:cs="Times New Roman"/>
          <w:b/>
        </w:rPr>
        <w:t xml:space="preserve"> (Autonomous), Bangalore – 560077.</w:t>
      </w:r>
    </w:p>
    <w:p w14:paraId="451DC27C" w14:textId="77777777" w:rsidR="00FB741D" w:rsidRDefault="00FB741D">
      <w:pPr>
        <w:rPr>
          <w:rFonts w:ascii="Times New Roman" w:hAnsi="Times New Roman" w:cs="Times New Roman"/>
        </w:rPr>
      </w:pPr>
    </w:p>
    <w:p w14:paraId="21BADC13" w14:textId="77777777" w:rsidR="00FB741D" w:rsidRDefault="00FB741D">
      <w:pPr>
        <w:rPr>
          <w:rFonts w:ascii="Times New Roman" w:hAnsi="Times New Roman" w:cs="Times New Roman"/>
          <w:b/>
        </w:rPr>
      </w:pPr>
      <w:r w:rsidRPr="00FB741D">
        <w:rPr>
          <w:rFonts w:ascii="Times New Roman" w:hAnsi="Times New Roman" w:cs="Times New Roman"/>
          <w:b/>
        </w:rPr>
        <w:t>I. Abstract</w:t>
      </w:r>
    </w:p>
    <w:p w14:paraId="3FC76771" w14:textId="233600C9" w:rsidR="009356F5" w:rsidRPr="009356F5" w:rsidRDefault="009356F5" w:rsidP="009356F5">
      <w:pPr>
        <w:spacing w:line="360" w:lineRule="auto"/>
        <w:jc w:val="both"/>
        <w:rPr>
          <w:rFonts w:ascii="Times New Roman" w:hAnsi="Times New Roman" w:cs="Times New Roman"/>
          <w:bCs/>
        </w:rPr>
      </w:pPr>
      <w:r w:rsidRPr="009356F5">
        <w:rPr>
          <w:rFonts w:ascii="Times New Roman" w:hAnsi="Times New Roman" w:cs="Times New Roman"/>
          <w:bCs/>
        </w:rPr>
        <w:t>Th</w:t>
      </w:r>
      <w:r w:rsidR="005A7B20">
        <w:rPr>
          <w:rFonts w:ascii="Times New Roman" w:hAnsi="Times New Roman" w:cs="Times New Roman"/>
          <w:bCs/>
        </w:rPr>
        <w:t>is</w:t>
      </w:r>
      <w:r w:rsidRPr="009356F5">
        <w:rPr>
          <w:rFonts w:ascii="Times New Roman" w:hAnsi="Times New Roman" w:cs="Times New Roman"/>
          <w:bCs/>
        </w:rPr>
        <w:t xml:space="preserve"> </w:t>
      </w:r>
      <w:r>
        <w:rPr>
          <w:rFonts w:ascii="Times New Roman" w:hAnsi="Times New Roman" w:cs="Times New Roman"/>
          <w:bCs/>
        </w:rPr>
        <w:t xml:space="preserve">study </w:t>
      </w:r>
      <w:r w:rsidRPr="009356F5">
        <w:rPr>
          <w:rFonts w:ascii="Times New Roman" w:hAnsi="Times New Roman" w:cs="Times New Roman"/>
          <w:bCs/>
        </w:rPr>
        <w:t xml:space="preserve">seeks to evaluate the green </w:t>
      </w:r>
      <w:r w:rsidR="005A7B20">
        <w:rPr>
          <w:rFonts w:ascii="Times New Roman" w:hAnsi="Times New Roman" w:cs="Times New Roman"/>
          <w:bCs/>
        </w:rPr>
        <w:t xml:space="preserve">capital </w:t>
      </w:r>
      <w:r w:rsidRPr="009356F5">
        <w:rPr>
          <w:rFonts w:ascii="Times New Roman" w:hAnsi="Times New Roman" w:cs="Times New Roman"/>
          <w:bCs/>
        </w:rPr>
        <w:t>advancement roles played by selected private sector banks operating in India</w:t>
      </w:r>
      <w:r w:rsidR="005A7B20">
        <w:rPr>
          <w:rFonts w:ascii="Times New Roman" w:hAnsi="Times New Roman" w:cs="Times New Roman"/>
          <w:bCs/>
        </w:rPr>
        <w:t xml:space="preserve"> and also this</w:t>
      </w:r>
      <w:r w:rsidRPr="009356F5">
        <w:rPr>
          <w:rFonts w:ascii="Times New Roman" w:hAnsi="Times New Roman" w:cs="Times New Roman"/>
          <w:bCs/>
        </w:rPr>
        <w:t xml:space="preserve"> study evaluates private sector banks through their investment behavior along with their lending approaches and financial policies which drive sustainability standards.</w:t>
      </w:r>
      <w:r w:rsidR="005A7B20">
        <w:rPr>
          <w:rFonts w:ascii="Times New Roman" w:hAnsi="Times New Roman" w:cs="Times New Roman"/>
          <w:bCs/>
        </w:rPr>
        <w:t xml:space="preserve"> It</w:t>
      </w:r>
      <w:r w:rsidRPr="009356F5">
        <w:rPr>
          <w:rFonts w:ascii="Times New Roman" w:hAnsi="Times New Roman" w:cs="Times New Roman"/>
          <w:bCs/>
        </w:rPr>
        <w:t xml:space="preserve"> analyzes</w:t>
      </w:r>
      <w:r w:rsidR="005A7B20">
        <w:rPr>
          <w:rFonts w:ascii="Times New Roman" w:hAnsi="Times New Roman" w:cs="Times New Roman"/>
          <w:bCs/>
        </w:rPr>
        <w:t xml:space="preserve"> the</w:t>
      </w:r>
      <w:r w:rsidRPr="009356F5">
        <w:rPr>
          <w:rFonts w:ascii="Times New Roman" w:hAnsi="Times New Roman" w:cs="Times New Roman"/>
          <w:bCs/>
        </w:rPr>
        <w:t xml:space="preserve"> green lending methods because it seeks to determine how banks integrate environmental aspects into their financing strategies.</w:t>
      </w:r>
      <w:r w:rsidR="005A7B20">
        <w:rPr>
          <w:rFonts w:ascii="Times New Roman" w:hAnsi="Times New Roman" w:cs="Times New Roman"/>
          <w:bCs/>
        </w:rPr>
        <w:t xml:space="preserve"> </w:t>
      </w:r>
      <w:r w:rsidRPr="009356F5">
        <w:rPr>
          <w:rFonts w:ascii="Times New Roman" w:hAnsi="Times New Roman" w:cs="Times New Roman"/>
          <w:bCs/>
        </w:rPr>
        <w:t>Green finance transparency together with efficiency and accountability improve markedly through the implementation of blockchain and digital platform technologies</w:t>
      </w:r>
      <w:r w:rsidR="005A7B20">
        <w:rPr>
          <w:rFonts w:ascii="Times New Roman" w:hAnsi="Times New Roman" w:cs="Times New Roman"/>
          <w:bCs/>
        </w:rPr>
        <w:t>.</w:t>
      </w:r>
      <w:r w:rsidRPr="009356F5">
        <w:rPr>
          <w:rFonts w:ascii="Times New Roman" w:hAnsi="Times New Roman" w:cs="Times New Roman"/>
          <w:bCs/>
        </w:rPr>
        <w:t xml:space="preserve"> The implementation of these technologies enables users to monitor the environmental effect of their investments in addition to providing better stakeholder involvement capabilities.</w:t>
      </w:r>
    </w:p>
    <w:p w14:paraId="56D942CD" w14:textId="6A276956" w:rsidR="00FC6121" w:rsidRPr="005A7B20" w:rsidRDefault="00FC6121" w:rsidP="009356F5">
      <w:pPr>
        <w:spacing w:line="360" w:lineRule="auto"/>
        <w:jc w:val="both"/>
        <w:rPr>
          <w:rFonts w:ascii="Times New Roman" w:hAnsi="Times New Roman" w:cs="Times New Roman"/>
          <w:bCs/>
        </w:rPr>
      </w:pPr>
      <w:r>
        <w:rPr>
          <w:rFonts w:ascii="Times New Roman" w:hAnsi="Times New Roman" w:cs="Times New Roman"/>
          <w:b/>
        </w:rPr>
        <w:t xml:space="preserve">Keywords: </w:t>
      </w:r>
      <w:r w:rsidR="005A7B20" w:rsidRPr="005A7B20">
        <w:rPr>
          <w:rFonts w:ascii="Times New Roman" w:hAnsi="Times New Roman" w:cs="Times New Roman"/>
          <w:bCs/>
        </w:rPr>
        <w:t>Green Capital, Sustainable Finance, Private Sector Banks, Regulatory Framework</w:t>
      </w:r>
    </w:p>
    <w:p w14:paraId="67E48D5C" w14:textId="77777777" w:rsidR="00B8645D" w:rsidRDefault="00B8645D" w:rsidP="00FC6121">
      <w:pPr>
        <w:spacing w:line="360" w:lineRule="auto"/>
        <w:rPr>
          <w:rFonts w:ascii="Times New Roman" w:hAnsi="Times New Roman" w:cs="Times New Roman"/>
          <w:b/>
        </w:rPr>
      </w:pPr>
      <w:r>
        <w:rPr>
          <w:rFonts w:ascii="Times New Roman" w:hAnsi="Times New Roman" w:cs="Times New Roman"/>
          <w:b/>
        </w:rPr>
        <w:t>II. Introduction</w:t>
      </w:r>
    </w:p>
    <w:p w14:paraId="0CDB3AE4" w14:textId="77777777" w:rsidR="00792EE1" w:rsidRDefault="00053242" w:rsidP="00053242">
      <w:pPr>
        <w:tabs>
          <w:tab w:val="left" w:pos="8647"/>
        </w:tabs>
        <w:spacing w:line="360" w:lineRule="auto"/>
        <w:ind w:right="4"/>
        <w:jc w:val="both"/>
      </w:pPr>
      <w:r w:rsidRPr="00053242">
        <w:t>Green capital refers to financial assets or investments directed toward projects and technologies that contribute to environmental sustainability. This can include renewable energy projects such as solar, wind, and hydropower; energy efficiency initiatives; carbon reduction and offset schemes; and investments in sustainable agriculture or waste management. The goal of green capital is to align financial practices with environmental objectives, providing the necessary funding to accelerate the transition to a more sustainable and resilient economy.</w:t>
      </w:r>
      <w:r>
        <w:t xml:space="preserve"> </w:t>
      </w:r>
      <w:r w:rsidRPr="00213CE2">
        <w:t>The rise of green finance has been driven by both regulatory pressures and market demand. International</w:t>
      </w:r>
    </w:p>
    <w:p w14:paraId="1C78874B" w14:textId="58CEB3F9" w:rsidR="00053242" w:rsidRPr="00213CE2" w:rsidRDefault="00053242" w:rsidP="00053242">
      <w:pPr>
        <w:tabs>
          <w:tab w:val="left" w:pos="8647"/>
        </w:tabs>
        <w:spacing w:line="360" w:lineRule="auto"/>
        <w:ind w:right="4"/>
        <w:jc w:val="both"/>
      </w:pPr>
      <w:r w:rsidRPr="00213CE2">
        <w:lastRenderedPageBreak/>
        <w:t xml:space="preserve">agreements such as the Paris Agreement have placed stringent obligations on countries to reduce their carbon footprints, and financial institutions are increasingly being seen as key players in the effort to meet these targets. In addition, there is growing recognition that investments in unsustainable industries pose long-term financial risks due to regulatory changes, resource depletion, and shifting consumer preferences. As a result, banks are increasingly seeking ways to integrate green finance into their operations to reduce these risks while tapping into new growth opportunities presented by the renewable energy sector.  </w:t>
      </w:r>
    </w:p>
    <w:p w14:paraId="7F5EDBFF" w14:textId="77777777" w:rsidR="00E53C16" w:rsidRDefault="00E53C16" w:rsidP="00E53C16">
      <w:pPr>
        <w:spacing w:line="360" w:lineRule="auto"/>
        <w:jc w:val="both"/>
        <w:rPr>
          <w:rFonts w:ascii="Times New Roman" w:hAnsi="Times New Roman" w:cs="Times New Roman"/>
          <w:b/>
        </w:rPr>
      </w:pPr>
      <w:r>
        <w:rPr>
          <w:rFonts w:ascii="Times New Roman" w:hAnsi="Times New Roman" w:cs="Times New Roman"/>
          <w:b/>
        </w:rPr>
        <w:t>III. Review of L</w:t>
      </w:r>
      <w:r w:rsidRPr="00E53C16">
        <w:rPr>
          <w:rFonts w:ascii="Times New Roman" w:hAnsi="Times New Roman" w:cs="Times New Roman"/>
          <w:b/>
        </w:rPr>
        <w:t>iterature</w:t>
      </w:r>
    </w:p>
    <w:p w14:paraId="7C373F59" w14:textId="2B9480B2" w:rsidR="00053242" w:rsidRPr="008B01A3" w:rsidRDefault="00053242" w:rsidP="00053242">
      <w:pPr>
        <w:tabs>
          <w:tab w:val="left" w:pos="2430"/>
        </w:tabs>
        <w:spacing w:line="360" w:lineRule="auto"/>
        <w:jc w:val="both"/>
        <w:rPr>
          <w:rFonts w:ascii="Times New Roman" w:hAnsi="Times New Roman" w:cs="Times New Roman"/>
        </w:rPr>
      </w:pPr>
      <w:r w:rsidRPr="00053242">
        <w:rPr>
          <w:rFonts w:ascii="Times New Roman" w:hAnsi="Times New Roman" w:cs="Times New Roman"/>
        </w:rPr>
        <w:t>Varsha Gupta and Sanjeev Chaddha’s (2023)</w:t>
      </w:r>
      <w:r w:rsidRPr="008B01A3">
        <w:rPr>
          <w:rFonts w:ascii="Times New Roman" w:hAnsi="Times New Roman" w:cs="Times New Roman"/>
        </w:rPr>
        <w:t xml:space="preserve"> study, India requires green funding now more than ever to combat climate change. Studies prove how big capital investments are necessary for decarboni</w:t>
      </w:r>
      <w:r>
        <w:rPr>
          <w:rFonts w:ascii="Times New Roman" w:hAnsi="Times New Roman" w:cs="Times New Roman"/>
        </w:rPr>
        <w:t>z</w:t>
      </w:r>
      <w:r w:rsidRPr="008B01A3">
        <w:rPr>
          <w:rFonts w:ascii="Times New Roman" w:hAnsi="Times New Roman" w:cs="Times New Roman"/>
        </w:rPr>
        <w:t xml:space="preserve">ation and renewable energy undertakings, the challenges and gaps in getting to net-zero, and the necessity of innovative funding models. </w:t>
      </w:r>
    </w:p>
    <w:p w14:paraId="5EF789A0" w14:textId="77777777" w:rsidR="00053242" w:rsidRDefault="00053242" w:rsidP="00053242">
      <w:pPr>
        <w:tabs>
          <w:tab w:val="left" w:pos="2430"/>
        </w:tabs>
        <w:spacing w:line="360" w:lineRule="auto"/>
        <w:jc w:val="both"/>
        <w:rPr>
          <w:rFonts w:ascii="Times New Roman" w:hAnsi="Times New Roman" w:cs="Times New Roman"/>
        </w:rPr>
      </w:pPr>
      <w:r w:rsidRPr="00053242">
        <w:rPr>
          <w:rFonts w:ascii="Times New Roman" w:hAnsi="Times New Roman" w:cs="Times New Roman"/>
        </w:rPr>
        <w:t>Tiwari Sadhana (2023)</w:t>
      </w:r>
      <w:r w:rsidRPr="008B01A3">
        <w:rPr>
          <w:rFonts w:ascii="Times New Roman" w:hAnsi="Times New Roman" w:cs="Times New Roman"/>
        </w:rPr>
        <w:t xml:space="preserve"> explain that green bonds are society’s most important financial instrument to finance sustainable activities, fight global warming, and preserve the environment. More Investors are seeking out socially responsible fixed income and this only underlines the need to provide more space and inclusion for GREEN BONDS in Indian and global markets.</w:t>
      </w:r>
    </w:p>
    <w:p w14:paraId="03144A5A" w14:textId="77777777" w:rsidR="003D2F35" w:rsidRDefault="003D2F35" w:rsidP="003D2F35">
      <w:pPr>
        <w:tabs>
          <w:tab w:val="left" w:pos="2430"/>
        </w:tabs>
        <w:spacing w:line="360" w:lineRule="auto"/>
        <w:jc w:val="both"/>
        <w:rPr>
          <w:rFonts w:ascii="Times New Roman" w:hAnsi="Times New Roman" w:cs="Times New Roman"/>
        </w:rPr>
      </w:pPr>
      <w:r w:rsidRPr="003D2F35">
        <w:rPr>
          <w:rFonts w:ascii="Times New Roman" w:hAnsi="Times New Roman" w:cs="Times New Roman"/>
        </w:rPr>
        <w:t xml:space="preserve">Dr. G. Nedumaran &amp; Akhila K.H. (2023) </w:t>
      </w:r>
      <w:r w:rsidRPr="008B01A3">
        <w:rPr>
          <w:rFonts w:ascii="Times New Roman" w:hAnsi="Times New Roman" w:cs="Times New Roman"/>
        </w:rPr>
        <w:t>In this article, the authors stress the importance of green banking in reduction of carbon emissions and sustainable development of environmentally friendly businesses as a middle link. It shows how important government involvement is, and offers a guideline for how banks can effectively implement sustainable green banking business models.</w:t>
      </w:r>
    </w:p>
    <w:p w14:paraId="7131851E" w14:textId="77777777" w:rsidR="003D2F35" w:rsidRPr="008B01A3" w:rsidRDefault="003D2F35" w:rsidP="003D2F35">
      <w:pPr>
        <w:tabs>
          <w:tab w:val="left" w:pos="2430"/>
        </w:tabs>
        <w:spacing w:line="360" w:lineRule="auto"/>
        <w:jc w:val="both"/>
        <w:rPr>
          <w:rFonts w:ascii="Times New Roman" w:hAnsi="Times New Roman" w:cs="Times New Roman"/>
        </w:rPr>
      </w:pPr>
      <w:r w:rsidRPr="003D2F35">
        <w:rPr>
          <w:rFonts w:ascii="Times New Roman" w:hAnsi="Times New Roman" w:cs="Times New Roman"/>
        </w:rPr>
        <w:t>Manoj Kumar Sahoo, M.D. (2023</w:t>
      </w:r>
      <w:r w:rsidRPr="001E55EF">
        <w:rPr>
          <w:rFonts w:ascii="Times New Roman" w:hAnsi="Times New Roman" w:cs="Times New Roman"/>
          <w:b/>
          <w:bCs/>
        </w:rPr>
        <w:t>)</w:t>
      </w:r>
      <w:r w:rsidRPr="008B01A3">
        <w:rPr>
          <w:rFonts w:ascii="Times New Roman" w:hAnsi="Times New Roman" w:cs="Times New Roman"/>
        </w:rPr>
        <w:t xml:space="preserve"> This paper aims t</w:t>
      </w:r>
      <w:r>
        <w:rPr>
          <w:rFonts w:ascii="Times New Roman" w:hAnsi="Times New Roman" w:cs="Times New Roman"/>
        </w:rPr>
        <w:t>o</w:t>
      </w:r>
      <w:r w:rsidRPr="008B01A3">
        <w:rPr>
          <w:rFonts w:ascii="Times New Roman" w:hAnsi="Times New Roman" w:cs="Times New Roman"/>
        </w:rPr>
        <w:t xml:space="preserve"> analy</w:t>
      </w:r>
      <w:r>
        <w:rPr>
          <w:rFonts w:ascii="Times New Roman" w:hAnsi="Times New Roman" w:cs="Times New Roman"/>
        </w:rPr>
        <w:t>z</w:t>
      </w:r>
      <w:r w:rsidRPr="008B01A3">
        <w:rPr>
          <w:rFonts w:ascii="Times New Roman" w:hAnsi="Times New Roman" w:cs="Times New Roman"/>
        </w:rPr>
        <w:t xml:space="preserve">e the applicability of the green accounting techniques in Indian commercial banks, considering how they can assist in risk management of financial effects of environmental obligations. The use of ‘green’ banking is highlighted as to how banking organizations require incorporating environmental compliance into their systems to conform to the increasing regulations and seal the deal on environmental consciousness. </w:t>
      </w:r>
    </w:p>
    <w:p w14:paraId="0496CEC9" w14:textId="77777777" w:rsidR="003D2F35" w:rsidRDefault="003D2F35" w:rsidP="003D2F35">
      <w:pPr>
        <w:tabs>
          <w:tab w:val="left" w:pos="2430"/>
        </w:tabs>
        <w:spacing w:line="360" w:lineRule="auto"/>
        <w:jc w:val="both"/>
        <w:rPr>
          <w:rFonts w:ascii="Times New Roman" w:hAnsi="Times New Roman" w:cs="Times New Roman"/>
        </w:rPr>
      </w:pPr>
      <w:r w:rsidRPr="003D2F35">
        <w:rPr>
          <w:rFonts w:ascii="Times New Roman" w:hAnsi="Times New Roman" w:cs="Times New Roman"/>
        </w:rPr>
        <w:t>Neha Bansal, Sanjay Taneja, and Ercan Ozen (2023)</w:t>
      </w:r>
      <w:r w:rsidRPr="001E55EF">
        <w:rPr>
          <w:rFonts w:ascii="Times New Roman" w:hAnsi="Times New Roman" w:cs="Times New Roman"/>
        </w:rPr>
        <w:t xml:space="preserve"> noted that green financing is important. Research points out the positive outcomes of sustainable finance to lower global warming and </w:t>
      </w:r>
      <w:r w:rsidRPr="001E55EF">
        <w:rPr>
          <w:rFonts w:ascii="Times New Roman" w:hAnsi="Times New Roman" w:cs="Times New Roman"/>
        </w:rPr>
        <w:lastRenderedPageBreak/>
        <w:t>preserve the environment, especially natural resources; the importance of the effective delivery of green strategies by banks to provide better outcomes for the environment is also highlighted in the literature.</w:t>
      </w:r>
    </w:p>
    <w:p w14:paraId="403533DB" w14:textId="77777777" w:rsidR="000120A2" w:rsidRDefault="000120A2" w:rsidP="006F32F0">
      <w:pPr>
        <w:spacing w:line="360" w:lineRule="auto"/>
        <w:jc w:val="both"/>
        <w:rPr>
          <w:rFonts w:ascii="Times New Roman" w:hAnsi="Times New Roman" w:cs="Times New Roman"/>
          <w:b/>
        </w:rPr>
      </w:pPr>
      <w:r w:rsidRPr="000120A2">
        <w:rPr>
          <w:rFonts w:ascii="Times New Roman" w:hAnsi="Times New Roman" w:cs="Times New Roman"/>
          <w:b/>
        </w:rPr>
        <w:t>IV. Research Methodology</w:t>
      </w:r>
    </w:p>
    <w:p w14:paraId="54132030" w14:textId="77777777" w:rsidR="000120A2" w:rsidRDefault="000120A2" w:rsidP="000120A2">
      <w:pPr>
        <w:spacing w:line="360" w:lineRule="auto"/>
        <w:jc w:val="both"/>
        <w:rPr>
          <w:rFonts w:ascii="Times New Roman" w:hAnsi="Times New Roman" w:cs="Times New Roman"/>
          <w:b/>
        </w:rPr>
      </w:pPr>
      <w:r w:rsidRPr="0054367D">
        <w:rPr>
          <w:rFonts w:ascii="Times New Roman" w:hAnsi="Times New Roman" w:cs="Times New Roman"/>
          <w:b/>
        </w:rPr>
        <w:t>Research Gap</w:t>
      </w:r>
    </w:p>
    <w:p w14:paraId="6B198B90" w14:textId="77777777" w:rsidR="00E8439E" w:rsidRDefault="00E8439E" w:rsidP="000120A2">
      <w:pPr>
        <w:spacing w:line="360" w:lineRule="auto"/>
        <w:jc w:val="both"/>
        <w:rPr>
          <w:rFonts w:ascii="Times New Roman" w:hAnsi="Times New Roman" w:cs="Times New Roman"/>
          <w:b/>
        </w:rPr>
      </w:pPr>
      <w:r w:rsidRPr="00E20CB0">
        <w:rPr>
          <w:rFonts w:ascii="Times New Roman" w:hAnsi="Times New Roman" w:cs="Times New Roman"/>
        </w:rPr>
        <w:t xml:space="preserve">SBI, HDFC, and ICICI banks lack the understanding of successfully integrating green capital into their investment portfolios, according to the study.  As global financial institutions ramp up their financing for sustainable energy in developing and transition countries, Indian banks appear to be lacking in data on. Many studies don’t analyze if it’s profitable and safe to really switch the investment to green. The impact of these long-term investments is also experienced by the banks and their bottom line. </w:t>
      </w:r>
    </w:p>
    <w:p w14:paraId="705FE987" w14:textId="2AD5E75C" w:rsidR="000120A2" w:rsidRDefault="000120A2" w:rsidP="000120A2">
      <w:pPr>
        <w:spacing w:line="360" w:lineRule="auto"/>
        <w:jc w:val="both"/>
        <w:rPr>
          <w:rFonts w:ascii="Times New Roman" w:hAnsi="Times New Roman" w:cs="Times New Roman"/>
          <w:b/>
        </w:rPr>
      </w:pPr>
      <w:r w:rsidRPr="00E37906">
        <w:rPr>
          <w:rFonts w:ascii="Times New Roman" w:hAnsi="Times New Roman" w:cs="Times New Roman"/>
          <w:b/>
        </w:rPr>
        <w:t>Statement of the problem</w:t>
      </w:r>
    </w:p>
    <w:p w14:paraId="452953E2" w14:textId="77777777" w:rsidR="005B26CD" w:rsidRDefault="005B26CD" w:rsidP="000120A2">
      <w:pPr>
        <w:spacing w:line="360" w:lineRule="auto"/>
        <w:jc w:val="both"/>
        <w:rPr>
          <w:rFonts w:ascii="Times New Roman" w:hAnsi="Times New Roman" w:cs="Times New Roman"/>
          <w:b/>
          <w:bCs/>
        </w:rPr>
      </w:pPr>
      <w:r w:rsidRPr="006303E9">
        <w:rPr>
          <w:rFonts w:ascii="Times New Roman" w:hAnsi="Times New Roman" w:cs="Times New Roman"/>
        </w:rPr>
        <w:t xml:space="preserve">The focus is on how and how much SBI, HDFC, and ICICI can adopt and promote green capital to support sustainable energy initiatives. As big financial institutions they have the challenge of moving away from their previous investment strategies and instead focus on renewable energy projects. Necessary as this shift is to align with global sustainability goals and to address climate change, it entails balancing financial profitability with environmental responsibility.  </w:t>
      </w:r>
    </w:p>
    <w:p w14:paraId="4260CF1F" w14:textId="344B3B29" w:rsidR="000120A2" w:rsidRDefault="000120A2" w:rsidP="000120A2">
      <w:pPr>
        <w:spacing w:line="360" w:lineRule="auto"/>
        <w:jc w:val="both"/>
        <w:rPr>
          <w:rFonts w:ascii="Times New Roman" w:hAnsi="Times New Roman" w:cs="Times New Roman"/>
          <w:b/>
          <w:bCs/>
        </w:rPr>
      </w:pPr>
      <w:r w:rsidRPr="000120A2">
        <w:rPr>
          <w:rFonts w:ascii="Times New Roman" w:hAnsi="Times New Roman" w:cs="Times New Roman"/>
          <w:b/>
          <w:bCs/>
        </w:rPr>
        <w:t>Objectives</w:t>
      </w:r>
    </w:p>
    <w:p w14:paraId="16F6B6D3" w14:textId="219F85F5" w:rsidR="000120A2" w:rsidRDefault="000120A2" w:rsidP="000120A2">
      <w:pPr>
        <w:jc w:val="both"/>
        <w:rPr>
          <w:rFonts w:ascii="Times New Roman" w:hAnsi="Times New Roman" w:cs="Times New Roman"/>
        </w:rPr>
      </w:pPr>
      <w:r w:rsidRPr="00C34F27">
        <w:rPr>
          <w:rFonts w:ascii="Times New Roman" w:hAnsi="Times New Roman" w:cs="Times New Roman"/>
        </w:rPr>
        <w:t>To</w:t>
      </w:r>
      <w:r w:rsidR="005B26CD">
        <w:rPr>
          <w:rFonts w:ascii="Times New Roman" w:hAnsi="Times New Roman" w:cs="Times New Roman"/>
        </w:rPr>
        <w:t xml:space="preserve"> analyze the customer awareness in green banking initiatives</w:t>
      </w:r>
      <w:r>
        <w:rPr>
          <w:rFonts w:ascii="Times New Roman" w:hAnsi="Times New Roman" w:cs="Times New Roman"/>
        </w:rPr>
        <w:t>.</w:t>
      </w:r>
    </w:p>
    <w:p w14:paraId="11D078F9" w14:textId="77777777" w:rsidR="000120A2" w:rsidRDefault="000120A2" w:rsidP="000120A2">
      <w:pPr>
        <w:spacing w:line="360" w:lineRule="auto"/>
        <w:jc w:val="both"/>
        <w:rPr>
          <w:b/>
          <w:bCs/>
        </w:rPr>
      </w:pPr>
      <w:r w:rsidRPr="000120A2">
        <w:rPr>
          <w:rFonts w:ascii="Times New Roman" w:hAnsi="Times New Roman" w:cs="Times New Roman"/>
          <w:b/>
          <w:bCs/>
        </w:rPr>
        <w:t xml:space="preserve">Hypothesis of the study </w:t>
      </w:r>
      <w:r w:rsidRPr="000120A2">
        <w:rPr>
          <w:b/>
          <w:bCs/>
        </w:rPr>
        <w:t xml:space="preserve"> </w:t>
      </w:r>
    </w:p>
    <w:p w14:paraId="05BDA467" w14:textId="4DBE9C7F" w:rsidR="0063226D" w:rsidRDefault="0063226D" w:rsidP="005B26CD">
      <w:pPr>
        <w:tabs>
          <w:tab w:val="left" w:pos="2430"/>
        </w:tabs>
        <w:spacing w:line="360" w:lineRule="auto"/>
        <w:jc w:val="both"/>
        <w:rPr>
          <w:rFonts w:ascii="Times New Roman" w:hAnsi="Times New Roman" w:cs="Times New Roman"/>
        </w:rPr>
      </w:pPr>
      <w:r>
        <w:rPr>
          <w:rFonts w:ascii="Times New Roman" w:hAnsi="Times New Roman" w:cs="Times New Roman"/>
        </w:rPr>
        <w:t xml:space="preserve">H0: </w:t>
      </w:r>
      <w:r w:rsidR="005B26CD">
        <w:rPr>
          <w:rFonts w:ascii="Times New Roman" w:hAnsi="Times New Roman" w:cs="Times New Roman"/>
          <w:lang w:val="en-IN"/>
        </w:rPr>
        <w:t>There is no significant awareness among customers regarding green banking initiatives.</w:t>
      </w:r>
    </w:p>
    <w:p w14:paraId="5758C2E2" w14:textId="339246B2" w:rsidR="0063226D" w:rsidRDefault="0063226D" w:rsidP="0063226D">
      <w:pPr>
        <w:spacing w:line="360" w:lineRule="auto"/>
        <w:jc w:val="both"/>
        <w:rPr>
          <w:b/>
          <w:bCs/>
        </w:rPr>
      </w:pPr>
      <w:r>
        <w:rPr>
          <w:rFonts w:ascii="Times New Roman" w:hAnsi="Times New Roman" w:cs="Times New Roman"/>
        </w:rPr>
        <w:t xml:space="preserve">H1: </w:t>
      </w:r>
      <w:r w:rsidR="005B26CD">
        <w:rPr>
          <w:rFonts w:ascii="Times New Roman" w:hAnsi="Times New Roman" w:cs="Times New Roman"/>
        </w:rPr>
        <w:t>Th</w:t>
      </w:r>
      <w:r w:rsidR="005B26CD">
        <w:rPr>
          <w:rFonts w:ascii="Times New Roman" w:hAnsi="Times New Roman" w:cs="Times New Roman"/>
          <w:lang w:val="en-IN"/>
        </w:rPr>
        <w:t>ere is a significant awareness among customers regarding green banking initiatives.</w:t>
      </w:r>
    </w:p>
    <w:p w14:paraId="03392C2D" w14:textId="77777777" w:rsidR="000120A2" w:rsidRPr="000120A2" w:rsidRDefault="000120A2" w:rsidP="000120A2">
      <w:pPr>
        <w:spacing w:line="360" w:lineRule="auto"/>
        <w:jc w:val="both"/>
        <w:rPr>
          <w:rFonts w:ascii="Times New Roman" w:hAnsi="Times New Roman" w:cs="Times New Roman"/>
          <w:b/>
        </w:rPr>
      </w:pPr>
      <w:r w:rsidRPr="00993BE7">
        <w:rPr>
          <w:rFonts w:ascii="Times New Roman" w:hAnsi="Times New Roman" w:cs="Times New Roman"/>
          <w:b/>
          <w:bCs/>
        </w:rPr>
        <w:t>Data Collection methods</w:t>
      </w:r>
    </w:p>
    <w:p w14:paraId="029F190B" w14:textId="30D1DAA2" w:rsidR="005B26CD" w:rsidRDefault="000120A2" w:rsidP="005B26CD">
      <w:pPr>
        <w:spacing w:line="360" w:lineRule="auto"/>
        <w:jc w:val="both"/>
        <w:rPr>
          <w:rFonts w:ascii="Times New Roman" w:hAnsi="Times New Roman" w:cs="Times New Roman"/>
        </w:rPr>
      </w:pPr>
      <w:r w:rsidRPr="00993BE7">
        <w:rPr>
          <w:rFonts w:ascii="Times New Roman" w:hAnsi="Times New Roman" w:cs="Times New Roman"/>
        </w:rPr>
        <w:t>In this study, primary data is collected through questi</w:t>
      </w:r>
      <w:r>
        <w:rPr>
          <w:rFonts w:ascii="Times New Roman" w:hAnsi="Times New Roman" w:cs="Times New Roman"/>
        </w:rPr>
        <w:t>onnaire which will be filled by 1</w:t>
      </w:r>
      <w:r w:rsidR="005B26CD">
        <w:rPr>
          <w:rFonts w:ascii="Times New Roman" w:hAnsi="Times New Roman" w:cs="Times New Roman"/>
        </w:rPr>
        <w:t>20</w:t>
      </w:r>
      <w:r w:rsidRPr="00993BE7">
        <w:rPr>
          <w:rFonts w:ascii="Times New Roman" w:hAnsi="Times New Roman" w:cs="Times New Roman"/>
        </w:rPr>
        <w:t xml:space="preserve"> respondents and secondary data is collected from various articles and books. </w:t>
      </w:r>
    </w:p>
    <w:p w14:paraId="2944FE5C" w14:textId="77777777" w:rsidR="003D2F35" w:rsidRDefault="003D2F35" w:rsidP="005B26CD">
      <w:pPr>
        <w:spacing w:line="360" w:lineRule="auto"/>
        <w:jc w:val="both"/>
        <w:rPr>
          <w:rFonts w:ascii="Times New Roman" w:hAnsi="Times New Roman" w:cs="Times New Roman"/>
        </w:rPr>
      </w:pPr>
    </w:p>
    <w:p w14:paraId="26336BC1" w14:textId="56A23E83" w:rsidR="005B26CD" w:rsidRDefault="0063226D" w:rsidP="005B26CD">
      <w:pPr>
        <w:spacing w:line="360" w:lineRule="auto"/>
        <w:jc w:val="both"/>
        <w:rPr>
          <w:rFonts w:ascii="Times New Roman" w:hAnsi="Times New Roman" w:cs="Times New Roman"/>
          <w:b/>
          <w:bCs/>
        </w:rPr>
      </w:pPr>
      <w:r w:rsidRPr="00993BE7">
        <w:rPr>
          <w:rFonts w:ascii="Times New Roman" w:hAnsi="Times New Roman" w:cs="Times New Roman"/>
          <w:b/>
          <w:bCs/>
        </w:rPr>
        <w:lastRenderedPageBreak/>
        <w:t>Sampling</w:t>
      </w:r>
    </w:p>
    <w:p w14:paraId="0CFE74B3" w14:textId="2C9066C1" w:rsidR="0063226D" w:rsidRPr="005B26CD" w:rsidRDefault="0063226D" w:rsidP="0063226D">
      <w:pPr>
        <w:spacing w:line="360" w:lineRule="auto"/>
        <w:jc w:val="both"/>
        <w:rPr>
          <w:rFonts w:ascii="Times New Roman" w:hAnsi="Times New Roman" w:cs="Times New Roman"/>
          <w:b/>
          <w:bCs/>
        </w:rPr>
      </w:pPr>
      <w:r w:rsidRPr="00993BE7">
        <w:rPr>
          <w:rFonts w:ascii="Times New Roman" w:hAnsi="Times New Roman" w:cs="Times New Roman"/>
        </w:rPr>
        <w:t xml:space="preserve">Population: </w:t>
      </w:r>
      <w:r w:rsidR="005B26CD">
        <w:rPr>
          <w:rFonts w:ascii="Times New Roman" w:hAnsi="Times New Roman" w:cs="Times New Roman"/>
        </w:rPr>
        <w:t>The study will focus on SBI, HDFC and ICICI employees and customer for the sustainable energy.</w:t>
      </w:r>
    </w:p>
    <w:p w14:paraId="18CFBC57" w14:textId="1F774E0E" w:rsidR="0063226D" w:rsidRPr="00993BE7" w:rsidRDefault="0063226D" w:rsidP="0063226D">
      <w:pPr>
        <w:spacing w:line="360" w:lineRule="auto"/>
        <w:jc w:val="both"/>
        <w:rPr>
          <w:rFonts w:ascii="Times New Roman" w:hAnsi="Times New Roman" w:cs="Times New Roman"/>
        </w:rPr>
      </w:pPr>
      <w:r w:rsidRPr="00993BE7">
        <w:rPr>
          <w:rFonts w:ascii="Times New Roman" w:hAnsi="Times New Roman" w:cs="Times New Roman"/>
        </w:rPr>
        <w:t xml:space="preserve">Sample Size: </w:t>
      </w:r>
      <w:r>
        <w:rPr>
          <w:rFonts w:ascii="Times New Roman" w:hAnsi="Times New Roman" w:cs="Times New Roman"/>
        </w:rPr>
        <w:t>1</w:t>
      </w:r>
      <w:r w:rsidR="005B26CD">
        <w:rPr>
          <w:rFonts w:ascii="Times New Roman" w:hAnsi="Times New Roman" w:cs="Times New Roman"/>
        </w:rPr>
        <w:t>2</w:t>
      </w:r>
      <w:r w:rsidRPr="00993BE7">
        <w:rPr>
          <w:rFonts w:ascii="Times New Roman" w:hAnsi="Times New Roman" w:cs="Times New Roman"/>
        </w:rPr>
        <w:t xml:space="preserve">0 respondents. </w:t>
      </w:r>
    </w:p>
    <w:p w14:paraId="747909C1" w14:textId="77777777" w:rsidR="0063226D" w:rsidRPr="00993BE7" w:rsidRDefault="0063226D" w:rsidP="0063226D">
      <w:pPr>
        <w:spacing w:line="360" w:lineRule="auto"/>
        <w:jc w:val="both"/>
        <w:rPr>
          <w:rFonts w:ascii="Times New Roman" w:hAnsi="Times New Roman" w:cs="Times New Roman"/>
          <w:b/>
          <w:bCs/>
        </w:rPr>
      </w:pPr>
      <w:r w:rsidRPr="00993BE7">
        <w:rPr>
          <w:rFonts w:ascii="Times New Roman" w:hAnsi="Times New Roman" w:cs="Times New Roman"/>
          <w:b/>
          <w:bCs/>
        </w:rPr>
        <w:t>Research Instrument</w:t>
      </w:r>
    </w:p>
    <w:p w14:paraId="0DBA7CAD" w14:textId="77777777" w:rsidR="005B26CD" w:rsidRPr="00D33065" w:rsidRDefault="005B26CD" w:rsidP="005B26CD">
      <w:pPr>
        <w:tabs>
          <w:tab w:val="left" w:pos="2430"/>
        </w:tabs>
        <w:spacing w:line="360" w:lineRule="auto"/>
        <w:jc w:val="both"/>
        <w:rPr>
          <w:rFonts w:ascii="Times New Roman" w:hAnsi="Times New Roman" w:cs="Times New Roman"/>
        </w:rPr>
      </w:pPr>
      <w:r w:rsidRPr="006303E9">
        <w:rPr>
          <w:rFonts w:ascii="Times New Roman" w:hAnsi="Times New Roman" w:cs="Times New Roman"/>
        </w:rPr>
        <w:t>Questionnaire</w:t>
      </w:r>
      <w:r>
        <w:rPr>
          <w:rFonts w:ascii="Times New Roman" w:hAnsi="Times New Roman" w:cs="Times New Roman"/>
        </w:rPr>
        <w:t>: Questionnaire will be distributed to employees and customers involved in green finance. To gather quantitative data on perceptions, experiences, and the effectiveness of these three bank’s green finance.</w:t>
      </w:r>
    </w:p>
    <w:p w14:paraId="34B5E874" w14:textId="77777777" w:rsidR="0063226D" w:rsidRPr="00164E91" w:rsidRDefault="0063226D" w:rsidP="0063226D">
      <w:pPr>
        <w:spacing w:line="360" w:lineRule="auto"/>
        <w:jc w:val="both"/>
        <w:rPr>
          <w:rFonts w:ascii="Times New Roman" w:hAnsi="Times New Roman" w:cs="Times New Roman"/>
          <w:b/>
          <w:bCs/>
        </w:rPr>
      </w:pPr>
      <w:r w:rsidRPr="00164E91">
        <w:rPr>
          <w:rFonts w:ascii="Times New Roman" w:hAnsi="Times New Roman" w:cs="Times New Roman"/>
          <w:b/>
          <w:bCs/>
        </w:rPr>
        <w:t xml:space="preserve">Sampling Type </w:t>
      </w:r>
    </w:p>
    <w:p w14:paraId="6E3007E4" w14:textId="43AB9536" w:rsidR="005B26CD" w:rsidRDefault="005B26CD" w:rsidP="0063226D">
      <w:pPr>
        <w:spacing w:line="360" w:lineRule="auto"/>
        <w:jc w:val="both"/>
        <w:rPr>
          <w:rFonts w:ascii="Times New Roman" w:hAnsi="Times New Roman" w:cs="Times New Roman"/>
          <w:b/>
          <w:bCs/>
        </w:rPr>
      </w:pPr>
      <w:r w:rsidRPr="00060B65">
        <w:rPr>
          <w:rFonts w:ascii="Times New Roman" w:hAnsi="Times New Roman" w:cs="Times New Roman"/>
        </w:rPr>
        <w:t>The study uses the purposive sampling method to select participants who are knowledgeable in green capital and sustainable</w:t>
      </w:r>
      <w:r>
        <w:rPr>
          <w:rFonts w:ascii="Times New Roman" w:hAnsi="Times New Roman" w:cs="Times New Roman"/>
        </w:rPr>
        <w:t xml:space="preserve"> </w:t>
      </w:r>
      <w:r w:rsidRPr="00060B65">
        <w:rPr>
          <w:rFonts w:ascii="Times New Roman" w:hAnsi="Times New Roman" w:cs="Times New Roman"/>
        </w:rPr>
        <w:t>energy financing. This includes senior officials, project managers and sustainability experts from SBI, HDFC</w:t>
      </w:r>
      <w:r>
        <w:rPr>
          <w:rFonts w:ascii="Times New Roman" w:hAnsi="Times New Roman" w:cs="Times New Roman"/>
        </w:rPr>
        <w:t xml:space="preserve"> </w:t>
      </w:r>
      <w:r w:rsidRPr="00060B65">
        <w:rPr>
          <w:rFonts w:ascii="Times New Roman" w:hAnsi="Times New Roman" w:cs="Times New Roman"/>
        </w:rPr>
        <w:t>and</w:t>
      </w:r>
      <w:r>
        <w:rPr>
          <w:rFonts w:ascii="Times New Roman" w:hAnsi="Times New Roman" w:cs="Times New Roman"/>
        </w:rPr>
        <w:t xml:space="preserve"> </w:t>
      </w:r>
      <w:r w:rsidRPr="00060B65">
        <w:rPr>
          <w:rFonts w:ascii="Times New Roman" w:hAnsi="Times New Roman" w:cs="Times New Roman"/>
        </w:rPr>
        <w:t>ICICI. Purposive sampling is well suited for this research because it puts a lot of emphasis on the quality of the information collected from the participants and not the quantity</w:t>
      </w:r>
    </w:p>
    <w:p w14:paraId="38DA280E" w14:textId="42D48646" w:rsidR="0063226D" w:rsidRPr="00B169EF" w:rsidRDefault="0063226D" w:rsidP="0063226D">
      <w:pPr>
        <w:spacing w:line="360" w:lineRule="auto"/>
        <w:jc w:val="both"/>
        <w:rPr>
          <w:rFonts w:ascii="Times New Roman" w:hAnsi="Times New Roman" w:cs="Times New Roman"/>
          <w:b/>
          <w:bCs/>
        </w:rPr>
      </w:pPr>
      <w:r w:rsidRPr="00B169EF">
        <w:rPr>
          <w:rFonts w:ascii="Times New Roman" w:hAnsi="Times New Roman" w:cs="Times New Roman"/>
          <w:b/>
          <w:bCs/>
        </w:rPr>
        <w:t xml:space="preserve">Area of study </w:t>
      </w:r>
    </w:p>
    <w:p w14:paraId="69F31B8B" w14:textId="77777777" w:rsidR="005B26CD" w:rsidRDefault="005B26CD" w:rsidP="0063226D">
      <w:pPr>
        <w:spacing w:line="360" w:lineRule="auto"/>
        <w:jc w:val="both"/>
        <w:rPr>
          <w:rFonts w:ascii="Times New Roman" w:hAnsi="Times New Roman" w:cs="Times New Roman"/>
          <w:b/>
          <w:bCs/>
        </w:rPr>
      </w:pPr>
      <w:r w:rsidRPr="005F272F">
        <w:rPr>
          <w:rFonts w:ascii="Times New Roman" w:hAnsi="Times New Roman" w:cs="Times New Roman"/>
        </w:rPr>
        <w:t>The study focuses on Green Capital as a sustainable energy source, exploring its implementation and impact within selected private sector banks in India. The research examines the banks' Green Capital initiatives, energy efficiency measures, and sustainable financing practices. It also analyzes the benefits, challenges, and future prospects of Green Capital in the Indian banking sector</w:t>
      </w:r>
    </w:p>
    <w:p w14:paraId="314A940F" w14:textId="548E161C" w:rsidR="0063226D" w:rsidRPr="001104A3" w:rsidRDefault="0063226D" w:rsidP="0063226D">
      <w:pPr>
        <w:spacing w:line="360" w:lineRule="auto"/>
        <w:jc w:val="both"/>
        <w:rPr>
          <w:rFonts w:ascii="Times New Roman" w:hAnsi="Times New Roman" w:cs="Times New Roman"/>
          <w:b/>
          <w:bCs/>
        </w:rPr>
      </w:pPr>
      <w:r w:rsidRPr="001104A3">
        <w:rPr>
          <w:rFonts w:ascii="Times New Roman" w:hAnsi="Times New Roman" w:cs="Times New Roman"/>
          <w:b/>
          <w:bCs/>
        </w:rPr>
        <w:t xml:space="preserve">Scope of the Study </w:t>
      </w:r>
    </w:p>
    <w:p w14:paraId="2FF9151B" w14:textId="77777777" w:rsidR="005B26CD" w:rsidRDefault="005B26CD" w:rsidP="005B26CD">
      <w:pPr>
        <w:tabs>
          <w:tab w:val="left" w:pos="2430"/>
        </w:tabs>
        <w:spacing w:line="360" w:lineRule="auto"/>
        <w:jc w:val="both"/>
        <w:rPr>
          <w:rFonts w:ascii="Times New Roman" w:hAnsi="Times New Roman" w:cs="Times New Roman"/>
          <w:b/>
          <w:bCs/>
          <w:sz w:val="28"/>
          <w:szCs w:val="28"/>
        </w:rPr>
      </w:pPr>
      <w:r w:rsidRPr="006D311A">
        <w:rPr>
          <w:rFonts w:ascii="Times New Roman" w:hAnsi="Times New Roman" w:cs="Times New Roman"/>
        </w:rPr>
        <w:t>This paper examines green capital that involves financing of sustainable energy projects that are energy-efficient, wind, and solar by SBI, HDFC, and ICICI in India. It determines financial and social feasibility or profitability</w:t>
      </w:r>
      <w:r w:rsidRPr="006D311A">
        <w:rPr>
          <w:rFonts w:ascii="Times New Roman" w:hAnsi="Times New Roman" w:cs="Times New Roman"/>
          <w:sz w:val="28"/>
          <w:szCs w:val="28"/>
        </w:rPr>
        <w:t>.</w:t>
      </w:r>
    </w:p>
    <w:p w14:paraId="577906F7" w14:textId="77777777" w:rsidR="0063226D" w:rsidRPr="00430D95" w:rsidRDefault="00776351" w:rsidP="0063226D">
      <w:pPr>
        <w:spacing w:line="360" w:lineRule="auto"/>
        <w:jc w:val="both"/>
        <w:rPr>
          <w:rFonts w:ascii="Times New Roman" w:hAnsi="Times New Roman" w:cs="Times New Roman"/>
          <w:b/>
          <w:bCs/>
        </w:rPr>
      </w:pPr>
      <w:r>
        <w:rPr>
          <w:rFonts w:ascii="Times New Roman" w:hAnsi="Times New Roman" w:cs="Times New Roman"/>
          <w:b/>
          <w:bCs/>
        </w:rPr>
        <w:t>L</w:t>
      </w:r>
      <w:r w:rsidR="0063226D" w:rsidRPr="00430D95">
        <w:rPr>
          <w:rFonts w:ascii="Times New Roman" w:hAnsi="Times New Roman" w:cs="Times New Roman"/>
          <w:b/>
          <w:bCs/>
        </w:rPr>
        <w:t xml:space="preserve">imitations of the study </w:t>
      </w:r>
    </w:p>
    <w:p w14:paraId="3C925DE1" w14:textId="77777777" w:rsidR="005B26CD" w:rsidRDefault="005B26CD" w:rsidP="005B26CD">
      <w:pPr>
        <w:pStyle w:val="ListParagraph"/>
        <w:numPr>
          <w:ilvl w:val="0"/>
          <w:numId w:val="2"/>
        </w:numPr>
        <w:tabs>
          <w:tab w:val="left" w:pos="2430"/>
        </w:tabs>
        <w:spacing w:line="360" w:lineRule="auto"/>
        <w:jc w:val="both"/>
        <w:rPr>
          <w:rFonts w:ascii="Times New Roman" w:hAnsi="Times New Roman" w:cs="Times New Roman"/>
        </w:rPr>
      </w:pPr>
      <w:r>
        <w:rPr>
          <w:rFonts w:ascii="Times New Roman" w:hAnsi="Times New Roman" w:cs="Times New Roman"/>
        </w:rPr>
        <w:t>The study focuses only on SBI, HDFC, and ICICI, excluding other banks that may contribute significantly to green finance.</w:t>
      </w:r>
    </w:p>
    <w:p w14:paraId="56D99A2A" w14:textId="77777777" w:rsidR="005B26CD" w:rsidRPr="005F272F" w:rsidRDefault="005B26CD" w:rsidP="005B26CD">
      <w:pPr>
        <w:pStyle w:val="ListParagraph"/>
        <w:numPr>
          <w:ilvl w:val="0"/>
          <w:numId w:val="2"/>
        </w:numPr>
        <w:tabs>
          <w:tab w:val="left" w:pos="2430"/>
        </w:tabs>
        <w:spacing w:line="360" w:lineRule="auto"/>
        <w:jc w:val="both"/>
        <w:rPr>
          <w:rFonts w:ascii="Times New Roman" w:hAnsi="Times New Roman" w:cs="Times New Roman"/>
        </w:rPr>
      </w:pPr>
      <w:r>
        <w:rPr>
          <w:rFonts w:ascii="Times New Roman" w:hAnsi="Times New Roman" w:cs="Times New Roman"/>
        </w:rPr>
        <w:lastRenderedPageBreak/>
        <w:t>Some important information may be private or unavailable, making the study less detailed.</w:t>
      </w:r>
    </w:p>
    <w:p w14:paraId="65A937E3" w14:textId="1181F8DC" w:rsidR="005B26CD" w:rsidRDefault="005B26CD" w:rsidP="005B26CD">
      <w:pPr>
        <w:pStyle w:val="ListParagraph"/>
        <w:numPr>
          <w:ilvl w:val="0"/>
          <w:numId w:val="8"/>
        </w:numPr>
        <w:spacing w:line="360" w:lineRule="auto"/>
        <w:rPr>
          <w:rFonts w:ascii="Times New Roman" w:hAnsi="Times New Roman" w:cs="Times New Roman"/>
          <w:b/>
        </w:rPr>
      </w:pPr>
      <w:r w:rsidRPr="005B26CD">
        <w:rPr>
          <w:rFonts w:ascii="Times New Roman" w:hAnsi="Times New Roman" w:cs="Times New Roman"/>
        </w:rPr>
        <w:t>It is hard to accurately measure how much green finance helps in sustainable energy projects</w:t>
      </w:r>
      <w:r w:rsidR="00D64D59">
        <w:rPr>
          <w:rFonts w:ascii="Times New Roman" w:hAnsi="Times New Roman" w:cs="Times New Roman"/>
          <w:b/>
        </w:rPr>
        <w:t>.</w:t>
      </w:r>
      <w:r w:rsidRPr="005B26CD">
        <w:rPr>
          <w:rFonts w:ascii="Times New Roman" w:hAnsi="Times New Roman" w:cs="Times New Roman"/>
          <w:b/>
        </w:rPr>
        <w:t xml:space="preserve"> </w:t>
      </w:r>
    </w:p>
    <w:p w14:paraId="31DA3976" w14:textId="3DB55D81" w:rsidR="003D2F35" w:rsidRPr="003D2F35" w:rsidRDefault="003D2F35" w:rsidP="003D2F35">
      <w:pPr>
        <w:pStyle w:val="ListParagraph"/>
        <w:numPr>
          <w:ilvl w:val="0"/>
          <w:numId w:val="8"/>
        </w:numPr>
        <w:tabs>
          <w:tab w:val="left" w:pos="2430"/>
        </w:tabs>
        <w:spacing w:line="360" w:lineRule="auto"/>
        <w:jc w:val="both"/>
        <w:rPr>
          <w:rFonts w:ascii="Times New Roman" w:hAnsi="Times New Roman" w:cs="Times New Roman"/>
        </w:rPr>
      </w:pPr>
      <w:r>
        <w:rPr>
          <w:rFonts w:ascii="Times New Roman" w:hAnsi="Times New Roman" w:cs="Times New Roman"/>
        </w:rPr>
        <w:t>Government policies and banking regulations keep changing, which may affect the study’s findings over time.</w:t>
      </w:r>
    </w:p>
    <w:p w14:paraId="7AC33A26" w14:textId="6B3B86A4" w:rsidR="0063226D" w:rsidRDefault="0063226D" w:rsidP="0063226D">
      <w:pPr>
        <w:spacing w:line="360" w:lineRule="auto"/>
        <w:rPr>
          <w:rFonts w:ascii="Times New Roman" w:hAnsi="Times New Roman" w:cs="Times New Roman"/>
          <w:b/>
          <w:bCs/>
        </w:rPr>
      </w:pPr>
      <w:r w:rsidRPr="0063226D">
        <w:rPr>
          <w:rFonts w:ascii="Times New Roman" w:hAnsi="Times New Roman" w:cs="Times New Roman"/>
          <w:b/>
        </w:rPr>
        <w:t xml:space="preserve">V. </w:t>
      </w:r>
      <w:r w:rsidRPr="0063226D">
        <w:rPr>
          <w:rFonts w:ascii="Times New Roman" w:hAnsi="Times New Roman" w:cs="Times New Roman"/>
          <w:b/>
          <w:bCs/>
        </w:rPr>
        <w:t>Analysis and Interpretation</w:t>
      </w:r>
    </w:p>
    <w:p w14:paraId="391EDD24" w14:textId="77777777" w:rsidR="00D64D59" w:rsidRPr="00D64D59" w:rsidRDefault="00D64D59" w:rsidP="00776351">
      <w:pPr>
        <w:tabs>
          <w:tab w:val="left" w:pos="3600"/>
        </w:tabs>
        <w:spacing w:line="360" w:lineRule="auto"/>
        <w:jc w:val="both"/>
        <w:rPr>
          <w:rFonts w:ascii="Times New Roman" w:hAnsi="Times New Roman" w:cs="Times New Roman"/>
          <w:b/>
          <w:bCs/>
        </w:rPr>
      </w:pPr>
      <w:r w:rsidRPr="00D64D59">
        <w:rPr>
          <w:rFonts w:ascii="Times New Roman" w:hAnsi="Times New Roman" w:cs="Times New Roman"/>
          <w:b/>
          <w:bCs/>
        </w:rPr>
        <w:t>Regression</w:t>
      </w:r>
    </w:p>
    <w:p w14:paraId="776A6A22" w14:textId="31521390" w:rsidR="00776351" w:rsidRDefault="00404BB9" w:rsidP="00776351">
      <w:pPr>
        <w:tabs>
          <w:tab w:val="left" w:pos="3600"/>
        </w:tabs>
        <w:spacing w:line="360" w:lineRule="auto"/>
        <w:jc w:val="both"/>
        <w:rPr>
          <w:rFonts w:ascii="Times New Roman" w:hAnsi="Times New Roman" w:cs="Times New Roman"/>
        </w:rPr>
      </w:pPr>
      <w:r w:rsidRPr="00404BB9">
        <w:rPr>
          <w:rFonts w:ascii="Times New Roman" w:hAnsi="Times New Roman" w:cs="Times New Roman"/>
        </w:rPr>
        <w:t xml:space="preserve"> </w:t>
      </w:r>
      <w:r>
        <w:rPr>
          <w:rFonts w:ascii="Times New Roman" w:hAnsi="Times New Roman" w:cs="Times New Roman"/>
        </w:rPr>
        <w:t>R</w:t>
      </w:r>
      <w:r w:rsidRPr="00404BB9">
        <w:rPr>
          <w:rFonts w:ascii="Times New Roman" w:hAnsi="Times New Roman" w:cs="Times New Roman"/>
        </w:rPr>
        <w:t xml:space="preserve">egression </w:t>
      </w:r>
      <w:r>
        <w:rPr>
          <w:rFonts w:ascii="Times New Roman" w:hAnsi="Times New Roman" w:cs="Times New Roman"/>
        </w:rPr>
        <w:t>is</w:t>
      </w:r>
      <w:r w:rsidRPr="00404BB9">
        <w:rPr>
          <w:rFonts w:ascii="Times New Roman" w:hAnsi="Times New Roman" w:cs="Times New Roman"/>
        </w:rPr>
        <w:t xml:space="preserve"> a statistical approach to examine the connection between dependent variables and one or more independent variables.</w:t>
      </w:r>
      <w:r>
        <w:rPr>
          <w:rFonts w:ascii="Times New Roman" w:hAnsi="Times New Roman" w:cs="Times New Roman"/>
        </w:rPr>
        <w:t xml:space="preserve"> </w:t>
      </w:r>
      <w:r w:rsidRPr="00404BB9">
        <w:rPr>
          <w:rFonts w:ascii="Times New Roman" w:hAnsi="Times New Roman" w:cs="Times New Roman"/>
        </w:rPr>
        <w:t>Th</w:t>
      </w:r>
      <w:r>
        <w:rPr>
          <w:rFonts w:ascii="Times New Roman" w:hAnsi="Times New Roman" w:cs="Times New Roman"/>
        </w:rPr>
        <w:t>is</w:t>
      </w:r>
      <w:r w:rsidRPr="00404BB9">
        <w:rPr>
          <w:rFonts w:ascii="Times New Roman" w:hAnsi="Times New Roman" w:cs="Times New Roman"/>
        </w:rPr>
        <w:t xml:space="preserve"> statistic</w:t>
      </w:r>
      <w:r>
        <w:rPr>
          <w:rFonts w:ascii="Times New Roman" w:hAnsi="Times New Roman" w:cs="Times New Roman"/>
        </w:rPr>
        <w:t>al</w:t>
      </w:r>
      <w:r w:rsidRPr="00404BB9">
        <w:rPr>
          <w:rFonts w:ascii="Times New Roman" w:hAnsi="Times New Roman" w:cs="Times New Roman"/>
        </w:rPr>
        <w:t xml:space="preserve"> software provides different regression types which range from linear to logistic and multiple regression for data analysis based on research goals.</w:t>
      </w:r>
    </w:p>
    <w:p w14:paraId="3A97B941" w14:textId="6ABBCFD0" w:rsidR="00776351" w:rsidRDefault="00776351" w:rsidP="00404BB9">
      <w:pPr>
        <w:tabs>
          <w:tab w:val="left" w:pos="3600"/>
        </w:tabs>
        <w:spacing w:line="360" w:lineRule="auto"/>
        <w:jc w:val="both"/>
        <w:rPr>
          <w:rFonts w:ascii="Times New Roman" w:hAnsi="Times New Roman" w:cs="Times New Roman"/>
          <w:b/>
        </w:rPr>
      </w:pPr>
      <w:r>
        <w:rPr>
          <w:rFonts w:ascii="Times New Roman" w:hAnsi="Times New Roman" w:cs="Times New Roman"/>
          <w:b/>
        </w:rPr>
        <w:t xml:space="preserve">Table 4.1 </w:t>
      </w:r>
      <w:r w:rsidR="003D2F35">
        <w:rPr>
          <w:rFonts w:ascii="Times New Roman" w:hAnsi="Times New Roman" w:cs="Times New Roman"/>
          <w:b/>
        </w:rPr>
        <w:t>Analysis of customer banking services</w:t>
      </w:r>
    </w:p>
    <w:tbl>
      <w:tblPr>
        <w:tblW w:w="95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1"/>
        <w:gridCol w:w="2479"/>
        <w:gridCol w:w="1346"/>
        <w:gridCol w:w="1348"/>
        <w:gridCol w:w="1486"/>
        <w:gridCol w:w="1020"/>
        <w:gridCol w:w="1027"/>
      </w:tblGrid>
      <w:tr w:rsidR="00404BB9" w:rsidRPr="00404BB9" w14:paraId="1576995C" w14:textId="77777777" w:rsidTr="00404BB9">
        <w:trPr>
          <w:cantSplit/>
          <w:trHeight w:val="266"/>
        </w:trPr>
        <w:tc>
          <w:tcPr>
            <w:tcW w:w="9597" w:type="dxa"/>
            <w:gridSpan w:val="7"/>
            <w:shd w:val="clear" w:color="auto" w:fill="FFFFFF"/>
          </w:tcPr>
          <w:p w14:paraId="4E32FF3D" w14:textId="77777777" w:rsidR="00404BB9" w:rsidRPr="00404BB9" w:rsidRDefault="00404BB9" w:rsidP="00531635">
            <w:r w:rsidRPr="00404BB9">
              <w:t>Coefficients</w:t>
            </w:r>
          </w:p>
        </w:tc>
      </w:tr>
      <w:tr w:rsidR="00404BB9" w:rsidRPr="00404BB9" w14:paraId="6EAB97D0" w14:textId="77777777" w:rsidTr="00404BB9">
        <w:trPr>
          <w:cantSplit/>
          <w:trHeight w:val="451"/>
        </w:trPr>
        <w:tc>
          <w:tcPr>
            <w:tcW w:w="3370" w:type="dxa"/>
            <w:gridSpan w:val="2"/>
            <w:vMerge w:val="restart"/>
            <w:shd w:val="clear" w:color="auto" w:fill="FFFFFF"/>
          </w:tcPr>
          <w:p w14:paraId="01E61BDE" w14:textId="77777777" w:rsidR="00404BB9" w:rsidRPr="00404BB9" w:rsidRDefault="00404BB9" w:rsidP="00531635">
            <w:r w:rsidRPr="00404BB9">
              <w:t>Model</w:t>
            </w:r>
          </w:p>
        </w:tc>
        <w:tc>
          <w:tcPr>
            <w:tcW w:w="2694" w:type="dxa"/>
            <w:gridSpan w:val="2"/>
            <w:shd w:val="clear" w:color="auto" w:fill="FFFFFF"/>
          </w:tcPr>
          <w:p w14:paraId="73C7C506" w14:textId="77777777" w:rsidR="00404BB9" w:rsidRPr="00404BB9" w:rsidRDefault="00404BB9" w:rsidP="00531635">
            <w:r w:rsidRPr="00404BB9">
              <w:t>Unstandardized Coefficients</w:t>
            </w:r>
          </w:p>
        </w:tc>
        <w:tc>
          <w:tcPr>
            <w:tcW w:w="1486" w:type="dxa"/>
            <w:shd w:val="clear" w:color="auto" w:fill="FFFFFF"/>
          </w:tcPr>
          <w:p w14:paraId="51DE6BEB" w14:textId="77777777" w:rsidR="00404BB9" w:rsidRPr="00404BB9" w:rsidRDefault="00404BB9" w:rsidP="00531635">
            <w:r w:rsidRPr="00404BB9">
              <w:t>Standardized Coefficients</w:t>
            </w:r>
          </w:p>
        </w:tc>
        <w:tc>
          <w:tcPr>
            <w:tcW w:w="1020" w:type="dxa"/>
            <w:vMerge w:val="restart"/>
            <w:shd w:val="clear" w:color="auto" w:fill="FFFFFF"/>
          </w:tcPr>
          <w:p w14:paraId="5CDF0723" w14:textId="77777777" w:rsidR="00404BB9" w:rsidRPr="00404BB9" w:rsidRDefault="00404BB9" w:rsidP="00531635">
            <w:r w:rsidRPr="00404BB9">
              <w:t>t</w:t>
            </w:r>
          </w:p>
        </w:tc>
        <w:tc>
          <w:tcPr>
            <w:tcW w:w="1026" w:type="dxa"/>
            <w:vMerge w:val="restart"/>
            <w:shd w:val="clear" w:color="auto" w:fill="FFFFFF"/>
          </w:tcPr>
          <w:p w14:paraId="7321B1B6" w14:textId="77777777" w:rsidR="00404BB9" w:rsidRPr="00404BB9" w:rsidRDefault="00404BB9" w:rsidP="00531635">
            <w:r w:rsidRPr="00404BB9">
              <w:t>Sig.</w:t>
            </w:r>
          </w:p>
        </w:tc>
      </w:tr>
      <w:tr w:rsidR="00404BB9" w:rsidRPr="00404BB9" w14:paraId="06A11B95" w14:textId="77777777" w:rsidTr="00404BB9">
        <w:trPr>
          <w:cantSplit/>
          <w:trHeight w:val="77"/>
        </w:trPr>
        <w:tc>
          <w:tcPr>
            <w:tcW w:w="3370" w:type="dxa"/>
            <w:gridSpan w:val="2"/>
            <w:vMerge/>
            <w:shd w:val="clear" w:color="auto" w:fill="FFFFFF"/>
          </w:tcPr>
          <w:p w14:paraId="47EBFAC7" w14:textId="77777777" w:rsidR="00404BB9" w:rsidRPr="00404BB9" w:rsidRDefault="00404BB9" w:rsidP="00531635"/>
        </w:tc>
        <w:tc>
          <w:tcPr>
            <w:tcW w:w="1346" w:type="dxa"/>
            <w:shd w:val="clear" w:color="auto" w:fill="FFFFFF"/>
          </w:tcPr>
          <w:p w14:paraId="430073A4" w14:textId="77777777" w:rsidR="00404BB9" w:rsidRPr="00404BB9" w:rsidRDefault="00404BB9" w:rsidP="00531635">
            <w:r w:rsidRPr="00404BB9">
              <w:t>B</w:t>
            </w:r>
          </w:p>
        </w:tc>
        <w:tc>
          <w:tcPr>
            <w:tcW w:w="1348" w:type="dxa"/>
            <w:shd w:val="clear" w:color="auto" w:fill="FFFFFF"/>
          </w:tcPr>
          <w:p w14:paraId="03614222" w14:textId="77777777" w:rsidR="00404BB9" w:rsidRPr="00404BB9" w:rsidRDefault="00404BB9" w:rsidP="00531635">
            <w:r w:rsidRPr="00404BB9">
              <w:t>Std. Error</w:t>
            </w:r>
          </w:p>
        </w:tc>
        <w:tc>
          <w:tcPr>
            <w:tcW w:w="1486" w:type="dxa"/>
            <w:shd w:val="clear" w:color="auto" w:fill="FFFFFF"/>
          </w:tcPr>
          <w:p w14:paraId="4532C6E0" w14:textId="77777777" w:rsidR="00404BB9" w:rsidRPr="00404BB9" w:rsidRDefault="00404BB9" w:rsidP="00531635">
            <w:r w:rsidRPr="00404BB9">
              <w:t>Beta</w:t>
            </w:r>
          </w:p>
        </w:tc>
        <w:tc>
          <w:tcPr>
            <w:tcW w:w="1020" w:type="dxa"/>
            <w:vMerge/>
            <w:shd w:val="clear" w:color="auto" w:fill="FFFFFF"/>
          </w:tcPr>
          <w:p w14:paraId="480465E0" w14:textId="77777777" w:rsidR="00404BB9" w:rsidRPr="00404BB9" w:rsidRDefault="00404BB9" w:rsidP="00531635"/>
        </w:tc>
        <w:tc>
          <w:tcPr>
            <w:tcW w:w="1026" w:type="dxa"/>
            <w:vMerge/>
            <w:shd w:val="clear" w:color="auto" w:fill="FFFFFF"/>
          </w:tcPr>
          <w:p w14:paraId="6BC52ECB" w14:textId="77777777" w:rsidR="00404BB9" w:rsidRPr="00404BB9" w:rsidRDefault="00404BB9" w:rsidP="00531635"/>
        </w:tc>
      </w:tr>
      <w:tr w:rsidR="00404BB9" w:rsidRPr="00404BB9" w14:paraId="6287A067" w14:textId="77777777" w:rsidTr="00404BB9">
        <w:trPr>
          <w:cantSplit/>
          <w:trHeight w:val="266"/>
        </w:trPr>
        <w:tc>
          <w:tcPr>
            <w:tcW w:w="891" w:type="dxa"/>
            <w:vMerge w:val="restart"/>
            <w:shd w:val="clear" w:color="auto" w:fill="FFFFFF"/>
            <w:vAlign w:val="center"/>
          </w:tcPr>
          <w:p w14:paraId="6DABE417" w14:textId="77777777" w:rsidR="00404BB9" w:rsidRPr="00404BB9" w:rsidRDefault="00404BB9" w:rsidP="00531635">
            <w:r w:rsidRPr="00404BB9">
              <w:t>1</w:t>
            </w:r>
          </w:p>
        </w:tc>
        <w:tc>
          <w:tcPr>
            <w:tcW w:w="2478" w:type="dxa"/>
            <w:shd w:val="clear" w:color="auto" w:fill="FFFFFF"/>
            <w:vAlign w:val="center"/>
          </w:tcPr>
          <w:p w14:paraId="765A32B3" w14:textId="77777777" w:rsidR="00404BB9" w:rsidRPr="00404BB9" w:rsidRDefault="00404BB9" w:rsidP="00531635">
            <w:r w:rsidRPr="00404BB9">
              <w:t>(Constant)</w:t>
            </w:r>
          </w:p>
        </w:tc>
        <w:tc>
          <w:tcPr>
            <w:tcW w:w="1346" w:type="dxa"/>
            <w:shd w:val="clear" w:color="auto" w:fill="FFFFFF"/>
            <w:vAlign w:val="center"/>
          </w:tcPr>
          <w:p w14:paraId="7D57F00A" w14:textId="77777777" w:rsidR="00404BB9" w:rsidRPr="00404BB9" w:rsidRDefault="00404BB9" w:rsidP="00531635">
            <w:r w:rsidRPr="00404BB9">
              <w:t>1.081</w:t>
            </w:r>
          </w:p>
        </w:tc>
        <w:tc>
          <w:tcPr>
            <w:tcW w:w="1348" w:type="dxa"/>
            <w:shd w:val="clear" w:color="auto" w:fill="FFFFFF"/>
            <w:vAlign w:val="center"/>
          </w:tcPr>
          <w:p w14:paraId="31A0A8F1" w14:textId="77777777" w:rsidR="00404BB9" w:rsidRPr="00404BB9" w:rsidRDefault="00404BB9" w:rsidP="00531635">
            <w:r w:rsidRPr="00404BB9">
              <w:t>.340</w:t>
            </w:r>
          </w:p>
        </w:tc>
        <w:tc>
          <w:tcPr>
            <w:tcW w:w="1486" w:type="dxa"/>
            <w:shd w:val="clear" w:color="auto" w:fill="FFFFFF"/>
          </w:tcPr>
          <w:p w14:paraId="7B7E0262" w14:textId="77777777" w:rsidR="00404BB9" w:rsidRPr="00404BB9" w:rsidRDefault="00404BB9" w:rsidP="00531635"/>
        </w:tc>
        <w:tc>
          <w:tcPr>
            <w:tcW w:w="1020" w:type="dxa"/>
            <w:shd w:val="clear" w:color="auto" w:fill="FFFFFF"/>
            <w:vAlign w:val="center"/>
          </w:tcPr>
          <w:p w14:paraId="2C2E6BD4" w14:textId="77777777" w:rsidR="00404BB9" w:rsidRPr="00404BB9" w:rsidRDefault="00404BB9" w:rsidP="00531635">
            <w:r w:rsidRPr="00404BB9">
              <w:t>3.182</w:t>
            </w:r>
          </w:p>
        </w:tc>
        <w:tc>
          <w:tcPr>
            <w:tcW w:w="1026" w:type="dxa"/>
            <w:shd w:val="clear" w:color="auto" w:fill="FFFFFF"/>
            <w:vAlign w:val="center"/>
          </w:tcPr>
          <w:p w14:paraId="0BEB722B" w14:textId="77777777" w:rsidR="00404BB9" w:rsidRPr="00404BB9" w:rsidRDefault="00404BB9" w:rsidP="00531635">
            <w:r w:rsidRPr="00404BB9">
              <w:t>.002</w:t>
            </w:r>
          </w:p>
        </w:tc>
      </w:tr>
      <w:tr w:rsidR="00404BB9" w:rsidRPr="00404BB9" w14:paraId="088D3673" w14:textId="77777777" w:rsidTr="00404BB9">
        <w:trPr>
          <w:cantSplit/>
          <w:trHeight w:val="77"/>
        </w:trPr>
        <w:tc>
          <w:tcPr>
            <w:tcW w:w="891" w:type="dxa"/>
            <w:vMerge/>
            <w:shd w:val="clear" w:color="auto" w:fill="FFFFFF"/>
            <w:vAlign w:val="center"/>
          </w:tcPr>
          <w:p w14:paraId="082185E2" w14:textId="77777777" w:rsidR="00404BB9" w:rsidRPr="00404BB9" w:rsidRDefault="00404BB9" w:rsidP="00531635"/>
        </w:tc>
        <w:tc>
          <w:tcPr>
            <w:tcW w:w="2478" w:type="dxa"/>
            <w:shd w:val="clear" w:color="auto" w:fill="FFFFFF"/>
            <w:vAlign w:val="center"/>
          </w:tcPr>
          <w:p w14:paraId="0919E940" w14:textId="77777777" w:rsidR="00404BB9" w:rsidRPr="00404BB9" w:rsidRDefault="00404BB9" w:rsidP="00531635">
            <w:r w:rsidRPr="00404BB9">
              <w:t xml:space="preserve"> Are you aware of the concept of green banking?</w:t>
            </w:r>
          </w:p>
        </w:tc>
        <w:tc>
          <w:tcPr>
            <w:tcW w:w="1346" w:type="dxa"/>
            <w:shd w:val="clear" w:color="auto" w:fill="FFFFFF"/>
            <w:vAlign w:val="center"/>
          </w:tcPr>
          <w:p w14:paraId="4215EDED" w14:textId="77777777" w:rsidR="00404BB9" w:rsidRPr="00404BB9" w:rsidRDefault="00404BB9" w:rsidP="00531635">
            <w:r w:rsidRPr="00404BB9">
              <w:t>.016</w:t>
            </w:r>
          </w:p>
        </w:tc>
        <w:tc>
          <w:tcPr>
            <w:tcW w:w="1348" w:type="dxa"/>
            <w:shd w:val="clear" w:color="auto" w:fill="FFFFFF"/>
            <w:vAlign w:val="center"/>
          </w:tcPr>
          <w:p w14:paraId="5E558758" w14:textId="77777777" w:rsidR="00404BB9" w:rsidRPr="00404BB9" w:rsidRDefault="00404BB9" w:rsidP="00531635">
            <w:r w:rsidRPr="00404BB9">
              <w:t>.181</w:t>
            </w:r>
          </w:p>
        </w:tc>
        <w:tc>
          <w:tcPr>
            <w:tcW w:w="1486" w:type="dxa"/>
            <w:shd w:val="clear" w:color="auto" w:fill="FFFFFF"/>
            <w:vAlign w:val="center"/>
          </w:tcPr>
          <w:p w14:paraId="12362A8A" w14:textId="77777777" w:rsidR="00404BB9" w:rsidRPr="00404BB9" w:rsidRDefault="00404BB9" w:rsidP="00531635">
            <w:r w:rsidRPr="00404BB9">
              <w:t>.009</w:t>
            </w:r>
          </w:p>
        </w:tc>
        <w:tc>
          <w:tcPr>
            <w:tcW w:w="1020" w:type="dxa"/>
            <w:shd w:val="clear" w:color="auto" w:fill="FFFFFF"/>
            <w:vAlign w:val="center"/>
          </w:tcPr>
          <w:p w14:paraId="430AB55E" w14:textId="77777777" w:rsidR="00404BB9" w:rsidRPr="00404BB9" w:rsidRDefault="00404BB9" w:rsidP="00531635">
            <w:r w:rsidRPr="00404BB9">
              <w:t>.088</w:t>
            </w:r>
          </w:p>
        </w:tc>
        <w:tc>
          <w:tcPr>
            <w:tcW w:w="1026" w:type="dxa"/>
            <w:shd w:val="clear" w:color="auto" w:fill="FFFFFF"/>
            <w:vAlign w:val="center"/>
          </w:tcPr>
          <w:p w14:paraId="0CDCAAB2" w14:textId="77777777" w:rsidR="00404BB9" w:rsidRPr="00404BB9" w:rsidRDefault="00404BB9" w:rsidP="00531635">
            <w:r w:rsidRPr="00404BB9">
              <w:t>.930</w:t>
            </w:r>
          </w:p>
        </w:tc>
      </w:tr>
      <w:tr w:rsidR="00404BB9" w:rsidRPr="00404BB9" w14:paraId="6876E046" w14:textId="77777777" w:rsidTr="00404BB9">
        <w:trPr>
          <w:cantSplit/>
          <w:trHeight w:val="77"/>
        </w:trPr>
        <w:tc>
          <w:tcPr>
            <w:tcW w:w="891" w:type="dxa"/>
            <w:vMerge/>
            <w:shd w:val="clear" w:color="auto" w:fill="FFFFFF"/>
            <w:vAlign w:val="center"/>
          </w:tcPr>
          <w:p w14:paraId="2C6E8DB4" w14:textId="77777777" w:rsidR="00404BB9" w:rsidRPr="00404BB9" w:rsidRDefault="00404BB9" w:rsidP="00531635"/>
        </w:tc>
        <w:tc>
          <w:tcPr>
            <w:tcW w:w="2478" w:type="dxa"/>
            <w:shd w:val="clear" w:color="auto" w:fill="FFFFFF"/>
            <w:vAlign w:val="center"/>
          </w:tcPr>
          <w:p w14:paraId="283F0783" w14:textId="77777777" w:rsidR="00404BB9" w:rsidRPr="00404BB9" w:rsidRDefault="00404BB9" w:rsidP="00531635">
            <w:r w:rsidRPr="00404BB9">
              <w:t xml:space="preserve"> Which of the following green banking services have you heard about? (Select all that apply)</w:t>
            </w:r>
          </w:p>
        </w:tc>
        <w:tc>
          <w:tcPr>
            <w:tcW w:w="1346" w:type="dxa"/>
            <w:shd w:val="clear" w:color="auto" w:fill="FFFFFF"/>
            <w:vAlign w:val="center"/>
          </w:tcPr>
          <w:p w14:paraId="150FED42" w14:textId="77777777" w:rsidR="00404BB9" w:rsidRPr="00404BB9" w:rsidRDefault="00404BB9" w:rsidP="00531635">
            <w:r w:rsidRPr="00404BB9">
              <w:t>-.058</w:t>
            </w:r>
          </w:p>
        </w:tc>
        <w:tc>
          <w:tcPr>
            <w:tcW w:w="1348" w:type="dxa"/>
            <w:shd w:val="clear" w:color="auto" w:fill="FFFFFF"/>
            <w:vAlign w:val="center"/>
          </w:tcPr>
          <w:p w14:paraId="1F0DA717" w14:textId="77777777" w:rsidR="00404BB9" w:rsidRPr="00404BB9" w:rsidRDefault="00404BB9" w:rsidP="00531635">
            <w:r w:rsidRPr="00404BB9">
              <w:t>.059</w:t>
            </w:r>
          </w:p>
        </w:tc>
        <w:tc>
          <w:tcPr>
            <w:tcW w:w="1486" w:type="dxa"/>
            <w:shd w:val="clear" w:color="auto" w:fill="FFFFFF"/>
            <w:vAlign w:val="center"/>
          </w:tcPr>
          <w:p w14:paraId="69CFD3FA" w14:textId="77777777" w:rsidR="00404BB9" w:rsidRPr="00404BB9" w:rsidRDefault="00404BB9" w:rsidP="00531635">
            <w:r w:rsidRPr="00404BB9">
              <w:t>-.093</w:t>
            </w:r>
          </w:p>
        </w:tc>
        <w:tc>
          <w:tcPr>
            <w:tcW w:w="1020" w:type="dxa"/>
            <w:shd w:val="clear" w:color="auto" w:fill="FFFFFF"/>
            <w:vAlign w:val="center"/>
          </w:tcPr>
          <w:p w14:paraId="6504079E" w14:textId="77777777" w:rsidR="00404BB9" w:rsidRPr="00404BB9" w:rsidRDefault="00404BB9" w:rsidP="00531635">
            <w:r w:rsidRPr="00404BB9">
              <w:t>-.981</w:t>
            </w:r>
          </w:p>
        </w:tc>
        <w:tc>
          <w:tcPr>
            <w:tcW w:w="1026" w:type="dxa"/>
            <w:shd w:val="clear" w:color="auto" w:fill="FFFFFF"/>
            <w:vAlign w:val="center"/>
          </w:tcPr>
          <w:p w14:paraId="66A52485" w14:textId="77777777" w:rsidR="00404BB9" w:rsidRPr="00404BB9" w:rsidRDefault="00404BB9" w:rsidP="00531635">
            <w:r w:rsidRPr="00404BB9">
              <w:t>.329</w:t>
            </w:r>
          </w:p>
        </w:tc>
      </w:tr>
      <w:tr w:rsidR="00404BB9" w:rsidRPr="00404BB9" w14:paraId="0A2224AE" w14:textId="77777777" w:rsidTr="00404BB9">
        <w:trPr>
          <w:cantSplit/>
          <w:trHeight w:val="77"/>
        </w:trPr>
        <w:tc>
          <w:tcPr>
            <w:tcW w:w="891" w:type="dxa"/>
            <w:vMerge/>
            <w:shd w:val="clear" w:color="auto" w:fill="FFFFFF"/>
            <w:vAlign w:val="center"/>
          </w:tcPr>
          <w:p w14:paraId="3386D517" w14:textId="77777777" w:rsidR="00404BB9" w:rsidRPr="00404BB9" w:rsidRDefault="00404BB9" w:rsidP="00531635"/>
        </w:tc>
        <w:tc>
          <w:tcPr>
            <w:tcW w:w="2478" w:type="dxa"/>
            <w:shd w:val="clear" w:color="auto" w:fill="FFFFFF"/>
            <w:vAlign w:val="center"/>
          </w:tcPr>
          <w:p w14:paraId="56A9B044" w14:textId="77777777" w:rsidR="00404BB9" w:rsidRPr="00404BB9" w:rsidRDefault="00404BB9" w:rsidP="00531635">
            <w:r w:rsidRPr="00404BB9">
              <w:t xml:space="preserve"> How did you come to k2w about green banking initiatives?</w:t>
            </w:r>
          </w:p>
        </w:tc>
        <w:tc>
          <w:tcPr>
            <w:tcW w:w="1346" w:type="dxa"/>
            <w:shd w:val="clear" w:color="auto" w:fill="FFFFFF"/>
            <w:vAlign w:val="center"/>
          </w:tcPr>
          <w:p w14:paraId="46DC0389" w14:textId="77777777" w:rsidR="00404BB9" w:rsidRPr="00404BB9" w:rsidRDefault="00404BB9" w:rsidP="00531635">
            <w:r w:rsidRPr="00404BB9">
              <w:t>.061</w:t>
            </w:r>
          </w:p>
        </w:tc>
        <w:tc>
          <w:tcPr>
            <w:tcW w:w="1348" w:type="dxa"/>
            <w:shd w:val="clear" w:color="auto" w:fill="FFFFFF"/>
            <w:vAlign w:val="center"/>
          </w:tcPr>
          <w:p w14:paraId="018068A7" w14:textId="77777777" w:rsidR="00404BB9" w:rsidRPr="00404BB9" w:rsidRDefault="00404BB9" w:rsidP="00531635">
            <w:r w:rsidRPr="00404BB9">
              <w:t>.085</w:t>
            </w:r>
          </w:p>
        </w:tc>
        <w:tc>
          <w:tcPr>
            <w:tcW w:w="1486" w:type="dxa"/>
            <w:shd w:val="clear" w:color="auto" w:fill="FFFFFF"/>
            <w:vAlign w:val="center"/>
          </w:tcPr>
          <w:p w14:paraId="363B85E4" w14:textId="77777777" w:rsidR="00404BB9" w:rsidRPr="00404BB9" w:rsidRDefault="00404BB9" w:rsidP="00531635">
            <w:r w:rsidRPr="00404BB9">
              <w:t>.073</w:t>
            </w:r>
          </w:p>
        </w:tc>
        <w:tc>
          <w:tcPr>
            <w:tcW w:w="1020" w:type="dxa"/>
            <w:shd w:val="clear" w:color="auto" w:fill="FFFFFF"/>
            <w:vAlign w:val="center"/>
          </w:tcPr>
          <w:p w14:paraId="248C50A6" w14:textId="77777777" w:rsidR="00404BB9" w:rsidRPr="00404BB9" w:rsidRDefault="00404BB9" w:rsidP="00531635">
            <w:r w:rsidRPr="00404BB9">
              <w:t>.710</w:t>
            </w:r>
          </w:p>
        </w:tc>
        <w:tc>
          <w:tcPr>
            <w:tcW w:w="1026" w:type="dxa"/>
            <w:shd w:val="clear" w:color="auto" w:fill="FFFFFF"/>
            <w:vAlign w:val="center"/>
          </w:tcPr>
          <w:p w14:paraId="35FEC6EC" w14:textId="77777777" w:rsidR="00404BB9" w:rsidRPr="00404BB9" w:rsidRDefault="00404BB9" w:rsidP="00531635">
            <w:r w:rsidRPr="00404BB9">
              <w:t>.479</w:t>
            </w:r>
          </w:p>
        </w:tc>
      </w:tr>
      <w:tr w:rsidR="00404BB9" w:rsidRPr="00404BB9" w14:paraId="5944F880" w14:textId="77777777" w:rsidTr="00404BB9">
        <w:trPr>
          <w:cantSplit/>
          <w:trHeight w:val="77"/>
        </w:trPr>
        <w:tc>
          <w:tcPr>
            <w:tcW w:w="891" w:type="dxa"/>
            <w:vMerge/>
            <w:shd w:val="clear" w:color="auto" w:fill="FFFFFF"/>
            <w:vAlign w:val="center"/>
          </w:tcPr>
          <w:p w14:paraId="5AE5CBA0" w14:textId="77777777" w:rsidR="00404BB9" w:rsidRPr="00404BB9" w:rsidRDefault="00404BB9" w:rsidP="00531635"/>
        </w:tc>
        <w:tc>
          <w:tcPr>
            <w:tcW w:w="2478" w:type="dxa"/>
            <w:shd w:val="clear" w:color="auto" w:fill="FFFFFF"/>
            <w:vAlign w:val="center"/>
          </w:tcPr>
          <w:p w14:paraId="3CC19D9B" w14:textId="77777777" w:rsidR="00404BB9" w:rsidRPr="00404BB9" w:rsidRDefault="00404BB9" w:rsidP="00531635">
            <w:r w:rsidRPr="00404BB9">
              <w:t xml:space="preserve"> How would you rate your k2wledge about your bank's green banking policies?</w:t>
            </w:r>
          </w:p>
        </w:tc>
        <w:tc>
          <w:tcPr>
            <w:tcW w:w="1346" w:type="dxa"/>
            <w:shd w:val="clear" w:color="auto" w:fill="FFFFFF"/>
            <w:vAlign w:val="center"/>
          </w:tcPr>
          <w:p w14:paraId="6AC80D09" w14:textId="77777777" w:rsidR="00404BB9" w:rsidRPr="00404BB9" w:rsidRDefault="00404BB9" w:rsidP="00531635">
            <w:r w:rsidRPr="00404BB9">
              <w:t>-.103</w:t>
            </w:r>
          </w:p>
        </w:tc>
        <w:tc>
          <w:tcPr>
            <w:tcW w:w="1348" w:type="dxa"/>
            <w:shd w:val="clear" w:color="auto" w:fill="FFFFFF"/>
            <w:vAlign w:val="center"/>
          </w:tcPr>
          <w:p w14:paraId="17A90849" w14:textId="77777777" w:rsidR="00404BB9" w:rsidRPr="00404BB9" w:rsidRDefault="00404BB9" w:rsidP="00531635">
            <w:r w:rsidRPr="00404BB9">
              <w:t>.116</w:t>
            </w:r>
          </w:p>
        </w:tc>
        <w:tc>
          <w:tcPr>
            <w:tcW w:w="1486" w:type="dxa"/>
            <w:shd w:val="clear" w:color="auto" w:fill="FFFFFF"/>
            <w:vAlign w:val="center"/>
          </w:tcPr>
          <w:p w14:paraId="4AAF8F4B" w14:textId="77777777" w:rsidR="00404BB9" w:rsidRPr="00404BB9" w:rsidRDefault="00404BB9" w:rsidP="00531635">
            <w:r w:rsidRPr="00404BB9">
              <w:t>-.095</w:t>
            </w:r>
          </w:p>
        </w:tc>
        <w:tc>
          <w:tcPr>
            <w:tcW w:w="1020" w:type="dxa"/>
            <w:shd w:val="clear" w:color="auto" w:fill="FFFFFF"/>
            <w:vAlign w:val="center"/>
          </w:tcPr>
          <w:p w14:paraId="4C19019E" w14:textId="77777777" w:rsidR="00404BB9" w:rsidRPr="00404BB9" w:rsidRDefault="00404BB9" w:rsidP="00531635">
            <w:r w:rsidRPr="00404BB9">
              <w:t>-.888</w:t>
            </w:r>
          </w:p>
        </w:tc>
        <w:tc>
          <w:tcPr>
            <w:tcW w:w="1026" w:type="dxa"/>
            <w:shd w:val="clear" w:color="auto" w:fill="FFFFFF"/>
            <w:vAlign w:val="center"/>
          </w:tcPr>
          <w:p w14:paraId="765FEE46" w14:textId="77777777" w:rsidR="00404BB9" w:rsidRPr="00404BB9" w:rsidRDefault="00404BB9" w:rsidP="00531635">
            <w:r w:rsidRPr="00404BB9">
              <w:t>.376</w:t>
            </w:r>
          </w:p>
        </w:tc>
      </w:tr>
      <w:tr w:rsidR="00404BB9" w:rsidRPr="00404BB9" w14:paraId="40E1062B" w14:textId="77777777" w:rsidTr="00404BB9">
        <w:trPr>
          <w:cantSplit/>
          <w:trHeight w:val="77"/>
        </w:trPr>
        <w:tc>
          <w:tcPr>
            <w:tcW w:w="891" w:type="dxa"/>
            <w:vMerge/>
            <w:shd w:val="clear" w:color="auto" w:fill="FFFFFF"/>
            <w:vAlign w:val="center"/>
          </w:tcPr>
          <w:p w14:paraId="45FE371E" w14:textId="77777777" w:rsidR="00404BB9" w:rsidRPr="00404BB9" w:rsidRDefault="00404BB9" w:rsidP="00531635"/>
        </w:tc>
        <w:tc>
          <w:tcPr>
            <w:tcW w:w="2478" w:type="dxa"/>
            <w:shd w:val="clear" w:color="auto" w:fill="FFFFFF"/>
            <w:vAlign w:val="center"/>
          </w:tcPr>
          <w:p w14:paraId="449553F6" w14:textId="77777777" w:rsidR="00404BB9" w:rsidRPr="00404BB9" w:rsidRDefault="00404BB9" w:rsidP="00531635">
            <w:r w:rsidRPr="00404BB9">
              <w:t xml:space="preserve"> Have you availed of any green banking services from your bank?</w:t>
            </w:r>
          </w:p>
        </w:tc>
        <w:tc>
          <w:tcPr>
            <w:tcW w:w="1346" w:type="dxa"/>
            <w:shd w:val="clear" w:color="auto" w:fill="FFFFFF"/>
            <w:vAlign w:val="center"/>
          </w:tcPr>
          <w:p w14:paraId="2FC2EAF2" w14:textId="77777777" w:rsidR="00404BB9" w:rsidRPr="00404BB9" w:rsidRDefault="00404BB9" w:rsidP="00531635">
            <w:r w:rsidRPr="00404BB9">
              <w:t>.234</w:t>
            </w:r>
          </w:p>
        </w:tc>
        <w:tc>
          <w:tcPr>
            <w:tcW w:w="1348" w:type="dxa"/>
            <w:shd w:val="clear" w:color="auto" w:fill="FFFFFF"/>
            <w:vAlign w:val="center"/>
          </w:tcPr>
          <w:p w14:paraId="63BC12F0" w14:textId="77777777" w:rsidR="00404BB9" w:rsidRPr="00404BB9" w:rsidRDefault="00404BB9" w:rsidP="00531635">
            <w:r w:rsidRPr="00404BB9">
              <w:t>.164</w:t>
            </w:r>
          </w:p>
        </w:tc>
        <w:tc>
          <w:tcPr>
            <w:tcW w:w="1486" w:type="dxa"/>
            <w:shd w:val="clear" w:color="auto" w:fill="FFFFFF"/>
            <w:vAlign w:val="center"/>
          </w:tcPr>
          <w:p w14:paraId="412F76E6" w14:textId="77777777" w:rsidR="00404BB9" w:rsidRPr="00404BB9" w:rsidRDefault="00404BB9" w:rsidP="00531635">
            <w:r w:rsidRPr="00404BB9">
              <w:t>.145</w:t>
            </w:r>
          </w:p>
        </w:tc>
        <w:tc>
          <w:tcPr>
            <w:tcW w:w="1020" w:type="dxa"/>
            <w:shd w:val="clear" w:color="auto" w:fill="FFFFFF"/>
            <w:vAlign w:val="center"/>
          </w:tcPr>
          <w:p w14:paraId="54F13D1B" w14:textId="77777777" w:rsidR="00404BB9" w:rsidRPr="00404BB9" w:rsidRDefault="00404BB9" w:rsidP="00531635">
            <w:r w:rsidRPr="00404BB9">
              <w:t>1.426</w:t>
            </w:r>
          </w:p>
        </w:tc>
        <w:tc>
          <w:tcPr>
            <w:tcW w:w="1026" w:type="dxa"/>
            <w:shd w:val="clear" w:color="auto" w:fill="FFFFFF"/>
            <w:vAlign w:val="center"/>
          </w:tcPr>
          <w:p w14:paraId="45C20FB2" w14:textId="77777777" w:rsidR="00404BB9" w:rsidRPr="00404BB9" w:rsidRDefault="00404BB9" w:rsidP="00531635">
            <w:r w:rsidRPr="00404BB9">
              <w:t>.156</w:t>
            </w:r>
          </w:p>
        </w:tc>
      </w:tr>
      <w:tr w:rsidR="00404BB9" w:rsidRPr="00404BB9" w14:paraId="00393A77" w14:textId="77777777" w:rsidTr="00404BB9">
        <w:trPr>
          <w:cantSplit/>
          <w:trHeight w:val="77"/>
        </w:trPr>
        <w:tc>
          <w:tcPr>
            <w:tcW w:w="891" w:type="dxa"/>
            <w:vMerge/>
            <w:shd w:val="clear" w:color="auto" w:fill="FFFFFF"/>
            <w:vAlign w:val="center"/>
          </w:tcPr>
          <w:p w14:paraId="13B665AF" w14:textId="77777777" w:rsidR="00404BB9" w:rsidRPr="00404BB9" w:rsidRDefault="00404BB9" w:rsidP="00531635"/>
        </w:tc>
        <w:tc>
          <w:tcPr>
            <w:tcW w:w="2478" w:type="dxa"/>
            <w:shd w:val="clear" w:color="auto" w:fill="FFFFFF"/>
            <w:vAlign w:val="center"/>
          </w:tcPr>
          <w:p w14:paraId="576797AE" w14:textId="77777777" w:rsidR="00404BB9" w:rsidRPr="00404BB9" w:rsidRDefault="00404BB9" w:rsidP="00531635">
            <w:r w:rsidRPr="00404BB9">
              <w:t xml:space="preserve"> Do you think green banking contributes to environmental sustainability?</w:t>
            </w:r>
          </w:p>
        </w:tc>
        <w:tc>
          <w:tcPr>
            <w:tcW w:w="1346" w:type="dxa"/>
            <w:shd w:val="clear" w:color="auto" w:fill="FFFFFF"/>
            <w:vAlign w:val="center"/>
          </w:tcPr>
          <w:p w14:paraId="3C32D563" w14:textId="77777777" w:rsidR="00404BB9" w:rsidRPr="00404BB9" w:rsidRDefault="00404BB9" w:rsidP="00531635">
            <w:r w:rsidRPr="00404BB9">
              <w:t>.145</w:t>
            </w:r>
          </w:p>
        </w:tc>
        <w:tc>
          <w:tcPr>
            <w:tcW w:w="1348" w:type="dxa"/>
            <w:shd w:val="clear" w:color="auto" w:fill="FFFFFF"/>
            <w:vAlign w:val="center"/>
          </w:tcPr>
          <w:p w14:paraId="05311561" w14:textId="77777777" w:rsidR="00404BB9" w:rsidRPr="00404BB9" w:rsidRDefault="00404BB9" w:rsidP="00531635">
            <w:r w:rsidRPr="00404BB9">
              <w:t>.083</w:t>
            </w:r>
          </w:p>
        </w:tc>
        <w:tc>
          <w:tcPr>
            <w:tcW w:w="1486" w:type="dxa"/>
            <w:shd w:val="clear" w:color="auto" w:fill="FFFFFF"/>
            <w:vAlign w:val="center"/>
          </w:tcPr>
          <w:p w14:paraId="470DD89E" w14:textId="77777777" w:rsidR="00404BB9" w:rsidRPr="00404BB9" w:rsidRDefault="00404BB9" w:rsidP="00531635">
            <w:r w:rsidRPr="00404BB9">
              <w:t>.167</w:t>
            </w:r>
          </w:p>
        </w:tc>
        <w:tc>
          <w:tcPr>
            <w:tcW w:w="1020" w:type="dxa"/>
            <w:shd w:val="clear" w:color="auto" w:fill="FFFFFF"/>
            <w:vAlign w:val="center"/>
          </w:tcPr>
          <w:p w14:paraId="793C0FF1" w14:textId="77777777" w:rsidR="00404BB9" w:rsidRPr="00404BB9" w:rsidRDefault="00404BB9" w:rsidP="00531635">
            <w:r w:rsidRPr="00404BB9">
              <w:t>1.750</w:t>
            </w:r>
          </w:p>
        </w:tc>
        <w:tc>
          <w:tcPr>
            <w:tcW w:w="1026" w:type="dxa"/>
            <w:shd w:val="clear" w:color="auto" w:fill="FFFFFF"/>
            <w:vAlign w:val="center"/>
          </w:tcPr>
          <w:p w14:paraId="103C9BFF" w14:textId="77777777" w:rsidR="00404BB9" w:rsidRPr="00404BB9" w:rsidRDefault="00404BB9" w:rsidP="00531635">
            <w:r w:rsidRPr="00404BB9">
              <w:t>.083</w:t>
            </w:r>
          </w:p>
        </w:tc>
      </w:tr>
    </w:tbl>
    <w:p w14:paraId="2E849CE1" w14:textId="77777777" w:rsidR="00404BB9" w:rsidRPr="00404BB9" w:rsidRDefault="00404BB9" w:rsidP="00404BB9"/>
    <w:p w14:paraId="7ABBBF1E" w14:textId="77777777" w:rsidR="00404BB9" w:rsidRDefault="00404BB9" w:rsidP="00404BB9">
      <w:pPr>
        <w:tabs>
          <w:tab w:val="left" w:pos="3600"/>
        </w:tabs>
        <w:spacing w:line="360" w:lineRule="auto"/>
        <w:jc w:val="both"/>
        <w:rPr>
          <w:rFonts w:ascii="Times New Roman" w:hAnsi="Times New Roman" w:cs="Times New Roman"/>
          <w:b/>
        </w:rPr>
      </w:pPr>
    </w:p>
    <w:p w14:paraId="69AAD18C" w14:textId="77777777" w:rsidR="00776351" w:rsidRDefault="00776351" w:rsidP="00776351">
      <w:pPr>
        <w:spacing w:line="360" w:lineRule="auto"/>
        <w:jc w:val="both"/>
        <w:rPr>
          <w:rFonts w:ascii="Times New Roman" w:hAnsi="Times New Roman" w:cs="Times New Roman"/>
          <w:b/>
          <w:bCs/>
        </w:rPr>
      </w:pPr>
      <w:r>
        <w:rPr>
          <w:rFonts w:ascii="Times New Roman" w:hAnsi="Times New Roman" w:cs="Times New Roman"/>
          <w:b/>
          <w:bCs/>
        </w:rPr>
        <w:t>I</w:t>
      </w:r>
      <w:r w:rsidRPr="00776351">
        <w:rPr>
          <w:rFonts w:ascii="Times New Roman" w:hAnsi="Times New Roman" w:cs="Times New Roman"/>
          <w:b/>
          <w:bCs/>
        </w:rPr>
        <w:t>nterpretation</w:t>
      </w:r>
    </w:p>
    <w:p w14:paraId="353B8F89" w14:textId="0016CD77" w:rsidR="00404BB9" w:rsidRPr="00123046" w:rsidRDefault="00404BB9" w:rsidP="00404BB9">
      <w:pPr>
        <w:spacing w:line="360" w:lineRule="auto"/>
        <w:jc w:val="both"/>
        <w:rPr>
          <w:rFonts w:ascii="Times New Roman" w:hAnsi="Times New Roman" w:cs="Times New Roman"/>
        </w:rPr>
      </w:pPr>
      <w:r w:rsidRPr="00123046">
        <w:rPr>
          <w:rFonts w:ascii="Times New Roman" w:hAnsi="Times New Roman" w:cs="Times New Roman"/>
        </w:rPr>
        <w:t xml:space="preserve">The </w:t>
      </w:r>
      <w:r>
        <w:rPr>
          <w:rFonts w:ascii="Times New Roman" w:hAnsi="Times New Roman" w:cs="Times New Roman"/>
        </w:rPr>
        <w:t xml:space="preserve">above table is </w:t>
      </w:r>
      <w:r w:rsidRPr="00123046">
        <w:rPr>
          <w:rFonts w:ascii="Times New Roman" w:hAnsi="Times New Roman" w:cs="Times New Roman"/>
        </w:rPr>
        <w:t>analysis of customer green banking awareness</w:t>
      </w:r>
      <w:r>
        <w:rPr>
          <w:rFonts w:ascii="Times New Roman" w:hAnsi="Times New Roman" w:cs="Times New Roman"/>
        </w:rPr>
        <w:t xml:space="preserve"> so t</w:t>
      </w:r>
      <w:r w:rsidRPr="00123046">
        <w:rPr>
          <w:rFonts w:ascii="Times New Roman" w:hAnsi="Times New Roman" w:cs="Times New Roman"/>
        </w:rPr>
        <w:t>wo hypothes</w:t>
      </w:r>
      <w:r>
        <w:rPr>
          <w:rFonts w:ascii="Times New Roman" w:hAnsi="Times New Roman" w:cs="Times New Roman"/>
        </w:rPr>
        <w:t>i</w:t>
      </w:r>
      <w:r w:rsidRPr="00123046">
        <w:rPr>
          <w:rFonts w:ascii="Times New Roman" w:hAnsi="Times New Roman" w:cs="Times New Roman"/>
        </w:rPr>
        <w:t xml:space="preserve">s exist regarding this matter where </w:t>
      </w:r>
      <w:r>
        <w:rPr>
          <w:rFonts w:ascii="Times New Roman" w:hAnsi="Times New Roman" w:cs="Times New Roman"/>
        </w:rPr>
        <w:t>null hypothesis</w:t>
      </w:r>
      <w:r w:rsidRPr="00123046">
        <w:rPr>
          <w:rFonts w:ascii="Times New Roman" w:hAnsi="Times New Roman" w:cs="Times New Roman"/>
        </w:rPr>
        <w:t xml:space="preserve"> indicates no awareness exists but </w:t>
      </w:r>
      <w:r>
        <w:rPr>
          <w:rFonts w:ascii="Times New Roman" w:hAnsi="Times New Roman" w:cs="Times New Roman"/>
        </w:rPr>
        <w:t>alternative hypothesis</w:t>
      </w:r>
      <w:r w:rsidRPr="00123046">
        <w:rPr>
          <w:rFonts w:ascii="Times New Roman" w:hAnsi="Times New Roman" w:cs="Times New Roman"/>
        </w:rPr>
        <w:t xml:space="preserve"> suggests it does. All significance values in the table exceed 0.05 which proves there is no statistically significant impact from the predictors. Research for Awareness of green banking (p = 0.930), knowledge of green banking services (p = 0.329), sources of awareness (p = 0.479) and knowledge of bank policies (p = 0.376) shows no evidence to support rejecting </w:t>
      </w:r>
      <w:r>
        <w:rPr>
          <w:rFonts w:ascii="Times New Roman" w:hAnsi="Times New Roman" w:cs="Times New Roman"/>
        </w:rPr>
        <w:t>null hypothesis</w:t>
      </w:r>
      <w:r w:rsidRPr="00123046">
        <w:rPr>
          <w:rFonts w:ascii="Times New Roman" w:hAnsi="Times New Roman" w:cs="Times New Roman"/>
        </w:rPr>
        <w:t>. The data shows that customers do not demonstrate significant awareness about green banking initiatives since the p value (p = 0.083) is near the threshold but not compelling enough evidence.</w:t>
      </w:r>
    </w:p>
    <w:p w14:paraId="7F20D883" w14:textId="77777777" w:rsidR="00776351" w:rsidRDefault="00776351" w:rsidP="00776351">
      <w:pPr>
        <w:spacing w:line="360" w:lineRule="auto"/>
        <w:rPr>
          <w:rFonts w:ascii="Times New Roman" w:hAnsi="Times New Roman" w:cs="Times New Roman"/>
          <w:b/>
        </w:rPr>
      </w:pPr>
      <w:r w:rsidRPr="007128D7">
        <w:rPr>
          <w:rFonts w:ascii="Times New Roman" w:hAnsi="Times New Roman" w:cs="Times New Roman"/>
          <w:b/>
        </w:rPr>
        <w:t>VI. Findings, suggestion and conclusion</w:t>
      </w:r>
    </w:p>
    <w:p w14:paraId="2A1F27A8" w14:textId="77777777" w:rsidR="007128D7" w:rsidRPr="007128D7" w:rsidRDefault="007128D7" w:rsidP="007128D7">
      <w:pPr>
        <w:spacing w:line="360" w:lineRule="auto"/>
        <w:rPr>
          <w:rFonts w:ascii="Times New Roman" w:hAnsi="Times New Roman" w:cs="Times New Roman"/>
          <w:b/>
        </w:rPr>
      </w:pPr>
      <w:r>
        <w:rPr>
          <w:rFonts w:ascii="Times New Roman" w:hAnsi="Times New Roman" w:cs="Times New Roman"/>
          <w:b/>
        </w:rPr>
        <w:t>Findings</w:t>
      </w:r>
    </w:p>
    <w:p w14:paraId="48AF2151" w14:textId="18EA1FDB" w:rsidR="00474E51" w:rsidRPr="00474E51" w:rsidRDefault="00474E51" w:rsidP="00474E51">
      <w:pPr>
        <w:pStyle w:val="ListParagraph"/>
        <w:numPr>
          <w:ilvl w:val="0"/>
          <w:numId w:val="3"/>
        </w:numPr>
        <w:tabs>
          <w:tab w:val="left" w:pos="3135"/>
        </w:tabs>
        <w:spacing w:line="360" w:lineRule="auto"/>
        <w:jc w:val="both"/>
        <w:rPr>
          <w:rFonts w:ascii="Times New Roman" w:hAnsi="Times New Roman" w:cs="Times New Roman"/>
          <w:lang w:val="en-IN"/>
        </w:rPr>
      </w:pPr>
      <w:r w:rsidRPr="00D92E42">
        <w:rPr>
          <w:rFonts w:ascii="Times New Roman" w:hAnsi="Times New Roman" w:cs="Times New Roman"/>
          <w:lang w:val="en-IN"/>
        </w:rPr>
        <w:t>The results from regression analysis revealed that all significance values surpassed the threshold of 0.05 thus demonstrating no statistical evidence that customers possess broad knowledge regarding these initiatives.</w:t>
      </w:r>
    </w:p>
    <w:p w14:paraId="019DF9F8" w14:textId="77777777" w:rsidR="00474E51" w:rsidRPr="00D92E42" w:rsidRDefault="00474E51" w:rsidP="00474E51">
      <w:pPr>
        <w:pStyle w:val="ListParagraph"/>
        <w:numPr>
          <w:ilvl w:val="0"/>
          <w:numId w:val="3"/>
        </w:numPr>
        <w:tabs>
          <w:tab w:val="left" w:pos="3135"/>
        </w:tabs>
        <w:spacing w:line="360" w:lineRule="auto"/>
        <w:jc w:val="both"/>
        <w:rPr>
          <w:rFonts w:ascii="Times New Roman" w:hAnsi="Times New Roman" w:cs="Times New Roman"/>
          <w:lang w:val="en-IN"/>
        </w:rPr>
      </w:pPr>
      <w:r w:rsidRPr="00D92E42">
        <w:rPr>
          <w:rFonts w:ascii="Times New Roman" w:hAnsi="Times New Roman" w:cs="Times New Roman"/>
          <w:lang w:val="en-IN"/>
        </w:rPr>
        <w:t>The banks must enhance their distribution of green banking educational materials to improve consumer awareness about such initiatives.</w:t>
      </w:r>
    </w:p>
    <w:p w14:paraId="2A4759B9" w14:textId="77777777" w:rsidR="007128D7" w:rsidRDefault="007128D7" w:rsidP="007128D7">
      <w:pPr>
        <w:spacing w:line="360" w:lineRule="auto"/>
        <w:rPr>
          <w:rFonts w:ascii="Times New Roman" w:hAnsi="Times New Roman" w:cs="Times New Roman"/>
          <w:b/>
        </w:rPr>
      </w:pPr>
      <w:r>
        <w:rPr>
          <w:rFonts w:ascii="Times New Roman" w:hAnsi="Times New Roman" w:cs="Times New Roman"/>
          <w:b/>
        </w:rPr>
        <w:lastRenderedPageBreak/>
        <w:t>S</w:t>
      </w:r>
      <w:r w:rsidRPr="007128D7">
        <w:rPr>
          <w:rFonts w:ascii="Times New Roman" w:hAnsi="Times New Roman" w:cs="Times New Roman"/>
          <w:b/>
        </w:rPr>
        <w:t>uggestion</w:t>
      </w:r>
    </w:p>
    <w:p w14:paraId="3F58BF95" w14:textId="395843F5" w:rsidR="007128D7" w:rsidRPr="007128D7" w:rsidRDefault="00474E51" w:rsidP="00064C7F">
      <w:pPr>
        <w:pStyle w:val="ListParagraph"/>
        <w:numPr>
          <w:ilvl w:val="0"/>
          <w:numId w:val="4"/>
        </w:numPr>
        <w:spacing w:line="360" w:lineRule="auto"/>
        <w:jc w:val="both"/>
        <w:rPr>
          <w:rFonts w:ascii="Times New Roman" w:hAnsi="Times New Roman" w:cs="Times New Roman"/>
        </w:rPr>
      </w:pPr>
      <w:r w:rsidRPr="00C77DE9">
        <w:rPr>
          <w:rFonts w:ascii="Times New Roman" w:hAnsi="Times New Roman" w:cs="Times New Roman"/>
          <w:lang w:val="en-IN"/>
        </w:rPr>
        <w:t xml:space="preserve">Financial institutions need to create specific programs that will spread information about green banking initiatives through social media channels alongside email marketing and branch promotional </w:t>
      </w:r>
      <w:r>
        <w:rPr>
          <w:rFonts w:ascii="Times New Roman" w:hAnsi="Times New Roman" w:cs="Times New Roman"/>
        </w:rPr>
        <w:t>materials.</w:t>
      </w:r>
    </w:p>
    <w:p w14:paraId="7E16FE4C" w14:textId="77777777" w:rsidR="00474E51" w:rsidRPr="00C77DE9" w:rsidRDefault="00474E51" w:rsidP="00474E51">
      <w:pPr>
        <w:pStyle w:val="ListParagraph"/>
        <w:numPr>
          <w:ilvl w:val="0"/>
          <w:numId w:val="4"/>
        </w:numPr>
        <w:tabs>
          <w:tab w:val="left" w:pos="3135"/>
        </w:tabs>
        <w:spacing w:line="360" w:lineRule="auto"/>
        <w:jc w:val="both"/>
        <w:rPr>
          <w:rFonts w:ascii="Times New Roman" w:hAnsi="Times New Roman" w:cs="Times New Roman"/>
          <w:lang w:val="en-IN"/>
        </w:rPr>
      </w:pPr>
      <w:r w:rsidRPr="00C77DE9">
        <w:rPr>
          <w:rFonts w:ascii="Times New Roman" w:hAnsi="Times New Roman" w:cs="Times New Roman"/>
          <w:lang w:val="en-IN"/>
        </w:rPr>
        <w:t>Customer participation in workshops along with webinars about green banking benefits will enhance their knowledge base.</w:t>
      </w:r>
    </w:p>
    <w:p w14:paraId="62DFA91A" w14:textId="77777777" w:rsidR="00474E51" w:rsidRPr="00C77DE9" w:rsidRDefault="00474E51" w:rsidP="00474E51">
      <w:pPr>
        <w:pStyle w:val="ListParagraph"/>
        <w:numPr>
          <w:ilvl w:val="0"/>
          <w:numId w:val="4"/>
        </w:numPr>
        <w:tabs>
          <w:tab w:val="left" w:pos="3135"/>
        </w:tabs>
        <w:spacing w:line="360" w:lineRule="auto"/>
        <w:jc w:val="both"/>
        <w:rPr>
          <w:rFonts w:ascii="Times New Roman" w:hAnsi="Times New Roman" w:cs="Times New Roman"/>
          <w:lang w:val="en-IN"/>
        </w:rPr>
      </w:pPr>
      <w:r w:rsidRPr="00C77DE9">
        <w:rPr>
          <w:rFonts w:ascii="Times New Roman" w:hAnsi="Times New Roman" w:cs="Times New Roman"/>
          <w:lang w:val="en-IN"/>
        </w:rPr>
        <w:t>Education institutions should join forces with banks to promote green banking knowledge toward younger students.</w:t>
      </w:r>
    </w:p>
    <w:p w14:paraId="3B0E971B" w14:textId="77777777" w:rsidR="00474E51" w:rsidRPr="00C77DE9" w:rsidRDefault="00474E51" w:rsidP="00474E51">
      <w:pPr>
        <w:pStyle w:val="ListParagraph"/>
        <w:numPr>
          <w:ilvl w:val="0"/>
          <w:numId w:val="4"/>
        </w:numPr>
        <w:tabs>
          <w:tab w:val="left" w:pos="3135"/>
        </w:tabs>
        <w:spacing w:line="360" w:lineRule="auto"/>
        <w:jc w:val="both"/>
        <w:rPr>
          <w:rFonts w:ascii="Times New Roman" w:hAnsi="Times New Roman" w:cs="Times New Roman"/>
          <w:lang w:val="en-IN"/>
        </w:rPr>
      </w:pPr>
      <w:r w:rsidRPr="00C77DE9">
        <w:rPr>
          <w:rFonts w:ascii="Times New Roman" w:hAnsi="Times New Roman" w:cs="Times New Roman"/>
          <w:lang w:val="en-IN"/>
        </w:rPr>
        <w:t>User-friendly digital banking programs that simplify mobile application interfaces as well as online banking management systems enable higher acceptance rates.</w:t>
      </w:r>
    </w:p>
    <w:p w14:paraId="48C42C6D" w14:textId="77777777" w:rsidR="00863219" w:rsidRDefault="007128D7" w:rsidP="0063226D">
      <w:pPr>
        <w:spacing w:line="360" w:lineRule="auto"/>
        <w:rPr>
          <w:rFonts w:ascii="Times New Roman" w:hAnsi="Times New Roman" w:cs="Times New Roman"/>
          <w:b/>
          <w:bCs/>
        </w:rPr>
      </w:pPr>
      <w:r>
        <w:rPr>
          <w:rFonts w:ascii="Times New Roman" w:hAnsi="Times New Roman" w:cs="Times New Roman"/>
          <w:b/>
          <w:bCs/>
        </w:rPr>
        <w:t>C</w:t>
      </w:r>
      <w:r w:rsidRPr="007128D7">
        <w:rPr>
          <w:rFonts w:ascii="Times New Roman" w:hAnsi="Times New Roman" w:cs="Times New Roman"/>
          <w:b/>
          <w:bCs/>
        </w:rPr>
        <w:t>onclusion</w:t>
      </w:r>
    </w:p>
    <w:p w14:paraId="04E1FE85" w14:textId="56DECFEF" w:rsidR="00474E51" w:rsidRPr="003D2F35" w:rsidRDefault="00474E51" w:rsidP="006F32F0">
      <w:pPr>
        <w:spacing w:line="360" w:lineRule="auto"/>
        <w:jc w:val="both"/>
        <w:rPr>
          <w:rFonts w:ascii="Times New Roman" w:hAnsi="Times New Roman" w:cs="Times New Roman"/>
          <w:lang w:val="en-IN"/>
        </w:rPr>
      </w:pPr>
      <w:r w:rsidRPr="00824DD7">
        <w:rPr>
          <w:rFonts w:ascii="Times New Roman" w:hAnsi="Times New Roman" w:cs="Times New Roman"/>
          <w:lang w:val="en-IN"/>
        </w:rPr>
        <w:t>Green banking plays a crucial role in promoting sustainable financial practices, yet its success depends on</w:t>
      </w:r>
      <w:r>
        <w:rPr>
          <w:rFonts w:ascii="Times New Roman" w:hAnsi="Times New Roman" w:cs="Times New Roman"/>
          <w:lang w:val="en-IN"/>
        </w:rPr>
        <w:t xml:space="preserve"> </w:t>
      </w:r>
      <w:r w:rsidRPr="00824DD7">
        <w:rPr>
          <w:rFonts w:ascii="Times New Roman" w:hAnsi="Times New Roman" w:cs="Times New Roman"/>
          <w:lang w:val="en-IN"/>
        </w:rPr>
        <w:t>customer awareness together with adoption and effectiveness for sustainable financial practice promotion. The research analy</w:t>
      </w:r>
      <w:r>
        <w:rPr>
          <w:rFonts w:ascii="Times New Roman" w:hAnsi="Times New Roman" w:cs="Times New Roman"/>
          <w:lang w:val="en-IN"/>
        </w:rPr>
        <w:t>s</w:t>
      </w:r>
      <w:r w:rsidRPr="00824DD7">
        <w:rPr>
          <w:rFonts w:ascii="Times New Roman" w:hAnsi="Times New Roman" w:cs="Times New Roman"/>
          <w:lang w:val="en-IN"/>
        </w:rPr>
        <w:t>ed these domains using SBI as well as HDFC and ICICI as examples. Information based on the study reveals green banking demonstrates substantial potential for sustainability yet customers show limited awareness about it while adoption faces multiple obstacles that affect its effectiveness apart from particular variables</w:t>
      </w:r>
      <w:r>
        <w:rPr>
          <w:rFonts w:ascii="Times New Roman" w:hAnsi="Times New Roman" w:cs="Times New Roman"/>
          <w:lang w:val="en-IN"/>
        </w:rPr>
        <w:t xml:space="preserve">. </w:t>
      </w:r>
      <w:r w:rsidRPr="00824DD7">
        <w:rPr>
          <w:rFonts w:ascii="Times New Roman" w:hAnsi="Times New Roman" w:cs="Times New Roman"/>
          <w:lang w:val="en-IN"/>
        </w:rPr>
        <w:t>This research established that people understand very little about the green banking programs banks offer. The p-values of 0.930 for awareness combined with 0.329 for green banking services knowledge and 0.479 for sources of awareness and 0.376 for bank policy awareness measured above 0.05 to indicate these factors had no significant impact on customer comprehension. The measurement of overall awareness reached a p-value of 0.083 yet remained insufficient to establish high awareness levels. Data shows that customers demonstrate inadequate knowledge about green banking benefits together with availability of these services.</w:t>
      </w:r>
      <w:r>
        <w:rPr>
          <w:rFonts w:ascii="Times New Roman" w:hAnsi="Times New Roman" w:cs="Times New Roman"/>
          <w:lang w:val="en-IN"/>
        </w:rPr>
        <w:t xml:space="preserve"> </w:t>
      </w:r>
      <w:r w:rsidRPr="00824DD7">
        <w:rPr>
          <w:rFonts w:ascii="Times New Roman" w:hAnsi="Times New Roman" w:cs="Times New Roman"/>
          <w:lang w:val="en-IN"/>
        </w:rPr>
        <w:t>Low customer awareness of green banking demonstrates that banks must implement better marketing approaches to spread awareness coupled with educational initiatives supported by specific customer-targeted awareness programs. Customer adoption of green banking services becomes less likely when their environmental awareness is not supported by enough knowledge about green banking options.</w:t>
      </w:r>
    </w:p>
    <w:p w14:paraId="6A9BDA9E" w14:textId="77777777" w:rsidR="006D6735" w:rsidRDefault="006D6735" w:rsidP="006F32F0">
      <w:pPr>
        <w:spacing w:line="360" w:lineRule="auto"/>
        <w:jc w:val="both"/>
        <w:rPr>
          <w:rFonts w:ascii="Times New Roman" w:hAnsi="Times New Roman" w:cs="Times New Roman"/>
          <w:b/>
        </w:rPr>
      </w:pPr>
    </w:p>
    <w:p w14:paraId="1C3CCF8D" w14:textId="4F682D3A" w:rsidR="00064C7F" w:rsidRDefault="00064C7F" w:rsidP="006F32F0">
      <w:pPr>
        <w:spacing w:line="360" w:lineRule="auto"/>
        <w:jc w:val="both"/>
        <w:rPr>
          <w:rFonts w:ascii="Times New Roman" w:hAnsi="Times New Roman" w:cs="Times New Roman"/>
          <w:b/>
        </w:rPr>
      </w:pPr>
      <w:r w:rsidRPr="00064C7F">
        <w:rPr>
          <w:rFonts w:ascii="Times New Roman" w:hAnsi="Times New Roman" w:cs="Times New Roman"/>
          <w:b/>
        </w:rPr>
        <w:lastRenderedPageBreak/>
        <w:t>VII. References</w:t>
      </w:r>
    </w:p>
    <w:p w14:paraId="3F699D28" w14:textId="77777777" w:rsidR="00474E51" w:rsidRPr="00474E51" w:rsidRDefault="00474E51" w:rsidP="00474E51">
      <w:pPr>
        <w:pStyle w:val="ListParagraph"/>
        <w:numPr>
          <w:ilvl w:val="0"/>
          <w:numId w:val="5"/>
        </w:numPr>
        <w:spacing w:line="360" w:lineRule="auto"/>
        <w:jc w:val="both"/>
        <w:rPr>
          <w:rFonts w:ascii="Times New Roman" w:hAnsi="Times New Roman" w:cs="Times New Roman"/>
          <w:b/>
          <w:bCs/>
          <w:u w:val="single"/>
          <w:lang w:val="en-IN"/>
        </w:rPr>
      </w:pPr>
      <w:r w:rsidRPr="00474E51">
        <w:rPr>
          <w:rFonts w:ascii="Times New Roman" w:hAnsi="Times New Roman" w:cs="Times New Roman"/>
          <w:lang w:val="en-IN"/>
        </w:rPr>
        <w:t>Gupta, V., &amp; Chaddha, S. Fostering Green Finance towards Sustainable Development Practices in India</w:t>
      </w:r>
      <w:r w:rsidRPr="00474E51">
        <w:rPr>
          <w:rFonts w:ascii="Times New Roman" w:hAnsi="Times New Roman" w:cs="Times New Roman"/>
          <w:b/>
          <w:bCs/>
          <w:lang w:val="en-IN"/>
        </w:rPr>
        <w:t>.</w:t>
      </w:r>
    </w:p>
    <w:p w14:paraId="0D1F3260" w14:textId="77777777" w:rsidR="00474E51" w:rsidRPr="00474E51" w:rsidRDefault="00474E51" w:rsidP="00474E51">
      <w:pPr>
        <w:pStyle w:val="ListParagraph"/>
        <w:numPr>
          <w:ilvl w:val="0"/>
          <w:numId w:val="5"/>
        </w:numPr>
        <w:spacing w:line="360" w:lineRule="auto"/>
        <w:jc w:val="both"/>
        <w:rPr>
          <w:rFonts w:ascii="Times New Roman" w:hAnsi="Times New Roman" w:cs="Times New Roman"/>
          <w:b/>
          <w:bCs/>
          <w:lang w:val="en-IN"/>
        </w:rPr>
      </w:pPr>
      <w:r w:rsidRPr="00474E51">
        <w:rPr>
          <w:rFonts w:ascii="Times New Roman" w:hAnsi="Times New Roman" w:cs="Times New Roman"/>
          <w:lang w:val="en-IN"/>
        </w:rPr>
        <w:t>Tiwari, S. A Market Analysis of Potential Investment in Green Bonds and it’s Contribution to Sustainable Development</w:t>
      </w:r>
      <w:r w:rsidRPr="00474E51">
        <w:rPr>
          <w:rFonts w:ascii="Times New Roman" w:hAnsi="Times New Roman" w:cs="Times New Roman"/>
          <w:b/>
          <w:bCs/>
          <w:lang w:val="en-IN"/>
        </w:rPr>
        <w:t>.</w:t>
      </w:r>
    </w:p>
    <w:p w14:paraId="21E40DFF" w14:textId="77777777" w:rsidR="00474E51" w:rsidRPr="00474E51" w:rsidRDefault="00474E51" w:rsidP="00474E51">
      <w:pPr>
        <w:pStyle w:val="ListParagraph"/>
        <w:numPr>
          <w:ilvl w:val="0"/>
          <w:numId w:val="5"/>
        </w:numPr>
        <w:spacing w:line="360" w:lineRule="auto"/>
        <w:jc w:val="both"/>
        <w:rPr>
          <w:rFonts w:ascii="Times New Roman" w:hAnsi="Times New Roman" w:cs="Times New Roman"/>
          <w:lang w:val="en-IN"/>
        </w:rPr>
      </w:pPr>
      <w:r w:rsidRPr="00474E51">
        <w:rPr>
          <w:rFonts w:ascii="Times New Roman" w:hAnsi="Times New Roman" w:cs="Times New Roman"/>
          <w:lang w:val="en-IN"/>
        </w:rPr>
        <w:t>KH, A., &amp; Nedumaran, D. G. (2023). Green Bonds–a Boon for Institutional Investors. Available at SSRN 4525603.</w:t>
      </w:r>
    </w:p>
    <w:p w14:paraId="662CBC57" w14:textId="77777777" w:rsidR="003D2F35" w:rsidRPr="003D2F35" w:rsidRDefault="003D2F35" w:rsidP="003D2F35">
      <w:pPr>
        <w:pStyle w:val="ListParagraph"/>
        <w:numPr>
          <w:ilvl w:val="0"/>
          <w:numId w:val="5"/>
        </w:numPr>
        <w:spacing w:line="360" w:lineRule="auto"/>
        <w:jc w:val="both"/>
        <w:rPr>
          <w:rFonts w:ascii="Times New Roman" w:hAnsi="Times New Roman" w:cs="Times New Roman"/>
          <w:lang w:val="en-IN"/>
        </w:rPr>
      </w:pPr>
      <w:r w:rsidRPr="003D2F35">
        <w:rPr>
          <w:rFonts w:ascii="Times New Roman" w:hAnsi="Times New Roman" w:cs="Times New Roman"/>
          <w:lang w:val="en-IN"/>
        </w:rPr>
        <w:t>Sahoo, M. K. (2023). Green Accounting Practices and their Influence on the Performance of Commercial Banks: A Conceptual Analysis. International Journal of Scientific Research in Engineering and Management (IJSREM), 7(8), 1-22.</w:t>
      </w:r>
    </w:p>
    <w:p w14:paraId="28A6F80D" w14:textId="77777777" w:rsidR="003D2F35" w:rsidRPr="003D2F35" w:rsidRDefault="003D2F35" w:rsidP="003D2F35">
      <w:pPr>
        <w:pStyle w:val="ListParagraph"/>
        <w:numPr>
          <w:ilvl w:val="0"/>
          <w:numId w:val="5"/>
        </w:numPr>
        <w:spacing w:line="360" w:lineRule="auto"/>
        <w:jc w:val="both"/>
        <w:rPr>
          <w:rFonts w:ascii="Times New Roman" w:hAnsi="Times New Roman" w:cs="Times New Roman"/>
          <w:lang w:val="en-IN"/>
        </w:rPr>
      </w:pPr>
      <w:r w:rsidRPr="003D2F35">
        <w:rPr>
          <w:rFonts w:ascii="Times New Roman" w:hAnsi="Times New Roman" w:cs="Times New Roman"/>
          <w:lang w:val="en-IN"/>
        </w:rPr>
        <w:t>Bansal, N., Taneja, S., &amp; Ozen, E. (2023). Green Financing as a Bridge Between Green Banking Strategies and Environmental Performance in Punjab, India. International Journal of Sustainable Development &amp; Planning, 18(10).</w:t>
      </w:r>
    </w:p>
    <w:p w14:paraId="36AD85BF" w14:textId="77777777" w:rsidR="00064C7F" w:rsidRDefault="00064C7F" w:rsidP="006F32F0">
      <w:pPr>
        <w:spacing w:line="360" w:lineRule="auto"/>
        <w:jc w:val="both"/>
        <w:rPr>
          <w:rFonts w:ascii="Times New Roman" w:hAnsi="Times New Roman" w:cs="Times New Roman"/>
        </w:rPr>
      </w:pPr>
    </w:p>
    <w:p w14:paraId="39F0B52C" w14:textId="77777777" w:rsidR="00064C7F" w:rsidRPr="007128D7" w:rsidRDefault="00064C7F" w:rsidP="006F32F0">
      <w:pPr>
        <w:spacing w:line="360" w:lineRule="auto"/>
        <w:jc w:val="both"/>
        <w:rPr>
          <w:rFonts w:ascii="Times New Roman" w:hAnsi="Times New Roman" w:cs="Times New Roman"/>
        </w:rPr>
      </w:pPr>
    </w:p>
    <w:sectPr w:rsidR="00064C7F" w:rsidRPr="007128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ED35F" w14:textId="77777777" w:rsidR="00163CFA" w:rsidRDefault="00163CFA" w:rsidP="00064C7F">
      <w:pPr>
        <w:spacing w:after="0" w:line="240" w:lineRule="auto"/>
      </w:pPr>
      <w:r>
        <w:separator/>
      </w:r>
    </w:p>
  </w:endnote>
  <w:endnote w:type="continuationSeparator" w:id="0">
    <w:p w14:paraId="6B54EE42" w14:textId="77777777" w:rsidR="00163CFA" w:rsidRDefault="00163CFA" w:rsidP="0006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57A4" w14:textId="77777777" w:rsidR="00064C7F" w:rsidRDefault="00064C7F">
    <w:pPr>
      <w:pStyle w:val="Footer"/>
    </w:pPr>
  </w:p>
  <w:p w14:paraId="57530D5C" w14:textId="77777777" w:rsidR="00064C7F" w:rsidRDefault="00064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A82CA" w14:textId="77777777" w:rsidR="00163CFA" w:rsidRDefault="00163CFA" w:rsidP="00064C7F">
      <w:pPr>
        <w:spacing w:after="0" w:line="240" w:lineRule="auto"/>
      </w:pPr>
      <w:r>
        <w:separator/>
      </w:r>
    </w:p>
  </w:footnote>
  <w:footnote w:type="continuationSeparator" w:id="0">
    <w:p w14:paraId="22E252F3" w14:textId="77777777" w:rsidR="00163CFA" w:rsidRDefault="00163CFA" w:rsidP="00064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1F1"/>
    <w:multiLevelType w:val="hybridMultilevel"/>
    <w:tmpl w:val="ABE4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094F"/>
    <w:multiLevelType w:val="hybridMultilevel"/>
    <w:tmpl w:val="7346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8301F"/>
    <w:multiLevelType w:val="hybridMultilevel"/>
    <w:tmpl w:val="BBD8CB90"/>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62C6"/>
    <w:multiLevelType w:val="hybridMultilevel"/>
    <w:tmpl w:val="3B7C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5557D"/>
    <w:multiLevelType w:val="multilevel"/>
    <w:tmpl w:val="FFFFFFFF"/>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2520B3"/>
    <w:multiLevelType w:val="hybridMultilevel"/>
    <w:tmpl w:val="DDA4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50F0F"/>
    <w:multiLevelType w:val="hybridMultilevel"/>
    <w:tmpl w:val="C19E3EB0"/>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264B3"/>
    <w:multiLevelType w:val="hybridMultilevel"/>
    <w:tmpl w:val="09903D0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F1331"/>
    <w:multiLevelType w:val="hybridMultilevel"/>
    <w:tmpl w:val="0716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25E3C"/>
    <w:multiLevelType w:val="hybridMultilevel"/>
    <w:tmpl w:val="53041D0C"/>
    <w:lvl w:ilvl="0" w:tplc="4009000B">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75947C65"/>
    <w:multiLevelType w:val="hybridMultilevel"/>
    <w:tmpl w:val="8D2400E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91016">
    <w:abstractNumId w:val="4"/>
  </w:num>
  <w:num w:numId="2" w16cid:durableId="1222643384">
    <w:abstractNumId w:val="5"/>
  </w:num>
  <w:num w:numId="3" w16cid:durableId="317611939">
    <w:abstractNumId w:val="8"/>
  </w:num>
  <w:num w:numId="4" w16cid:durableId="261763746">
    <w:abstractNumId w:val="1"/>
  </w:num>
  <w:num w:numId="5" w16cid:durableId="1174607012">
    <w:abstractNumId w:val="0"/>
  </w:num>
  <w:num w:numId="6" w16cid:durableId="52778283">
    <w:abstractNumId w:val="3"/>
  </w:num>
  <w:num w:numId="7" w16cid:durableId="16083766">
    <w:abstractNumId w:val="6"/>
  </w:num>
  <w:num w:numId="8" w16cid:durableId="1143766823">
    <w:abstractNumId w:val="7"/>
  </w:num>
  <w:num w:numId="9" w16cid:durableId="694035998">
    <w:abstractNumId w:val="10"/>
  </w:num>
  <w:num w:numId="10" w16cid:durableId="1891454773">
    <w:abstractNumId w:val="9"/>
  </w:num>
  <w:num w:numId="11" w16cid:durableId="529685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FB"/>
    <w:rsid w:val="000120A2"/>
    <w:rsid w:val="00053242"/>
    <w:rsid w:val="00064C7F"/>
    <w:rsid w:val="001234F5"/>
    <w:rsid w:val="00133304"/>
    <w:rsid w:val="00163CFA"/>
    <w:rsid w:val="002A1E48"/>
    <w:rsid w:val="0035420E"/>
    <w:rsid w:val="00366FE4"/>
    <w:rsid w:val="003D2F35"/>
    <w:rsid w:val="003E65A4"/>
    <w:rsid w:val="003E666D"/>
    <w:rsid w:val="00404BB9"/>
    <w:rsid w:val="0043079F"/>
    <w:rsid w:val="0046239D"/>
    <w:rsid w:val="00464908"/>
    <w:rsid w:val="00474E51"/>
    <w:rsid w:val="004A123D"/>
    <w:rsid w:val="005A7B20"/>
    <w:rsid w:val="005B26CD"/>
    <w:rsid w:val="005D5992"/>
    <w:rsid w:val="0063226D"/>
    <w:rsid w:val="006777D1"/>
    <w:rsid w:val="006D6735"/>
    <w:rsid w:val="006F32F0"/>
    <w:rsid w:val="007128D7"/>
    <w:rsid w:val="00776351"/>
    <w:rsid w:val="00792EE1"/>
    <w:rsid w:val="007A7A97"/>
    <w:rsid w:val="008122F0"/>
    <w:rsid w:val="008243FB"/>
    <w:rsid w:val="00863219"/>
    <w:rsid w:val="008A175B"/>
    <w:rsid w:val="009332B8"/>
    <w:rsid w:val="00933F3D"/>
    <w:rsid w:val="009356F5"/>
    <w:rsid w:val="00A37B6C"/>
    <w:rsid w:val="00B34B94"/>
    <w:rsid w:val="00B8645D"/>
    <w:rsid w:val="00BE1462"/>
    <w:rsid w:val="00BE55CD"/>
    <w:rsid w:val="00C8080C"/>
    <w:rsid w:val="00CC5270"/>
    <w:rsid w:val="00D64D59"/>
    <w:rsid w:val="00E014BE"/>
    <w:rsid w:val="00E15D24"/>
    <w:rsid w:val="00E45C17"/>
    <w:rsid w:val="00E53C16"/>
    <w:rsid w:val="00E8439E"/>
    <w:rsid w:val="00EC20A2"/>
    <w:rsid w:val="00FB741D"/>
    <w:rsid w:val="00FC2023"/>
    <w:rsid w:val="00FC61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C168"/>
  <w15:chartTrackingRefBased/>
  <w15:docId w15:val="{30DD6CFA-8ADC-4499-AA3C-40E87CF1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FB"/>
    <w:pPr>
      <w:spacing w:line="278" w:lineRule="auto"/>
    </w:pPr>
    <w:rPr>
      <w:rFonts w:eastAsiaTheme="minorEastAsia"/>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3FB"/>
    <w:rPr>
      <w:color w:val="0563C1" w:themeColor="hyperlink"/>
      <w:u w:val="single"/>
    </w:rPr>
  </w:style>
  <w:style w:type="paragraph" w:styleId="ListParagraph">
    <w:name w:val="List Paragraph"/>
    <w:basedOn w:val="Normal"/>
    <w:uiPriority w:val="34"/>
    <w:qFormat/>
    <w:rsid w:val="000120A2"/>
    <w:pPr>
      <w:ind w:left="720"/>
      <w:contextualSpacing/>
    </w:pPr>
  </w:style>
  <w:style w:type="table" w:styleId="TableGrid">
    <w:name w:val="Table Grid"/>
    <w:basedOn w:val="TableNormal"/>
    <w:uiPriority w:val="39"/>
    <w:rsid w:val="00776351"/>
    <w:pPr>
      <w:spacing w:after="0" w:line="240" w:lineRule="auto"/>
    </w:pPr>
    <w:rPr>
      <w:rFonts w:eastAsiaTheme="minorEastAsia"/>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C7F"/>
    <w:rPr>
      <w:rFonts w:eastAsiaTheme="minorEastAsia"/>
      <w:kern w:val="2"/>
      <w:sz w:val="24"/>
      <w:szCs w:val="24"/>
      <w14:ligatures w14:val="standardContextual"/>
    </w:rPr>
  </w:style>
  <w:style w:type="paragraph" w:styleId="Footer">
    <w:name w:val="footer"/>
    <w:basedOn w:val="Normal"/>
    <w:link w:val="FooterChar"/>
    <w:uiPriority w:val="99"/>
    <w:unhideWhenUsed/>
    <w:rsid w:val="00064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C7F"/>
    <w:rPr>
      <w:rFonts w:eastAsiaTheme="minorEastAsia"/>
      <w:kern w:val="2"/>
      <w:sz w:val="24"/>
      <w:szCs w:val="24"/>
      <w14:ligatures w14:val="standardContextual"/>
    </w:rPr>
  </w:style>
  <w:style w:type="paragraph" w:styleId="NormalWeb">
    <w:name w:val="Normal (Web)"/>
    <w:basedOn w:val="Normal"/>
    <w:uiPriority w:val="99"/>
    <w:semiHidden/>
    <w:unhideWhenUsed/>
    <w:rsid w:val="00064C7F"/>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064C7F"/>
    <w:rPr>
      <w:i/>
      <w:iCs/>
    </w:rPr>
  </w:style>
  <w:style w:type="character" w:styleId="UnresolvedMention">
    <w:name w:val="Unresolved Mention"/>
    <w:basedOn w:val="DefaultParagraphFont"/>
    <w:uiPriority w:val="99"/>
    <w:semiHidden/>
    <w:unhideWhenUsed/>
    <w:rsid w:val="00CC5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rvidu2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dhumalathi@kristujayan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BB08-1F68-43CF-97B8-6885C547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nairvidya26@hotmail.com</cp:lastModifiedBy>
  <cp:revision>4</cp:revision>
  <cp:lastPrinted>2025-03-15T07:24:00Z</cp:lastPrinted>
  <dcterms:created xsi:type="dcterms:W3CDTF">2025-03-15T07:20:00Z</dcterms:created>
  <dcterms:modified xsi:type="dcterms:W3CDTF">2025-03-15T08:28:00Z</dcterms:modified>
</cp:coreProperties>
</file>