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uppressAutoHyphens w:val="1"/>
        <w:spacing w:before="0" w:after="240" w:line="240" w:lineRule="auto"/>
        <w:jc w:val="center"/>
        <w:rPr>
          <w:rFonts w:ascii="Times Roman" w:cs="Times Roman" w:hAnsi="Times Roman" w:eastAsia="Times Roman"/>
          <w:b w:val="1"/>
          <w:bCs w:val="1"/>
          <w:sz w:val="28"/>
          <w:szCs w:val="28"/>
        </w:rPr>
      </w:pPr>
      <w:r>
        <w:rPr>
          <w:rFonts w:ascii="Times Roman" w:hAnsi="Times Roman"/>
          <w:b w:val="1"/>
          <w:bCs w:val="1"/>
          <w:sz w:val="28"/>
          <w:szCs w:val="28"/>
          <w:rtl w:val="0"/>
          <w:lang w:val="en-US"/>
        </w:rPr>
        <w:t>The Rise of Explainable AI (XAI): Enhancing Transparency, Trust, and Accountability in Machine Learning Models</w:t>
      </w:r>
    </w:p>
    <w:p>
      <w:pPr>
        <w:pStyle w:val="Default"/>
        <w:suppressAutoHyphens w:val="1"/>
        <w:bidi w:val="0"/>
        <w:spacing w:before="0" w:after="400" w:line="240" w:lineRule="auto"/>
        <w:ind w:left="720" w:right="0" w:firstLine="0"/>
        <w:jc w:val="center"/>
        <w:rPr>
          <w:rFonts w:ascii="Helvetica" w:cs="Helvetica" w:hAnsi="Helvetica" w:eastAsia="Helvetica"/>
          <w:u w:color="000000"/>
          <w:rtl w:val="0"/>
          <w:lang w:val="en-US"/>
          <w14:textOutline w14:w="12700" w14:cap="flat">
            <w14:noFill/>
            <w14:miter w14:lim="400000"/>
          </w14:textOutline>
        </w:rPr>
      </w:pPr>
      <w:r>
        <w:rPr>
          <w:rFonts w:ascii="Helvetica" w:hAnsi="Helvetica"/>
          <w:u w:color="000000"/>
          <w:rtl w:val="0"/>
          <w:lang w:val="en-US"/>
          <w14:textOutline w14:w="12700" w14:cap="flat">
            <w14:noFill/>
            <w14:miter w14:lim="400000"/>
          </w14:textOutline>
        </w:rPr>
        <w:t>Dr. Latika Kharb</w:t>
      </w:r>
      <w:r>
        <w:rPr>
          <w:rFonts w:ascii="Helvetica" w:hAnsi="Helvetica"/>
          <w:u w:color="000000"/>
          <w:rtl w:val="0"/>
          <w:lang w:val="en-US"/>
          <w14:textOutline w14:w="12700" w14:cap="flat">
            <w14:noFill/>
            <w14:miter w14:lim="400000"/>
          </w14:textOutline>
        </w:rPr>
        <w:t>, Dr. Deepak Chahal</w:t>
      </w:r>
    </w:p>
    <w:p>
      <w:pPr>
        <w:pStyle w:val="Default"/>
        <w:suppressAutoHyphens w:val="1"/>
        <w:bidi w:val="0"/>
        <w:spacing w:before="0" w:after="400" w:line="240" w:lineRule="auto"/>
        <w:ind w:left="720" w:right="0" w:firstLine="0"/>
        <w:jc w:val="center"/>
        <w:rPr>
          <w:rFonts w:ascii="Helvetica" w:cs="Helvetica" w:hAnsi="Helvetica" w:eastAsia="Helvetica"/>
          <w:u w:color="000000"/>
          <w:rtl w:val="0"/>
          <w:lang w:val="en-US"/>
          <w14:textOutline w14:w="12700" w14:cap="flat">
            <w14:noFill/>
            <w14:miter w14:lim="400000"/>
          </w14:textOutline>
        </w:rPr>
      </w:pPr>
      <w:r>
        <w:rPr>
          <w:rFonts w:ascii="Helvetica" w:hAnsi="Helvetica"/>
          <w:u w:color="000000"/>
          <w:rtl w:val="0"/>
          <w:lang w:val="en-US"/>
          <w14:textOutline w14:w="12700" w14:cap="flat">
            <w14:noFill/>
            <w14:miter w14:lim="400000"/>
          </w14:textOutline>
        </w:rPr>
        <w:t>Professor, Jagan Institute of Management Studies, Sector-5, Rohini, Delhi.</w:t>
      </w:r>
    </w:p>
    <w:p>
      <w:pPr>
        <w:pStyle w:val="Default"/>
        <w:suppressAutoHyphens w:val="1"/>
        <w:bidi w:val="0"/>
        <w:spacing w:before="0" w:after="400" w:line="240" w:lineRule="auto"/>
        <w:ind w:left="720" w:right="0" w:firstLine="0"/>
        <w:jc w:val="center"/>
        <w:rPr>
          <w:rStyle w:val="None"/>
          <w:rFonts w:ascii="Helvetica" w:cs="Helvetica" w:hAnsi="Helvetica" w:eastAsia="Helvetica"/>
          <w:u w:color="000000"/>
          <w:rtl w:val="0"/>
          <w:lang w:val="en-US"/>
          <w14:textOutline w14:w="12700" w14:cap="flat">
            <w14:noFill/>
            <w14:miter w14:lim="400000"/>
          </w14:textOutline>
        </w:rPr>
      </w:pPr>
      <w:r>
        <w:rPr>
          <w:rStyle w:val="Hyperlink.0"/>
          <w:rFonts w:ascii="Helvetica" w:cs="Helvetica" w:hAnsi="Helvetica" w:eastAsia="Helvetica"/>
          <w:u w:val="single" w:color="000000"/>
          <w:rtl w:val="0"/>
          <w:lang w:val="en-US"/>
          <w14:textOutline w14:w="12700" w14:cap="flat">
            <w14:noFill/>
            <w14:miter w14:lim="400000"/>
          </w14:textOutline>
        </w:rPr>
        <w:fldChar w:fldCharType="begin" w:fldLock="0"/>
      </w:r>
      <w:r>
        <w:rPr>
          <w:rStyle w:val="Hyperlink.0"/>
          <w:rFonts w:ascii="Helvetica" w:cs="Helvetica" w:hAnsi="Helvetica" w:eastAsia="Helvetica"/>
          <w:u w:val="single" w:color="000000"/>
          <w:rtl w:val="0"/>
          <w:lang w:val="en-US"/>
          <w14:textOutline w14:w="12700" w14:cap="flat">
            <w14:noFill/>
            <w14:miter w14:lim="400000"/>
          </w14:textOutline>
        </w:rPr>
        <w:instrText xml:space="preserve"> HYPERLINK "mailto:latika.kharb@jimsindia.org"</w:instrText>
      </w:r>
      <w:r>
        <w:rPr>
          <w:rStyle w:val="Hyperlink.0"/>
          <w:rFonts w:ascii="Helvetica" w:cs="Helvetica" w:hAnsi="Helvetica" w:eastAsia="Helvetica"/>
          <w:u w:val="single" w:color="000000"/>
          <w:rtl w:val="0"/>
          <w:lang w:val="en-US"/>
          <w14:textOutline w14:w="12700" w14:cap="flat">
            <w14:noFill/>
            <w14:miter w14:lim="400000"/>
          </w14:textOutline>
        </w:rPr>
        <w:fldChar w:fldCharType="separate" w:fldLock="0"/>
      </w:r>
      <w:r>
        <w:rPr>
          <w:rStyle w:val="Hyperlink.0"/>
          <w:rFonts w:ascii="Helvetica" w:hAnsi="Helvetica"/>
          <w:u w:val="single" w:color="000000"/>
          <w:rtl w:val="0"/>
          <w:lang w:val="en-US"/>
          <w14:textOutline w14:w="12700" w14:cap="flat">
            <w14:noFill/>
            <w14:miter w14:lim="400000"/>
          </w14:textOutline>
        </w:rPr>
        <w:t>latika.kharb@jimsindia.org</w:t>
      </w:r>
      <w:r>
        <w:rPr>
          <w:rFonts w:ascii="Times New Roman" w:cs="Times New Roman" w:hAnsi="Times New Roman" w:eastAsia="Times New Roman"/>
          <w:u w:color="000000"/>
          <w:rtl w:val="0"/>
          <w:lang w:val="en-US"/>
          <w14:textOutline w14:w="12700" w14:cap="flat">
            <w14:noFill/>
            <w14:miter w14:lim="400000"/>
          </w14:textOutline>
        </w:rPr>
        <w:fldChar w:fldCharType="end" w:fldLock="0"/>
      </w:r>
      <w:r>
        <w:rPr>
          <w:rStyle w:val="None"/>
          <w:rFonts w:ascii="Helvetica" w:hAnsi="Helvetica"/>
          <w:u w:color="000000"/>
          <w:rtl w:val="0"/>
          <w:lang w:val="en-US"/>
          <w14:textOutline w14:w="12700" w14:cap="flat">
            <w14:noFill/>
            <w14:miter w14:lim="400000"/>
          </w14:textOutline>
        </w:rPr>
        <w:t xml:space="preserve">, </w:t>
      </w:r>
      <w:r>
        <w:rPr>
          <w:rStyle w:val="Hyperlink.1"/>
          <w:rFonts w:ascii="Times New Roman" w:cs="Times New Roman" w:hAnsi="Times New Roman" w:eastAsia="Times New Roman"/>
          <w:outline w:val="0"/>
          <w:color w:val="0000ff"/>
          <w:u w:color="0000ff"/>
          <w:rtl w:val="0"/>
          <w:lang w:val="en-US"/>
          <w14:textOutline w14:w="12700" w14:cap="flat">
            <w14:noFill/>
            <w14:miter w14:lim="400000"/>
          </w14:textOutline>
          <w14:textFill>
            <w14:solidFill>
              <w14:srgbClr w14:val="0000FF"/>
            </w14:solidFill>
          </w14:textFill>
        </w:rPr>
        <w:fldChar w:fldCharType="begin" w:fldLock="0"/>
      </w:r>
      <w:r>
        <w:rPr>
          <w:rStyle w:val="Hyperlink.1"/>
          <w:rFonts w:ascii="Times New Roman" w:cs="Times New Roman" w:hAnsi="Times New Roman" w:eastAsia="Times New Roman"/>
          <w:outline w:val="0"/>
          <w:color w:val="0000ff"/>
          <w:u w:color="0000ff"/>
          <w:rtl w:val="0"/>
          <w:lang w:val="en-US"/>
          <w14:textOutline w14:w="12700" w14:cap="flat">
            <w14:noFill/>
            <w14:miter w14:lim="400000"/>
          </w14:textOutline>
          <w14:textFill>
            <w14:solidFill>
              <w14:srgbClr w14:val="0000FF"/>
            </w14:solidFill>
          </w14:textFill>
        </w:rPr>
        <w:instrText xml:space="preserve"> HYPERLINK "mailto:deepak.chahal@jimsindia.org"</w:instrText>
      </w:r>
      <w:r>
        <w:rPr>
          <w:rStyle w:val="Hyperlink.1"/>
          <w:rFonts w:ascii="Times New Roman" w:cs="Times New Roman" w:hAnsi="Times New Roman" w:eastAsia="Times New Roman"/>
          <w:outline w:val="0"/>
          <w:color w:val="0000ff"/>
          <w:u w:color="0000ff"/>
          <w:rtl w:val="0"/>
          <w:lang w:val="en-US"/>
          <w14:textOutline w14:w="12700" w14:cap="flat">
            <w14:noFill/>
            <w14:miter w14:lim="400000"/>
          </w14:textOutline>
          <w14:textFill>
            <w14:solidFill>
              <w14:srgbClr w14:val="0000FF"/>
            </w14:solidFill>
          </w14:textFill>
        </w:rPr>
        <w:fldChar w:fldCharType="separate" w:fldLock="0"/>
      </w:r>
      <w:r>
        <w:rPr>
          <w:rStyle w:val="Hyperlink.1"/>
          <w:rFonts w:ascii="Times New Roman" w:hAnsi="Times New Roman"/>
          <w:outline w:val="0"/>
          <w:color w:val="0000ff"/>
          <w:u w:color="0000ff"/>
          <w:rtl w:val="0"/>
          <w:lang w:val="en-US"/>
          <w14:textOutline w14:w="12700" w14:cap="flat">
            <w14:noFill/>
            <w14:miter w14:lim="400000"/>
          </w14:textOutline>
          <w14:textFill>
            <w14:solidFill>
              <w14:srgbClr w14:val="0000FF"/>
            </w14:solidFill>
          </w14:textFill>
        </w:rPr>
        <w:t>deepak.chahal@jimsindia.org</w:t>
      </w:r>
      <w:r>
        <w:rPr>
          <w:rFonts w:ascii="Times New Roman" w:cs="Times New Roman" w:hAnsi="Times New Roman" w:eastAsia="Times New Roman"/>
          <w:u w:color="000000"/>
          <w:rtl w:val="0"/>
          <w:lang w:val="en-US"/>
          <w14:textOutline w14:w="12700" w14:cap="flat">
            <w14:noFill/>
            <w14:miter w14:lim="400000"/>
          </w14:textOutline>
        </w:rPr>
        <w:fldChar w:fldCharType="end" w:fldLock="0"/>
      </w:r>
    </w:p>
    <w:p>
      <w:pPr>
        <w:pStyle w:val="Default"/>
        <w:suppressAutoHyphens w:val="1"/>
        <w:bidi w:val="0"/>
        <w:spacing w:before="0" w:after="400" w:line="240" w:lineRule="auto"/>
        <w:ind w:left="0" w:right="0" w:firstLine="0"/>
        <w:jc w:val="both"/>
        <w:rPr>
          <w:rStyle w:val="None"/>
          <w:rFonts w:ascii="Times New Roman" w:cs="Times New Roman" w:hAnsi="Times New Roman" w:eastAsia="Times New Roman"/>
          <w:u w:color="000000"/>
          <w:rtl w:val="0"/>
          <w:lang w:val="en-US"/>
          <w14:textOutline w14:w="12700" w14:cap="flat">
            <w14:noFill/>
            <w14:miter w14:lim="400000"/>
          </w14:textOutline>
        </w:rPr>
      </w:pPr>
    </w:p>
    <w:p>
      <w:pPr>
        <w:pStyle w:val="Default"/>
        <w:suppressAutoHyphens w:val="1"/>
        <w:spacing w:before="0" w:after="240" w:line="240" w:lineRule="auto"/>
        <w:jc w:val="both"/>
        <w:rPr>
          <w:rFonts w:ascii="Times Roman" w:cs="Times Roman" w:hAnsi="Times Roman" w:eastAsia="Times Roman"/>
          <w:b w:val="1"/>
          <w:bCs w:val="1"/>
        </w:rPr>
      </w:pPr>
      <w:r>
        <w:rPr>
          <w:rFonts w:ascii="Times Roman" w:hAnsi="Times Roman"/>
          <w:b w:val="1"/>
          <w:bCs w:val="1"/>
          <w:rtl w:val="0"/>
          <w:lang w:val="en-US"/>
        </w:rPr>
        <w:t>Abstract</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In recent years, artificial intelligence (AI) has become a cornerstone of technological advancement, making strides in industries such as healthcare, finance, and autonomous driving. However, as AI systems, particularly deep learning models, grow in complexity, a critical challenge has emerged: </w:t>
      </w:r>
      <w:r>
        <w:rPr>
          <w:rStyle w:val="None"/>
          <w:rFonts w:ascii="Times Roman" w:hAnsi="Times Roman"/>
          <w:b w:val="1"/>
          <w:bCs w:val="1"/>
          <w:rtl w:val="0"/>
          <w:lang w:val="en-US"/>
        </w:rPr>
        <w:t>explainability</w:t>
      </w:r>
      <w:r>
        <w:rPr>
          <w:rFonts w:ascii="Times Roman" w:hAnsi="Times Roman"/>
          <w:rtl w:val="0"/>
          <w:lang w:val="en-US"/>
        </w:rPr>
        <w:t xml:space="preserve">. Machine learning models, while powerful, are often viewed as </w:t>
      </w:r>
      <w:r>
        <w:rPr>
          <w:rFonts w:ascii="Times Roman" w:hAnsi="Times Roman" w:hint="default"/>
          <w:rtl w:val="1"/>
          <w:lang w:val="ar-SA" w:bidi="ar-SA"/>
        </w:rPr>
        <w:t>“</w:t>
      </w:r>
      <w:r>
        <w:rPr>
          <w:rFonts w:ascii="Times Roman" w:hAnsi="Times Roman"/>
          <w:rtl w:val="0"/>
          <w:lang w:val="en-US"/>
        </w:rPr>
        <w:t>black boxes,</w:t>
      </w:r>
      <w:r>
        <w:rPr>
          <w:rFonts w:ascii="Times Roman" w:hAnsi="Times Roman" w:hint="default"/>
          <w:rtl w:val="0"/>
        </w:rPr>
        <w:t xml:space="preserve">” </w:t>
      </w:r>
      <w:r>
        <w:rPr>
          <w:rFonts w:ascii="Times Roman" w:hAnsi="Times Roman"/>
          <w:rtl w:val="0"/>
          <w:lang w:val="en-US"/>
        </w:rPr>
        <w:t xml:space="preserve">offering little insight into how decisions are made. This opacity raises concerns about trust, accountability, and ethical implications. As a result, the field of </w:t>
      </w:r>
      <w:r>
        <w:rPr>
          <w:rStyle w:val="None"/>
          <w:rFonts w:ascii="Times Roman" w:hAnsi="Times Roman"/>
          <w:b w:val="1"/>
          <w:bCs w:val="1"/>
          <w:rtl w:val="0"/>
          <w:lang w:val="en-US"/>
        </w:rPr>
        <w:t>Explainable AI (XAI)</w:t>
      </w:r>
      <w:r>
        <w:rPr>
          <w:rFonts w:ascii="Times Roman" w:hAnsi="Times Roman"/>
          <w:rtl w:val="0"/>
          <w:lang w:val="en-US"/>
        </w:rPr>
        <w:t xml:space="preserve"> has gained significant attention in both academia and industry. Explainable AI seeks to provide transparency into how AI models function and arrive at their conclusions, thereby enabling human users to understand and trust machine-driven decisions. This paper explores the evolution of XAI, its importance, key techniques, applications, and the ongoing challenges in the field.</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fr-FR"/>
        </w:rPr>
        <w:t xml:space="preserve">Introduction </w:t>
      </w:r>
      <w:r>
        <w:rPr>
          <w:rFonts w:ascii="Times Roman" w:hAnsi="Times Roman"/>
          <w:b w:val="1"/>
          <w:bCs w:val="1"/>
          <w:rtl w:val="0"/>
          <w:lang w:val="en-US"/>
        </w:rPr>
        <w:t>:</w:t>
      </w:r>
      <w:r>
        <w:rPr>
          <w:rFonts w:ascii="Times Roman" w:hAnsi="Times Roman"/>
          <w:b w:val="1"/>
          <w:bCs w:val="1"/>
          <w:rtl w:val="0"/>
          <w:lang w:val="en-US"/>
        </w:rPr>
        <w:t>Understanding Explainable AI (XAI)</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Explainable AI (XAI) refers to methods and techniques that make AI systems more interpretable to humans without sacrificing the model's performance. Traditional machine learning models, particularly deep neural networks, have proven to be incredibly effective at tasks such as image recognition, natural language processing, and speech recognition. However, these models are often complex, with millions of parameters and intricate architectures that make it difficult to understand why they make specific predictions.</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XAI aims to bridge this gap by providing transparency, interpretability, and reasoning behind AI models' decisions. This not only improves trust in AI systems but also enables better decision-making, especially in high-stakes environments like healthcare, law, and finance, where understanding the reasoning behind an AI's suggestion or decision is critical (Gilpin et al., 2018). The goal is not only to provide explanations for AI's outcomes but also to ensure that these explanations are understandable to users, whether they are developers, domain experts, or even the end-users of AI-powered applications.</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en-US"/>
        </w:rPr>
        <w:t>Why Explainable AI Matters</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As AI systems are increasingly integrated into decision-making processes across various sectors, the need for transparency becomes paramount. The </w:t>
      </w:r>
      <w:r>
        <w:rPr>
          <w:rStyle w:val="None"/>
          <w:rFonts w:ascii="Times Roman" w:hAnsi="Times Roman"/>
          <w:b w:val="1"/>
          <w:bCs w:val="1"/>
          <w:rtl w:val="0"/>
          <w:lang w:val="en-US"/>
        </w:rPr>
        <w:t>black-box nature</w:t>
      </w:r>
      <w:r>
        <w:rPr>
          <w:rFonts w:ascii="Times Roman" w:hAnsi="Times Roman"/>
          <w:rtl w:val="0"/>
          <w:lang w:val="en-US"/>
        </w:rPr>
        <w:t xml:space="preserve"> of many advanced machine learning models, particularly deep neural networks, poses several concerns:</w:t>
      </w:r>
    </w:p>
    <w:p>
      <w:pPr>
        <w:pStyle w:val="Default"/>
        <w:numPr>
          <w:ilvl w:val="0"/>
          <w:numId w:val="2"/>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Trust and Adoption</w:t>
      </w:r>
      <w:r>
        <w:rPr>
          <w:rFonts w:ascii="Times Roman" w:hAnsi="Times Roman"/>
          <w:rtl w:val="0"/>
          <w:lang w:val="en-US"/>
        </w:rPr>
        <w:t>: If users cannot understand how AI reaches its conclusions, they are less likely to trust the system. This is particularly important in sectors like healthcare, where incorrect or unexplained decisions can have life-altering consequences (Caruana et al., 2015).</w:t>
      </w:r>
    </w:p>
    <w:p>
      <w:pPr>
        <w:pStyle w:val="Default"/>
        <w:numPr>
          <w:ilvl w:val="0"/>
          <w:numId w:val="2"/>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Accountability</w:t>
      </w:r>
      <w:r>
        <w:rPr>
          <w:rFonts w:ascii="Times Roman" w:hAnsi="Times Roman"/>
          <w:rtl w:val="0"/>
          <w:lang w:val="en-US"/>
        </w:rPr>
        <w:t>: As AI models are deployed in critical applications, there must be a mechanism to ensure that the model is acting ethically and in accordance with regulations. Without explainability, it becomes difficult to hold AI systems accountable for their actions, especially in cases of erroneous or biased outcomes.</w:t>
      </w:r>
    </w:p>
    <w:p>
      <w:pPr>
        <w:pStyle w:val="Default"/>
        <w:numPr>
          <w:ilvl w:val="0"/>
          <w:numId w:val="2"/>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Bias and Fairness</w:t>
      </w:r>
      <w:r>
        <w:rPr>
          <w:rFonts w:ascii="Times Roman" w:hAnsi="Times Roman"/>
          <w:rtl w:val="0"/>
          <w:lang w:val="en-US"/>
        </w:rPr>
        <w:t>: AI models, if not properly explained, may inadvertently perpetuate biases present in the data they are trained on. XAI can help identify and correct these biases by providing insights into how the model makes decisions (Ribeiro et al., 2016).</w:t>
      </w:r>
    </w:p>
    <w:p>
      <w:pPr>
        <w:pStyle w:val="Default"/>
        <w:numPr>
          <w:ilvl w:val="0"/>
          <w:numId w:val="2"/>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Regulatory Compliance</w:t>
      </w:r>
      <w:r>
        <w:rPr>
          <w:rFonts w:ascii="Times Roman" w:hAnsi="Times Roman"/>
          <w:rtl w:val="0"/>
          <w:lang w:val="en-US"/>
        </w:rPr>
        <w:t>: Many industries, particularly those that deal with sensitive data (such as finance and healthcare), are subject to regulations that require transparency. XAI can help ensure that AI models comply with such regulations by offering clear explanations of their behavior.</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en-US"/>
        </w:rPr>
        <w:t>Key Techniques in Explainable AI</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To make AI more transparent, researchers have developed several methods that aim to explain how AI models arrive at their decisions. These techniques can be broadly categorized into two types: </w:t>
      </w:r>
      <w:r>
        <w:rPr>
          <w:rStyle w:val="None"/>
          <w:rFonts w:ascii="Times Roman" w:hAnsi="Times Roman"/>
          <w:b w:val="1"/>
          <w:bCs w:val="1"/>
          <w:rtl w:val="0"/>
          <w:lang w:val="en-US"/>
        </w:rPr>
        <w:t>intrinsic explainability</w:t>
      </w:r>
      <w:r>
        <w:rPr>
          <w:rFonts w:ascii="Times Roman" w:hAnsi="Times Roman"/>
          <w:rtl w:val="0"/>
          <w:lang w:val="en-US"/>
        </w:rPr>
        <w:t xml:space="preserve"> and </w:t>
      </w:r>
      <w:r>
        <w:rPr>
          <w:rStyle w:val="None"/>
          <w:rFonts w:ascii="Times Roman" w:hAnsi="Times Roman"/>
          <w:b w:val="1"/>
          <w:bCs w:val="1"/>
          <w:rtl w:val="0"/>
          <w:lang w:val="en-US"/>
        </w:rPr>
        <w:t>post-hoc explainability</w:t>
      </w:r>
      <w:r>
        <w:rPr>
          <w:rFonts w:ascii="Times Roman" w:hAnsi="Times Roman"/>
          <w:rtl w:val="0"/>
        </w:rPr>
        <w:t>.</w:t>
      </w:r>
    </w:p>
    <w:p>
      <w:pPr>
        <w:pStyle w:val="Default"/>
        <w:numPr>
          <w:ilvl w:val="0"/>
          <w:numId w:val="4"/>
        </w:numPr>
        <w:suppressAutoHyphens w:val="1"/>
        <w:spacing w:before="0" w:after="240" w:line="240" w:lineRule="auto"/>
        <w:jc w:val="both"/>
        <w:rPr>
          <w:rFonts w:ascii="Times Roman" w:hAnsi="Times Roman"/>
          <w:b w:val="1"/>
          <w:bCs w:val="1"/>
          <w:lang w:val="en-US"/>
        </w:rPr>
      </w:pPr>
      <w:r>
        <w:rPr>
          <w:rFonts w:ascii="Times Roman" w:hAnsi="Times Roman"/>
          <w:b w:val="1"/>
          <w:bCs w:val="1"/>
          <w:rtl w:val="0"/>
          <w:lang w:val="en-US"/>
        </w:rPr>
        <w:t>Intrinsic Explainability</w:t>
      </w:r>
    </w:p>
    <w:p>
      <w:pPr>
        <w:pStyle w:val="Default"/>
        <w:numPr>
          <w:ilvl w:val="1"/>
          <w:numId w:val="6"/>
        </w:numPr>
        <w:suppressAutoHyphens w:val="1"/>
        <w:spacing w:before="0" w:line="240" w:lineRule="auto"/>
        <w:jc w:val="both"/>
        <w:rPr>
          <w:rFonts w:ascii="Times Roman" w:hAnsi="Times Roman"/>
          <w:lang w:val="en-US"/>
        </w:rPr>
      </w:pPr>
      <w:r>
        <w:rPr>
          <w:rFonts w:ascii="Times Roman" w:hAnsi="Times Roman"/>
          <w:rtl w:val="0"/>
          <w:lang w:val="en-US"/>
        </w:rPr>
        <w:t>Intrinsic explainability involves designing models that are inherently interpretable. These models are built with simplicity and transparency in mind, making it easier to understand their behavior.</w:t>
      </w:r>
    </w:p>
    <w:p>
      <w:pPr>
        <w:pStyle w:val="Default"/>
        <w:numPr>
          <w:ilvl w:val="1"/>
          <w:numId w:val="6"/>
        </w:numPr>
        <w:suppressAutoHyphens w:val="1"/>
        <w:spacing w:before="0" w:line="240" w:lineRule="auto"/>
        <w:jc w:val="both"/>
        <w:rPr>
          <w:rFonts w:ascii="Times Roman" w:hAnsi="Times Roman"/>
          <w:lang w:val="en-US"/>
        </w:rPr>
      </w:pPr>
      <w:r>
        <w:rPr>
          <w:rStyle w:val="None"/>
          <w:rFonts w:ascii="Times Roman" w:hAnsi="Times Roman"/>
          <w:b w:val="1"/>
          <w:bCs w:val="1"/>
          <w:rtl w:val="0"/>
          <w:lang w:val="en-US"/>
        </w:rPr>
        <w:t>Decision Trees</w:t>
      </w:r>
      <w:r>
        <w:rPr>
          <w:rFonts w:ascii="Times Roman" w:hAnsi="Times Roman"/>
          <w:rtl w:val="0"/>
          <w:lang w:val="en-US"/>
        </w:rPr>
        <w:t xml:space="preserve"> and </w:t>
      </w:r>
      <w:r>
        <w:rPr>
          <w:rStyle w:val="None"/>
          <w:rFonts w:ascii="Times Roman" w:hAnsi="Times Roman"/>
          <w:b w:val="1"/>
          <w:bCs w:val="1"/>
          <w:rtl w:val="0"/>
          <w:lang w:val="en-US"/>
        </w:rPr>
        <w:t>Linear Models</w:t>
      </w:r>
      <w:r>
        <w:rPr>
          <w:rFonts w:ascii="Times Roman" w:hAnsi="Times Roman"/>
          <w:rtl w:val="0"/>
          <w:lang w:val="en-US"/>
        </w:rPr>
        <w:t xml:space="preserve"> are examples of intrinsically interpretable models. Decision trees, for instance, create a flowchart-like structure that can be easily understood by humans, showing how different features lead to a specific outcome.</w:t>
      </w:r>
    </w:p>
    <w:p>
      <w:pPr>
        <w:pStyle w:val="Default"/>
        <w:numPr>
          <w:ilvl w:val="1"/>
          <w:numId w:val="6"/>
        </w:numPr>
        <w:suppressAutoHyphens w:val="1"/>
        <w:spacing w:before="0" w:line="240" w:lineRule="auto"/>
        <w:jc w:val="both"/>
        <w:rPr>
          <w:rFonts w:ascii="Times Roman" w:hAnsi="Times Roman"/>
          <w:lang w:val="en-US"/>
        </w:rPr>
      </w:pPr>
      <w:r>
        <w:rPr>
          <w:rFonts w:ascii="Times Roman" w:hAnsi="Times Roman"/>
          <w:rtl w:val="0"/>
          <w:lang w:val="en-US"/>
        </w:rPr>
        <w:t xml:space="preserve">Similarly, </w:t>
      </w:r>
      <w:r>
        <w:rPr>
          <w:rStyle w:val="None"/>
          <w:rFonts w:ascii="Times Roman" w:hAnsi="Times Roman"/>
          <w:b w:val="1"/>
          <w:bCs w:val="1"/>
          <w:rtl w:val="0"/>
          <w:lang w:val="en-US"/>
        </w:rPr>
        <w:t>linear regression</w:t>
      </w:r>
      <w:r>
        <w:rPr>
          <w:rFonts w:ascii="Times Roman" w:hAnsi="Times Roman"/>
          <w:rtl w:val="0"/>
          <w:lang w:val="en-US"/>
        </w:rPr>
        <w:t xml:space="preserve"> models are transparent because their predictions are based on weighted features, which are directly interpretable.</w:t>
      </w:r>
    </w:p>
    <w:p>
      <w:pPr>
        <w:pStyle w:val="Default"/>
        <w:numPr>
          <w:ilvl w:val="0"/>
          <w:numId w:val="7"/>
        </w:numPr>
        <w:suppressAutoHyphens w:val="1"/>
        <w:spacing w:before="0" w:after="240" w:line="240" w:lineRule="auto"/>
        <w:jc w:val="both"/>
        <w:rPr>
          <w:rFonts w:ascii="Times Roman" w:hAnsi="Times Roman"/>
          <w:b w:val="1"/>
          <w:bCs w:val="1"/>
          <w:lang w:val="en-US"/>
        </w:rPr>
      </w:pPr>
      <w:r>
        <w:rPr>
          <w:rFonts w:ascii="Times Roman" w:hAnsi="Times Roman"/>
          <w:b w:val="1"/>
          <w:bCs w:val="1"/>
          <w:rtl w:val="0"/>
          <w:lang w:val="en-US"/>
        </w:rPr>
        <w:t>Post-hoc Explainability</w:t>
      </w:r>
    </w:p>
    <w:p>
      <w:pPr>
        <w:pStyle w:val="Default"/>
        <w:numPr>
          <w:ilvl w:val="1"/>
          <w:numId w:val="6"/>
        </w:numPr>
        <w:suppressAutoHyphens w:val="1"/>
        <w:spacing w:before="0" w:line="240" w:lineRule="auto"/>
        <w:jc w:val="both"/>
        <w:rPr>
          <w:rFonts w:ascii="Times Roman" w:hAnsi="Times Roman"/>
          <w:lang w:val="en-US"/>
        </w:rPr>
      </w:pPr>
      <w:r>
        <w:rPr>
          <w:rFonts w:ascii="Times Roman" w:hAnsi="Times Roman"/>
          <w:rtl w:val="0"/>
          <w:lang w:val="en-US"/>
        </w:rPr>
        <w:t>Post-hoc explainability refers to techniques used to interpret the decisions of complex, black-box models like deep neural networks after they have been trained.</w:t>
      </w:r>
    </w:p>
    <w:p>
      <w:pPr>
        <w:pStyle w:val="Default"/>
        <w:numPr>
          <w:ilvl w:val="1"/>
          <w:numId w:val="6"/>
        </w:numPr>
        <w:suppressAutoHyphens w:val="1"/>
        <w:spacing w:before="0" w:line="240" w:lineRule="auto"/>
        <w:jc w:val="both"/>
        <w:rPr>
          <w:rFonts w:ascii="Times Roman" w:hAnsi="Times Roman"/>
          <w:lang w:val="en-US"/>
        </w:rPr>
      </w:pPr>
      <w:r>
        <w:rPr>
          <w:rStyle w:val="None"/>
          <w:rFonts w:ascii="Times Roman" w:hAnsi="Times Roman"/>
          <w:b w:val="1"/>
          <w:bCs w:val="1"/>
          <w:rtl w:val="0"/>
          <w:lang w:val="en-US"/>
        </w:rPr>
        <w:t>LIME (Local Interpretable Model-Agnostic Explanations)</w:t>
      </w:r>
      <w:r>
        <w:rPr>
          <w:rFonts w:ascii="Times Roman" w:hAnsi="Times Roman"/>
          <w:rtl w:val="0"/>
          <w:lang w:val="en-US"/>
        </w:rPr>
        <w:t>: LIME is a popular post-hoc technique that explains individual predictions by approximating the black-box model with a simpler, interpretable model locally around the prediction (Ribeiro et al., 2016).</w:t>
      </w:r>
    </w:p>
    <w:p>
      <w:pPr>
        <w:pStyle w:val="Default"/>
        <w:numPr>
          <w:ilvl w:val="1"/>
          <w:numId w:val="6"/>
        </w:numPr>
        <w:suppressAutoHyphens w:val="1"/>
        <w:spacing w:before="0" w:line="240" w:lineRule="auto"/>
        <w:jc w:val="both"/>
        <w:rPr>
          <w:rFonts w:ascii="Times Roman" w:hAnsi="Times Roman"/>
          <w:lang w:val="en-US"/>
        </w:rPr>
      </w:pPr>
      <w:r>
        <w:rPr>
          <w:rStyle w:val="None"/>
          <w:rFonts w:ascii="Times Roman" w:hAnsi="Times Roman"/>
          <w:b w:val="1"/>
          <w:bCs w:val="1"/>
          <w:rtl w:val="0"/>
          <w:lang w:val="en-US"/>
        </w:rPr>
        <w:t>SHAP (Shapley Additive Explanations)</w:t>
      </w:r>
      <w:r>
        <w:rPr>
          <w:rFonts w:ascii="Times Roman" w:hAnsi="Times Roman"/>
          <w:rtl w:val="0"/>
          <w:lang w:val="en-US"/>
        </w:rPr>
        <w:t>: SHAP values provide a unified measure of feature importance by evaluating how each feature contributes to the prediction, based on cooperative game theory principles (Lundberg &amp; Lee, 2017).</w:t>
      </w:r>
    </w:p>
    <w:p>
      <w:pPr>
        <w:pStyle w:val="Default"/>
        <w:numPr>
          <w:ilvl w:val="1"/>
          <w:numId w:val="6"/>
        </w:numPr>
        <w:suppressAutoHyphens w:val="1"/>
        <w:spacing w:before="0" w:line="240" w:lineRule="auto"/>
        <w:jc w:val="both"/>
        <w:rPr>
          <w:rFonts w:ascii="Times Roman" w:hAnsi="Times Roman"/>
          <w:lang w:val="en-US"/>
        </w:rPr>
      </w:pPr>
      <w:r>
        <w:rPr>
          <w:rStyle w:val="None"/>
          <w:rFonts w:ascii="Times Roman" w:hAnsi="Times Roman"/>
          <w:b w:val="1"/>
          <w:bCs w:val="1"/>
          <w:rtl w:val="0"/>
          <w:lang w:val="en-US"/>
        </w:rPr>
        <w:t>Grad-CAM (Gradient-weighted Class Activation Mapping)</w:t>
      </w:r>
      <w:r>
        <w:rPr>
          <w:rFonts w:ascii="Times Roman" w:hAnsi="Times Roman"/>
          <w:rtl w:val="0"/>
          <w:lang w:val="en-US"/>
        </w:rPr>
        <w:t>: This technique is particularly useful in computer vision tasks, where it highlights the regions in an image that most influence a model's decision (Selvaraju et al., 2017).</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These techniques aim to provide clear, actionable insights into how AI models work, enabling users to understand, trust, and validate the system's decision-making process.</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en-US"/>
        </w:rPr>
        <w:t>Applications of Explainable AI</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Explainable AI is increasingly being applied in a variety of fields to enhance transparency, accountability, and fairness. Here are some notable areas where XAI is making an impact:</w:t>
      </w:r>
    </w:p>
    <w:p>
      <w:pPr>
        <w:pStyle w:val="Default"/>
        <w:numPr>
          <w:ilvl w:val="0"/>
          <w:numId w:val="8"/>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Healthcare</w:t>
      </w:r>
      <w:r>
        <w:rPr>
          <w:rFonts w:ascii="Times Roman" w:hAnsi="Times Roman"/>
          <w:rtl w:val="0"/>
          <w:lang w:val="en-US"/>
        </w:rPr>
        <w:t>: In medical diagnosis, AI models are often used to suggest potential diagnoses based on patient data. If these models are not explainable, medical professionals may hesitate to rely on their suggestions. XAI techniques help medical practitioners understand why an AI system made a particular recommendation, enabling better collaboration and trust in the AI's decision-making (Caruana et al., 2015).</w:t>
      </w:r>
    </w:p>
    <w:p>
      <w:pPr>
        <w:pStyle w:val="Default"/>
        <w:numPr>
          <w:ilvl w:val="0"/>
          <w:numId w:val="2"/>
        </w:numPr>
        <w:suppressAutoHyphens w:val="1"/>
        <w:spacing w:before="0" w:after="240" w:line="240" w:lineRule="auto"/>
        <w:jc w:val="both"/>
        <w:rPr>
          <w:rFonts w:ascii="Times Roman" w:hAnsi="Times Roman"/>
          <w:lang w:val="pt-PT"/>
        </w:rPr>
      </w:pPr>
      <w:r>
        <w:rPr>
          <w:rStyle w:val="None"/>
          <w:rFonts w:ascii="Times Roman" w:hAnsi="Times Roman"/>
          <w:b w:val="1"/>
          <w:bCs w:val="1"/>
          <w:rtl w:val="0"/>
          <w:lang w:val="pt-PT"/>
        </w:rPr>
        <w:t>Finance</w:t>
      </w:r>
      <w:r>
        <w:rPr>
          <w:rFonts w:ascii="Times Roman" w:hAnsi="Times Roman"/>
          <w:rtl w:val="0"/>
          <w:lang w:val="en-US"/>
        </w:rPr>
        <w:t>: In financial services, algorithms are frequently used for credit scoring, risk assessment, and fraud detection. XAI is crucial in these areas, as regulatory bodies often require explanations for decisions, especially when they affect people's financial well-being. XAI can also help uncover potential biases in financial models, ensuring that they make fair and unbiased decisions (Binns, 2018).</w:t>
      </w:r>
    </w:p>
    <w:p>
      <w:pPr>
        <w:pStyle w:val="Default"/>
        <w:numPr>
          <w:ilvl w:val="0"/>
          <w:numId w:val="2"/>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Autonomous Vehicles</w:t>
      </w:r>
      <w:r>
        <w:rPr>
          <w:rFonts w:ascii="Times Roman" w:hAnsi="Times Roman"/>
          <w:rtl w:val="0"/>
          <w:lang w:val="en-US"/>
        </w:rPr>
        <w:t>: Self-driving cars rely heavily on AI to make decisions in real-time, such as navigating traffic and responding to obstacles. XAI can be used to explain the rationale behind a vehicle's decision to ensure safety, accountability, and regulatory compliance in case of accidents or failures (Gilpin et al., 2018).</w:t>
      </w:r>
    </w:p>
    <w:p>
      <w:pPr>
        <w:pStyle w:val="Default"/>
        <w:numPr>
          <w:ilvl w:val="0"/>
          <w:numId w:val="2"/>
        </w:numPr>
        <w:suppressAutoHyphens w:val="1"/>
        <w:spacing w:before="0" w:after="240" w:line="240" w:lineRule="auto"/>
        <w:jc w:val="both"/>
        <w:rPr>
          <w:rFonts w:ascii="Times Roman" w:hAnsi="Times Roman"/>
        </w:rPr>
      </w:pPr>
      <w:r>
        <w:rPr>
          <w:rStyle w:val="None"/>
          <w:rFonts w:ascii="Times Roman" w:hAnsi="Times Roman"/>
          <w:b w:val="1"/>
          <w:bCs w:val="1"/>
          <w:rtl w:val="0"/>
        </w:rPr>
        <w:t>Criminal Justice</w:t>
      </w:r>
      <w:r>
        <w:rPr>
          <w:rFonts w:ascii="Times Roman" w:hAnsi="Times Roman"/>
          <w:rtl w:val="0"/>
          <w:lang w:val="en-US"/>
        </w:rPr>
        <w:t>: AI tools are increasingly being used for risk assessments in the criminal justice system, such as predicting the likelihood of reoffending. Explainability is critical here, as biased or opaque decision-making can lead to unfair outcomes. XAI can help ensure that risk assessments are transparent, justifiable, and free from bias (Angwin et al., 2016).</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en-US"/>
        </w:rPr>
        <w:t>Challenges and Limitations of Explainable AI</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While XAI holds great promise, it is not without its challenges. Some of the main obstacles include:</w:t>
      </w:r>
    </w:p>
    <w:p>
      <w:pPr>
        <w:pStyle w:val="Default"/>
        <w:numPr>
          <w:ilvl w:val="0"/>
          <w:numId w:val="9"/>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Trade-off Between Performance and Explainability</w:t>
      </w:r>
      <w:r>
        <w:rPr>
          <w:rFonts w:ascii="Times Roman" w:hAnsi="Times Roman"/>
          <w:rtl w:val="0"/>
          <w:lang w:val="en-US"/>
        </w:rPr>
        <w:t>: There is often a trade-off between the complexity of a model and its interpretability. While complex models such as deep neural networks can achieve state-of-the-art performance, they are typically harder to explain. Striking a balance between model accuracy and explainability remains an ongoing challenge (Molnar, 2020).</w:t>
      </w:r>
    </w:p>
    <w:p>
      <w:pPr>
        <w:pStyle w:val="Default"/>
        <w:numPr>
          <w:ilvl w:val="0"/>
          <w:numId w:val="2"/>
        </w:numPr>
        <w:suppressAutoHyphens w:val="1"/>
        <w:spacing w:before="0" w:after="240" w:line="240" w:lineRule="auto"/>
        <w:jc w:val="both"/>
        <w:rPr>
          <w:rFonts w:ascii="Times Roman" w:hAnsi="Times Roman"/>
          <w:lang w:val="de-DE"/>
        </w:rPr>
      </w:pPr>
      <w:r>
        <w:rPr>
          <w:rStyle w:val="None"/>
          <w:rFonts w:ascii="Times Roman" w:hAnsi="Times Roman"/>
          <w:b w:val="1"/>
          <w:bCs w:val="1"/>
          <w:rtl w:val="0"/>
          <w:lang w:val="de-DE"/>
        </w:rPr>
        <w:t>User Understanding</w:t>
      </w:r>
      <w:r>
        <w:rPr>
          <w:rFonts w:ascii="Times Roman" w:hAnsi="Times Roman"/>
          <w:rtl w:val="0"/>
          <w:lang w:val="en-US"/>
        </w:rPr>
        <w:t>: Even with explainable methods, there is no guarantee that end-users will be able to understand the explanations provided by AI systems. This issue is particularly relevant in fields like healthcare and law, where users may not have technical backgrounds.</w:t>
      </w:r>
    </w:p>
    <w:p>
      <w:pPr>
        <w:pStyle w:val="Default"/>
        <w:numPr>
          <w:ilvl w:val="0"/>
          <w:numId w:val="2"/>
        </w:numPr>
        <w:suppressAutoHyphens w:val="1"/>
        <w:spacing w:before="0" w:after="240" w:line="240" w:lineRule="auto"/>
        <w:jc w:val="both"/>
        <w:rPr>
          <w:rFonts w:ascii="Times Roman" w:hAnsi="Times Roman"/>
          <w:lang w:val="en-US"/>
        </w:rPr>
      </w:pPr>
      <w:r>
        <w:rPr>
          <w:rStyle w:val="None"/>
          <w:rFonts w:ascii="Times Roman" w:hAnsi="Times Roman"/>
          <w:b w:val="1"/>
          <w:bCs w:val="1"/>
          <w:rtl w:val="0"/>
          <w:lang w:val="en-US"/>
        </w:rPr>
        <w:t>Scalability</w:t>
      </w:r>
      <w:r>
        <w:rPr>
          <w:rFonts w:ascii="Times Roman" w:hAnsi="Times Roman"/>
          <w:rtl w:val="0"/>
          <w:lang w:val="en-US"/>
        </w:rPr>
        <w:t>: Many XAI techniques are computationally expensive, particularly in large-scale applications. Ensuring that XAI methods can be applied efficiently at scale without sacrificing performance is a major area of ongoing research.</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it-IT"/>
        </w:rPr>
        <w:t>Conclusion</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Explainable AI is a critical area of research and development in the AI field. As AI continues to permeate various industries, the demand for transparency, accountability, and trust in AI systems is becoming more pressing. XAI provides a framework for understanding the decision-making processes of complex models, fostering greater trust and ensuring that these systems operate ethically and fairly. While there are challenges to overcome, such as balancing model complexity with interpretability, XAI holds immense potential for making AI more accessible and understandable to users. As the field continues to evolve, it will play a pivotal role in shaping the future of AI and its applications in society.</w:t>
      </w:r>
    </w:p>
    <w:p>
      <w:pPr>
        <w:pStyle w:val="Default"/>
        <w:suppressAutoHyphens w:val="1"/>
        <w:spacing w:before="0" w:after="240" w:line="240" w:lineRule="auto"/>
        <w:jc w:val="both"/>
        <w:rPr>
          <w:rStyle w:val="None"/>
          <w:rFonts w:ascii="Times Roman" w:cs="Times Roman" w:hAnsi="Times Roman" w:eastAsia="Times Roman"/>
          <w:b w:val="0"/>
          <w:bCs w:val="0"/>
        </w:rPr>
      </w:pPr>
      <w:r>
        <w:rPr>
          <w:rFonts w:ascii="Times Roman" w:hAnsi="Times Roman"/>
          <w:b w:val="1"/>
          <w:bCs w:val="1"/>
          <w:rtl w:val="0"/>
          <w:lang w:val="fr-FR"/>
        </w:rPr>
        <w:t>References</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de-DE"/>
        </w:rPr>
        <w:t xml:space="preserve">Angwin, J., Larson, J., Mattu, S., &amp; Kirchner, L. (2016). </w:t>
      </w:r>
      <w:r>
        <w:rPr>
          <w:rStyle w:val="None"/>
          <w:rFonts w:ascii="Times Roman" w:hAnsi="Times Roman"/>
          <w:i w:val="1"/>
          <w:iCs w:val="1"/>
          <w:rtl w:val="0"/>
          <w:lang w:val="it-IT"/>
        </w:rPr>
        <w:t>Machine bias</w:t>
      </w:r>
      <w:r>
        <w:rPr>
          <w:rFonts w:ascii="Times Roman" w:hAnsi="Times Roman"/>
          <w:rtl w:val="0"/>
          <w:lang w:val="en-US"/>
        </w:rPr>
        <w:t>. ProPublica. https://www.propublica.org/article/machine-bias-risk-assessments-in-criminal-sentencing</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Binns, R. (2018). Fairness in machine learning: A survey. </w:t>
      </w:r>
      <w:r>
        <w:rPr>
          <w:rStyle w:val="None"/>
          <w:rFonts w:ascii="Times Roman" w:hAnsi="Times Roman"/>
          <w:i w:val="1"/>
          <w:iCs w:val="1"/>
          <w:rtl w:val="0"/>
          <w:lang w:val="en-US"/>
        </w:rPr>
        <w:t>ACM Computing Surveys</w:t>
      </w:r>
      <w:r>
        <w:rPr>
          <w:rFonts w:ascii="Times Roman" w:hAnsi="Times Roman"/>
          <w:rtl w:val="0"/>
          <w:lang w:val="en-US"/>
        </w:rPr>
        <w:t>, 51(6), 1-35. https://doi.org/10.1145/3132505</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it-IT"/>
        </w:rPr>
        <w:t xml:space="preserve">Caruana, R., Gehrke, J., Koch, C., Krause, J., &amp; Salama, M. (2015). </w:t>
      </w:r>
      <w:r>
        <w:rPr>
          <w:rStyle w:val="None"/>
          <w:rFonts w:ascii="Times Roman" w:hAnsi="Times Roman"/>
          <w:i w:val="1"/>
          <w:iCs w:val="1"/>
          <w:rtl w:val="0"/>
          <w:lang w:val="en-US"/>
        </w:rPr>
        <w:t>Intelligible models for healthcare: Predicting pneumonia risk and hospital readmission</w:t>
      </w:r>
      <w:r>
        <w:rPr>
          <w:rFonts w:ascii="Times Roman" w:hAnsi="Times Roman"/>
          <w:rtl w:val="0"/>
          <w:lang w:val="en-US"/>
        </w:rPr>
        <w:t>. Proceedings of the 21st ACM SIGKDD International Conference on Knowledge Discovery and Data Mining, 1721-1730. https://doi.org/10.1145/2783258.2783400</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Gilpin, L. H., Bau, D., Yuan, B. Z., Bajwa, A., &amp; Haney, S. (2018). Explaining explanations: An overview of interpretability of machine learning. </w:t>
      </w:r>
      <w:r>
        <w:rPr>
          <w:rStyle w:val="None"/>
          <w:rFonts w:ascii="Times Roman" w:hAnsi="Times Roman"/>
          <w:i w:val="1"/>
          <w:iCs w:val="1"/>
          <w:rtl w:val="0"/>
          <w:lang w:val="en-US"/>
        </w:rPr>
        <w:t>Proceedings of the 2018 CHI Conference on Human Factors in Computing Systems</w:t>
      </w:r>
      <w:r>
        <w:rPr>
          <w:rFonts w:ascii="Times Roman" w:hAnsi="Times Roman"/>
          <w:rtl w:val="0"/>
        </w:rPr>
        <w:t xml:space="preserve">, 1-11. </w:t>
      </w:r>
      <w:r>
        <w:rPr>
          <w:rStyle w:val="Link"/>
          <w:rFonts w:ascii="Times Roman" w:cs="Times Roman" w:hAnsi="Times Roman" w:eastAsia="Times Roman"/>
        </w:rPr>
        <w:fldChar w:fldCharType="begin" w:fldLock="0"/>
      </w:r>
      <w:r>
        <w:rPr>
          <w:rStyle w:val="Link"/>
          <w:rFonts w:ascii="Times Roman" w:cs="Times Roman" w:hAnsi="Times Roman" w:eastAsia="Times Roman"/>
        </w:rPr>
        <w:instrText xml:space="preserve"> HYPERLINK "https://doi.org/10.1145/3173574.3173957"</w:instrText>
      </w:r>
      <w:r>
        <w:rPr>
          <w:rStyle w:val="Link"/>
          <w:rFonts w:ascii="Times Roman" w:cs="Times Roman" w:hAnsi="Times Roman" w:eastAsia="Times Roman"/>
        </w:rPr>
        <w:fldChar w:fldCharType="separate" w:fldLock="0"/>
      </w:r>
      <w:r>
        <w:rPr>
          <w:rStyle w:val="Link"/>
          <w:rFonts w:ascii="Times Roman" w:hAnsi="Times Roman"/>
          <w:rtl w:val="0"/>
          <w:lang w:val="en-US"/>
        </w:rPr>
        <w:t>https://doi.org/10.1145/3173574.3173957</w:t>
      </w:r>
      <w:r>
        <w:rPr>
          <w:rFonts w:ascii="Times Roman" w:cs="Times Roman" w:hAnsi="Times Roman" w:eastAsia="Times Roman"/>
        </w:rPr>
        <w:fldChar w:fldCharType="end" w:fldLock="0"/>
      </w:r>
    </w:p>
    <w:p>
      <w:pPr>
        <w:pStyle w:val="Default"/>
        <w:suppressAutoHyphens w:val="1"/>
        <w:bidi w:val="0"/>
        <w:spacing w:before="0" w:after="4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Kharb, L. (2017). Exploration of Social Networks with visualisation Tools. American Journal of Engineering Research (AJER), 6 (3), 90-93.</w:t>
      </w:r>
    </w:p>
    <w:p>
      <w:pPr>
        <w:pStyle w:val="Default"/>
        <w:suppressAutoHyphens w:val="1"/>
        <w:bidi w:val="0"/>
        <w:spacing w:before="0" w:after="400" w:line="240" w:lineRule="auto"/>
        <w:ind w:left="0" w:right="0" w:firstLine="0"/>
        <w:jc w:val="both"/>
        <w:rPr>
          <w:rStyle w:val="None"/>
          <w:rFonts w:ascii="Times New Roman" w:cs="Times New Roman" w:hAnsi="Times New Roman" w:eastAsia="Times New Roman"/>
          <w:outline w:val="0"/>
          <w:color w:val="222222"/>
          <w:u w:color="222222"/>
          <w:shd w:val="clear" w:color="auto" w:fill="ffffff"/>
          <w:rtl w:val="0"/>
          <w:lang w:val="en-US"/>
          <w14:textOutline w14:w="12700" w14:cap="flat">
            <w14:noFill/>
            <w14:miter w14:lim="400000"/>
          </w14:textOutline>
          <w14:textFill>
            <w14:solidFill>
              <w14:srgbClr w14:val="222222"/>
            </w14:solidFill>
          </w14:textFill>
        </w:rPr>
      </w:pPr>
      <w:r>
        <w:rPr>
          <w:rStyle w:val="None"/>
          <w:rFonts w:ascii="Times New Roman" w:hAnsi="Times New Roman"/>
          <w:outline w:val="0"/>
          <w:color w:val="222222"/>
          <w:u w:color="222222"/>
          <w:shd w:val="clear" w:color="auto" w:fill="ffffff"/>
          <w:rtl w:val="0"/>
          <w:lang w:val="en-US"/>
          <w14:textOutline w14:w="12700" w14:cap="flat">
            <w14:noFill/>
            <w14:miter w14:lim="400000"/>
          </w14:textOutline>
          <w14:textFill>
            <w14:solidFill>
              <w14:srgbClr w14:val="222222"/>
            </w14:solidFill>
          </w14:textFill>
        </w:rPr>
        <w:t>Kharb, L. (2018, January). A perspective view on commercialization of cognitive computing. In</w:t>
      </w:r>
      <w:r>
        <w:rPr>
          <w:rStyle w:val="None"/>
          <w:rFonts w:ascii="Times New Roman" w:hAnsi="Times New Roman" w:hint="default"/>
          <w:outline w:val="0"/>
          <w:color w:val="222222"/>
          <w:u w:color="222222"/>
          <w:shd w:val="clear" w:color="auto" w:fill="ffffff"/>
          <w:rtl w:val="0"/>
          <w:lang w:val="en-US"/>
          <w14:textOutline w14:w="12700" w14:cap="flat">
            <w14:noFill/>
            <w14:miter w14:lim="400000"/>
          </w14:textOutline>
          <w14:textFill>
            <w14:solidFill>
              <w14:srgbClr w14:val="222222"/>
            </w14:solidFill>
          </w14:textFill>
        </w:rPr>
        <w:t> </w:t>
      </w:r>
      <w:r>
        <w:rPr>
          <w:rStyle w:val="None"/>
          <w:rFonts w:ascii="Times New Roman" w:hAnsi="Times New Roman"/>
          <w:outline w:val="0"/>
          <w:color w:val="222222"/>
          <w:u w:color="222222"/>
          <w:shd w:val="clear" w:color="auto" w:fill="ffffff"/>
          <w:rtl w:val="0"/>
          <w:lang w:val="en-US"/>
          <w14:textOutline w14:w="12700" w14:cap="flat">
            <w14:noFill/>
            <w14:miter w14:lim="400000"/>
          </w14:textOutline>
          <w14:textFill>
            <w14:solidFill>
              <w14:srgbClr w14:val="222222"/>
            </w14:solidFill>
          </w14:textFill>
        </w:rPr>
        <w:t>2018 8th International Conference on Cloud Computing, Data Science &amp; Engineering (Confluence)</w:t>
      </w:r>
      <w:r>
        <w:rPr>
          <w:rStyle w:val="None"/>
          <w:rFonts w:ascii="Times New Roman" w:hAnsi="Times New Roman" w:hint="default"/>
          <w:outline w:val="0"/>
          <w:color w:val="222222"/>
          <w:u w:color="222222"/>
          <w:shd w:val="clear" w:color="auto" w:fill="ffffff"/>
          <w:rtl w:val="0"/>
          <w:lang w:val="en-US"/>
          <w14:textOutline w14:w="12700" w14:cap="flat">
            <w14:noFill/>
            <w14:miter w14:lim="400000"/>
          </w14:textOutline>
          <w14:textFill>
            <w14:solidFill>
              <w14:srgbClr w14:val="222222"/>
            </w14:solidFill>
          </w14:textFill>
        </w:rPr>
        <w:t> </w:t>
      </w:r>
      <w:r>
        <w:rPr>
          <w:rStyle w:val="None"/>
          <w:rFonts w:ascii="Times New Roman" w:hAnsi="Times New Roman"/>
          <w:outline w:val="0"/>
          <w:color w:val="222222"/>
          <w:u w:color="222222"/>
          <w:shd w:val="clear" w:color="auto" w:fill="ffffff"/>
          <w:rtl w:val="0"/>
          <w:lang w:val="en-US"/>
          <w14:textOutline w14:w="12700" w14:cap="flat">
            <w14:noFill/>
            <w14:miter w14:lim="400000"/>
          </w14:textOutline>
          <w14:textFill>
            <w14:solidFill>
              <w14:srgbClr w14:val="222222"/>
            </w14:solidFill>
          </w14:textFill>
        </w:rPr>
        <w:t>(pp. 829-832). IEEE.</w:t>
      </w:r>
    </w:p>
    <w:p>
      <w:pPr>
        <w:pStyle w:val="Default"/>
        <w:suppressAutoHyphens w:val="1"/>
        <w:bidi w:val="0"/>
        <w:spacing w:before="0" w:after="4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Kharb, L. (2016). Automated deployment of software containers using dockers. International Journal of Emerging Technologies in Engineering Research (IJETER), 4(10), 1-3.</w:t>
      </w:r>
    </w:p>
    <w:p>
      <w:pPr>
        <w:pStyle w:val="Default"/>
        <w:suppressAutoHyphens w:val="1"/>
        <w:bidi w:val="0"/>
        <w:spacing w:before="0" w:after="4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Kharb, L. (2015). IBM Blue mix: Future development with open cloud architecture. JIMS8I-InternationalJournal of Information Communication and Computing Technology, 3(2), 165-168</w:t>
      </w:r>
      <w:r>
        <w:rPr>
          <w:rStyle w:val="None"/>
          <w:rFonts w:ascii="Times New Roman" w:hAnsi="Times New Roman"/>
          <w:u w:color="000000"/>
          <w:rtl w:val="0"/>
          <w:lang w:val="en-US"/>
          <w14:textOutline w14:w="12700" w14:cap="flat">
            <w14:noFill/>
            <w14:miter w14:lim="400000"/>
          </w14:textOutline>
        </w:rPr>
        <w:t>.</w:t>
      </w:r>
    </w:p>
    <w:p>
      <w:pPr>
        <w:pStyle w:val="Default"/>
        <w:suppressAutoHyphens w:val="1"/>
        <w:bidi w:val="0"/>
        <w:spacing w:before="0" w:after="400" w:line="240" w:lineRule="auto"/>
        <w:ind w:left="0" w:right="0" w:firstLine="0"/>
        <w:jc w:val="both"/>
        <w:rPr>
          <w:rFonts w:ascii="Times New Roman" w:cs="Times New Roman" w:hAnsi="Times New Roman" w:eastAsia="Times New Roman"/>
          <w:u w:color="000000"/>
          <w:rtl w:val="0"/>
          <w:lang w:val="en-US"/>
          <w14:textOutline w14:w="12700" w14:cap="flat">
            <w14:noFill/>
            <w14:miter w14:lim="400000"/>
          </w14:textOutline>
        </w:rPr>
      </w:pPr>
      <w:r>
        <w:rPr>
          <w:rStyle w:val="None"/>
          <w:rFonts w:ascii="Times New Roman" w:hAnsi="Times New Roman"/>
          <w:u w:color="000000"/>
          <w:rtl w:val="0"/>
          <w:lang w:val="en-US"/>
          <w14:textOutline w14:w="12700" w14:cap="flat">
            <w14:noFill/>
            <w14:miter w14:lim="400000"/>
          </w14:textOutline>
        </w:rPr>
        <w:t>Kharb, L., &amp; Singh, P. (2021). Role of machine learning in modern education and teaching. In Impact of AI Technologies on Teaching, Learning, and Research in Higher Education (pp. 99-123). IGI Global.</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Lundberg, S. M., &amp; Lee, S. I. (2017). A unified approach to interpreting model predictions. </w:t>
      </w:r>
      <w:r>
        <w:rPr>
          <w:rStyle w:val="None"/>
          <w:rFonts w:ascii="Times Roman" w:hAnsi="Times Roman"/>
          <w:i w:val="1"/>
          <w:iCs w:val="1"/>
          <w:rtl w:val="0"/>
          <w:lang w:val="en-US"/>
        </w:rPr>
        <w:t>Proceedings of the 31st International Conference on Neural Information Processing Systems</w:t>
      </w:r>
      <w:r>
        <w:rPr>
          <w:rFonts w:ascii="Times Roman" w:hAnsi="Times Roman"/>
          <w:rtl w:val="0"/>
          <w:lang w:val="en-US"/>
        </w:rPr>
        <w:t>, 4765-4774. https://doi.org/10.5555/3295222.3295235</w:t>
      </w:r>
    </w:p>
    <w:p>
      <w:pPr>
        <w:pStyle w:val="Default"/>
        <w:suppressAutoHyphens w:val="1"/>
        <w:spacing w:before="0" w:after="240" w:line="240" w:lineRule="auto"/>
        <w:jc w:val="both"/>
        <w:rPr>
          <w:rStyle w:val="None"/>
          <w:rFonts w:ascii="Times Roman" w:cs="Times Roman" w:hAnsi="Times Roman" w:eastAsia="Times Roman"/>
          <w:i w:val="0"/>
          <w:iCs w:val="0"/>
        </w:rPr>
      </w:pPr>
      <w:r>
        <w:rPr>
          <w:rStyle w:val="None"/>
          <w:rFonts w:ascii="Times Roman" w:hAnsi="Times Roman"/>
          <w:i w:val="0"/>
          <w:iCs w:val="0"/>
          <w:rtl w:val="0"/>
        </w:rPr>
        <w:t xml:space="preserve">Molnar, C. (2020). </w:t>
      </w:r>
      <w:r>
        <w:rPr>
          <w:rFonts w:ascii="Times Roman" w:hAnsi="Times Roman"/>
          <w:i w:val="1"/>
          <w:iCs w:val="1"/>
          <w:rtl w:val="0"/>
          <w:lang w:val="en-US"/>
        </w:rPr>
        <w:t>Interpretable machine learning: A guide for making black box models explainable</w:t>
      </w:r>
      <w:r>
        <w:rPr>
          <w:rStyle w:val="None"/>
          <w:rFonts w:ascii="Times Roman" w:hAnsi="Times Roman"/>
          <w:i w:val="0"/>
          <w:iCs w:val="0"/>
          <w:rtl w:val="0"/>
        </w:rPr>
        <w:t>. Springer.</w:t>
      </w:r>
    </w:p>
    <w:p>
      <w:pPr>
        <w:pStyle w:val="Default"/>
        <w:suppressAutoHyphens w:val="1"/>
        <w:spacing w:before="0" w:after="240" w:line="240" w:lineRule="auto"/>
        <w:jc w:val="both"/>
        <w:rPr>
          <w:rFonts w:ascii="Times Roman" w:cs="Times Roman" w:hAnsi="Times Roman" w:eastAsia="Times Roman"/>
        </w:rPr>
      </w:pPr>
      <w:r>
        <w:rPr>
          <w:rFonts w:ascii="Times Roman" w:hAnsi="Times Roman"/>
          <w:rtl w:val="0"/>
          <w:lang w:val="en-US"/>
        </w:rPr>
        <w:t xml:space="preserve">Ribeiro, M. T., Singh, S., &amp; Guestrin, C. (2016). "Why should I trust you?" Explaining the predictions of any classifier. </w:t>
      </w:r>
      <w:r>
        <w:rPr>
          <w:rStyle w:val="None"/>
          <w:rFonts w:ascii="Times Roman" w:hAnsi="Times Roman"/>
          <w:i w:val="1"/>
          <w:iCs w:val="1"/>
          <w:rtl w:val="0"/>
          <w:lang w:val="en-US"/>
        </w:rPr>
        <w:t>Proceedings of the 22nd ACM SIGKDD International Conference on Knowledge Discovery and Data Mining</w:t>
      </w:r>
      <w:r>
        <w:rPr>
          <w:rFonts w:ascii="Times Roman" w:hAnsi="Times Roman"/>
          <w:rtl w:val="0"/>
          <w:lang w:val="en-US"/>
        </w:rPr>
        <w:t>, 1135-1144. https://doi.org/10.1145/2939672.2939778</w:t>
      </w:r>
    </w:p>
    <w:p>
      <w:pPr>
        <w:pStyle w:val="Default"/>
        <w:suppressAutoHyphens w:val="1"/>
        <w:spacing w:before="0" w:after="240" w:line="240" w:lineRule="auto"/>
        <w:jc w:val="both"/>
      </w:pPr>
      <w:r>
        <w:rPr>
          <w:rFonts w:ascii="Times Roman" w:hAnsi="Times Roman"/>
          <w:rtl w:val="0"/>
          <w:lang w:val="en-US"/>
        </w:rPr>
        <w:t xml:space="preserve">Selvaraju, R. R., Cogswell, M., Das, A., Parikh, D., &amp; Batra, D. (2017). Grad-CAM: Visual explanations from deep networks via gradient-based localization. </w:t>
      </w:r>
      <w:r>
        <w:rPr>
          <w:rStyle w:val="None"/>
          <w:rFonts w:ascii="Times Roman" w:hAnsi="Times Roman"/>
          <w:i w:val="1"/>
          <w:iCs w:val="1"/>
          <w:rtl w:val="0"/>
          <w:lang w:val="en-US"/>
        </w:rPr>
        <w:t>Proceedings of the IEEE International Conference on Computer Vision</w:t>
      </w:r>
      <w:r>
        <w:rPr>
          <w:rFonts w:ascii="Times Roman" w:hAnsi="Times Roman"/>
          <w:rtl w:val="0"/>
          <w:lang w:val="en-US"/>
        </w:rPr>
        <w:t>, 618-626. https://doi.org/10.1109/ICCV.2017.74</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6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1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0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24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Big"/>
  </w:abstractNum>
  <w:abstractNum w:abstractNumId="3">
    <w:multiLevelType w:val="hybridMultilevel"/>
    <w:styleLink w:val="Bullet Big"/>
    <w:lvl w:ilvl="0">
      <w:start w:val="1"/>
      <w:numFmt w:val="decimal"/>
      <w:suff w:val="tab"/>
      <w:lvlText w:val="%1."/>
      <w:lvlJc w:val="left"/>
      <w:pPr>
        <w:ind w:left="7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1">
      <w:start w:val="1"/>
      <w:numFmt w:val="decimal"/>
      <w:suff w:val="tab"/>
      <w:lvlText w:val="%2."/>
      <w:lvlJc w:val="left"/>
      <w:pPr>
        <w:ind w:left="12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decimal"/>
      <w:suff w:val="tab"/>
      <w:lvlText w:val="%3."/>
      <w:lvlJc w:val="left"/>
      <w:pPr>
        <w:ind w:left="19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decimal"/>
      <w:suff w:val="tab"/>
      <w:lvlText w:val="%4."/>
      <w:lvlJc w:val="left"/>
      <w:pPr>
        <w:ind w:left="26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decimal"/>
      <w:suff w:val="tab"/>
      <w:lvlText w:val="%5."/>
      <w:lvlJc w:val="left"/>
      <w:pPr>
        <w:ind w:left="338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decimal"/>
      <w:suff w:val="tab"/>
      <w:lvlText w:val="%6."/>
      <w:lvlJc w:val="left"/>
      <w:pPr>
        <w:ind w:left="410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decimal"/>
      <w:suff w:val="tab"/>
      <w:lvlText w:val="%7."/>
      <w:lvlJc w:val="left"/>
      <w:pPr>
        <w:ind w:left="482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decimal"/>
      <w:suff w:val="tab"/>
      <w:lvlText w:val="%8."/>
      <w:lvlJc w:val="left"/>
      <w:pPr>
        <w:ind w:left="554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decimal"/>
      <w:suff w:val="tab"/>
      <w:lvlText w:val="%9."/>
      <w:lvlJc w:val="left"/>
      <w:pPr>
        <w:ind w:left="6260" w:hanging="500"/>
      </w:pPr>
      <w:rPr>
        <w:rFonts w:ascii="Times Roman" w:cs="Times Roman" w:hAnsi="Times Roman" w:eastAsia="Times Roman"/>
        <w:b w:val="1"/>
        <w:bCs w:val="1"/>
        <w:i w:val="0"/>
        <w:iCs w:val="0"/>
        <w:caps w:val="0"/>
        <w:smallCaps w:val="0"/>
        <w:strike w:val="0"/>
        <w:dstrike w:val="0"/>
        <w:outline w:val="0"/>
        <w:emboss w:val="0"/>
        <w:imprint w:val="0"/>
        <w:spacing w:val="0"/>
        <w:w w:val="100"/>
        <w:kern w:val="0"/>
        <w:position w:val="0"/>
        <w:sz w:val="29"/>
        <w:szCs w:val="29"/>
        <w:highlight w:val="none"/>
        <w:vertAlign w:val="baseline"/>
      </w:rPr>
    </w:lvl>
  </w:abstractNum>
  <w:abstractNum w:abstractNumId="4">
    <w:multiLevelType w:val="hybridMultilevel"/>
    <w:numStyleLink w:val="Bullet Big.0"/>
  </w:abstractNum>
  <w:abstractNum w:abstractNumId="5">
    <w:multiLevelType w:val="hybridMultilevel"/>
    <w:styleLink w:val="Bullet Big.0"/>
    <w:lvl w:ilvl="0">
      <w:start w:val="1"/>
      <w:numFmt w:val="bullet"/>
      <w:suff w:val="tab"/>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start w:val="1"/>
      <w:numFmt w:val="bullet"/>
      <w:suff w:val="tab"/>
      <w:lvlText w:val="◦"/>
      <w:lvlJc w:val="left"/>
      <w:pPr>
        <w:ind w:left="14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2">
      <w:start w:val="1"/>
      <w:numFmt w:val="bullet"/>
      <w:suff w:val="tab"/>
      <w:lvlText w:val="◦"/>
      <w:lvlJc w:val="left"/>
      <w:pPr>
        <w:ind w:left="21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3">
      <w:start w:val="1"/>
      <w:numFmt w:val="bullet"/>
      <w:suff w:val="tab"/>
      <w:lvlText w:val="◦"/>
      <w:lvlJc w:val="left"/>
      <w:pPr>
        <w:ind w:left="28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4">
      <w:start w:val="1"/>
      <w:numFmt w:val="bullet"/>
      <w:suff w:val="tab"/>
      <w:lvlText w:val="◦"/>
      <w:lvlJc w:val="left"/>
      <w:pPr>
        <w:ind w:left="360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5">
      <w:start w:val="1"/>
      <w:numFmt w:val="bullet"/>
      <w:suff w:val="tab"/>
      <w:lvlText w:val="◦"/>
      <w:lvlJc w:val="left"/>
      <w:pPr>
        <w:ind w:left="432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6">
      <w:start w:val="1"/>
      <w:numFmt w:val="bullet"/>
      <w:suff w:val="tab"/>
      <w:lvlText w:val="◦"/>
      <w:lvlJc w:val="left"/>
      <w:pPr>
        <w:ind w:left="504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7">
      <w:start w:val="1"/>
      <w:numFmt w:val="bullet"/>
      <w:suff w:val="tab"/>
      <w:lvlText w:val="◦"/>
      <w:lvlJc w:val="left"/>
      <w:pPr>
        <w:ind w:left="576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lvl w:ilvl="8">
      <w:start w:val="1"/>
      <w:numFmt w:val="bullet"/>
      <w:suff w:val="tab"/>
      <w:lvlText w:val="◦"/>
      <w:lvlJc w:val="left"/>
      <w:pPr>
        <w:ind w:left="6480" w:hanging="5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2"/>
    </w:lvlOverride>
  </w:num>
  <w:num w:numId="8">
    <w:abstractNumId w:val="0"/>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one">
    <w:name w:val="None"/>
  </w:style>
  <w:style w:type="character" w:styleId="Hyperlink.0">
    <w:name w:val="Hyperlink.0"/>
    <w:basedOn w:val="None"/>
    <w:next w:val="Hyperlink.0"/>
    <w:rPr>
      <w:u w:val="single"/>
    </w:rPr>
  </w:style>
  <w:style w:type="character" w:styleId="Link">
    <w:name w:val="Link"/>
    <w:rPr>
      <w:u w:val="single"/>
    </w:rPr>
  </w:style>
  <w:style w:type="character" w:styleId="Hyperlink.1">
    <w:name w:val="Hyperlink.1"/>
    <w:basedOn w:val="Link"/>
    <w:next w:val="Hyperlink.1"/>
    <w:rPr>
      <w:outline w:val="0"/>
      <w:color w:val="0000ff"/>
      <w:u w:color="0000ff"/>
      <w14:textFill>
        <w14:solidFill>
          <w14:srgbClr w14:val="0000FF"/>
        </w14:solidFill>
      </w14:textFill>
    </w:rPr>
  </w:style>
  <w:style w:type="numbering" w:styleId="Numbered">
    <w:name w:val="Numbered"/>
    <w:pPr>
      <w:numPr>
        <w:numId w:val="1"/>
      </w:numPr>
    </w:pPr>
  </w:style>
  <w:style w:type="numbering" w:styleId="Bullet Big">
    <w:name w:val="Bullet Big"/>
    <w:pPr>
      <w:numPr>
        <w:numId w:val="3"/>
      </w:numPr>
    </w:pPr>
  </w:style>
  <w:style w:type="numbering" w:styleId="Bullet Big.0">
    <w:name w:val="Bullet Big.0"/>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