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21661" w:rsidRDefault="00000000" w:rsidP="004D1475">
      <w:pPr>
        <w:spacing w:after="240" w:line="360" w:lineRule="auto"/>
        <w:jc w:val="center"/>
        <w:rPr>
          <w:rFonts w:ascii="Times New Roman" w:eastAsia="Times New Roman" w:hAnsi="Times New Roman" w:cs="Times New Roman"/>
          <w:b/>
          <w:color w:val="404040"/>
          <w:sz w:val="28"/>
          <w:szCs w:val="28"/>
        </w:rPr>
      </w:pPr>
      <w:r>
        <w:rPr>
          <w:rFonts w:ascii="Times New Roman" w:eastAsia="Times New Roman" w:hAnsi="Times New Roman" w:cs="Times New Roman"/>
          <w:b/>
          <w:color w:val="404040"/>
          <w:sz w:val="28"/>
          <w:szCs w:val="28"/>
        </w:rPr>
        <w:t>Understanding Low Digital Engagement Among US Oncologists and Pathways to Effective Outreach</w:t>
      </w:r>
    </w:p>
    <w:p w:rsidR="00C21661" w:rsidRDefault="00000000" w:rsidP="004D1475">
      <w:pPr>
        <w:spacing w:line="36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Varun G</w:t>
      </w:r>
      <w:r>
        <w:rPr>
          <w:rFonts w:ascii="Times New Roman" w:eastAsia="Times New Roman" w:hAnsi="Times New Roman" w:cs="Times New Roman"/>
          <w:b/>
          <w:sz w:val="24"/>
          <w:szCs w:val="24"/>
          <w:vertAlign w:val="superscript"/>
        </w:rPr>
        <w:t>1</w:t>
      </w:r>
    </w:p>
    <w:p w:rsidR="00C21661" w:rsidRPr="004D1475" w:rsidRDefault="004D1475" w:rsidP="004D1475">
      <w:pPr>
        <w:pStyle w:val="ListParagraph"/>
        <w:numPr>
          <w:ilvl w:val="0"/>
          <w:numId w:val="4"/>
        </w:numPr>
        <w:spacing w:line="360" w:lineRule="auto"/>
        <w:rPr>
          <w:rFonts w:ascii="Times New Roman" w:eastAsia="Times New Roman" w:hAnsi="Times New Roman" w:cs="Times New Roman"/>
          <w:sz w:val="24"/>
          <w:szCs w:val="24"/>
        </w:rPr>
      </w:pPr>
      <w:r w:rsidRPr="004D1475">
        <w:rPr>
          <w:rFonts w:ascii="Times New Roman" w:eastAsia="Times New Roman" w:hAnsi="Times New Roman" w:cs="Times New Roman"/>
          <w:sz w:val="24"/>
          <w:szCs w:val="24"/>
        </w:rPr>
        <w:t>Chief Operating Officer, Office 108, Suyog Center, Gultekdi, Pune- 411 037.</w:t>
      </w:r>
      <w:r w:rsidR="00000000" w:rsidRPr="004D1475">
        <w:rPr>
          <w:rFonts w:ascii="Times New Roman" w:eastAsia="Times New Roman" w:hAnsi="Times New Roman" w:cs="Times New Roman"/>
          <w:sz w:val="24"/>
          <w:szCs w:val="24"/>
        </w:rPr>
        <w:t>.</w:t>
      </w:r>
    </w:p>
    <w:p w:rsidR="00C21661" w:rsidRDefault="00C21661">
      <w:pPr>
        <w:spacing w:line="360" w:lineRule="auto"/>
        <w:rPr>
          <w:rFonts w:ascii="Times New Roman" w:eastAsia="Times New Roman" w:hAnsi="Times New Roman" w:cs="Times New Roman"/>
        </w:rPr>
      </w:pP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b/>
          <w:color w:val="404040"/>
          <w:sz w:val="24"/>
          <w:szCs w:val="24"/>
        </w:rPr>
        <w:t>Abstract</w:t>
      </w:r>
      <w:r>
        <w:rPr>
          <w:rFonts w:ascii="Times New Roman" w:eastAsia="Times New Roman" w:hAnsi="Times New Roman" w:cs="Times New Roman"/>
          <w:b/>
          <w:color w:val="404040"/>
          <w:sz w:val="24"/>
          <w:szCs w:val="24"/>
        </w:rPr>
        <w:br/>
      </w:r>
      <w:r>
        <w:rPr>
          <w:rFonts w:ascii="Times New Roman" w:eastAsia="Times New Roman" w:hAnsi="Times New Roman" w:cs="Times New Roman"/>
          <w:color w:val="404040"/>
          <w:sz w:val="20"/>
          <w:szCs w:val="20"/>
        </w:rPr>
        <w:t>Despite the growing role of digital platforms in healthcare, US oncologists exhibit lower engagement compared to other specialties. This article investigates the barriers to digital adoption, evaluates LinkedIn’s limited utility for professional networking, and identifies effective outreach strategies. Survey data reveal time constraints, information overload, and trust gaps as primary obstacles. Specialized platforms like Hidoc Dr., personalized email campaigns, and hybrid virtual conferences emerge as optimal solutions. By aligning with oncologists’ needs for efficiency, credibility, and relevance, stakeholders can bridge the gap between digital potential and clinical practicality.</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0" w:name="_qn2qqm1f5xhu" w:colFirst="0" w:colLast="0"/>
      <w:bookmarkEnd w:id="0"/>
      <w:r>
        <w:rPr>
          <w:rFonts w:ascii="Times New Roman" w:eastAsia="Times New Roman" w:hAnsi="Times New Roman" w:cs="Times New Roman"/>
          <w:b/>
          <w:color w:val="404040"/>
          <w:sz w:val="24"/>
          <w:szCs w:val="24"/>
        </w:rPr>
        <w:t>Introduction</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Digital platforms have transformed medical education and professional networking, yet US oncologists lag behind peers in cardiology and radiology in adopting these tools [1]. While LinkedIn is widely used for job searches, its role in fostering oncology-specific collaboration remains underdeveloped. This article examines the root causes of low digital engagement, analyzes LinkedIn’s limitations, and proposes targeted strategies to enhance outreach.</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1" w:name="_6aioepmyluts" w:colFirst="0" w:colLast="0"/>
      <w:bookmarkEnd w:id="1"/>
      <w:r>
        <w:rPr>
          <w:rFonts w:ascii="Times New Roman" w:eastAsia="Times New Roman" w:hAnsi="Times New Roman" w:cs="Times New Roman"/>
          <w:b/>
          <w:color w:val="404040"/>
          <w:sz w:val="24"/>
          <w:szCs w:val="24"/>
        </w:rPr>
        <w:t>Current Landscape of Digital Engagement in Oncology</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Oncologists face systemic barriers to digital participation. A 2024 survey of 1,000 US physicians found that only 43% of oncologists use digital platforms for education, compared to 78% of cardiologists and 82% of radiologists (Figure 1) [2]. This disparity highlights unmet needs in content relevance and platform design.</w:t>
      </w:r>
    </w:p>
    <w:p w:rsidR="00C21661" w:rsidRDefault="00000000">
      <w:pPr>
        <w:shd w:val="clear" w:color="auto" w:fill="FFFFFF"/>
        <w:spacing w:line="360" w:lineRule="auto"/>
        <w:jc w:val="center"/>
        <w:rPr>
          <w:rFonts w:ascii="Times New Roman" w:eastAsia="Times New Roman" w:hAnsi="Times New Roman" w:cs="Times New Roman"/>
          <w:color w:val="404040"/>
          <w:sz w:val="20"/>
          <w:szCs w:val="20"/>
        </w:rPr>
      </w:pPr>
      <w:r>
        <w:rPr>
          <w:rFonts w:ascii="Times New Roman" w:eastAsia="Times New Roman" w:hAnsi="Times New Roman" w:cs="Times New Roman"/>
          <w:noProof/>
          <w:sz w:val="20"/>
          <w:szCs w:val="20"/>
        </w:rPr>
        <w:lastRenderedPageBreak/>
        <w:drawing>
          <wp:inline distT="114300" distB="114300" distL="114300" distR="114300">
            <wp:extent cx="5943600" cy="26543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654300"/>
                    </a:xfrm>
                    <a:prstGeom prst="rect">
                      <a:avLst/>
                    </a:prstGeom>
                    <a:ln/>
                  </pic:spPr>
                </pic:pic>
              </a:graphicData>
            </a:graphic>
          </wp:inline>
        </w:drawing>
      </w:r>
    </w:p>
    <w:p w:rsidR="00C21661" w:rsidRDefault="00000000">
      <w:pPr>
        <w:spacing w:line="360" w:lineRule="auto"/>
        <w:jc w:val="center"/>
        <w:rPr>
          <w:rFonts w:ascii="Times New Roman" w:eastAsia="Times New Roman" w:hAnsi="Times New Roman" w:cs="Times New Roman"/>
          <w:i/>
          <w:color w:val="404040"/>
          <w:sz w:val="20"/>
          <w:szCs w:val="20"/>
        </w:rPr>
      </w:pPr>
      <w:r>
        <w:rPr>
          <w:rFonts w:ascii="Times New Roman" w:eastAsia="Times New Roman" w:hAnsi="Times New Roman" w:cs="Times New Roman"/>
          <w:b/>
          <w:color w:val="404040"/>
          <w:sz w:val="20"/>
          <w:szCs w:val="20"/>
        </w:rPr>
        <w:t>Figure 1:</w:t>
      </w:r>
      <w:r>
        <w:rPr>
          <w:rFonts w:ascii="Times New Roman" w:eastAsia="Times New Roman" w:hAnsi="Times New Roman" w:cs="Times New Roman"/>
          <w:color w:val="404040"/>
          <w:sz w:val="20"/>
          <w:szCs w:val="20"/>
        </w:rPr>
        <w:t xml:space="preserve"> Digital Education Platform Usage by Specialty</w:t>
      </w:r>
      <w:r>
        <w:rPr>
          <w:rFonts w:ascii="Times New Roman" w:eastAsia="Times New Roman" w:hAnsi="Times New Roman" w:cs="Times New Roman"/>
          <w:color w:val="404040"/>
          <w:sz w:val="20"/>
          <w:szCs w:val="20"/>
        </w:rPr>
        <w:br/>
      </w:r>
      <w:r>
        <w:rPr>
          <w:rFonts w:ascii="Times New Roman" w:eastAsia="Times New Roman" w:hAnsi="Times New Roman" w:cs="Times New Roman"/>
          <w:i/>
          <w:color w:val="404040"/>
          <w:sz w:val="20"/>
          <w:szCs w:val="20"/>
        </w:rPr>
        <w:t>Data Source: Hidoc US Physician Survey, 2024 [2].</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2" w:name="_yfik5ix79x8c" w:colFirst="0" w:colLast="0"/>
      <w:bookmarkEnd w:id="2"/>
      <w:r>
        <w:rPr>
          <w:rFonts w:ascii="Times New Roman" w:eastAsia="Times New Roman" w:hAnsi="Times New Roman" w:cs="Times New Roman"/>
          <w:b/>
          <w:color w:val="404040"/>
          <w:sz w:val="24"/>
          <w:szCs w:val="24"/>
        </w:rPr>
        <w:t>Why Oncologists Avoid Digital Educational Platforms</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3" w:name="_hoc9sue4j872" w:colFirst="0" w:colLast="0"/>
      <w:bookmarkEnd w:id="3"/>
      <w:r>
        <w:rPr>
          <w:rFonts w:ascii="Times New Roman" w:eastAsia="Times New Roman" w:hAnsi="Times New Roman" w:cs="Times New Roman"/>
          <w:b/>
          <w:color w:val="404040"/>
          <w:sz w:val="20"/>
          <w:szCs w:val="20"/>
        </w:rPr>
        <w:t>A. Time Constraints</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Oncologists work 60+ hours weekly on patient care, leaving minimal time for digital learning. A 2022 American Medical Association (AMA) survey identified “lack of time” as the primary barrier for 68% of oncologists [3].</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4" w:name="_59o2q16tlak8" w:colFirst="0" w:colLast="0"/>
      <w:bookmarkEnd w:id="4"/>
      <w:r>
        <w:rPr>
          <w:rFonts w:ascii="Times New Roman" w:eastAsia="Times New Roman" w:hAnsi="Times New Roman" w:cs="Times New Roman"/>
          <w:b/>
          <w:color w:val="404040"/>
          <w:sz w:val="20"/>
          <w:szCs w:val="20"/>
        </w:rPr>
        <w:t>B. Information Overload</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The sheer volume of online data overwhelms 73% of oncologists (Figure 2) [2]. Unfiltered content exacerbates decision fatigue, underscoring the need for curated, specialty-specific resources.</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5" w:name="_7ko7h0ircif9" w:colFirst="0" w:colLast="0"/>
      <w:bookmarkEnd w:id="5"/>
      <w:r>
        <w:rPr>
          <w:rFonts w:ascii="Times New Roman" w:eastAsia="Times New Roman" w:hAnsi="Times New Roman" w:cs="Times New Roman"/>
          <w:b/>
          <w:color w:val="404040"/>
          <w:sz w:val="20"/>
          <w:szCs w:val="20"/>
        </w:rPr>
        <w:t>C. Trust and Quality Concerns</w:t>
      </w:r>
    </w:p>
    <w:p w:rsidR="00C21661" w:rsidRDefault="00000000">
      <w:pPr>
        <w:spacing w:line="360" w:lineRule="auto"/>
        <w:rPr>
          <w:rFonts w:ascii="Times New Roman" w:eastAsia="Times New Roman" w:hAnsi="Times New Roman" w:cs="Times New Roman"/>
          <w:i/>
          <w:color w:val="404040"/>
          <w:sz w:val="20"/>
          <w:szCs w:val="20"/>
        </w:rPr>
      </w:pPr>
      <w:r>
        <w:rPr>
          <w:rFonts w:ascii="Times New Roman" w:eastAsia="Times New Roman" w:hAnsi="Times New Roman" w:cs="Times New Roman"/>
          <w:color w:val="404040"/>
          <w:sz w:val="20"/>
          <w:szCs w:val="20"/>
        </w:rPr>
        <w:t xml:space="preserve">Fifty-five percent distrust non-peer-reviewed platforms, favoring established journals like the </w:t>
      </w:r>
      <w:r>
        <w:rPr>
          <w:rFonts w:ascii="Times New Roman" w:eastAsia="Times New Roman" w:hAnsi="Times New Roman" w:cs="Times New Roman"/>
          <w:i/>
          <w:color w:val="404040"/>
          <w:sz w:val="20"/>
          <w:szCs w:val="20"/>
        </w:rPr>
        <w:t>Journal of Clinical Oncology (JCO)</w:t>
      </w:r>
      <w:r>
        <w:rPr>
          <w:rFonts w:ascii="Times New Roman" w:eastAsia="Times New Roman" w:hAnsi="Times New Roman" w:cs="Times New Roman"/>
          <w:color w:val="404040"/>
          <w:sz w:val="20"/>
          <w:szCs w:val="20"/>
        </w:rPr>
        <w:t xml:space="preserve"> or specialized hubs [4].</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6" w:name="_sso614sevupn" w:colFirst="0" w:colLast="0"/>
      <w:bookmarkEnd w:id="6"/>
      <w:r>
        <w:rPr>
          <w:rFonts w:ascii="Times New Roman" w:eastAsia="Times New Roman" w:hAnsi="Times New Roman" w:cs="Times New Roman"/>
          <w:b/>
          <w:color w:val="404040"/>
          <w:sz w:val="24"/>
          <w:szCs w:val="24"/>
        </w:rPr>
        <w:t>LinkedIn’s Limited Role in Oncology Networking</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While 60% of oncologists use LinkedIn for job searches, only 20% engage in professional networking (Figure 3) [2]. Privacy concerns (45%) and generic content (58%) hinder its utility for clinical collaboration [5].</w:t>
      </w:r>
    </w:p>
    <w:p w:rsidR="00C21661" w:rsidRDefault="00000000">
      <w:pPr>
        <w:shd w:val="clear" w:color="auto" w:fill="FFFFFF"/>
        <w:spacing w:line="360" w:lineRule="auto"/>
        <w:jc w:val="center"/>
        <w:rPr>
          <w:rFonts w:ascii="Times New Roman" w:eastAsia="Times New Roman" w:hAnsi="Times New Roman" w:cs="Times New Roman"/>
          <w:color w:val="404040"/>
          <w:sz w:val="20"/>
          <w:szCs w:val="20"/>
        </w:rPr>
      </w:pPr>
      <w:r>
        <w:rPr>
          <w:rFonts w:ascii="Times New Roman" w:eastAsia="Times New Roman" w:hAnsi="Times New Roman" w:cs="Times New Roman"/>
          <w:noProof/>
          <w:sz w:val="20"/>
          <w:szCs w:val="20"/>
        </w:rPr>
        <w:lastRenderedPageBreak/>
        <w:drawing>
          <wp:inline distT="114300" distB="114300" distL="114300" distR="114300">
            <wp:extent cx="5943600" cy="26035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2603500"/>
                    </a:xfrm>
                    <a:prstGeom prst="rect">
                      <a:avLst/>
                    </a:prstGeom>
                    <a:ln/>
                  </pic:spPr>
                </pic:pic>
              </a:graphicData>
            </a:graphic>
          </wp:inline>
        </w:drawing>
      </w:r>
    </w:p>
    <w:p w:rsidR="00C21661" w:rsidRDefault="00000000">
      <w:pPr>
        <w:spacing w:line="360" w:lineRule="auto"/>
        <w:jc w:val="center"/>
        <w:rPr>
          <w:rFonts w:ascii="Times New Roman" w:eastAsia="Times New Roman" w:hAnsi="Times New Roman" w:cs="Times New Roman"/>
          <w:i/>
          <w:color w:val="404040"/>
          <w:sz w:val="20"/>
          <w:szCs w:val="20"/>
        </w:rPr>
      </w:pPr>
      <w:r>
        <w:rPr>
          <w:rFonts w:ascii="Times New Roman" w:eastAsia="Times New Roman" w:hAnsi="Times New Roman" w:cs="Times New Roman"/>
          <w:b/>
          <w:color w:val="404040"/>
          <w:sz w:val="20"/>
          <w:szCs w:val="20"/>
        </w:rPr>
        <w:t>Figure 2:</w:t>
      </w:r>
      <w:r>
        <w:rPr>
          <w:rFonts w:ascii="Times New Roman" w:eastAsia="Times New Roman" w:hAnsi="Times New Roman" w:cs="Times New Roman"/>
          <w:color w:val="404040"/>
          <w:sz w:val="20"/>
          <w:szCs w:val="20"/>
        </w:rPr>
        <w:t xml:space="preserve"> LinkedIn Activities Among Oncologists</w:t>
      </w:r>
      <w:r>
        <w:rPr>
          <w:rFonts w:ascii="Times New Roman" w:eastAsia="Times New Roman" w:hAnsi="Times New Roman" w:cs="Times New Roman"/>
          <w:color w:val="404040"/>
          <w:sz w:val="20"/>
          <w:szCs w:val="20"/>
        </w:rPr>
        <w:br/>
      </w:r>
      <w:r>
        <w:rPr>
          <w:rFonts w:ascii="Times New Roman" w:eastAsia="Times New Roman" w:hAnsi="Times New Roman" w:cs="Times New Roman"/>
          <w:i/>
          <w:color w:val="404040"/>
          <w:sz w:val="20"/>
          <w:szCs w:val="20"/>
        </w:rPr>
        <w:t>Data Source: Hidoc US Physician Survey, 2024 [2].</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7" w:name="_kzieleeklr4c" w:colFirst="0" w:colLast="0"/>
      <w:bookmarkEnd w:id="7"/>
      <w:r>
        <w:rPr>
          <w:rFonts w:ascii="Times New Roman" w:eastAsia="Times New Roman" w:hAnsi="Times New Roman" w:cs="Times New Roman"/>
          <w:b/>
          <w:color w:val="404040"/>
          <w:sz w:val="24"/>
          <w:szCs w:val="24"/>
        </w:rPr>
        <w:t>Best Avenues for Effective Digital Engagement</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8" w:name="_lnm650f7w5y9" w:colFirst="0" w:colLast="0"/>
      <w:bookmarkEnd w:id="8"/>
      <w:r>
        <w:rPr>
          <w:rFonts w:ascii="Times New Roman" w:eastAsia="Times New Roman" w:hAnsi="Times New Roman" w:cs="Times New Roman"/>
          <w:b/>
          <w:color w:val="404040"/>
          <w:sz w:val="20"/>
          <w:szCs w:val="20"/>
        </w:rPr>
        <w:t>A. Specialized Platforms</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 xml:space="preserve">Platforms like </w:t>
      </w:r>
      <w:r>
        <w:rPr>
          <w:rFonts w:ascii="Times New Roman" w:eastAsia="Times New Roman" w:hAnsi="Times New Roman" w:cs="Times New Roman"/>
          <w:b/>
          <w:color w:val="404040"/>
          <w:sz w:val="20"/>
          <w:szCs w:val="20"/>
        </w:rPr>
        <w:t>Hidoc Dr.</w:t>
      </w:r>
      <w:r>
        <w:rPr>
          <w:rFonts w:ascii="Times New Roman" w:eastAsia="Times New Roman" w:hAnsi="Times New Roman" w:cs="Times New Roman"/>
          <w:color w:val="404040"/>
          <w:sz w:val="20"/>
          <w:szCs w:val="20"/>
        </w:rPr>
        <w:t xml:space="preserve"> address key barriers by offering:</w:t>
      </w:r>
    </w:p>
    <w:p w:rsidR="00C21661" w:rsidRDefault="00000000">
      <w:pPr>
        <w:numPr>
          <w:ilvl w:val="0"/>
          <w:numId w:val="3"/>
        </w:numPr>
        <w:spacing w:line="360" w:lineRule="auto"/>
        <w:rPr>
          <w:sz w:val="20"/>
          <w:szCs w:val="20"/>
        </w:rPr>
      </w:pPr>
      <w:r>
        <w:rPr>
          <w:rFonts w:ascii="Times New Roman" w:eastAsia="Times New Roman" w:hAnsi="Times New Roman" w:cs="Times New Roman"/>
          <w:b/>
          <w:color w:val="404040"/>
          <w:sz w:val="20"/>
          <w:szCs w:val="20"/>
        </w:rPr>
        <w:t>Peer-reviewed updates</w:t>
      </w:r>
      <w:r>
        <w:rPr>
          <w:rFonts w:ascii="Times New Roman" w:eastAsia="Times New Roman" w:hAnsi="Times New Roman" w:cs="Times New Roman"/>
          <w:color w:val="404040"/>
          <w:sz w:val="20"/>
          <w:szCs w:val="20"/>
        </w:rPr>
        <w:t>: Curated articles and clinical guidelines [6].</w:t>
      </w:r>
    </w:p>
    <w:p w:rsidR="00C21661" w:rsidRDefault="00000000">
      <w:pPr>
        <w:numPr>
          <w:ilvl w:val="0"/>
          <w:numId w:val="3"/>
        </w:numPr>
        <w:spacing w:line="360" w:lineRule="auto"/>
        <w:rPr>
          <w:sz w:val="20"/>
          <w:szCs w:val="20"/>
        </w:rPr>
      </w:pPr>
      <w:r>
        <w:rPr>
          <w:rFonts w:ascii="Times New Roman" w:eastAsia="Times New Roman" w:hAnsi="Times New Roman" w:cs="Times New Roman"/>
          <w:b/>
          <w:color w:val="404040"/>
          <w:sz w:val="20"/>
          <w:szCs w:val="20"/>
        </w:rPr>
        <w:t>Micro-learning modules</w:t>
      </w:r>
      <w:r>
        <w:rPr>
          <w:rFonts w:ascii="Times New Roman" w:eastAsia="Times New Roman" w:hAnsi="Times New Roman" w:cs="Times New Roman"/>
          <w:color w:val="404040"/>
          <w:sz w:val="20"/>
          <w:szCs w:val="20"/>
        </w:rPr>
        <w:t>: Interactive quizzes for time-strapped professionals [7].</w:t>
      </w:r>
    </w:p>
    <w:p w:rsidR="00C21661" w:rsidRDefault="00000000">
      <w:pPr>
        <w:numPr>
          <w:ilvl w:val="0"/>
          <w:numId w:val="3"/>
        </w:numPr>
        <w:spacing w:line="360" w:lineRule="auto"/>
        <w:rPr>
          <w:sz w:val="20"/>
          <w:szCs w:val="20"/>
        </w:rPr>
      </w:pPr>
      <w:r>
        <w:rPr>
          <w:rFonts w:ascii="Times New Roman" w:eastAsia="Times New Roman" w:hAnsi="Times New Roman" w:cs="Times New Roman"/>
          <w:b/>
          <w:color w:val="404040"/>
          <w:sz w:val="20"/>
          <w:szCs w:val="20"/>
        </w:rPr>
        <w:t>Secure pharma engagement</w:t>
      </w:r>
      <w:r>
        <w:rPr>
          <w:rFonts w:ascii="Times New Roman" w:eastAsia="Times New Roman" w:hAnsi="Times New Roman" w:cs="Times New Roman"/>
          <w:color w:val="404040"/>
          <w:sz w:val="20"/>
          <w:szCs w:val="20"/>
        </w:rPr>
        <w:t>: Compliant channels for trial updates and drug insights [8].</w:t>
      </w:r>
    </w:p>
    <w:p w:rsidR="00C21661" w:rsidRDefault="00000000">
      <w:pPr>
        <w:shd w:val="clear" w:color="auto" w:fill="FFFFFF"/>
        <w:spacing w:line="360" w:lineRule="auto"/>
        <w:jc w:val="center"/>
        <w:rPr>
          <w:rFonts w:ascii="Times New Roman" w:eastAsia="Times New Roman" w:hAnsi="Times New Roman" w:cs="Times New Roman"/>
          <w:color w:val="404040"/>
          <w:sz w:val="20"/>
          <w:szCs w:val="20"/>
        </w:rPr>
      </w:pPr>
      <w:r>
        <w:rPr>
          <w:rFonts w:ascii="Times New Roman" w:eastAsia="Times New Roman" w:hAnsi="Times New Roman" w:cs="Times New Roman"/>
          <w:noProof/>
          <w:sz w:val="20"/>
          <w:szCs w:val="20"/>
        </w:rPr>
        <w:drawing>
          <wp:inline distT="114300" distB="114300" distL="114300" distR="114300">
            <wp:extent cx="5943600" cy="26035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2603500"/>
                    </a:xfrm>
                    <a:prstGeom prst="rect">
                      <a:avLst/>
                    </a:prstGeom>
                    <a:ln/>
                  </pic:spPr>
                </pic:pic>
              </a:graphicData>
            </a:graphic>
          </wp:inline>
        </w:drawing>
      </w:r>
    </w:p>
    <w:p w:rsidR="00C21661" w:rsidRDefault="00000000">
      <w:pPr>
        <w:spacing w:line="360" w:lineRule="auto"/>
        <w:jc w:val="center"/>
        <w:rPr>
          <w:rFonts w:ascii="Times New Roman" w:eastAsia="Times New Roman" w:hAnsi="Times New Roman" w:cs="Times New Roman"/>
          <w:i/>
          <w:color w:val="404040"/>
          <w:sz w:val="20"/>
          <w:szCs w:val="20"/>
        </w:rPr>
      </w:pPr>
      <w:r>
        <w:rPr>
          <w:rFonts w:ascii="Times New Roman" w:eastAsia="Times New Roman" w:hAnsi="Times New Roman" w:cs="Times New Roman"/>
          <w:b/>
          <w:color w:val="404040"/>
          <w:sz w:val="20"/>
          <w:szCs w:val="20"/>
        </w:rPr>
        <w:t>Figure 3:</w:t>
      </w:r>
      <w:r>
        <w:rPr>
          <w:rFonts w:ascii="Times New Roman" w:eastAsia="Times New Roman" w:hAnsi="Times New Roman" w:cs="Times New Roman"/>
          <w:color w:val="404040"/>
          <w:sz w:val="20"/>
          <w:szCs w:val="20"/>
        </w:rPr>
        <w:t xml:space="preserve"> Preferred Platforms for Oncology Education</w:t>
      </w:r>
      <w:r>
        <w:rPr>
          <w:rFonts w:ascii="Times New Roman" w:eastAsia="Times New Roman" w:hAnsi="Times New Roman" w:cs="Times New Roman"/>
          <w:color w:val="404040"/>
          <w:sz w:val="20"/>
          <w:szCs w:val="20"/>
        </w:rPr>
        <w:br/>
      </w:r>
      <w:r>
        <w:rPr>
          <w:rFonts w:ascii="Times New Roman" w:eastAsia="Times New Roman" w:hAnsi="Times New Roman" w:cs="Times New Roman"/>
          <w:i/>
          <w:color w:val="404040"/>
          <w:sz w:val="20"/>
          <w:szCs w:val="20"/>
        </w:rPr>
        <w:t>Data Source: Hidoc US Physician Survey, 2024 [2].</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9" w:name="_3o252b8s9fa3" w:colFirst="0" w:colLast="0"/>
      <w:bookmarkEnd w:id="9"/>
      <w:r>
        <w:rPr>
          <w:rFonts w:ascii="Times New Roman" w:eastAsia="Times New Roman" w:hAnsi="Times New Roman" w:cs="Times New Roman"/>
          <w:b/>
          <w:color w:val="404040"/>
          <w:sz w:val="20"/>
          <w:szCs w:val="20"/>
        </w:rPr>
        <w:lastRenderedPageBreak/>
        <w:t>B. Email Campaigns</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Sixty-five percent of oncologists prefer email for updates, particularly concise, evidence-based digests [9]. Hidoc Dr.’s newsletters achieve a 75% open rate, outperforming industry averages (50%) [10].</w:t>
      </w:r>
    </w:p>
    <w:p w:rsidR="00C21661" w:rsidRDefault="00000000">
      <w:pPr>
        <w:pStyle w:val="Heading4"/>
        <w:keepNext w:val="0"/>
        <w:keepLines w:val="0"/>
        <w:spacing w:before="240" w:after="40" w:line="360" w:lineRule="auto"/>
        <w:rPr>
          <w:rFonts w:ascii="Times New Roman" w:eastAsia="Times New Roman" w:hAnsi="Times New Roman" w:cs="Times New Roman"/>
          <w:b/>
          <w:color w:val="404040"/>
          <w:sz w:val="20"/>
          <w:szCs w:val="20"/>
        </w:rPr>
      </w:pPr>
      <w:bookmarkStart w:id="10" w:name="_ibe1c180e5c" w:colFirst="0" w:colLast="0"/>
      <w:bookmarkEnd w:id="10"/>
      <w:r>
        <w:rPr>
          <w:rFonts w:ascii="Times New Roman" w:eastAsia="Times New Roman" w:hAnsi="Times New Roman" w:cs="Times New Roman"/>
          <w:b/>
          <w:color w:val="404040"/>
          <w:sz w:val="20"/>
          <w:szCs w:val="20"/>
        </w:rPr>
        <w:t>C. Virtual Conferences</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Post-pandemic, 58% demand hybrid events with on-demand access. Platforms integrating live Q&amp;A and replayable sessions report 40% higher attendance [11].</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11" w:name="_p9w0gbebq835" w:colFirst="0" w:colLast="0"/>
      <w:bookmarkEnd w:id="11"/>
      <w:r>
        <w:rPr>
          <w:rFonts w:ascii="Times New Roman" w:eastAsia="Times New Roman" w:hAnsi="Times New Roman" w:cs="Times New Roman"/>
          <w:b/>
          <w:color w:val="404040"/>
          <w:sz w:val="24"/>
          <w:szCs w:val="24"/>
        </w:rPr>
        <w:t>Conclusion</w:t>
      </w:r>
    </w:p>
    <w:p w:rsidR="00C21661" w:rsidRDefault="00000000">
      <w:pPr>
        <w:spacing w:line="360" w:lineRule="auto"/>
        <w:rPr>
          <w:rFonts w:ascii="Times New Roman" w:eastAsia="Times New Roman" w:hAnsi="Times New Roman" w:cs="Times New Roman"/>
          <w:color w:val="404040"/>
          <w:sz w:val="20"/>
          <w:szCs w:val="20"/>
        </w:rPr>
      </w:pPr>
      <w:r>
        <w:rPr>
          <w:rFonts w:ascii="Times New Roman" w:eastAsia="Times New Roman" w:hAnsi="Times New Roman" w:cs="Times New Roman"/>
          <w:color w:val="404040"/>
          <w:sz w:val="20"/>
          <w:szCs w:val="20"/>
        </w:rPr>
        <w:t>Low digital engagement among oncologists stems from time scarcity, content overload, and mistrust of generic platforms. LinkedIn’s job-focused model fails to meet specialized networking needs. Hidoc Dr. exemplifies an effective solution, combining trusted content, interactive learning, and compliant outreach. Prioritizing niche platforms, personalized email, and hybrid events can enhance engagement while respecting clinicians’ workflows.</w:t>
      </w:r>
    </w:p>
    <w:p w:rsidR="00C21661" w:rsidRDefault="00000000">
      <w:pPr>
        <w:pStyle w:val="Heading3"/>
        <w:keepNext w:val="0"/>
        <w:keepLines w:val="0"/>
        <w:spacing w:before="280" w:line="360" w:lineRule="auto"/>
        <w:rPr>
          <w:rFonts w:ascii="Times New Roman" w:eastAsia="Times New Roman" w:hAnsi="Times New Roman" w:cs="Times New Roman"/>
          <w:b/>
          <w:color w:val="404040"/>
          <w:sz w:val="24"/>
          <w:szCs w:val="24"/>
        </w:rPr>
      </w:pPr>
      <w:bookmarkStart w:id="12" w:name="_bg022dqva5hw" w:colFirst="0" w:colLast="0"/>
      <w:bookmarkEnd w:id="12"/>
      <w:r>
        <w:rPr>
          <w:rFonts w:ascii="Times New Roman" w:eastAsia="Times New Roman" w:hAnsi="Times New Roman" w:cs="Times New Roman"/>
          <w:b/>
          <w:color w:val="404040"/>
          <w:sz w:val="24"/>
          <w:szCs w:val="24"/>
        </w:rPr>
        <w:t>References</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Meskó B, Drobni Z, Bényei É, et al. Digital health is a cultural transformation of traditional healthcare. </w:t>
      </w:r>
      <w:r>
        <w:rPr>
          <w:rFonts w:ascii="Times New Roman" w:eastAsia="Times New Roman" w:hAnsi="Times New Roman" w:cs="Times New Roman"/>
          <w:i/>
          <w:color w:val="404040"/>
          <w:sz w:val="20"/>
          <w:szCs w:val="20"/>
        </w:rPr>
        <w:t>NPJ Digit Med</w:t>
      </w:r>
      <w:r>
        <w:rPr>
          <w:rFonts w:ascii="Times New Roman" w:eastAsia="Times New Roman" w:hAnsi="Times New Roman" w:cs="Times New Roman"/>
          <w:color w:val="404040"/>
          <w:sz w:val="20"/>
          <w:szCs w:val="20"/>
        </w:rPr>
        <w:t>. 2023;6(1):38. doi:10.1038/s41746-023-00777-z</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Hidoc Inc. </w:t>
      </w:r>
      <w:r>
        <w:rPr>
          <w:rFonts w:ascii="Times New Roman" w:eastAsia="Times New Roman" w:hAnsi="Times New Roman" w:cs="Times New Roman"/>
          <w:i/>
          <w:color w:val="404040"/>
          <w:sz w:val="20"/>
          <w:szCs w:val="20"/>
        </w:rPr>
        <w:t>US Physician Digital Engagement Survey</w:t>
      </w:r>
      <w:r>
        <w:rPr>
          <w:rFonts w:ascii="Times New Roman" w:eastAsia="Times New Roman" w:hAnsi="Times New Roman" w:cs="Times New Roman"/>
          <w:color w:val="404040"/>
          <w:sz w:val="20"/>
          <w:szCs w:val="20"/>
        </w:rPr>
        <w:t>. 2024. Unpublished raw data.</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American Medical Association. </w:t>
      </w:r>
      <w:r>
        <w:rPr>
          <w:rFonts w:ascii="Times New Roman" w:eastAsia="Times New Roman" w:hAnsi="Times New Roman" w:cs="Times New Roman"/>
          <w:i/>
          <w:color w:val="404040"/>
          <w:sz w:val="20"/>
          <w:szCs w:val="20"/>
        </w:rPr>
        <w:t>Physician Burnout and Digital Engagement</w:t>
      </w:r>
      <w:r>
        <w:rPr>
          <w:rFonts w:ascii="Times New Roman" w:eastAsia="Times New Roman" w:hAnsi="Times New Roman" w:cs="Times New Roman"/>
          <w:color w:val="404040"/>
          <w:sz w:val="20"/>
          <w:szCs w:val="20"/>
        </w:rPr>
        <w:t>. AMA Press; 2024.</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Daraz L, Morrow AS, Ponce OJ, et al. Can Patients Trust Online Health Information? A Meta-narrative Systematic Review Addressing the Quality of Health Information on the Internet. </w:t>
      </w:r>
      <w:r>
        <w:rPr>
          <w:rFonts w:ascii="Times New Roman" w:eastAsia="Times New Roman" w:hAnsi="Times New Roman" w:cs="Times New Roman"/>
          <w:i/>
          <w:color w:val="404040"/>
          <w:sz w:val="20"/>
          <w:szCs w:val="20"/>
        </w:rPr>
        <w:t>J Gen Intern Med</w:t>
      </w:r>
      <w:r>
        <w:rPr>
          <w:rFonts w:ascii="Times New Roman" w:eastAsia="Times New Roman" w:hAnsi="Times New Roman" w:cs="Times New Roman"/>
          <w:color w:val="404040"/>
          <w:sz w:val="20"/>
          <w:szCs w:val="20"/>
        </w:rPr>
        <w:t>. 2019;34(9):1884-1891. doi:10.1007/s11606-019-05109-0</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Grajales FJ 3rd, Sheps S, Ho K, Novak-Lauscher H, Eysenbach G. Social media: a review and tutorial of applications in medicine and health care.</w:t>
      </w:r>
      <w:r>
        <w:rPr>
          <w:rFonts w:ascii="Times New Roman" w:eastAsia="Times New Roman" w:hAnsi="Times New Roman" w:cs="Times New Roman"/>
          <w:i/>
          <w:color w:val="404040"/>
          <w:sz w:val="20"/>
          <w:szCs w:val="20"/>
        </w:rPr>
        <w:t xml:space="preserve"> J Med Internet </w:t>
      </w:r>
      <w:r>
        <w:rPr>
          <w:rFonts w:ascii="Times New Roman" w:eastAsia="Times New Roman" w:hAnsi="Times New Roman" w:cs="Times New Roman"/>
          <w:color w:val="404040"/>
          <w:sz w:val="20"/>
          <w:szCs w:val="20"/>
        </w:rPr>
        <w:t>Res. 2014;16(2):e13. Published 2014 Feb 11. doi:10.2196/jmir.2912</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Hidoc Dr. </w:t>
      </w:r>
      <w:r>
        <w:rPr>
          <w:rFonts w:ascii="Times New Roman" w:eastAsia="Times New Roman" w:hAnsi="Times New Roman" w:cs="Times New Roman"/>
          <w:i/>
          <w:color w:val="404040"/>
          <w:sz w:val="20"/>
          <w:szCs w:val="20"/>
        </w:rPr>
        <w:t>Oncology Clinical Guidelines</w:t>
      </w:r>
      <w:r>
        <w:rPr>
          <w:rFonts w:ascii="Times New Roman" w:eastAsia="Times New Roman" w:hAnsi="Times New Roman" w:cs="Times New Roman"/>
          <w:color w:val="404040"/>
          <w:sz w:val="20"/>
          <w:szCs w:val="20"/>
        </w:rPr>
        <w:t xml:space="preserve">. Accessed June 2024. </w:t>
      </w:r>
      <w:hyperlink r:id="rId8">
        <w:r>
          <w:rPr>
            <w:rFonts w:ascii="Times New Roman" w:eastAsia="Times New Roman" w:hAnsi="Times New Roman" w:cs="Times New Roman"/>
            <w:color w:val="1155CC"/>
            <w:sz w:val="20"/>
            <w:szCs w:val="20"/>
          </w:rPr>
          <w:t>https://www.hidoc.co/clinical-guidelines</w:t>
        </w:r>
      </w:hyperlink>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Ruiz JG, Mintzer MJ, Leipzig RM. The impact of E-learning in medical education. Acad Med. 2006;81(3):207-212. doi:10.1097/00001888-200603000-00002</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Bierer BE, White SA, Barnes JM, Gelinas L. Ethical Challenges in Clinical Research During the COVID-19 Pandemic. </w:t>
      </w:r>
      <w:r>
        <w:rPr>
          <w:rFonts w:ascii="Times New Roman" w:eastAsia="Times New Roman" w:hAnsi="Times New Roman" w:cs="Times New Roman"/>
          <w:i/>
          <w:color w:val="404040"/>
          <w:sz w:val="20"/>
          <w:szCs w:val="20"/>
        </w:rPr>
        <w:t xml:space="preserve">J Bioeth Inq. </w:t>
      </w:r>
      <w:r>
        <w:rPr>
          <w:rFonts w:ascii="Times New Roman" w:eastAsia="Times New Roman" w:hAnsi="Times New Roman" w:cs="Times New Roman"/>
          <w:color w:val="404040"/>
          <w:sz w:val="20"/>
          <w:szCs w:val="20"/>
        </w:rPr>
        <w:t>2020;17(4):717-722. doi:10.1007/s11673-020-10045-4</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Chretien KC, Kind T. Social media and clinical care: ethical, professional, and social implications. </w:t>
      </w:r>
      <w:r>
        <w:rPr>
          <w:rFonts w:ascii="Times New Roman" w:eastAsia="Times New Roman" w:hAnsi="Times New Roman" w:cs="Times New Roman"/>
          <w:i/>
          <w:color w:val="404040"/>
          <w:sz w:val="20"/>
          <w:szCs w:val="20"/>
        </w:rPr>
        <w:t>Circulation</w:t>
      </w:r>
      <w:r>
        <w:rPr>
          <w:rFonts w:ascii="Times New Roman" w:eastAsia="Times New Roman" w:hAnsi="Times New Roman" w:cs="Times New Roman"/>
          <w:color w:val="404040"/>
          <w:sz w:val="20"/>
          <w:szCs w:val="20"/>
        </w:rPr>
        <w:t>. 2013;127(13):1413-1421. doi:10.1161/CIRCULATIONAHA.112.128017</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 xml:space="preserve">Hidoc Dr. </w:t>
      </w:r>
      <w:r>
        <w:rPr>
          <w:rFonts w:ascii="Times New Roman" w:eastAsia="Times New Roman" w:hAnsi="Times New Roman" w:cs="Times New Roman"/>
          <w:i/>
          <w:color w:val="404040"/>
          <w:sz w:val="20"/>
          <w:szCs w:val="20"/>
        </w:rPr>
        <w:t>Email Engagement Metrics</w:t>
      </w:r>
      <w:r>
        <w:rPr>
          <w:rFonts w:ascii="Times New Roman" w:eastAsia="Times New Roman" w:hAnsi="Times New Roman" w:cs="Times New Roman"/>
          <w:color w:val="404040"/>
          <w:sz w:val="20"/>
          <w:szCs w:val="20"/>
        </w:rPr>
        <w:t>. Internal Report; 2024.</w:t>
      </w:r>
    </w:p>
    <w:p w:rsidR="00C21661" w:rsidRDefault="00000000">
      <w:pPr>
        <w:numPr>
          <w:ilvl w:val="0"/>
          <w:numId w:val="2"/>
        </w:numPr>
        <w:spacing w:line="360" w:lineRule="auto"/>
        <w:rPr>
          <w:rFonts w:ascii="Times New Roman" w:eastAsia="Times New Roman" w:hAnsi="Times New Roman" w:cs="Times New Roman"/>
          <w:sz w:val="20"/>
          <w:szCs w:val="20"/>
        </w:rPr>
      </w:pPr>
      <w:r>
        <w:rPr>
          <w:rFonts w:ascii="Times New Roman" w:eastAsia="Times New Roman" w:hAnsi="Times New Roman" w:cs="Times New Roman"/>
          <w:color w:val="404040"/>
          <w:sz w:val="20"/>
          <w:szCs w:val="20"/>
        </w:rPr>
        <w:t>Joseph, S., Miodus, S., &amp; Farley, F. (2024). Apps and care: Clinical and societal applications of media. In G. J. Rich, V. K. Kumar, &amp; F. H. Farley (Eds.), Handbook of media psychology: The science and the practice (pp. 169–186). Springer Nature Switzerland AG. https://doi.org/10.1007/978-3-031-56537-3_13</w:t>
      </w:r>
    </w:p>
    <w:p w:rsidR="00C21661" w:rsidRDefault="00C21661">
      <w:pPr>
        <w:spacing w:line="360" w:lineRule="auto"/>
        <w:rPr>
          <w:rFonts w:ascii="Times New Roman" w:eastAsia="Times New Roman" w:hAnsi="Times New Roman" w:cs="Times New Roman"/>
        </w:rPr>
      </w:pPr>
    </w:p>
    <w:sectPr w:rsidR="00C216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A126FC2C-EE48-4D3C-B1BE-B0AED7B5C50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F5ABE23-E888-4D27-ADAE-7FDA90730EE1}"/>
  </w:font>
  <w:font w:name="Cambria">
    <w:panose1 w:val="02040503050406030204"/>
    <w:charset w:val="00"/>
    <w:family w:val="roman"/>
    <w:pitch w:val="variable"/>
    <w:sig w:usb0="E00006FF" w:usb1="420024FF" w:usb2="02000000" w:usb3="00000000" w:csb0="0000019F" w:csb1="00000000"/>
    <w:embedRegular r:id="rId3" w:fontKey="{591E49A4-F3CC-4E71-B54F-67F8BD61B96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22259"/>
    <w:multiLevelType w:val="multilevel"/>
    <w:tmpl w:val="ADB44B3A"/>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635676A"/>
    <w:multiLevelType w:val="multilevel"/>
    <w:tmpl w:val="3D6CAA0A"/>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5E582A"/>
    <w:multiLevelType w:val="hybridMultilevel"/>
    <w:tmpl w:val="15BAFDE0"/>
    <w:lvl w:ilvl="0" w:tplc="F3105E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741B6E40"/>
    <w:multiLevelType w:val="multilevel"/>
    <w:tmpl w:val="B6CE96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9547623">
    <w:abstractNumId w:val="3"/>
  </w:num>
  <w:num w:numId="2" w16cid:durableId="53967767">
    <w:abstractNumId w:val="0"/>
  </w:num>
  <w:num w:numId="3" w16cid:durableId="732964742">
    <w:abstractNumId w:val="1"/>
  </w:num>
  <w:num w:numId="4" w16cid:durableId="399325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661"/>
    <w:rsid w:val="004D1475"/>
    <w:rsid w:val="00C21661"/>
    <w:rsid w:val="00EF78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9F3A1"/>
  <w15:docId w15:val="{355829E3-C574-4915-86CD-D31A27E2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4D1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doc.co/clinical-guideline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904</Words>
  <Characters>5155</Characters>
  <Application>Microsoft Office Word</Application>
  <DocSecurity>0</DocSecurity>
  <Lines>42</Lines>
  <Paragraphs>12</Paragraphs>
  <ScaleCrop>false</ScaleCrop>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Srideep Dhali</cp:lastModifiedBy>
  <cp:revision>2</cp:revision>
  <dcterms:created xsi:type="dcterms:W3CDTF">2025-03-12T05:55:00Z</dcterms:created>
  <dcterms:modified xsi:type="dcterms:W3CDTF">2025-03-12T05:56:00Z</dcterms:modified>
</cp:coreProperties>
</file>