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92C4A" w14:textId="7F16BC97" w:rsidR="009006BA" w:rsidRDefault="002E70C5" w:rsidP="002E70C5">
      <w:pPr>
        <w:jc w:val="center"/>
        <w:rPr>
          <w:rFonts w:ascii="Times New Roman" w:hAnsi="Times New Roman" w:cs="Times New Roman"/>
          <w:b/>
          <w:bCs/>
          <w:sz w:val="28"/>
          <w:szCs w:val="28"/>
        </w:rPr>
      </w:pPr>
      <w:r w:rsidRPr="00A86318">
        <w:rPr>
          <w:rFonts w:ascii="Times New Roman" w:hAnsi="Times New Roman" w:cs="Times New Roman"/>
          <w:b/>
          <w:bCs/>
          <w:sz w:val="28"/>
          <w:szCs w:val="28"/>
        </w:rPr>
        <w:t xml:space="preserve">Investment Behavior </w:t>
      </w:r>
      <w:r>
        <w:rPr>
          <w:rFonts w:ascii="Times New Roman" w:hAnsi="Times New Roman" w:cs="Times New Roman"/>
          <w:b/>
          <w:bCs/>
          <w:sz w:val="28"/>
          <w:szCs w:val="28"/>
        </w:rPr>
        <w:t>o</w:t>
      </w:r>
      <w:r w:rsidRPr="00A86318">
        <w:rPr>
          <w:rFonts w:ascii="Times New Roman" w:hAnsi="Times New Roman" w:cs="Times New Roman"/>
          <w:b/>
          <w:bCs/>
          <w:sz w:val="28"/>
          <w:szCs w:val="28"/>
        </w:rPr>
        <w:t>f Individuals Across Different Employment Status</w:t>
      </w:r>
    </w:p>
    <w:p w14:paraId="5EB0D1C7" w14:textId="50C8910C" w:rsidR="004A0D4F" w:rsidRDefault="0047152E" w:rsidP="004A0D4F">
      <w:pPr>
        <w:pStyle w:val="NormalWeb"/>
        <w:spacing w:line="240" w:lineRule="atLeast"/>
        <w:jc w:val="center"/>
        <w:rPr>
          <w:b/>
          <w:bCs/>
          <w:color w:val="000000"/>
          <w:sz w:val="28"/>
          <w:szCs w:val="28"/>
          <w:vertAlign w:val="superscript"/>
        </w:rPr>
      </w:pPr>
      <w:r>
        <w:rPr>
          <w:b/>
          <w:bCs/>
          <w:color w:val="000000"/>
          <w:sz w:val="28"/>
          <w:szCs w:val="28"/>
        </w:rPr>
        <w:t xml:space="preserve">Jacob Thomas </w:t>
      </w:r>
      <w:r>
        <w:rPr>
          <w:b/>
          <w:bCs/>
          <w:color w:val="000000"/>
          <w:sz w:val="28"/>
          <w:szCs w:val="28"/>
          <w:vertAlign w:val="superscript"/>
        </w:rPr>
        <w:t xml:space="preserve">1 </w:t>
      </w:r>
      <w:r>
        <w:rPr>
          <w:b/>
          <w:bCs/>
          <w:color w:val="000000"/>
          <w:sz w:val="28"/>
          <w:szCs w:val="28"/>
        </w:rPr>
        <w:t>&amp;</w:t>
      </w:r>
      <w:r w:rsidRPr="00F167DF">
        <w:rPr>
          <w:b/>
          <w:bCs/>
          <w:color w:val="000000"/>
          <w:sz w:val="28"/>
          <w:szCs w:val="28"/>
        </w:rPr>
        <w:t xml:space="preserve"> </w:t>
      </w:r>
      <w:r w:rsidR="008027EA" w:rsidRPr="008027EA">
        <w:rPr>
          <w:b/>
          <w:bCs/>
          <w:color w:val="000000"/>
          <w:sz w:val="28"/>
          <w:szCs w:val="28"/>
        </w:rPr>
        <w:t>Ms. Ashwini S.V.</w:t>
      </w:r>
      <w:r>
        <w:rPr>
          <w:b/>
          <w:bCs/>
          <w:color w:val="000000"/>
          <w:sz w:val="28"/>
          <w:szCs w:val="28"/>
          <w:vertAlign w:val="superscript"/>
        </w:rPr>
        <w:t>2</w:t>
      </w:r>
    </w:p>
    <w:p w14:paraId="55514238" w14:textId="77777777" w:rsidR="004A0D4F" w:rsidRPr="00F167DF" w:rsidRDefault="004A0D4F" w:rsidP="004A0D4F">
      <w:pPr>
        <w:pStyle w:val="NormalWeb"/>
        <w:spacing w:before="0" w:beforeAutospacing="0" w:after="160" w:afterAutospacing="0" w:line="240" w:lineRule="atLeast"/>
        <w:jc w:val="center"/>
        <w:rPr>
          <w:b/>
          <w:bCs/>
          <w:color w:val="000000"/>
          <w:sz w:val="28"/>
          <w:szCs w:val="28"/>
        </w:rPr>
      </w:pPr>
      <w:r w:rsidRPr="00F167DF">
        <w:rPr>
          <w:b/>
          <w:bCs/>
          <w:color w:val="000000"/>
          <w:sz w:val="28"/>
          <w:szCs w:val="28"/>
        </w:rPr>
        <w:t>PG Student, Department of Commerce (PG), Kristu Jayanti College (Autonomous), Bengaluru</w:t>
      </w:r>
      <w:r>
        <w:rPr>
          <w:b/>
          <w:bCs/>
          <w:color w:val="000000"/>
          <w:sz w:val="28"/>
          <w:szCs w:val="28"/>
        </w:rPr>
        <w:t xml:space="preserve"> </w:t>
      </w:r>
      <w:r>
        <w:rPr>
          <w:b/>
          <w:bCs/>
          <w:color w:val="000000"/>
          <w:sz w:val="28"/>
          <w:szCs w:val="28"/>
          <w:vertAlign w:val="superscript"/>
        </w:rPr>
        <w:t>1</w:t>
      </w:r>
    </w:p>
    <w:p w14:paraId="79FFFCA5" w14:textId="77777777" w:rsidR="004B4C1F" w:rsidRDefault="004B4C1F" w:rsidP="004B4C1F">
      <w:pPr>
        <w:pStyle w:val="NormalWeb"/>
        <w:spacing w:before="0" w:beforeAutospacing="0" w:after="160" w:afterAutospacing="0" w:line="240" w:lineRule="atLeast"/>
        <w:jc w:val="center"/>
        <w:rPr>
          <w:b/>
          <w:bCs/>
          <w:color w:val="000000"/>
          <w:sz w:val="28"/>
          <w:szCs w:val="28"/>
          <w:vertAlign w:val="superscript"/>
        </w:rPr>
      </w:pPr>
      <w:r w:rsidRPr="00F167DF">
        <w:rPr>
          <w:b/>
          <w:bCs/>
          <w:color w:val="000000"/>
          <w:sz w:val="28"/>
          <w:szCs w:val="28"/>
        </w:rPr>
        <w:t>Assistant Professor</w:t>
      </w:r>
      <w:r>
        <w:rPr>
          <w:b/>
          <w:bCs/>
          <w:color w:val="000000"/>
          <w:sz w:val="28"/>
          <w:szCs w:val="28"/>
        </w:rPr>
        <w:t xml:space="preserve">, </w:t>
      </w:r>
      <w:r w:rsidRPr="00F167DF">
        <w:rPr>
          <w:b/>
          <w:bCs/>
          <w:color w:val="000000"/>
          <w:sz w:val="28"/>
          <w:szCs w:val="28"/>
        </w:rPr>
        <w:t>Department of Commerce (PG), Kristu Jayanti College (Autonomous), Bengaluru</w:t>
      </w:r>
      <w:r>
        <w:rPr>
          <w:b/>
          <w:bCs/>
          <w:color w:val="000000"/>
          <w:sz w:val="28"/>
          <w:szCs w:val="28"/>
        </w:rPr>
        <w:t xml:space="preserve"> </w:t>
      </w:r>
      <w:r>
        <w:rPr>
          <w:b/>
          <w:bCs/>
          <w:color w:val="000000"/>
          <w:sz w:val="28"/>
          <w:szCs w:val="28"/>
          <w:vertAlign w:val="superscript"/>
        </w:rPr>
        <w:t>2</w:t>
      </w:r>
    </w:p>
    <w:p w14:paraId="6C3806FF" w14:textId="5E6C9C1B" w:rsidR="00380897" w:rsidRDefault="00752461" w:rsidP="00235355">
      <w:pPr>
        <w:pStyle w:val="NormalWeb"/>
        <w:spacing w:before="0" w:beforeAutospacing="0" w:after="160" w:afterAutospacing="0" w:line="240" w:lineRule="atLeast"/>
        <w:jc w:val="center"/>
      </w:pPr>
      <w:hyperlink r:id="rId7" w:history="1">
        <w:r w:rsidRPr="00752461">
          <w:rPr>
            <w:rStyle w:val="Hyperlink"/>
            <w:rFonts w:ascii="Courier New" w:hAnsi="Courier New" w:cs="Courier New"/>
            <w:color w:val="auto"/>
            <w:sz w:val="28"/>
            <w:szCs w:val="28"/>
            <w:u w:val="none"/>
          </w:rPr>
          <w:t>jacobthomas6665@gmail.com</w:t>
        </w:r>
      </w:hyperlink>
    </w:p>
    <w:p w14:paraId="707BC407" w14:textId="77777777" w:rsidR="00AF5561" w:rsidRDefault="00AF5561" w:rsidP="00235355">
      <w:pPr>
        <w:spacing w:line="360" w:lineRule="auto"/>
        <w:jc w:val="both"/>
        <w:rPr>
          <w:rFonts w:ascii="Times New Roman" w:hAnsi="Times New Roman" w:cs="Times New Roman"/>
          <w:b/>
          <w:bCs/>
          <w:sz w:val="28"/>
          <w:szCs w:val="28"/>
        </w:rPr>
      </w:pPr>
    </w:p>
    <w:p w14:paraId="7FA9D815" w14:textId="57804FA1" w:rsidR="00235355" w:rsidRDefault="00235355" w:rsidP="0023535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6862DF24" w14:textId="77777777" w:rsidR="00B721F8" w:rsidRPr="00B721F8" w:rsidRDefault="00B721F8" w:rsidP="00B721F8">
      <w:pPr>
        <w:spacing w:line="360" w:lineRule="auto"/>
        <w:jc w:val="both"/>
        <w:rPr>
          <w:rFonts w:ascii="Times New Roman" w:hAnsi="Times New Roman" w:cs="Times New Roman"/>
          <w:sz w:val="24"/>
          <w:szCs w:val="24"/>
        </w:rPr>
      </w:pPr>
      <w:r w:rsidRPr="00B721F8">
        <w:rPr>
          <w:rFonts w:ascii="Times New Roman" w:hAnsi="Times New Roman" w:cs="Times New Roman"/>
          <w:sz w:val="24"/>
          <w:szCs w:val="24"/>
        </w:rPr>
        <w:t>The study examines how employment status influences investment behavior among business owners, salaried employees, and students in India. Investment behavior refers to how individuals allocate financial resources, and this research focuses on how employment categories affect these decisions. The study uses a structured questionnaire to collect primary data from 150 respondents across various employment statuses. Convenience and purposive sampling methods were employed to ensure diverse representation. The data was analyzed using descriptive statistics and regression analysis to identify patterns and the significance of employment status in shaping investment behavior.</w:t>
      </w:r>
    </w:p>
    <w:p w14:paraId="341749A3" w14:textId="77777777" w:rsidR="00B721F8" w:rsidRPr="00B721F8" w:rsidRDefault="00B721F8" w:rsidP="00B721F8">
      <w:pPr>
        <w:spacing w:line="360" w:lineRule="auto"/>
        <w:jc w:val="both"/>
        <w:rPr>
          <w:rFonts w:ascii="Times New Roman" w:hAnsi="Times New Roman" w:cs="Times New Roman"/>
          <w:sz w:val="24"/>
          <w:szCs w:val="24"/>
        </w:rPr>
      </w:pPr>
      <w:r w:rsidRPr="00B721F8">
        <w:rPr>
          <w:rFonts w:ascii="Times New Roman" w:hAnsi="Times New Roman" w:cs="Times New Roman"/>
          <w:sz w:val="24"/>
          <w:szCs w:val="24"/>
        </w:rPr>
        <w:t>Findings indicate that approximately 49.3% of respondents believe their employment status significantly influences their investment decisions, while 26.7% do not perceive a direct impact, and 24% remain uncertain. The regression analysis suggests that although employment status is an important factor, other variables—such as income stability, financial literacy, and personal goals—also play a substantial role in determining investment behavior. Full-time employees with stable incomes tend to engage in long-term investment strategies due to predictable earnings and access to employer-sponsored benefits. Conversely, part-time and self-employed individuals prioritize liquidity and short-term investments due to income variability and financial uncertainty.</w:t>
      </w:r>
    </w:p>
    <w:p w14:paraId="3B0C30AC" w14:textId="77777777" w:rsidR="00AF5561" w:rsidRDefault="00B721F8" w:rsidP="00AF5561">
      <w:pPr>
        <w:spacing w:line="360" w:lineRule="auto"/>
        <w:jc w:val="both"/>
        <w:rPr>
          <w:rFonts w:ascii="Times New Roman" w:hAnsi="Times New Roman" w:cs="Times New Roman"/>
          <w:sz w:val="24"/>
          <w:szCs w:val="24"/>
        </w:rPr>
      </w:pPr>
      <w:r w:rsidRPr="00B721F8">
        <w:rPr>
          <w:rFonts w:ascii="Times New Roman" w:hAnsi="Times New Roman" w:cs="Times New Roman"/>
          <w:sz w:val="24"/>
          <w:szCs w:val="24"/>
        </w:rPr>
        <w:t>The research underscores the importance of tailored financial strategies to accommodate the unique needs of different employment groups. Policymakers and financial institutions should focus on improving financial literacy and designing inclusive investment products to bridge gaps in financial decision-making. By addressing these disparities, they can foster broader participation in financial markets and support more informed investment practices. This study contributes to the understanding of how employment status influences investment behavior, offering valuable insights for future research and policy development.</w:t>
      </w:r>
    </w:p>
    <w:p w14:paraId="2B6E17BB" w14:textId="54889E12" w:rsidR="00E11800" w:rsidRPr="00AF5561" w:rsidRDefault="00E11800" w:rsidP="00AF5561">
      <w:pPr>
        <w:spacing w:line="360" w:lineRule="auto"/>
        <w:jc w:val="both"/>
        <w:rPr>
          <w:rFonts w:ascii="Times New Roman" w:hAnsi="Times New Roman" w:cs="Times New Roman"/>
          <w:sz w:val="24"/>
          <w:szCs w:val="24"/>
        </w:rPr>
      </w:pPr>
      <w:r>
        <w:rPr>
          <w:rFonts w:ascii="Times New Roman" w:hAnsi="Times New Roman" w:cs="Times New Roman"/>
          <w:b/>
          <w:bCs/>
          <w:kern w:val="0"/>
          <w:sz w:val="28"/>
          <w:szCs w:val="28"/>
          <w14:ligatures w14:val="none"/>
        </w:rPr>
        <w:t>Keywords:</w:t>
      </w:r>
      <w:r w:rsidR="00E643B5">
        <w:rPr>
          <w:rFonts w:ascii="Times New Roman" w:eastAsia="Times New Roman" w:hAnsi="Symbol" w:cs="Times New Roman"/>
          <w:kern w:val="0"/>
          <w:sz w:val="24"/>
          <w:szCs w:val="24"/>
          <w:lang w:eastAsia="en-IN"/>
          <w14:ligatures w14:val="none"/>
        </w:rPr>
        <w:t xml:space="preserve"> </w:t>
      </w:r>
      <w:r w:rsidR="00E643B5" w:rsidRPr="001812EA">
        <w:rPr>
          <w:rFonts w:ascii="Times New Roman" w:eastAsia="Times New Roman" w:hAnsi="Times New Roman" w:cs="Times New Roman"/>
          <w:kern w:val="0"/>
          <w:sz w:val="24"/>
          <w:szCs w:val="24"/>
          <w:lang w:eastAsia="en-IN"/>
          <w14:ligatures w14:val="none"/>
        </w:rPr>
        <w:t>Investment Behavior</w:t>
      </w:r>
      <w:r w:rsidR="00384618" w:rsidRPr="001812EA">
        <w:rPr>
          <w:rFonts w:ascii="Times New Roman" w:eastAsia="Times New Roman" w:hAnsi="Times New Roman" w:cs="Times New Roman"/>
          <w:kern w:val="0"/>
          <w:sz w:val="24"/>
          <w:szCs w:val="24"/>
          <w:lang w:eastAsia="en-IN"/>
          <w14:ligatures w14:val="none"/>
        </w:rPr>
        <w:t xml:space="preserve">, </w:t>
      </w:r>
      <w:r w:rsidR="00E643B5" w:rsidRPr="00E643B5">
        <w:rPr>
          <w:rFonts w:ascii="Times New Roman" w:eastAsia="Times New Roman" w:hAnsi="Times New Roman" w:cs="Times New Roman"/>
          <w:kern w:val="0"/>
          <w:sz w:val="24"/>
          <w:szCs w:val="24"/>
          <w:lang w:eastAsia="en-IN"/>
          <w14:ligatures w14:val="none"/>
        </w:rPr>
        <w:t>Employment Status Influence</w:t>
      </w:r>
      <w:r w:rsidR="00AF5561">
        <w:rPr>
          <w:rFonts w:ascii="Times New Roman" w:eastAsia="Times New Roman" w:hAnsi="Times New Roman" w:cs="Times New Roman"/>
          <w:kern w:val="0"/>
          <w:sz w:val="24"/>
          <w:szCs w:val="24"/>
          <w:lang w:eastAsia="en-IN"/>
          <w14:ligatures w14:val="none"/>
        </w:rPr>
        <w:t xml:space="preserve"> and </w:t>
      </w:r>
      <w:r w:rsidR="00E643B5" w:rsidRPr="00AF5561">
        <w:rPr>
          <w:rFonts w:ascii="Times New Roman" w:eastAsia="Times New Roman" w:hAnsi="Times New Roman" w:cs="Times New Roman"/>
          <w:kern w:val="0"/>
          <w:sz w:val="24"/>
          <w:szCs w:val="24"/>
          <w:lang w:eastAsia="en-IN"/>
          <w14:ligatures w14:val="none"/>
        </w:rPr>
        <w:t>Tailored Financial Strategies</w:t>
      </w:r>
    </w:p>
    <w:p w14:paraId="3E23CACD" w14:textId="00572D36" w:rsidR="009C468E" w:rsidRPr="00E11800" w:rsidRDefault="00D31AC4" w:rsidP="00B52D54">
      <w:pPr>
        <w:rPr>
          <w:rFonts w:ascii="Times New Roman" w:hAnsi="Times New Roman" w:cs="Times New Roman"/>
          <w:sz w:val="24"/>
          <w:szCs w:val="24"/>
        </w:rPr>
      </w:pPr>
      <w:r w:rsidRPr="00174C7A">
        <w:rPr>
          <w:rFonts w:ascii="Times New Roman" w:hAnsi="Times New Roman" w:cs="Times New Roman"/>
          <w:b/>
          <w:bCs/>
          <w:sz w:val="28"/>
          <w:szCs w:val="28"/>
        </w:rPr>
        <w:lastRenderedPageBreak/>
        <w:t>Introduction</w:t>
      </w:r>
    </w:p>
    <w:p w14:paraId="3F2E0DCA" w14:textId="77777777" w:rsidR="00A66428" w:rsidRPr="00A66428" w:rsidRDefault="00A66428" w:rsidP="00A66428">
      <w:pPr>
        <w:spacing w:line="360" w:lineRule="auto"/>
        <w:jc w:val="both"/>
        <w:rPr>
          <w:rFonts w:ascii="Times New Roman" w:hAnsi="Times New Roman" w:cs="Times New Roman"/>
          <w:sz w:val="24"/>
          <w:szCs w:val="24"/>
        </w:rPr>
      </w:pPr>
      <w:r w:rsidRPr="00A66428">
        <w:rPr>
          <w:rFonts w:ascii="Times New Roman" w:hAnsi="Times New Roman" w:cs="Times New Roman"/>
          <w:sz w:val="24"/>
          <w:szCs w:val="24"/>
        </w:rPr>
        <w:t>Investment behavior refers to how individuals make decisions regarding the allocation of financial resources across asset classes, combining psychological insights with traditional investment practices. It involves both quantitative and qualitative factors influenced by cognitive and emotional processes. Understanding investment behavior requires examining behavioral finance, which highlights psychological biases like overconfidence and loss aversion, and the efficient market hypothesis, which suggests asset prices reflect all available information.</w:t>
      </w:r>
    </w:p>
    <w:p w14:paraId="64D3DA52" w14:textId="77777777" w:rsidR="00A66428" w:rsidRPr="00A66428" w:rsidRDefault="00A66428" w:rsidP="00A66428">
      <w:pPr>
        <w:spacing w:line="360" w:lineRule="auto"/>
        <w:jc w:val="both"/>
        <w:rPr>
          <w:rFonts w:ascii="Times New Roman" w:hAnsi="Times New Roman" w:cs="Times New Roman"/>
          <w:sz w:val="24"/>
          <w:szCs w:val="24"/>
        </w:rPr>
      </w:pPr>
      <w:r w:rsidRPr="00A66428">
        <w:rPr>
          <w:rFonts w:ascii="Times New Roman" w:hAnsi="Times New Roman" w:cs="Times New Roman"/>
          <w:sz w:val="24"/>
          <w:szCs w:val="24"/>
        </w:rPr>
        <w:t>Investment behavior is crucial for individual wealth accumulation, economic growth, and retirement preparedness. Early and consistent investing allows individuals to benefit from compound interest, leading to greater financial security. Financial literacy is essential in shaping investment behavior, as informed individuals are better equipped to diversify portfolios and manage risks. Policymakers monitor investment trends to design effective fiscal and monetary policies that foster inclusive economic growth. As retirement planning shifts from employer-provided pensions to individual contribution plans, understanding investment behavior is vital for long-term financial stability.</w:t>
      </w:r>
    </w:p>
    <w:p w14:paraId="2E6B5C39" w14:textId="77777777" w:rsidR="00A66428" w:rsidRPr="00A66428" w:rsidRDefault="00A66428" w:rsidP="00A66428">
      <w:pPr>
        <w:spacing w:line="360" w:lineRule="auto"/>
        <w:jc w:val="both"/>
        <w:rPr>
          <w:rFonts w:ascii="Times New Roman" w:hAnsi="Times New Roman" w:cs="Times New Roman"/>
          <w:sz w:val="24"/>
          <w:szCs w:val="24"/>
        </w:rPr>
      </w:pPr>
      <w:r w:rsidRPr="00A66428">
        <w:rPr>
          <w:rFonts w:ascii="Times New Roman" w:hAnsi="Times New Roman" w:cs="Times New Roman"/>
          <w:sz w:val="24"/>
          <w:szCs w:val="24"/>
        </w:rPr>
        <w:t>Employment status significantly impacts investment behavior through income variability, access to financial resources, and risk tolerance. Full-time employees with stable incomes are more likely to engage in long-term investment strategies and benefit from employer-sponsored plans. In contrast, part-time and self-employed individuals face irregular incomes, leading to cautious investment approaches and a focus on short-term liquidity. Unemployed individuals prioritize immediate financial needs, while retirees emphasize income generation and capital preservation. Psychological factors, such as anxiety from income instability, further shape investment decisions. Financial advisors must tailor strategies to different employment categories to ensure inclusive wealth-building opportunities.</w:t>
      </w:r>
    </w:p>
    <w:p w14:paraId="67BDC7C7" w14:textId="77777777" w:rsidR="00A66428" w:rsidRPr="00A66428" w:rsidRDefault="00A66428" w:rsidP="00A66428">
      <w:pPr>
        <w:spacing w:line="360" w:lineRule="auto"/>
        <w:jc w:val="both"/>
        <w:rPr>
          <w:rFonts w:ascii="Times New Roman" w:hAnsi="Times New Roman" w:cs="Times New Roman"/>
          <w:sz w:val="24"/>
          <w:szCs w:val="24"/>
        </w:rPr>
      </w:pPr>
      <w:r w:rsidRPr="00A66428">
        <w:rPr>
          <w:rFonts w:ascii="Times New Roman" w:hAnsi="Times New Roman" w:cs="Times New Roman"/>
          <w:sz w:val="24"/>
          <w:szCs w:val="24"/>
        </w:rPr>
        <w:t>Technological advancements have transformed investment behavior by making financial markets more accessible. Online trading platforms and robo-advisors allow broader participation, though increased access can lead to speculative behavior. Modern investment strategies emphasize diversification and risk management, moving beyond traditional buy-and-hold approaches. Theories like Modern Portfolio Theory and the Life-Cycle Hypothesis explain how individuals balance risk-return trade-offs and adjust investment strategies across their lifetime.</w:t>
      </w:r>
    </w:p>
    <w:p w14:paraId="39A9DBC3" w14:textId="77777777" w:rsidR="00B52D54" w:rsidRDefault="00A66428" w:rsidP="006941A2">
      <w:pPr>
        <w:spacing w:line="360" w:lineRule="auto"/>
        <w:jc w:val="both"/>
        <w:rPr>
          <w:rFonts w:ascii="Times New Roman" w:hAnsi="Times New Roman" w:cs="Times New Roman"/>
          <w:sz w:val="24"/>
          <w:szCs w:val="24"/>
        </w:rPr>
      </w:pPr>
      <w:r w:rsidRPr="00A66428">
        <w:rPr>
          <w:rFonts w:ascii="Times New Roman" w:hAnsi="Times New Roman" w:cs="Times New Roman"/>
          <w:sz w:val="24"/>
          <w:szCs w:val="24"/>
        </w:rPr>
        <w:t xml:space="preserve">Addressing investment behavior disparities requires overcoming accessibility issues and psychological barriers. Full-time employees benefit from structured plans, while others face challenges like high investment thresholds and limited financial education. Inclusive investment practices and tailored financial products can empower diverse employment groups to engage in </w:t>
      </w:r>
      <w:r w:rsidRPr="00A66428">
        <w:rPr>
          <w:rFonts w:ascii="Times New Roman" w:hAnsi="Times New Roman" w:cs="Times New Roman"/>
          <w:sz w:val="24"/>
          <w:szCs w:val="24"/>
        </w:rPr>
        <w:lastRenderedPageBreak/>
        <w:t>wealth accumulation. Policymakers and financial institutions must address structural barriers to foster equitable access to financial resources and improve long-term financial outcomes.</w:t>
      </w:r>
    </w:p>
    <w:p w14:paraId="6266659D" w14:textId="77777777" w:rsidR="00F9396A" w:rsidRDefault="00F9396A" w:rsidP="006941A2">
      <w:pPr>
        <w:spacing w:line="360" w:lineRule="auto"/>
        <w:jc w:val="both"/>
        <w:rPr>
          <w:rFonts w:ascii="Times New Roman" w:hAnsi="Times New Roman" w:cs="Times New Roman"/>
          <w:sz w:val="24"/>
          <w:szCs w:val="24"/>
        </w:rPr>
      </w:pPr>
    </w:p>
    <w:p w14:paraId="5DB68546" w14:textId="2955FA0C" w:rsidR="006941A2" w:rsidRPr="00B52D54" w:rsidRDefault="006941A2" w:rsidP="006941A2">
      <w:pPr>
        <w:spacing w:line="360" w:lineRule="auto"/>
        <w:jc w:val="both"/>
        <w:rPr>
          <w:rFonts w:ascii="Times New Roman" w:hAnsi="Times New Roman" w:cs="Times New Roman"/>
          <w:sz w:val="24"/>
          <w:szCs w:val="24"/>
        </w:rPr>
      </w:pPr>
      <w:r w:rsidRPr="00401C5A">
        <w:rPr>
          <w:rFonts w:ascii="Times New Roman" w:hAnsi="Times New Roman" w:cs="Times New Roman"/>
          <w:b/>
          <w:bCs/>
          <w:sz w:val="28"/>
          <w:szCs w:val="28"/>
        </w:rPr>
        <w:t>Review of Literature</w:t>
      </w:r>
    </w:p>
    <w:p w14:paraId="1B71A545" w14:textId="1D222366"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Hussain Khan (2024)</w:t>
      </w:r>
      <w:r w:rsidR="007C045D">
        <w:rPr>
          <w:rFonts w:ascii="Times New Roman" w:hAnsi="Times New Roman" w:cs="Times New Roman"/>
          <w:b/>
          <w:bCs/>
          <w:sz w:val="24"/>
          <w:szCs w:val="24"/>
        </w:rPr>
        <w:t>,</w:t>
      </w:r>
      <w:r w:rsidRPr="00193AD7">
        <w:rPr>
          <w:rFonts w:ascii="Times New Roman" w:hAnsi="Times New Roman" w:cs="Times New Roman"/>
          <w:sz w:val="24"/>
          <w:szCs w:val="24"/>
        </w:rPr>
        <w:t xml:space="preserve"> assessed how changes in tax laws affected Saudi Arabian corporations' investment decisions using a desk study strategy to collect secondary data. The study found that lower corporate tax rates encourage business investment by increasing funds available for expansion and R&amp;D, while higher taxes reduce after-tax profits and discourage investment. However, the relationship between tax policy and investment is influenced by the specifics of tax changes, industry characteristics, and broader economic conditions.</w:t>
      </w:r>
    </w:p>
    <w:p w14:paraId="71DE13D1" w14:textId="1DA6D6E8"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Chiranjibi Timalsena and Netra Prasad Nyaupane (2024)</w:t>
      </w:r>
      <w:r w:rsidR="00DF48F2">
        <w:rPr>
          <w:rFonts w:ascii="Times New Roman" w:hAnsi="Times New Roman" w:cs="Times New Roman"/>
          <w:b/>
          <w:bCs/>
          <w:sz w:val="24"/>
          <w:szCs w:val="24"/>
        </w:rPr>
        <w:t>,</w:t>
      </w:r>
      <w:r w:rsidR="00DF48F2">
        <w:rPr>
          <w:rFonts w:ascii="Times New Roman" w:hAnsi="Times New Roman" w:cs="Times New Roman"/>
          <w:sz w:val="24"/>
          <w:szCs w:val="24"/>
        </w:rPr>
        <w:t xml:space="preserve"> </w:t>
      </w:r>
      <w:r w:rsidRPr="00193AD7">
        <w:rPr>
          <w:rFonts w:ascii="Times New Roman" w:hAnsi="Times New Roman" w:cs="Times New Roman"/>
          <w:sz w:val="24"/>
          <w:szCs w:val="24"/>
        </w:rPr>
        <w:t>explored undergraduate students' investment behavior in initial public offerings (IPOs) through structured questionnaires with 321 respondents. Management students and third- and fourth-year students were more likely to invest in IPOs, and male students participated more actively than female students. Parental education or occupation had no significant impact on investment behavior. The study emphasized the importance of targeted financial education programs to enhance students' financial literacy and informed decision-making.</w:t>
      </w:r>
    </w:p>
    <w:p w14:paraId="6FAB2B44" w14:textId="0F6472AF"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Adetola Adewale Akinsulire and Courage Idemudia (2024)</w:t>
      </w:r>
      <w:r w:rsidR="00AC07CA">
        <w:rPr>
          <w:rFonts w:ascii="Times New Roman" w:hAnsi="Times New Roman" w:cs="Times New Roman"/>
          <w:b/>
          <w:bCs/>
          <w:sz w:val="24"/>
          <w:szCs w:val="24"/>
        </w:rPr>
        <w:t>,</w:t>
      </w:r>
      <w:r w:rsidRPr="00193AD7">
        <w:rPr>
          <w:rFonts w:ascii="Times New Roman" w:hAnsi="Times New Roman" w:cs="Times New Roman"/>
          <w:sz w:val="24"/>
          <w:szCs w:val="24"/>
        </w:rPr>
        <w:t xml:space="preserve"> highlighted the importance of strategic planning and investment analysis for affordable housing projects. Effective planning involves clear objectives and aligning development goals with community needs. Investment analysis evaluates financial feasibility, including funding sources and risk assessment. These processes help optimize resources, address financial challenges, and ensure the sustainability of affordable housing developments.</w:t>
      </w:r>
    </w:p>
    <w:p w14:paraId="14A7B0BD" w14:textId="1B90590A"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Hyungjin Ko and Jaewook Lee (2024)</w:t>
      </w:r>
      <w:r w:rsidR="00AC07CA">
        <w:rPr>
          <w:rFonts w:ascii="Times New Roman" w:hAnsi="Times New Roman" w:cs="Times New Roman"/>
          <w:b/>
          <w:bCs/>
          <w:sz w:val="24"/>
          <w:szCs w:val="24"/>
        </w:rPr>
        <w:t>,</w:t>
      </w:r>
      <w:r w:rsidRPr="00193AD7">
        <w:rPr>
          <w:rFonts w:ascii="Times New Roman" w:hAnsi="Times New Roman" w:cs="Times New Roman"/>
          <w:sz w:val="24"/>
          <w:szCs w:val="24"/>
        </w:rPr>
        <w:t xml:space="preserve"> examined ChatGPT's capabilities in asset selection and portfolio diversification. Their findings indicate that ChatGPT's asset choices led to statistically significant improvements in diversification compared to random selections. Portfolios created using ChatGPT's recommendations outperformed those formed randomly, suggesting that large language models can support portfolio managers in asset selection and diversification.</w:t>
      </w:r>
    </w:p>
    <w:p w14:paraId="0033FED5" w14:textId="4843BAE6"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Nishi Sangwan and Shweta (2024)</w:t>
      </w:r>
      <w:r w:rsidR="00AC07CA">
        <w:rPr>
          <w:rFonts w:ascii="Times New Roman" w:hAnsi="Times New Roman" w:cs="Times New Roman"/>
          <w:b/>
          <w:bCs/>
          <w:sz w:val="24"/>
          <w:szCs w:val="24"/>
        </w:rPr>
        <w:t>,</w:t>
      </w:r>
      <w:r w:rsidRPr="00193AD7">
        <w:rPr>
          <w:rFonts w:ascii="Times New Roman" w:hAnsi="Times New Roman" w:cs="Times New Roman"/>
          <w:sz w:val="24"/>
          <w:szCs w:val="24"/>
        </w:rPr>
        <w:t xml:space="preserve"> investigated how individuals allocate savings across various assets based on risk preferences, financial security, and available options. The study emphasized that domestic savings are crucial for economic development, particularly in developing countries like </w:t>
      </w:r>
      <w:r w:rsidRPr="00193AD7">
        <w:rPr>
          <w:rFonts w:ascii="Times New Roman" w:hAnsi="Times New Roman" w:cs="Times New Roman"/>
          <w:sz w:val="24"/>
          <w:szCs w:val="24"/>
        </w:rPr>
        <w:lastRenderedPageBreak/>
        <w:t>India. It also highlighted the need to focus on enhancing public awareness and understanding of investment behavior, particularly among women.</w:t>
      </w:r>
    </w:p>
    <w:p w14:paraId="65C3DF62" w14:textId="287B9666"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Dongyang Zhang and Yurun He (2023)</w:t>
      </w:r>
      <w:r w:rsidR="00014FAF">
        <w:rPr>
          <w:rFonts w:ascii="Times New Roman" w:hAnsi="Times New Roman" w:cs="Times New Roman"/>
          <w:b/>
          <w:bCs/>
          <w:sz w:val="24"/>
          <w:szCs w:val="24"/>
        </w:rPr>
        <w:t>,</w:t>
      </w:r>
      <w:r w:rsidRPr="00193AD7">
        <w:rPr>
          <w:rFonts w:ascii="Times New Roman" w:hAnsi="Times New Roman" w:cs="Times New Roman"/>
          <w:sz w:val="24"/>
          <w:szCs w:val="24"/>
        </w:rPr>
        <w:t xml:space="preserve"> examined how central bank communication affects corporate investment decisions. Using data from Chinese listed companies (2011–2022), the study found that corporate investment is highly responsive to perceptions of monetary policy. Energy-intensive firms are particularly sensitive to policy changes, as clear communication reduces financial risks and external financing pressures, encouraging investment.</w:t>
      </w:r>
    </w:p>
    <w:p w14:paraId="265DA0AD" w14:textId="3797AACD"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Kunal Gaurav and Aishwarya Suraj Ray (2023)</w:t>
      </w:r>
      <w:r w:rsidR="00014FAF">
        <w:rPr>
          <w:rFonts w:ascii="Times New Roman" w:hAnsi="Times New Roman" w:cs="Times New Roman"/>
          <w:b/>
          <w:bCs/>
          <w:sz w:val="24"/>
          <w:szCs w:val="24"/>
        </w:rPr>
        <w:t>,</w:t>
      </w:r>
      <w:r w:rsidR="00014FAF">
        <w:rPr>
          <w:rFonts w:ascii="Times New Roman" w:hAnsi="Times New Roman" w:cs="Times New Roman"/>
          <w:sz w:val="24"/>
          <w:szCs w:val="24"/>
        </w:rPr>
        <w:t xml:space="preserve"> </w:t>
      </w:r>
      <w:r w:rsidRPr="00193AD7">
        <w:rPr>
          <w:rFonts w:ascii="Times New Roman" w:hAnsi="Times New Roman" w:cs="Times New Roman"/>
          <w:sz w:val="24"/>
          <w:szCs w:val="24"/>
        </w:rPr>
        <w:t>studied corporate professionals' investment behavior toward mutual funds. Data from 175 respondents identified seven key factors influencing mutual fund decisions, using exploratory factor analysis (EFA). The study highlighted the growing preference for professionally managed, diversified portfolios and emphasized the importance of understanding factors that shape investment decisions.</w:t>
      </w:r>
    </w:p>
    <w:p w14:paraId="70E9C830" w14:textId="66A01BB4"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Juliana Bernhofer and Francesco Costantini (2023)</w:t>
      </w:r>
      <w:r w:rsidR="002E3470">
        <w:rPr>
          <w:rFonts w:ascii="Times New Roman" w:hAnsi="Times New Roman" w:cs="Times New Roman"/>
          <w:b/>
          <w:bCs/>
          <w:sz w:val="24"/>
          <w:szCs w:val="24"/>
        </w:rPr>
        <w:t>,</w:t>
      </w:r>
      <w:r w:rsidRPr="00193AD7">
        <w:rPr>
          <w:rFonts w:ascii="Times New Roman" w:hAnsi="Times New Roman" w:cs="Times New Roman"/>
          <w:sz w:val="24"/>
          <w:szCs w:val="24"/>
        </w:rPr>
        <w:t xml:space="preserve"> investigated the link between linguistic variation and risk attitudes. They introduced a linguistic marker showing that speakers of languages with frequent non-indicative moods exhibit greater risk aversion. This marker was used to measure risk preferences and distinguish between risk attitudes and time preferences in financial decision-making.</w:t>
      </w:r>
    </w:p>
    <w:p w14:paraId="53B1D43E" w14:textId="2753BB2F" w:rsidR="00193AD7" w:rsidRP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Qunwei Wang and Zining Fan (2023)</w:t>
      </w:r>
      <w:r w:rsidR="002E3470">
        <w:rPr>
          <w:rFonts w:ascii="Times New Roman" w:hAnsi="Times New Roman" w:cs="Times New Roman"/>
          <w:b/>
          <w:bCs/>
          <w:sz w:val="24"/>
          <w:szCs w:val="24"/>
        </w:rPr>
        <w:t>,</w:t>
      </w:r>
      <w:r w:rsidRPr="00193AD7">
        <w:rPr>
          <w:rFonts w:ascii="Times New Roman" w:hAnsi="Times New Roman" w:cs="Times New Roman"/>
          <w:sz w:val="24"/>
          <w:szCs w:val="24"/>
        </w:rPr>
        <w:t xml:space="preserve"> explored how green finance supports renewable energy investment using a dynamic panel threshold model. Their findings revealed that green finance and high-quality economic development promote investment, but severe financing constraints can diminish these effects. Easing financial barriers and sustaining economic growth are essential to maximize green finance's role in supporting renewable energy enterprises.</w:t>
      </w:r>
    </w:p>
    <w:p w14:paraId="682843A2" w14:textId="1D0B8179" w:rsidR="00193AD7" w:rsidRDefault="00193AD7" w:rsidP="00193AD7">
      <w:pPr>
        <w:spacing w:line="360" w:lineRule="auto"/>
        <w:jc w:val="both"/>
        <w:rPr>
          <w:rFonts w:ascii="Times New Roman" w:hAnsi="Times New Roman" w:cs="Times New Roman"/>
          <w:sz w:val="24"/>
          <w:szCs w:val="24"/>
        </w:rPr>
      </w:pPr>
      <w:r w:rsidRPr="00193AD7">
        <w:rPr>
          <w:rFonts w:ascii="Times New Roman" w:hAnsi="Times New Roman" w:cs="Times New Roman"/>
          <w:b/>
          <w:bCs/>
          <w:sz w:val="24"/>
          <w:szCs w:val="24"/>
        </w:rPr>
        <w:t>Johannes Hagen and Amedeus Malisa (2022)</w:t>
      </w:r>
      <w:r w:rsidR="002E3470">
        <w:rPr>
          <w:rFonts w:ascii="Times New Roman" w:hAnsi="Times New Roman" w:cs="Times New Roman"/>
          <w:b/>
          <w:bCs/>
          <w:sz w:val="24"/>
          <w:szCs w:val="24"/>
        </w:rPr>
        <w:t>,</w:t>
      </w:r>
      <w:r w:rsidRPr="00193AD7">
        <w:rPr>
          <w:rFonts w:ascii="Times New Roman" w:hAnsi="Times New Roman" w:cs="Times New Roman"/>
          <w:sz w:val="24"/>
          <w:szCs w:val="24"/>
        </w:rPr>
        <w:t xml:space="preserve"> analyzed investor behavior following financial fraud exposure in Sweden's pension system. About two-thirds of affected investors did not divest their holdings. Younger individuals from lower socioeconomic backgrounds displayed greater inertia, often remaining in underperforming funds. The study emphasized how consumer biases and inadequate government interventions contribute to investor inertia even in extreme cases of fraud.</w:t>
      </w:r>
    </w:p>
    <w:p w14:paraId="5579C8CA" w14:textId="77777777" w:rsidR="00F9396A" w:rsidRDefault="00F9396A" w:rsidP="00803776">
      <w:pPr>
        <w:spacing w:line="360" w:lineRule="auto"/>
        <w:jc w:val="both"/>
        <w:rPr>
          <w:rFonts w:ascii="Times New Roman" w:hAnsi="Times New Roman" w:cs="Times New Roman"/>
          <w:b/>
          <w:bCs/>
          <w:sz w:val="24"/>
          <w:szCs w:val="24"/>
        </w:rPr>
      </w:pPr>
    </w:p>
    <w:p w14:paraId="0CDB3DD0" w14:textId="5728DB81" w:rsidR="00803776" w:rsidRPr="00803776" w:rsidRDefault="00803776" w:rsidP="00803776">
      <w:pPr>
        <w:spacing w:line="360" w:lineRule="auto"/>
        <w:jc w:val="both"/>
        <w:rPr>
          <w:rFonts w:ascii="Times New Roman" w:hAnsi="Times New Roman" w:cs="Times New Roman"/>
          <w:b/>
          <w:bCs/>
          <w:sz w:val="24"/>
          <w:szCs w:val="24"/>
        </w:rPr>
      </w:pPr>
      <w:r w:rsidRPr="00803776">
        <w:rPr>
          <w:rFonts w:ascii="Times New Roman" w:hAnsi="Times New Roman" w:cs="Times New Roman"/>
          <w:b/>
          <w:bCs/>
          <w:sz w:val="24"/>
          <w:szCs w:val="24"/>
        </w:rPr>
        <w:t>RESEARCH GAP</w:t>
      </w:r>
    </w:p>
    <w:p w14:paraId="72615373" w14:textId="77777777" w:rsidR="00B52D54" w:rsidRDefault="00803776" w:rsidP="000F67C1">
      <w:pPr>
        <w:spacing w:line="360" w:lineRule="auto"/>
        <w:jc w:val="both"/>
        <w:rPr>
          <w:rFonts w:ascii="Times New Roman" w:hAnsi="Times New Roman" w:cs="Times New Roman"/>
          <w:sz w:val="24"/>
          <w:szCs w:val="24"/>
        </w:rPr>
      </w:pPr>
      <w:r w:rsidRPr="00803776">
        <w:rPr>
          <w:rFonts w:ascii="Times New Roman" w:hAnsi="Times New Roman" w:cs="Times New Roman"/>
          <w:sz w:val="24"/>
          <w:szCs w:val="24"/>
        </w:rPr>
        <w:t xml:space="preserve">Numerous studies explore factors like age, gender, and income in investment behavior, few examine how employment status—whether business owners, salaried employees, or students impacts </w:t>
      </w:r>
      <w:r w:rsidRPr="00803776">
        <w:rPr>
          <w:rFonts w:ascii="Times New Roman" w:hAnsi="Times New Roman" w:cs="Times New Roman"/>
          <w:sz w:val="24"/>
          <w:szCs w:val="24"/>
        </w:rPr>
        <w:lastRenderedPageBreak/>
        <w:t>decisions. Notably, students remain underrepresented in research despite their growing investment activity through fintech apps and easy market access, often with limited incomes.</w:t>
      </w:r>
    </w:p>
    <w:p w14:paraId="0E506AD5" w14:textId="1832DD52" w:rsidR="00253D19" w:rsidRPr="00B52D54" w:rsidRDefault="00253D19" w:rsidP="000F67C1">
      <w:pPr>
        <w:spacing w:line="360" w:lineRule="auto"/>
        <w:jc w:val="both"/>
        <w:rPr>
          <w:rFonts w:ascii="Times New Roman" w:hAnsi="Times New Roman" w:cs="Times New Roman"/>
          <w:sz w:val="24"/>
          <w:szCs w:val="24"/>
        </w:rPr>
      </w:pPr>
      <w:r w:rsidRPr="000330E6">
        <w:rPr>
          <w:rFonts w:ascii="Times New Roman" w:hAnsi="Times New Roman" w:cs="Times New Roman"/>
          <w:b/>
          <w:bCs/>
          <w:sz w:val="24"/>
          <w:szCs w:val="24"/>
        </w:rPr>
        <w:t>STATEMENT OF THE PROBLEM</w:t>
      </w:r>
    </w:p>
    <w:p w14:paraId="44C32ADE" w14:textId="1BE6364C" w:rsidR="00253D19" w:rsidRDefault="00253D19" w:rsidP="000F67C1">
      <w:pPr>
        <w:spacing w:line="360" w:lineRule="auto"/>
        <w:jc w:val="both"/>
        <w:rPr>
          <w:rFonts w:ascii="Times New Roman" w:hAnsi="Times New Roman" w:cs="Times New Roman"/>
          <w:sz w:val="24"/>
          <w:szCs w:val="24"/>
        </w:rPr>
      </w:pPr>
      <w:r w:rsidRPr="000330E6">
        <w:rPr>
          <w:rFonts w:ascii="Times New Roman" w:hAnsi="Times New Roman" w:cs="Times New Roman"/>
          <w:sz w:val="24"/>
          <w:szCs w:val="24"/>
        </w:rPr>
        <w:t>Investment behavior varies widely among individuals, influenced by factors such as financial literacy, risk tolerance, and personal goals. However, the extent to which employment status (business owner, salaried employee, or student) shapes these investment behaviors remains underexplored. Understanding these differences is crucial for financial institutions, educators, and policymakers to tailor investment advice and resources effectively. This study aims to investigate how employment status affects investment choices</w:t>
      </w:r>
      <w:r w:rsidR="000F67C1">
        <w:rPr>
          <w:rFonts w:ascii="Times New Roman" w:hAnsi="Times New Roman" w:cs="Times New Roman"/>
          <w:sz w:val="24"/>
          <w:szCs w:val="24"/>
        </w:rPr>
        <w:t>.</w:t>
      </w:r>
    </w:p>
    <w:p w14:paraId="398DF887" w14:textId="0E2FCB14" w:rsidR="00AE1B06" w:rsidRDefault="00AE1B06" w:rsidP="00AE1B06">
      <w:pPr>
        <w:spacing w:line="360" w:lineRule="auto"/>
        <w:jc w:val="both"/>
        <w:rPr>
          <w:rFonts w:ascii="Times New Roman" w:hAnsi="Times New Roman" w:cs="Times New Roman"/>
          <w:b/>
          <w:bCs/>
          <w:sz w:val="24"/>
          <w:szCs w:val="24"/>
        </w:rPr>
      </w:pPr>
      <w:r w:rsidRPr="00FA085D">
        <w:rPr>
          <w:rFonts w:ascii="Times New Roman" w:hAnsi="Times New Roman" w:cs="Times New Roman"/>
          <w:b/>
          <w:bCs/>
          <w:sz w:val="24"/>
          <w:szCs w:val="24"/>
        </w:rPr>
        <w:t>OBJECTIVE</w:t>
      </w:r>
      <w:r>
        <w:rPr>
          <w:rFonts w:ascii="Times New Roman" w:hAnsi="Times New Roman" w:cs="Times New Roman"/>
          <w:b/>
          <w:bCs/>
          <w:sz w:val="24"/>
          <w:szCs w:val="24"/>
        </w:rPr>
        <w:t xml:space="preserve"> </w:t>
      </w:r>
      <w:r w:rsidRPr="00FA085D">
        <w:rPr>
          <w:rFonts w:ascii="Times New Roman" w:hAnsi="Times New Roman" w:cs="Times New Roman"/>
          <w:b/>
          <w:bCs/>
          <w:sz w:val="24"/>
          <w:szCs w:val="24"/>
        </w:rPr>
        <w:t>OF THE STUDY</w:t>
      </w:r>
    </w:p>
    <w:p w14:paraId="43F23701" w14:textId="72202A69" w:rsidR="00AE1B06" w:rsidRDefault="00AE1B06" w:rsidP="00AE1B06">
      <w:pPr>
        <w:spacing w:line="360" w:lineRule="auto"/>
        <w:jc w:val="both"/>
        <w:rPr>
          <w:rFonts w:ascii="Times New Roman" w:hAnsi="Times New Roman" w:cs="Times New Roman"/>
          <w:sz w:val="24"/>
          <w:szCs w:val="24"/>
        </w:rPr>
      </w:pPr>
      <w:r w:rsidRPr="00AE1B06">
        <w:rPr>
          <w:rFonts w:ascii="Times New Roman" w:hAnsi="Times New Roman" w:cs="Times New Roman"/>
          <w:sz w:val="24"/>
          <w:szCs w:val="24"/>
        </w:rPr>
        <w:t>To analyze the influence of employment status on investment behavior by comparing the patterns among different classes.</w:t>
      </w:r>
    </w:p>
    <w:p w14:paraId="68CCB7FD" w14:textId="1EB93314" w:rsidR="00C62A65" w:rsidRPr="00800482" w:rsidRDefault="00C62A65" w:rsidP="00C62A65">
      <w:pPr>
        <w:pStyle w:val="ListParagraph"/>
        <w:spacing w:line="360" w:lineRule="auto"/>
        <w:ind w:left="0"/>
        <w:jc w:val="both"/>
        <w:rPr>
          <w:rFonts w:ascii="Times New Roman" w:hAnsi="Times New Roman" w:cs="Times New Roman"/>
          <w:b/>
          <w:bCs/>
          <w:sz w:val="24"/>
          <w:szCs w:val="24"/>
        </w:rPr>
      </w:pPr>
      <w:r w:rsidRPr="00800482">
        <w:rPr>
          <w:rFonts w:ascii="Times New Roman" w:hAnsi="Times New Roman" w:cs="Times New Roman"/>
          <w:b/>
          <w:bCs/>
          <w:sz w:val="24"/>
          <w:szCs w:val="24"/>
        </w:rPr>
        <w:t>Hypothesis</w:t>
      </w:r>
    </w:p>
    <w:p w14:paraId="5E67AF05" w14:textId="7E3B5A2C" w:rsidR="00BA17C4" w:rsidRDefault="00C62A65" w:rsidP="00C62A65">
      <w:pPr>
        <w:pStyle w:val="ListParagraph"/>
        <w:spacing w:line="360" w:lineRule="auto"/>
        <w:ind w:left="0"/>
        <w:jc w:val="both"/>
        <w:rPr>
          <w:rFonts w:ascii="Times New Roman" w:hAnsi="Times New Roman" w:cs="Times New Roman"/>
          <w:sz w:val="24"/>
          <w:szCs w:val="24"/>
        </w:rPr>
      </w:pPr>
      <w:r w:rsidRPr="00800482">
        <w:rPr>
          <w:rFonts w:ascii="Times New Roman" w:hAnsi="Times New Roman" w:cs="Times New Roman"/>
          <w:sz w:val="24"/>
          <w:szCs w:val="24"/>
        </w:rPr>
        <w:t>H</w:t>
      </w:r>
      <w:r>
        <w:rPr>
          <w:rFonts w:ascii="Times New Roman" w:hAnsi="Times New Roman" w:cs="Times New Roman"/>
          <w:sz w:val="24"/>
          <w:szCs w:val="24"/>
        </w:rPr>
        <w:t xml:space="preserve">1: </w:t>
      </w:r>
      <w:r w:rsidRPr="00A03492">
        <w:rPr>
          <w:rFonts w:ascii="Times New Roman" w:hAnsi="Times New Roman" w:cs="Times New Roman"/>
          <w:sz w:val="24"/>
          <w:szCs w:val="24"/>
        </w:rPr>
        <w:t>Employment status significantly influences investment behavior, with individuals in different employment categories</w:t>
      </w:r>
      <w:r w:rsidR="00E7291E">
        <w:rPr>
          <w:rFonts w:ascii="Times New Roman" w:hAnsi="Times New Roman" w:cs="Times New Roman"/>
          <w:sz w:val="24"/>
          <w:szCs w:val="24"/>
        </w:rPr>
        <w:t xml:space="preserve"> </w:t>
      </w:r>
      <w:r w:rsidRPr="00A03492">
        <w:rPr>
          <w:rFonts w:ascii="Times New Roman" w:hAnsi="Times New Roman" w:cs="Times New Roman"/>
          <w:sz w:val="24"/>
          <w:szCs w:val="24"/>
        </w:rPr>
        <w:t>exhibiting distinct investment patterns.</w:t>
      </w:r>
    </w:p>
    <w:p w14:paraId="733A0D3F" w14:textId="77777777" w:rsidR="00AB0A20" w:rsidRDefault="00AB0A20" w:rsidP="00BA17C4">
      <w:pPr>
        <w:pStyle w:val="ListParagraph"/>
        <w:spacing w:line="360" w:lineRule="auto"/>
        <w:ind w:left="0"/>
        <w:jc w:val="both"/>
        <w:rPr>
          <w:rFonts w:ascii="Times New Roman" w:hAnsi="Times New Roman" w:cs="Times New Roman"/>
          <w:b/>
          <w:bCs/>
          <w:sz w:val="24"/>
          <w:szCs w:val="24"/>
        </w:rPr>
      </w:pPr>
    </w:p>
    <w:p w14:paraId="5ED68C6C" w14:textId="0163F852" w:rsidR="00BA17C4" w:rsidRDefault="00BA17C4" w:rsidP="00BA17C4">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SCOPE OF THE STUDY</w:t>
      </w:r>
    </w:p>
    <w:p w14:paraId="5BCE7EBB" w14:textId="77777777" w:rsidR="00AB0A20" w:rsidRDefault="00BA17C4" w:rsidP="00AB0A20">
      <w:pPr>
        <w:pStyle w:val="ListParagraph"/>
        <w:spacing w:line="360" w:lineRule="auto"/>
        <w:ind w:left="0"/>
        <w:jc w:val="both"/>
        <w:rPr>
          <w:rFonts w:ascii="Times New Roman" w:hAnsi="Times New Roman" w:cs="Times New Roman"/>
          <w:sz w:val="24"/>
          <w:szCs w:val="24"/>
        </w:rPr>
      </w:pPr>
      <w:r w:rsidRPr="009917BE">
        <w:rPr>
          <w:rFonts w:ascii="Times New Roman" w:hAnsi="Times New Roman" w:cs="Times New Roman"/>
          <w:sz w:val="24"/>
          <w:szCs w:val="24"/>
        </w:rPr>
        <w:t>The scope of this study is to analyze and understand how employment status</w:t>
      </w:r>
      <w:r>
        <w:rPr>
          <w:rFonts w:ascii="Times New Roman" w:hAnsi="Times New Roman" w:cs="Times New Roman"/>
          <w:sz w:val="24"/>
          <w:szCs w:val="24"/>
        </w:rPr>
        <w:t xml:space="preserve"> </w:t>
      </w:r>
      <w:r w:rsidRPr="009917BE">
        <w:rPr>
          <w:rFonts w:ascii="Times New Roman" w:hAnsi="Times New Roman" w:cs="Times New Roman"/>
          <w:sz w:val="24"/>
          <w:szCs w:val="24"/>
        </w:rPr>
        <w:t>specifically, being a business owner, salaried employee, or student</w:t>
      </w:r>
      <w:r>
        <w:rPr>
          <w:rFonts w:ascii="Times New Roman" w:hAnsi="Times New Roman" w:cs="Times New Roman"/>
          <w:sz w:val="24"/>
          <w:szCs w:val="24"/>
        </w:rPr>
        <w:t xml:space="preserve"> </w:t>
      </w:r>
      <w:r w:rsidRPr="009917BE">
        <w:rPr>
          <w:rFonts w:ascii="Times New Roman" w:hAnsi="Times New Roman" w:cs="Times New Roman"/>
          <w:sz w:val="24"/>
          <w:szCs w:val="24"/>
        </w:rPr>
        <w:t>affects individual investment behavior. This includes examining key factor</w:t>
      </w:r>
      <w:r>
        <w:rPr>
          <w:rFonts w:ascii="Times New Roman" w:hAnsi="Times New Roman" w:cs="Times New Roman"/>
          <w:sz w:val="24"/>
          <w:szCs w:val="24"/>
        </w:rPr>
        <w:t xml:space="preserve"> </w:t>
      </w:r>
      <w:r w:rsidRPr="009917BE">
        <w:rPr>
          <w:rFonts w:ascii="Times New Roman" w:hAnsi="Times New Roman" w:cs="Times New Roman"/>
          <w:sz w:val="24"/>
          <w:szCs w:val="24"/>
        </w:rPr>
        <w:t>such as</w:t>
      </w:r>
      <w:r w:rsidR="00AF074E" w:rsidRPr="00AF074E">
        <w:rPr>
          <w:rFonts w:ascii="Times New Roman" w:hAnsi="Times New Roman" w:cs="Times New Roman"/>
          <w:sz w:val="24"/>
          <w:szCs w:val="24"/>
        </w:rPr>
        <w:t xml:space="preserve"> </w:t>
      </w:r>
      <w:r w:rsidRPr="00AF074E">
        <w:rPr>
          <w:rFonts w:ascii="Times New Roman" w:hAnsi="Times New Roman" w:cs="Times New Roman"/>
          <w:sz w:val="24"/>
          <w:szCs w:val="24"/>
        </w:rPr>
        <w:t>Investment Preferences</w:t>
      </w:r>
      <w:r w:rsidRPr="00EE6AD0">
        <w:rPr>
          <w:rFonts w:ascii="Times New Roman" w:hAnsi="Times New Roman" w:cs="Times New Roman"/>
          <w:sz w:val="24"/>
          <w:szCs w:val="24"/>
        </w:rPr>
        <w:t>: Exploring investments Preferences favored by individuals across different employment status.</w:t>
      </w:r>
    </w:p>
    <w:p w14:paraId="0639B92D" w14:textId="77777777" w:rsidR="00B52D54" w:rsidRDefault="00B52D54" w:rsidP="00AB0A20">
      <w:pPr>
        <w:pStyle w:val="ListParagraph"/>
        <w:spacing w:line="360" w:lineRule="auto"/>
        <w:ind w:left="0"/>
        <w:jc w:val="both"/>
        <w:rPr>
          <w:rFonts w:ascii="Times New Roman" w:hAnsi="Times New Roman" w:cs="Times New Roman"/>
          <w:b/>
          <w:bCs/>
          <w:sz w:val="28"/>
          <w:szCs w:val="28"/>
        </w:rPr>
      </w:pPr>
    </w:p>
    <w:p w14:paraId="795E52E2" w14:textId="1ACB599E" w:rsidR="005F7887" w:rsidRPr="00AB0A20" w:rsidRDefault="005F7887" w:rsidP="00AB0A20">
      <w:pPr>
        <w:pStyle w:val="ListParagraph"/>
        <w:spacing w:line="360" w:lineRule="auto"/>
        <w:ind w:left="0"/>
        <w:jc w:val="both"/>
        <w:rPr>
          <w:rFonts w:ascii="Times New Roman" w:hAnsi="Times New Roman" w:cs="Times New Roman"/>
          <w:sz w:val="24"/>
          <w:szCs w:val="24"/>
        </w:rPr>
      </w:pPr>
      <w:r w:rsidRPr="005F7887">
        <w:rPr>
          <w:rFonts w:ascii="Times New Roman" w:hAnsi="Times New Roman" w:cs="Times New Roman"/>
          <w:b/>
          <w:bCs/>
          <w:sz w:val="28"/>
          <w:szCs w:val="28"/>
        </w:rPr>
        <w:t>Research Methodology</w:t>
      </w:r>
    </w:p>
    <w:p w14:paraId="15CED284" w14:textId="77777777" w:rsidR="00DE6E5B" w:rsidRDefault="00191C6C" w:rsidP="00716826">
      <w:pPr>
        <w:spacing w:line="360" w:lineRule="auto"/>
        <w:jc w:val="both"/>
        <w:rPr>
          <w:rFonts w:ascii="Times New Roman" w:hAnsi="Times New Roman" w:cs="Times New Roman"/>
          <w:sz w:val="24"/>
          <w:szCs w:val="24"/>
        </w:rPr>
      </w:pPr>
      <w:r w:rsidRPr="00191C6C">
        <w:rPr>
          <w:rFonts w:ascii="Times New Roman" w:hAnsi="Times New Roman" w:cs="Times New Roman"/>
          <w:sz w:val="24"/>
          <w:szCs w:val="24"/>
        </w:rPr>
        <w:t>The research methodology involves collecting primary data</w:t>
      </w:r>
      <w:r w:rsidR="00BB2E58">
        <w:rPr>
          <w:rFonts w:ascii="Times New Roman" w:hAnsi="Times New Roman" w:cs="Times New Roman"/>
          <w:sz w:val="24"/>
          <w:szCs w:val="24"/>
        </w:rPr>
        <w:t xml:space="preserve"> of 150 respondents</w:t>
      </w:r>
      <w:r w:rsidRPr="00191C6C">
        <w:rPr>
          <w:rFonts w:ascii="Times New Roman" w:hAnsi="Times New Roman" w:cs="Times New Roman"/>
          <w:sz w:val="24"/>
          <w:szCs w:val="24"/>
        </w:rPr>
        <w:t xml:space="preserve"> through a structured questionnaire designed to understand the investment behavior of individuals across different employment statuses in India. The questionnaire is based on prior studies and includes questions about investment patterns and preferences. Non-probability sampling methods are employed, specifically convenience and purposive sampling, to gather data from business owners, salaried employees, and students. This approach is chosen due to the practical challenges of accessing a comprehensive population list. The study focuses on surveying individuals from various employment backgrounds to analyze their investment habits, attitudes, and knowledge, aiming to identify patterns and trends in their investment behavior.</w:t>
      </w:r>
    </w:p>
    <w:p w14:paraId="2913E283" w14:textId="7BCA2A89" w:rsidR="00E75C1E" w:rsidRPr="00DE6E5B" w:rsidRDefault="00716826" w:rsidP="00716826">
      <w:pPr>
        <w:spacing w:line="360" w:lineRule="auto"/>
        <w:jc w:val="both"/>
        <w:rPr>
          <w:rFonts w:ascii="Times New Roman" w:hAnsi="Times New Roman" w:cs="Times New Roman"/>
          <w:sz w:val="24"/>
          <w:szCs w:val="24"/>
        </w:rPr>
      </w:pPr>
      <w:r w:rsidRPr="00174C7A">
        <w:rPr>
          <w:rFonts w:ascii="Times New Roman" w:hAnsi="Times New Roman" w:cs="Times New Roman"/>
          <w:b/>
          <w:bCs/>
          <w:sz w:val="28"/>
          <w:szCs w:val="28"/>
          <w:lang w:val="en-US"/>
        </w:rPr>
        <w:lastRenderedPageBreak/>
        <w:t>Analysis and Interpretations</w:t>
      </w:r>
    </w:p>
    <w:p w14:paraId="5B86C50F" w14:textId="23D29C9E"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r w:rsidRPr="00AC3255">
        <w:rPr>
          <w:rFonts w:ascii="Times New Roman" w:hAnsi="Times New Roman" w:cs="Times New Roman"/>
          <w:b/>
          <w:bCs/>
          <w:sz w:val="24"/>
          <w:szCs w:val="24"/>
        </w:rPr>
        <w:t>Table</w:t>
      </w:r>
      <w:r w:rsidR="00534540">
        <w:rPr>
          <w:rFonts w:ascii="Times New Roman" w:hAnsi="Times New Roman" w:cs="Times New Roman"/>
          <w:b/>
          <w:bCs/>
          <w:sz w:val="24"/>
          <w:szCs w:val="24"/>
        </w:rPr>
        <w:t xml:space="preserve"> 1</w:t>
      </w:r>
      <w:r w:rsidRPr="00AC3255">
        <w:rPr>
          <w:rFonts w:ascii="Times New Roman" w:hAnsi="Times New Roman" w:cs="Times New Roman"/>
          <w:b/>
          <w:bCs/>
          <w:sz w:val="24"/>
          <w:szCs w:val="24"/>
        </w:rPr>
        <w:t xml:space="preserve">: </w:t>
      </w:r>
      <w:r w:rsidRPr="00AC3255">
        <w:rPr>
          <w:rFonts w:ascii="Times New Roman" w:eastAsia="Times New Roman" w:hAnsi="Times New Roman" w:cs="Times New Roman"/>
          <w:b/>
          <w:bCs/>
          <w:color w:val="000000"/>
          <w:kern w:val="0"/>
          <w:sz w:val="24"/>
          <w:szCs w:val="24"/>
          <w:lang w:eastAsia="en-IN"/>
          <w14:ligatures w14:val="none"/>
        </w:rPr>
        <w:t>Does your employment status significantly influence your investment decisions?</w:t>
      </w:r>
    </w:p>
    <w:p w14:paraId="5FD2A0CC" w14:textId="77777777" w:rsidR="00A05915" w:rsidRDefault="00A05915" w:rsidP="00167FAB">
      <w:pPr>
        <w:jc w:val="both"/>
        <w:rPr>
          <w:rFonts w:ascii="Times New Roman" w:eastAsia="Times New Roman" w:hAnsi="Times New Roman" w:cs="Times New Roman"/>
          <w:b/>
          <w:bCs/>
          <w:color w:val="000000"/>
          <w:kern w:val="0"/>
          <w:sz w:val="24"/>
          <w:szCs w:val="24"/>
          <w:lang w:eastAsia="en-IN"/>
          <w14:ligatures w14:val="none"/>
        </w:rPr>
      </w:pPr>
    </w:p>
    <w:tbl>
      <w:tblPr>
        <w:tblStyle w:val="TableGrid"/>
        <w:tblpPr w:leftFromText="180" w:rightFromText="180" w:vertAnchor="text" w:horzAnchor="margin" w:tblpXSpec="center" w:tblpY="258"/>
        <w:tblW w:w="0" w:type="auto"/>
        <w:tblLook w:val="04A0" w:firstRow="1" w:lastRow="0" w:firstColumn="1" w:lastColumn="0" w:noHBand="0" w:noVBand="1"/>
      </w:tblPr>
      <w:tblGrid>
        <w:gridCol w:w="4101"/>
        <w:gridCol w:w="1679"/>
        <w:gridCol w:w="1393"/>
      </w:tblGrid>
      <w:tr w:rsidR="00167FAB" w:rsidRPr="00AC3255" w14:paraId="2E896176" w14:textId="77777777" w:rsidTr="00E86F6B">
        <w:trPr>
          <w:trHeight w:val="554"/>
        </w:trPr>
        <w:tc>
          <w:tcPr>
            <w:tcW w:w="4101" w:type="dxa"/>
            <w:noWrap/>
            <w:hideMark/>
          </w:tcPr>
          <w:p w14:paraId="5C42A544" w14:textId="77777777" w:rsidR="00167FAB" w:rsidRPr="00A35B5D" w:rsidRDefault="00167FAB" w:rsidP="00E86F6B">
            <w:pPr>
              <w:rPr>
                <w:rFonts w:ascii="Times New Roman" w:eastAsia="Times New Roman" w:hAnsi="Times New Roman" w:cs="Times New Roman"/>
                <w:b/>
                <w:bCs/>
                <w:color w:val="000000"/>
                <w:kern w:val="0"/>
                <w:sz w:val="24"/>
                <w:szCs w:val="24"/>
                <w:lang w:eastAsia="en-IN"/>
                <w14:ligatures w14:val="none"/>
              </w:rPr>
            </w:pPr>
            <w:r w:rsidRPr="00A35B5D">
              <w:rPr>
                <w:rFonts w:ascii="Times New Roman" w:eastAsia="Times New Roman" w:hAnsi="Times New Roman" w:cs="Times New Roman"/>
                <w:b/>
                <w:bCs/>
                <w:color w:val="000000"/>
                <w:kern w:val="0"/>
                <w:sz w:val="24"/>
                <w:szCs w:val="24"/>
                <w:lang w:eastAsia="en-IN"/>
                <w14:ligatures w14:val="none"/>
              </w:rPr>
              <w:t>Does your employment status significantly influence your investment decisions?</w:t>
            </w:r>
          </w:p>
        </w:tc>
        <w:tc>
          <w:tcPr>
            <w:tcW w:w="1679" w:type="dxa"/>
            <w:noWrap/>
            <w:hideMark/>
          </w:tcPr>
          <w:p w14:paraId="03CB1339" w14:textId="77777777" w:rsidR="00167FAB" w:rsidRPr="00A35B5D" w:rsidRDefault="00167FAB" w:rsidP="00E86F6B">
            <w:pPr>
              <w:jc w:val="both"/>
              <w:rPr>
                <w:rFonts w:ascii="Times New Roman" w:eastAsia="Times New Roman" w:hAnsi="Times New Roman" w:cs="Times New Roman"/>
                <w:b/>
                <w:bCs/>
                <w:color w:val="000000"/>
                <w:kern w:val="0"/>
                <w:sz w:val="24"/>
                <w:szCs w:val="24"/>
                <w:lang w:eastAsia="en-IN"/>
                <w14:ligatures w14:val="none"/>
              </w:rPr>
            </w:pPr>
            <w:r w:rsidRPr="00A35B5D">
              <w:rPr>
                <w:rFonts w:ascii="Times New Roman" w:eastAsia="Times New Roman" w:hAnsi="Times New Roman" w:cs="Times New Roman"/>
                <w:b/>
                <w:bCs/>
                <w:color w:val="000000"/>
                <w:kern w:val="0"/>
                <w:sz w:val="24"/>
                <w:szCs w:val="24"/>
                <w:lang w:eastAsia="en-IN"/>
                <w14:ligatures w14:val="none"/>
              </w:rPr>
              <w:t>Frequency</w:t>
            </w:r>
          </w:p>
        </w:tc>
        <w:tc>
          <w:tcPr>
            <w:tcW w:w="1393" w:type="dxa"/>
            <w:noWrap/>
            <w:hideMark/>
          </w:tcPr>
          <w:p w14:paraId="20AD2C4E" w14:textId="77777777" w:rsidR="00167FAB" w:rsidRPr="00A35B5D" w:rsidRDefault="00167FAB" w:rsidP="00E86F6B">
            <w:pPr>
              <w:jc w:val="both"/>
              <w:rPr>
                <w:rFonts w:ascii="Times New Roman" w:eastAsia="Times New Roman" w:hAnsi="Times New Roman" w:cs="Times New Roman"/>
                <w:b/>
                <w:bCs/>
                <w:color w:val="000000"/>
                <w:kern w:val="0"/>
                <w:sz w:val="24"/>
                <w:szCs w:val="24"/>
                <w:lang w:eastAsia="en-IN"/>
                <w14:ligatures w14:val="none"/>
              </w:rPr>
            </w:pPr>
            <w:r w:rsidRPr="00A35B5D">
              <w:rPr>
                <w:rFonts w:ascii="Times New Roman" w:eastAsia="Times New Roman" w:hAnsi="Times New Roman" w:cs="Times New Roman"/>
                <w:b/>
                <w:bCs/>
                <w:color w:val="000000"/>
                <w:kern w:val="0"/>
                <w:sz w:val="24"/>
                <w:szCs w:val="24"/>
                <w:lang w:eastAsia="en-IN"/>
                <w14:ligatures w14:val="none"/>
              </w:rPr>
              <w:t>Percentage</w:t>
            </w:r>
          </w:p>
        </w:tc>
      </w:tr>
      <w:tr w:rsidR="00167FAB" w:rsidRPr="00AC3255" w14:paraId="57DAB9A1" w14:textId="77777777" w:rsidTr="00E86F6B">
        <w:trPr>
          <w:trHeight w:val="554"/>
        </w:trPr>
        <w:tc>
          <w:tcPr>
            <w:tcW w:w="4101" w:type="dxa"/>
            <w:noWrap/>
            <w:hideMark/>
          </w:tcPr>
          <w:p w14:paraId="676CBD63"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yes</w:t>
            </w:r>
          </w:p>
        </w:tc>
        <w:tc>
          <w:tcPr>
            <w:tcW w:w="1679" w:type="dxa"/>
            <w:noWrap/>
            <w:hideMark/>
          </w:tcPr>
          <w:p w14:paraId="51AA70C8"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74</w:t>
            </w:r>
          </w:p>
        </w:tc>
        <w:tc>
          <w:tcPr>
            <w:tcW w:w="1393" w:type="dxa"/>
            <w:noWrap/>
            <w:hideMark/>
          </w:tcPr>
          <w:p w14:paraId="12B57F20"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49.3</w:t>
            </w:r>
          </w:p>
        </w:tc>
      </w:tr>
      <w:tr w:rsidR="00167FAB" w:rsidRPr="00AC3255" w14:paraId="329625BC" w14:textId="77777777" w:rsidTr="00E86F6B">
        <w:trPr>
          <w:trHeight w:val="554"/>
        </w:trPr>
        <w:tc>
          <w:tcPr>
            <w:tcW w:w="4101" w:type="dxa"/>
            <w:noWrap/>
            <w:hideMark/>
          </w:tcPr>
          <w:p w14:paraId="7D102881"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no</w:t>
            </w:r>
          </w:p>
        </w:tc>
        <w:tc>
          <w:tcPr>
            <w:tcW w:w="1679" w:type="dxa"/>
            <w:noWrap/>
            <w:hideMark/>
          </w:tcPr>
          <w:p w14:paraId="6FEEE6F4"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40</w:t>
            </w:r>
          </w:p>
        </w:tc>
        <w:tc>
          <w:tcPr>
            <w:tcW w:w="1393" w:type="dxa"/>
            <w:noWrap/>
            <w:hideMark/>
          </w:tcPr>
          <w:p w14:paraId="3B1F15DA"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26.7</w:t>
            </w:r>
          </w:p>
        </w:tc>
      </w:tr>
      <w:tr w:rsidR="00167FAB" w:rsidRPr="00AC3255" w14:paraId="59539D91" w14:textId="77777777" w:rsidTr="00E86F6B">
        <w:trPr>
          <w:trHeight w:val="554"/>
        </w:trPr>
        <w:tc>
          <w:tcPr>
            <w:tcW w:w="4101" w:type="dxa"/>
            <w:noWrap/>
            <w:hideMark/>
          </w:tcPr>
          <w:p w14:paraId="45327975"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maybe</w:t>
            </w:r>
          </w:p>
        </w:tc>
        <w:tc>
          <w:tcPr>
            <w:tcW w:w="1679" w:type="dxa"/>
            <w:noWrap/>
            <w:hideMark/>
          </w:tcPr>
          <w:p w14:paraId="3C6A6761"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36</w:t>
            </w:r>
          </w:p>
        </w:tc>
        <w:tc>
          <w:tcPr>
            <w:tcW w:w="1393" w:type="dxa"/>
            <w:noWrap/>
            <w:hideMark/>
          </w:tcPr>
          <w:p w14:paraId="590CC0F7"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24</w:t>
            </w:r>
          </w:p>
        </w:tc>
      </w:tr>
      <w:tr w:rsidR="00167FAB" w:rsidRPr="00AC3255" w14:paraId="5D4090C3" w14:textId="77777777" w:rsidTr="00E86F6B">
        <w:trPr>
          <w:trHeight w:val="554"/>
        </w:trPr>
        <w:tc>
          <w:tcPr>
            <w:tcW w:w="4101" w:type="dxa"/>
            <w:noWrap/>
            <w:hideMark/>
          </w:tcPr>
          <w:p w14:paraId="77D0BBB5"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Total</w:t>
            </w:r>
          </w:p>
        </w:tc>
        <w:tc>
          <w:tcPr>
            <w:tcW w:w="1679" w:type="dxa"/>
            <w:noWrap/>
            <w:hideMark/>
          </w:tcPr>
          <w:p w14:paraId="1DBE0E82"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150</w:t>
            </w:r>
          </w:p>
        </w:tc>
        <w:tc>
          <w:tcPr>
            <w:tcW w:w="1393" w:type="dxa"/>
            <w:noWrap/>
            <w:hideMark/>
          </w:tcPr>
          <w:p w14:paraId="1F3F5F87" w14:textId="77777777" w:rsidR="00167FAB" w:rsidRPr="00AC3255" w:rsidRDefault="00167FAB" w:rsidP="00E86F6B">
            <w:pPr>
              <w:jc w:val="both"/>
              <w:rPr>
                <w:rFonts w:ascii="Times New Roman" w:eastAsia="Times New Roman" w:hAnsi="Times New Roman" w:cs="Times New Roman"/>
                <w:color w:val="000000"/>
                <w:kern w:val="0"/>
                <w:sz w:val="24"/>
                <w:szCs w:val="24"/>
                <w:lang w:eastAsia="en-IN"/>
                <w14:ligatures w14:val="none"/>
              </w:rPr>
            </w:pPr>
            <w:r w:rsidRPr="00AC3255">
              <w:rPr>
                <w:rFonts w:ascii="Times New Roman" w:eastAsia="Times New Roman" w:hAnsi="Times New Roman" w:cs="Times New Roman"/>
                <w:color w:val="000000"/>
                <w:kern w:val="0"/>
                <w:sz w:val="24"/>
                <w:szCs w:val="24"/>
                <w:lang w:eastAsia="en-IN"/>
                <w14:ligatures w14:val="none"/>
              </w:rPr>
              <w:t>100</w:t>
            </w:r>
          </w:p>
        </w:tc>
      </w:tr>
    </w:tbl>
    <w:p w14:paraId="10FE7710"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0D2A5BB6"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2D0CFFC1"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66BC5026"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615BB51E"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16402EA5"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374A3540"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34E9B2C4"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047BCCDE"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626E6143" w14:textId="64004012" w:rsidR="00D031EF" w:rsidRDefault="00167FAB" w:rsidP="00167FAB">
      <w:pPr>
        <w:jc w:val="both"/>
        <w:rPr>
          <w:rFonts w:ascii="Times New Roman" w:eastAsia="Times New Roman" w:hAnsi="Times New Roman" w:cs="Times New Roman"/>
          <w:b/>
          <w:bCs/>
          <w:color w:val="000000"/>
          <w:kern w:val="0"/>
          <w:sz w:val="24"/>
          <w:szCs w:val="24"/>
          <w:lang w:eastAsia="en-IN"/>
          <w14:ligatures w14:val="none"/>
        </w:rPr>
      </w:pPr>
      <w:r>
        <w:rPr>
          <w:rFonts w:ascii="Times New Roman" w:hAnsi="Times New Roman" w:cs="Times New Roman"/>
          <w:b/>
          <w:bCs/>
          <w:sz w:val="24"/>
          <w:szCs w:val="24"/>
        </w:rPr>
        <w:t>Figure</w:t>
      </w:r>
      <w:r w:rsidR="00534540">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AC3255">
        <w:rPr>
          <w:rFonts w:ascii="Times New Roman" w:eastAsia="Times New Roman" w:hAnsi="Times New Roman" w:cs="Times New Roman"/>
          <w:b/>
          <w:bCs/>
          <w:color w:val="000000"/>
          <w:kern w:val="0"/>
          <w:sz w:val="24"/>
          <w:szCs w:val="24"/>
          <w:lang w:eastAsia="en-IN"/>
          <w14:ligatures w14:val="none"/>
        </w:rPr>
        <w:t>Does your employment status significantly influence your investment decisions?</w:t>
      </w:r>
    </w:p>
    <w:p w14:paraId="6701FBFE" w14:textId="77777777" w:rsidR="00D031EF" w:rsidRDefault="00D031EF" w:rsidP="00167FAB">
      <w:pPr>
        <w:jc w:val="both"/>
        <w:rPr>
          <w:rFonts w:ascii="Times New Roman" w:eastAsia="Times New Roman" w:hAnsi="Times New Roman" w:cs="Times New Roman"/>
          <w:b/>
          <w:bCs/>
          <w:color w:val="000000"/>
          <w:kern w:val="0"/>
          <w:sz w:val="24"/>
          <w:szCs w:val="24"/>
          <w:lang w:eastAsia="en-IN"/>
          <w14:ligatures w14:val="none"/>
        </w:rPr>
      </w:pPr>
    </w:p>
    <w:p w14:paraId="6C837FDF"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0BCD86CD" w14:textId="77777777" w:rsidR="00167FAB" w:rsidRDefault="00167FAB" w:rsidP="00167FAB">
      <w:pPr>
        <w:jc w:val="center"/>
        <w:rPr>
          <w:rFonts w:ascii="Times New Roman" w:eastAsia="Times New Roman" w:hAnsi="Times New Roman" w:cs="Times New Roman"/>
          <w:b/>
          <w:bCs/>
          <w:color w:val="000000"/>
          <w:kern w:val="0"/>
          <w:sz w:val="24"/>
          <w:szCs w:val="24"/>
          <w:lang w:eastAsia="en-IN"/>
          <w14:ligatures w14:val="none"/>
        </w:rPr>
      </w:pPr>
      <w:r>
        <w:rPr>
          <w:noProof/>
        </w:rPr>
        <w:drawing>
          <wp:inline distT="0" distB="0" distL="0" distR="0" wp14:anchorId="718A4111" wp14:editId="5FEF222F">
            <wp:extent cx="3657600" cy="2662238"/>
            <wp:effectExtent l="0" t="0" r="0" b="5080"/>
            <wp:docPr id="752599046" name="Chart 1">
              <a:extLst xmlns:a="http://schemas.openxmlformats.org/drawingml/2006/main">
                <a:ext uri="{FF2B5EF4-FFF2-40B4-BE49-F238E27FC236}">
                  <a16:creationId xmlns:a16="http://schemas.microsoft.com/office/drawing/2014/main" id="{8CC58DD9-D921-C23A-D7F0-02B4071BCC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B91274" w14:textId="77777777" w:rsidR="00167FAB" w:rsidRDefault="00167FAB" w:rsidP="00167FAB">
      <w:pPr>
        <w:jc w:val="both"/>
        <w:rPr>
          <w:rFonts w:ascii="Times New Roman" w:eastAsia="Times New Roman" w:hAnsi="Times New Roman" w:cs="Times New Roman"/>
          <w:b/>
          <w:bCs/>
          <w:color w:val="000000"/>
          <w:kern w:val="0"/>
          <w:sz w:val="24"/>
          <w:szCs w:val="24"/>
          <w:lang w:eastAsia="en-IN"/>
          <w14:ligatures w14:val="none"/>
        </w:rPr>
      </w:pPr>
    </w:p>
    <w:p w14:paraId="4B578999" w14:textId="77777777" w:rsidR="00E94417" w:rsidRDefault="00E94417" w:rsidP="00167FAB">
      <w:pPr>
        <w:jc w:val="both"/>
        <w:rPr>
          <w:rFonts w:ascii="Times New Roman" w:hAnsi="Times New Roman" w:cs="Times New Roman"/>
          <w:b/>
          <w:bCs/>
          <w:sz w:val="24"/>
          <w:szCs w:val="24"/>
        </w:rPr>
      </w:pPr>
    </w:p>
    <w:p w14:paraId="6505DDE1" w14:textId="179507C3" w:rsidR="00167FAB" w:rsidRDefault="00167FAB" w:rsidP="00167FAB">
      <w:pPr>
        <w:jc w:val="both"/>
        <w:rPr>
          <w:rFonts w:ascii="Times New Roman" w:hAnsi="Times New Roman" w:cs="Times New Roman"/>
          <w:b/>
          <w:bCs/>
          <w:sz w:val="24"/>
          <w:szCs w:val="24"/>
        </w:rPr>
      </w:pPr>
      <w:r w:rsidRPr="00B46963">
        <w:rPr>
          <w:rFonts w:ascii="Times New Roman" w:hAnsi="Times New Roman" w:cs="Times New Roman"/>
          <w:b/>
          <w:bCs/>
          <w:sz w:val="24"/>
          <w:szCs w:val="24"/>
        </w:rPr>
        <w:t>Interpretation</w:t>
      </w:r>
    </w:p>
    <w:p w14:paraId="4AA2702D" w14:textId="2D8C78F4" w:rsidR="00D031EF" w:rsidRDefault="00167FAB" w:rsidP="00D031EF">
      <w:pPr>
        <w:spacing w:line="360" w:lineRule="auto"/>
        <w:jc w:val="both"/>
        <w:rPr>
          <w:rFonts w:ascii="Times New Roman" w:hAnsi="Times New Roman" w:cs="Times New Roman"/>
          <w:sz w:val="24"/>
          <w:szCs w:val="24"/>
        </w:rPr>
      </w:pPr>
      <w:r w:rsidRPr="00C36E07">
        <w:rPr>
          <w:rFonts w:ascii="Times New Roman" w:hAnsi="Times New Roman" w:cs="Times New Roman"/>
          <w:sz w:val="24"/>
          <w:szCs w:val="24"/>
        </w:rPr>
        <w:t>The data reveals that 49.3% of respondents consider their employment status to have a significant impact on their investment decisions. In contrast, 26.7% believe their employment status does not influence their investment choices, while 24% are uncertain.</w:t>
      </w:r>
    </w:p>
    <w:p w14:paraId="7477F50B" w14:textId="77777777" w:rsidR="00E94417" w:rsidRDefault="00E94417" w:rsidP="00106ABD">
      <w:pPr>
        <w:jc w:val="center"/>
        <w:rPr>
          <w:rFonts w:ascii="Times New Roman" w:hAnsi="Times New Roman" w:cs="Times New Roman"/>
          <w:sz w:val="24"/>
          <w:szCs w:val="24"/>
        </w:rPr>
      </w:pPr>
    </w:p>
    <w:p w14:paraId="229F4FAB" w14:textId="32F43D94" w:rsidR="00106ABD" w:rsidRDefault="00106ABD" w:rsidP="00106ABD">
      <w:pPr>
        <w:jc w:val="center"/>
        <w:rPr>
          <w:rFonts w:ascii="Times New Roman" w:hAnsi="Times New Roman" w:cs="Times New Roman"/>
          <w:b/>
          <w:bCs/>
          <w:sz w:val="24"/>
          <w:szCs w:val="24"/>
        </w:rPr>
      </w:pPr>
      <w:r w:rsidRPr="00F8695D">
        <w:rPr>
          <w:rFonts w:ascii="Times New Roman" w:hAnsi="Times New Roman" w:cs="Times New Roman"/>
          <w:b/>
          <w:bCs/>
          <w:sz w:val="24"/>
          <w:szCs w:val="24"/>
        </w:rPr>
        <w:lastRenderedPageBreak/>
        <w:t>Table</w:t>
      </w:r>
      <w:r w:rsidR="00534540">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8374A6">
        <w:rPr>
          <w:rFonts w:ascii="Times New Roman" w:hAnsi="Times New Roman" w:cs="Times New Roman"/>
          <w:b/>
          <w:bCs/>
          <w:sz w:val="24"/>
          <w:szCs w:val="24"/>
        </w:rPr>
        <w:t>Regression</w:t>
      </w:r>
    </w:p>
    <w:p w14:paraId="54C01E0C" w14:textId="77777777" w:rsidR="00106ABD" w:rsidRPr="00CA3773" w:rsidRDefault="00106ABD" w:rsidP="00106ABD">
      <w:pPr>
        <w:jc w:val="center"/>
        <w:rPr>
          <w:rFonts w:ascii="Times New Roman" w:hAnsi="Times New Roman" w:cs="Times New Roman"/>
          <w:sz w:val="24"/>
          <w:szCs w:val="24"/>
        </w:rPr>
      </w:pPr>
      <w:r>
        <w:rPr>
          <w:rFonts w:ascii="Times New Roman" w:hAnsi="Times New Roman" w:cs="Times New Roman"/>
          <w:b/>
          <w:bCs/>
          <w:sz w:val="24"/>
          <w:szCs w:val="24"/>
        </w:rPr>
        <w:t xml:space="preserve">Dependent variable: </w:t>
      </w:r>
      <w:r w:rsidRPr="00CA3773">
        <w:rPr>
          <w:rFonts w:ascii="Times New Roman" w:hAnsi="Times New Roman" w:cs="Times New Roman"/>
          <w:sz w:val="24"/>
          <w:szCs w:val="24"/>
        </w:rPr>
        <w:t>Occupation</w:t>
      </w:r>
    </w:p>
    <w:p w14:paraId="3F22142C" w14:textId="245AFF3D" w:rsidR="00A05915" w:rsidRDefault="00106ABD" w:rsidP="00A05915">
      <w:pPr>
        <w:jc w:val="center"/>
        <w:rPr>
          <w:rFonts w:ascii="Times New Roman" w:hAnsi="Times New Roman" w:cs="Times New Roman"/>
          <w:b/>
          <w:bCs/>
          <w:sz w:val="24"/>
          <w:szCs w:val="24"/>
        </w:rPr>
      </w:pPr>
      <w:r>
        <w:rPr>
          <w:rFonts w:ascii="Times New Roman" w:hAnsi="Times New Roman" w:cs="Times New Roman"/>
          <w:b/>
          <w:bCs/>
          <w:sz w:val="24"/>
          <w:szCs w:val="24"/>
        </w:rPr>
        <w:t xml:space="preserve">Independent variable: </w:t>
      </w:r>
      <w:r w:rsidRPr="00CA3773">
        <w:rPr>
          <w:rFonts w:ascii="Times New Roman" w:hAnsi="Times New Roman" w:cs="Times New Roman"/>
          <w:sz w:val="24"/>
          <w:szCs w:val="24"/>
        </w:rPr>
        <w:t>Investment behavior</w:t>
      </w:r>
    </w:p>
    <w:p w14:paraId="2B154C7E" w14:textId="77777777" w:rsidR="00A05915" w:rsidRPr="00A05915" w:rsidRDefault="00A05915" w:rsidP="00A05915">
      <w:pPr>
        <w:jc w:val="center"/>
        <w:rPr>
          <w:rFonts w:ascii="Times New Roman" w:hAnsi="Times New Roman" w:cs="Times New Roman"/>
          <w:b/>
          <w:bCs/>
          <w:sz w:val="24"/>
          <w:szCs w:val="24"/>
        </w:rPr>
      </w:pPr>
    </w:p>
    <w:p w14:paraId="32003A5E" w14:textId="77777777" w:rsidR="00106ABD" w:rsidRPr="00931A5D" w:rsidRDefault="00106ABD" w:rsidP="00106ABD">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628"/>
      </w:tblGrid>
      <w:tr w:rsidR="00106ABD" w14:paraId="4C9D5F32" w14:textId="77777777" w:rsidTr="00E86F6B">
        <w:trPr>
          <w:jc w:val="center"/>
        </w:trPr>
        <w:tc>
          <w:tcPr>
            <w:tcW w:w="0" w:type="auto"/>
          </w:tcPr>
          <w:tbl>
            <w:tblPr>
              <w:tblpPr w:leftFromText="180" w:rightFromText="180" w:vertAnchor="text" w:tblpXSpec="center" w:tblpY="1"/>
              <w:tblOverlap w:val="never"/>
              <w:tblW w:w="94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36"/>
              <w:gridCol w:w="2460"/>
              <w:gridCol w:w="1338"/>
              <w:gridCol w:w="1338"/>
              <w:gridCol w:w="1476"/>
              <w:gridCol w:w="1030"/>
              <w:gridCol w:w="1030"/>
            </w:tblGrid>
            <w:tr w:rsidR="00106ABD" w:rsidRPr="003C6EC8" w14:paraId="23645BE4" w14:textId="77777777" w:rsidTr="00E86F6B">
              <w:trPr>
                <w:cantSplit/>
              </w:trPr>
              <w:tc>
                <w:tcPr>
                  <w:tcW w:w="9403" w:type="dxa"/>
                  <w:gridSpan w:val="7"/>
                  <w:shd w:val="clear" w:color="auto" w:fill="FFFFFF"/>
                  <w:vAlign w:val="center"/>
                </w:tcPr>
                <w:p w14:paraId="4DCBED88"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b/>
                      <w:bCs/>
                      <w:sz w:val="24"/>
                      <w:szCs w:val="24"/>
                    </w:rPr>
                    <w:t>Coefficients</w:t>
                  </w:r>
                  <w:r w:rsidRPr="003C6EC8">
                    <w:rPr>
                      <w:rFonts w:ascii="Times New Roman" w:hAnsi="Times New Roman" w:cs="Times New Roman"/>
                      <w:b/>
                      <w:bCs/>
                      <w:sz w:val="24"/>
                      <w:szCs w:val="24"/>
                      <w:vertAlign w:val="superscript"/>
                    </w:rPr>
                    <w:t>a</w:t>
                  </w:r>
                </w:p>
              </w:tc>
            </w:tr>
            <w:tr w:rsidR="00106ABD" w:rsidRPr="003C6EC8" w14:paraId="28120228" w14:textId="77777777" w:rsidTr="00E86F6B">
              <w:trPr>
                <w:cantSplit/>
              </w:trPr>
              <w:tc>
                <w:tcPr>
                  <w:tcW w:w="3196" w:type="dxa"/>
                  <w:gridSpan w:val="2"/>
                  <w:vMerge w:val="restart"/>
                  <w:shd w:val="clear" w:color="auto" w:fill="FFFFFF"/>
                  <w:vAlign w:val="bottom"/>
                </w:tcPr>
                <w:p w14:paraId="5C25F95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Model</w:t>
                  </w:r>
                </w:p>
              </w:tc>
              <w:tc>
                <w:tcPr>
                  <w:tcW w:w="2674" w:type="dxa"/>
                  <w:gridSpan w:val="2"/>
                  <w:shd w:val="clear" w:color="auto" w:fill="FFFFFF"/>
                  <w:vAlign w:val="bottom"/>
                </w:tcPr>
                <w:p w14:paraId="37DC6630"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Unstandardized Coefficients</w:t>
                  </w:r>
                </w:p>
              </w:tc>
              <w:tc>
                <w:tcPr>
                  <w:tcW w:w="1475" w:type="dxa"/>
                  <w:shd w:val="clear" w:color="auto" w:fill="FFFFFF"/>
                  <w:vAlign w:val="bottom"/>
                </w:tcPr>
                <w:p w14:paraId="1D490D84"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Standardized Coefficients</w:t>
                  </w:r>
                </w:p>
              </w:tc>
              <w:tc>
                <w:tcPr>
                  <w:tcW w:w="1029" w:type="dxa"/>
                  <w:vMerge w:val="restart"/>
                  <w:shd w:val="clear" w:color="auto" w:fill="FFFFFF"/>
                  <w:vAlign w:val="bottom"/>
                </w:tcPr>
                <w:p w14:paraId="16983EC6"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t</w:t>
                  </w:r>
                </w:p>
              </w:tc>
              <w:tc>
                <w:tcPr>
                  <w:tcW w:w="1029" w:type="dxa"/>
                  <w:vMerge w:val="restart"/>
                  <w:shd w:val="clear" w:color="auto" w:fill="FFFFFF"/>
                  <w:vAlign w:val="bottom"/>
                </w:tcPr>
                <w:p w14:paraId="69ACDFC9"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Sig.</w:t>
                  </w:r>
                </w:p>
              </w:tc>
            </w:tr>
            <w:tr w:rsidR="00106ABD" w:rsidRPr="003C6EC8" w14:paraId="7B477811" w14:textId="77777777" w:rsidTr="00E86F6B">
              <w:trPr>
                <w:cantSplit/>
              </w:trPr>
              <w:tc>
                <w:tcPr>
                  <w:tcW w:w="3196" w:type="dxa"/>
                  <w:gridSpan w:val="2"/>
                  <w:vMerge/>
                  <w:shd w:val="clear" w:color="auto" w:fill="FFFFFF"/>
                  <w:vAlign w:val="bottom"/>
                </w:tcPr>
                <w:p w14:paraId="55E96DBB" w14:textId="77777777" w:rsidR="00106ABD" w:rsidRPr="003C6EC8" w:rsidRDefault="00106ABD" w:rsidP="00E86F6B">
                  <w:pPr>
                    <w:rPr>
                      <w:rFonts w:ascii="Times New Roman" w:hAnsi="Times New Roman" w:cs="Times New Roman"/>
                      <w:sz w:val="24"/>
                      <w:szCs w:val="24"/>
                    </w:rPr>
                  </w:pPr>
                </w:p>
              </w:tc>
              <w:tc>
                <w:tcPr>
                  <w:tcW w:w="1337" w:type="dxa"/>
                  <w:shd w:val="clear" w:color="auto" w:fill="FFFFFF"/>
                  <w:vAlign w:val="bottom"/>
                </w:tcPr>
                <w:p w14:paraId="7723776C"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B</w:t>
                  </w:r>
                </w:p>
              </w:tc>
              <w:tc>
                <w:tcPr>
                  <w:tcW w:w="1337" w:type="dxa"/>
                  <w:shd w:val="clear" w:color="auto" w:fill="FFFFFF"/>
                  <w:vAlign w:val="bottom"/>
                </w:tcPr>
                <w:p w14:paraId="26A957E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Std. Error</w:t>
                  </w:r>
                </w:p>
              </w:tc>
              <w:tc>
                <w:tcPr>
                  <w:tcW w:w="1475" w:type="dxa"/>
                  <w:shd w:val="clear" w:color="auto" w:fill="FFFFFF"/>
                  <w:vAlign w:val="bottom"/>
                </w:tcPr>
                <w:p w14:paraId="499F1C4D"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Beta</w:t>
                  </w:r>
                </w:p>
              </w:tc>
              <w:tc>
                <w:tcPr>
                  <w:tcW w:w="1029" w:type="dxa"/>
                  <w:vMerge/>
                  <w:shd w:val="clear" w:color="auto" w:fill="FFFFFF"/>
                  <w:vAlign w:val="bottom"/>
                </w:tcPr>
                <w:p w14:paraId="780DA3D0" w14:textId="77777777" w:rsidR="00106ABD" w:rsidRPr="003C6EC8" w:rsidRDefault="00106ABD" w:rsidP="00E86F6B">
                  <w:pPr>
                    <w:rPr>
                      <w:rFonts w:ascii="Times New Roman" w:hAnsi="Times New Roman" w:cs="Times New Roman"/>
                      <w:sz w:val="24"/>
                      <w:szCs w:val="24"/>
                    </w:rPr>
                  </w:pPr>
                </w:p>
              </w:tc>
              <w:tc>
                <w:tcPr>
                  <w:tcW w:w="1029" w:type="dxa"/>
                  <w:vMerge/>
                  <w:shd w:val="clear" w:color="auto" w:fill="FFFFFF"/>
                  <w:vAlign w:val="bottom"/>
                </w:tcPr>
                <w:p w14:paraId="3E526DB4" w14:textId="77777777" w:rsidR="00106ABD" w:rsidRPr="003C6EC8" w:rsidRDefault="00106ABD" w:rsidP="00E86F6B">
                  <w:pPr>
                    <w:rPr>
                      <w:rFonts w:ascii="Times New Roman" w:hAnsi="Times New Roman" w:cs="Times New Roman"/>
                      <w:sz w:val="24"/>
                      <w:szCs w:val="24"/>
                    </w:rPr>
                  </w:pPr>
                </w:p>
              </w:tc>
            </w:tr>
            <w:tr w:rsidR="00106ABD" w:rsidRPr="003C6EC8" w14:paraId="5086B491" w14:textId="77777777" w:rsidTr="00E86F6B">
              <w:trPr>
                <w:cantSplit/>
              </w:trPr>
              <w:tc>
                <w:tcPr>
                  <w:tcW w:w="737" w:type="dxa"/>
                  <w:vMerge w:val="restart"/>
                  <w:shd w:val="clear" w:color="auto" w:fill="E0E0E0"/>
                </w:tcPr>
                <w:p w14:paraId="7FD610AB"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w:t>
                  </w:r>
                </w:p>
              </w:tc>
              <w:tc>
                <w:tcPr>
                  <w:tcW w:w="2459" w:type="dxa"/>
                  <w:shd w:val="clear" w:color="auto" w:fill="E0E0E0"/>
                </w:tcPr>
                <w:p w14:paraId="524A70EC"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(Constant)</w:t>
                  </w:r>
                </w:p>
              </w:tc>
              <w:tc>
                <w:tcPr>
                  <w:tcW w:w="1337" w:type="dxa"/>
                  <w:shd w:val="clear" w:color="auto" w:fill="FFFFFF"/>
                </w:tcPr>
                <w:p w14:paraId="0CDAF0D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2.042</w:t>
                  </w:r>
                </w:p>
              </w:tc>
              <w:tc>
                <w:tcPr>
                  <w:tcW w:w="1337" w:type="dxa"/>
                  <w:shd w:val="clear" w:color="auto" w:fill="FFFFFF"/>
                </w:tcPr>
                <w:p w14:paraId="4657340A"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.330</w:t>
                  </w:r>
                </w:p>
              </w:tc>
              <w:tc>
                <w:tcPr>
                  <w:tcW w:w="1475" w:type="dxa"/>
                  <w:shd w:val="clear" w:color="auto" w:fill="FFFFFF"/>
                  <w:vAlign w:val="center"/>
                </w:tcPr>
                <w:p w14:paraId="1A7430BD" w14:textId="77777777" w:rsidR="00106ABD" w:rsidRPr="003C6EC8" w:rsidRDefault="00106ABD" w:rsidP="00E86F6B">
                  <w:pPr>
                    <w:rPr>
                      <w:rFonts w:ascii="Times New Roman" w:hAnsi="Times New Roman" w:cs="Times New Roman"/>
                      <w:sz w:val="24"/>
                      <w:szCs w:val="24"/>
                    </w:rPr>
                  </w:pPr>
                </w:p>
              </w:tc>
              <w:tc>
                <w:tcPr>
                  <w:tcW w:w="1029" w:type="dxa"/>
                  <w:shd w:val="clear" w:color="auto" w:fill="FFFFFF"/>
                </w:tcPr>
                <w:p w14:paraId="767E729C"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6.191</w:t>
                  </w:r>
                </w:p>
              </w:tc>
              <w:tc>
                <w:tcPr>
                  <w:tcW w:w="1029" w:type="dxa"/>
                  <w:shd w:val="clear" w:color="auto" w:fill="FFFFFF"/>
                </w:tcPr>
                <w:p w14:paraId="6BFFD476"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.000</w:t>
                  </w:r>
                </w:p>
              </w:tc>
            </w:tr>
            <w:tr w:rsidR="00106ABD" w:rsidRPr="003C6EC8" w14:paraId="5B6C339F" w14:textId="77777777" w:rsidTr="00E86F6B">
              <w:trPr>
                <w:cantSplit/>
              </w:trPr>
              <w:tc>
                <w:tcPr>
                  <w:tcW w:w="737" w:type="dxa"/>
                  <w:vMerge/>
                  <w:shd w:val="clear" w:color="auto" w:fill="E0E0E0"/>
                </w:tcPr>
                <w:p w14:paraId="5ACA08B3" w14:textId="77777777" w:rsidR="00106ABD" w:rsidRPr="003C6EC8" w:rsidRDefault="00106ABD" w:rsidP="00E86F6B">
                  <w:pPr>
                    <w:rPr>
                      <w:rFonts w:ascii="Times New Roman" w:hAnsi="Times New Roman" w:cs="Times New Roman"/>
                      <w:sz w:val="24"/>
                      <w:szCs w:val="24"/>
                    </w:rPr>
                  </w:pPr>
                </w:p>
              </w:tc>
              <w:tc>
                <w:tcPr>
                  <w:tcW w:w="2459" w:type="dxa"/>
                  <w:shd w:val="clear" w:color="auto" w:fill="E0E0E0"/>
                </w:tcPr>
                <w:p w14:paraId="13BC95B2"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My income stability determines the type of investments I prefer.</w:t>
                  </w:r>
                </w:p>
              </w:tc>
              <w:tc>
                <w:tcPr>
                  <w:tcW w:w="1337" w:type="dxa"/>
                  <w:shd w:val="clear" w:color="auto" w:fill="FFFFFF"/>
                </w:tcPr>
                <w:p w14:paraId="44C778E6"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.071</w:t>
                  </w:r>
                </w:p>
              </w:tc>
              <w:tc>
                <w:tcPr>
                  <w:tcW w:w="1337" w:type="dxa"/>
                  <w:shd w:val="clear" w:color="auto" w:fill="FFFFFF"/>
                </w:tcPr>
                <w:p w14:paraId="3375E1FA"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.052</w:t>
                  </w:r>
                </w:p>
              </w:tc>
              <w:tc>
                <w:tcPr>
                  <w:tcW w:w="1475" w:type="dxa"/>
                  <w:shd w:val="clear" w:color="auto" w:fill="FFFFFF"/>
                </w:tcPr>
                <w:p w14:paraId="4C6B062B"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.116</w:t>
                  </w:r>
                </w:p>
              </w:tc>
              <w:tc>
                <w:tcPr>
                  <w:tcW w:w="1029" w:type="dxa"/>
                  <w:shd w:val="clear" w:color="auto" w:fill="FFFFFF"/>
                </w:tcPr>
                <w:p w14:paraId="40D86B00"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1.383</w:t>
                  </w:r>
                </w:p>
              </w:tc>
              <w:tc>
                <w:tcPr>
                  <w:tcW w:w="1029" w:type="dxa"/>
                  <w:shd w:val="clear" w:color="auto" w:fill="FFFFFF"/>
                </w:tcPr>
                <w:p w14:paraId="498DAE80"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.169</w:t>
                  </w:r>
                </w:p>
              </w:tc>
            </w:tr>
            <w:tr w:rsidR="00106ABD" w:rsidRPr="003C6EC8" w14:paraId="5B12040D" w14:textId="77777777" w:rsidTr="00E86F6B">
              <w:trPr>
                <w:cantSplit/>
              </w:trPr>
              <w:tc>
                <w:tcPr>
                  <w:tcW w:w="737" w:type="dxa"/>
                  <w:vMerge/>
                  <w:shd w:val="clear" w:color="auto" w:fill="E0E0E0"/>
                </w:tcPr>
                <w:p w14:paraId="610553C5" w14:textId="77777777" w:rsidR="00106ABD" w:rsidRPr="003C6EC8" w:rsidRDefault="00106ABD" w:rsidP="00E86F6B">
                  <w:pPr>
                    <w:rPr>
                      <w:rFonts w:ascii="Times New Roman" w:hAnsi="Times New Roman" w:cs="Times New Roman"/>
                      <w:sz w:val="24"/>
                      <w:szCs w:val="24"/>
                    </w:rPr>
                  </w:pPr>
                </w:p>
              </w:tc>
              <w:tc>
                <w:tcPr>
                  <w:tcW w:w="2459" w:type="dxa"/>
                  <w:shd w:val="clear" w:color="auto" w:fill="E0E0E0"/>
                </w:tcPr>
                <w:p w14:paraId="246B93D2"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I feel my employment status limits the variety of investment options available to me.</w:t>
                  </w:r>
                </w:p>
              </w:tc>
              <w:tc>
                <w:tcPr>
                  <w:tcW w:w="1337" w:type="dxa"/>
                  <w:shd w:val="clear" w:color="auto" w:fill="FFFFFF"/>
                </w:tcPr>
                <w:p w14:paraId="4E129E4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-.013</w:t>
                  </w:r>
                </w:p>
              </w:tc>
              <w:tc>
                <w:tcPr>
                  <w:tcW w:w="1337" w:type="dxa"/>
                  <w:shd w:val="clear" w:color="auto" w:fill="FFFFFF"/>
                </w:tcPr>
                <w:p w14:paraId="3B4FE6F6"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.058</w:t>
                  </w:r>
                </w:p>
              </w:tc>
              <w:tc>
                <w:tcPr>
                  <w:tcW w:w="1475" w:type="dxa"/>
                  <w:shd w:val="clear" w:color="auto" w:fill="FFFFFF"/>
                </w:tcPr>
                <w:p w14:paraId="035C2FE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-.019</w:t>
                  </w:r>
                </w:p>
              </w:tc>
              <w:tc>
                <w:tcPr>
                  <w:tcW w:w="1029" w:type="dxa"/>
                  <w:shd w:val="clear" w:color="auto" w:fill="FFFFFF"/>
                </w:tcPr>
                <w:p w14:paraId="02A778A9"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-.217</w:t>
                  </w:r>
                </w:p>
              </w:tc>
              <w:tc>
                <w:tcPr>
                  <w:tcW w:w="1029" w:type="dxa"/>
                  <w:shd w:val="clear" w:color="auto" w:fill="FFFFFF"/>
                </w:tcPr>
                <w:p w14:paraId="6DCC8B89"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.829</w:t>
                  </w:r>
                </w:p>
              </w:tc>
            </w:tr>
            <w:tr w:rsidR="00106ABD" w:rsidRPr="003C6EC8" w14:paraId="1D2A2098" w14:textId="77777777" w:rsidTr="00E86F6B">
              <w:trPr>
                <w:cantSplit/>
              </w:trPr>
              <w:tc>
                <w:tcPr>
                  <w:tcW w:w="737" w:type="dxa"/>
                  <w:vMerge/>
                  <w:shd w:val="clear" w:color="auto" w:fill="E0E0E0"/>
                </w:tcPr>
                <w:p w14:paraId="5D324C40" w14:textId="77777777" w:rsidR="00106ABD" w:rsidRPr="003C6EC8" w:rsidRDefault="00106ABD" w:rsidP="00E86F6B">
                  <w:pPr>
                    <w:rPr>
                      <w:rFonts w:ascii="Times New Roman" w:hAnsi="Times New Roman" w:cs="Times New Roman"/>
                      <w:sz w:val="24"/>
                      <w:szCs w:val="24"/>
                    </w:rPr>
                  </w:pPr>
                </w:p>
              </w:tc>
              <w:tc>
                <w:tcPr>
                  <w:tcW w:w="2459" w:type="dxa"/>
                  <w:shd w:val="clear" w:color="auto" w:fill="E0E0E0"/>
                </w:tcPr>
                <w:p w14:paraId="6DA411CF"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I tend to prioritize investments that align with my employment-related financial goals.</w:t>
                  </w:r>
                </w:p>
              </w:tc>
              <w:tc>
                <w:tcPr>
                  <w:tcW w:w="1337" w:type="dxa"/>
                  <w:shd w:val="clear" w:color="auto" w:fill="FFFFFF"/>
                </w:tcPr>
                <w:p w14:paraId="4A4C14E1"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.039</w:t>
                  </w:r>
                </w:p>
              </w:tc>
              <w:tc>
                <w:tcPr>
                  <w:tcW w:w="1337" w:type="dxa"/>
                  <w:shd w:val="clear" w:color="auto" w:fill="FFFFFF"/>
                </w:tcPr>
                <w:p w14:paraId="63C9DE1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.057</w:t>
                  </w:r>
                </w:p>
              </w:tc>
              <w:tc>
                <w:tcPr>
                  <w:tcW w:w="1475" w:type="dxa"/>
                  <w:shd w:val="clear" w:color="auto" w:fill="FFFFFF"/>
                </w:tcPr>
                <w:p w14:paraId="525B11B2"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.059</w:t>
                  </w:r>
                </w:p>
              </w:tc>
              <w:tc>
                <w:tcPr>
                  <w:tcW w:w="1029" w:type="dxa"/>
                  <w:shd w:val="clear" w:color="auto" w:fill="FFFFFF"/>
                </w:tcPr>
                <w:p w14:paraId="0AC2A99E"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.691</w:t>
                  </w:r>
                </w:p>
              </w:tc>
              <w:tc>
                <w:tcPr>
                  <w:tcW w:w="1029" w:type="dxa"/>
                  <w:shd w:val="clear" w:color="auto" w:fill="FFFFFF"/>
                </w:tcPr>
                <w:p w14:paraId="68F1BE9B"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.491</w:t>
                  </w:r>
                </w:p>
              </w:tc>
            </w:tr>
            <w:tr w:rsidR="00106ABD" w:rsidRPr="003C6EC8" w14:paraId="77DC1415" w14:textId="77777777" w:rsidTr="00E86F6B">
              <w:trPr>
                <w:cantSplit/>
              </w:trPr>
              <w:tc>
                <w:tcPr>
                  <w:tcW w:w="737" w:type="dxa"/>
                  <w:vMerge/>
                  <w:shd w:val="clear" w:color="auto" w:fill="E0E0E0"/>
                </w:tcPr>
                <w:p w14:paraId="74312A5A" w14:textId="77777777" w:rsidR="00106ABD" w:rsidRPr="003C6EC8" w:rsidRDefault="00106ABD" w:rsidP="00E86F6B">
                  <w:pPr>
                    <w:rPr>
                      <w:rFonts w:ascii="Times New Roman" w:hAnsi="Times New Roman" w:cs="Times New Roman"/>
                      <w:sz w:val="24"/>
                      <w:szCs w:val="24"/>
                    </w:rPr>
                  </w:pPr>
                </w:p>
              </w:tc>
              <w:tc>
                <w:tcPr>
                  <w:tcW w:w="2459" w:type="dxa"/>
                  <w:shd w:val="clear" w:color="auto" w:fill="E0E0E0"/>
                </w:tcPr>
                <w:p w14:paraId="1D32B54F"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Does your employment status significantly influence your investment decisions?</w:t>
                  </w:r>
                </w:p>
              </w:tc>
              <w:tc>
                <w:tcPr>
                  <w:tcW w:w="1337" w:type="dxa"/>
                  <w:shd w:val="clear" w:color="auto" w:fill="FFFFFF"/>
                </w:tcPr>
                <w:p w14:paraId="3D625FDB"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-.151</w:t>
                  </w:r>
                </w:p>
              </w:tc>
              <w:tc>
                <w:tcPr>
                  <w:tcW w:w="1337" w:type="dxa"/>
                  <w:shd w:val="clear" w:color="auto" w:fill="FFFFFF"/>
                </w:tcPr>
                <w:p w14:paraId="02042B54"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.085</w:t>
                  </w:r>
                </w:p>
              </w:tc>
              <w:tc>
                <w:tcPr>
                  <w:tcW w:w="1475" w:type="dxa"/>
                  <w:shd w:val="clear" w:color="auto" w:fill="FFFFFF"/>
                </w:tcPr>
                <w:p w14:paraId="74FEF607"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-.150</w:t>
                  </w:r>
                </w:p>
              </w:tc>
              <w:tc>
                <w:tcPr>
                  <w:tcW w:w="1029" w:type="dxa"/>
                  <w:shd w:val="clear" w:color="auto" w:fill="FFFFFF"/>
                </w:tcPr>
                <w:p w14:paraId="74315371"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-1.774</w:t>
                  </w:r>
                </w:p>
              </w:tc>
              <w:tc>
                <w:tcPr>
                  <w:tcW w:w="1029" w:type="dxa"/>
                  <w:shd w:val="clear" w:color="auto" w:fill="FFFFFF"/>
                </w:tcPr>
                <w:p w14:paraId="235B125C" w14:textId="77777777" w:rsidR="00106ABD" w:rsidRPr="003C6EC8" w:rsidRDefault="00106ABD" w:rsidP="00E86F6B">
                  <w:pPr>
                    <w:rPr>
                      <w:rFonts w:ascii="Times New Roman" w:hAnsi="Times New Roman" w:cs="Times New Roman"/>
                      <w:sz w:val="24"/>
                      <w:szCs w:val="24"/>
                    </w:rPr>
                  </w:pPr>
                  <w:r w:rsidRPr="003C6EC8">
                    <w:rPr>
                      <w:rFonts w:ascii="Times New Roman" w:hAnsi="Times New Roman" w:cs="Times New Roman"/>
                      <w:sz w:val="24"/>
                      <w:szCs w:val="24"/>
                    </w:rPr>
                    <w:t>.078</w:t>
                  </w:r>
                </w:p>
              </w:tc>
            </w:tr>
            <w:tr w:rsidR="00106ABD" w:rsidRPr="003C6EC8" w14:paraId="56B0925E" w14:textId="77777777" w:rsidTr="00E86F6B">
              <w:trPr>
                <w:cantSplit/>
              </w:trPr>
              <w:tc>
                <w:tcPr>
                  <w:tcW w:w="9403" w:type="dxa"/>
                  <w:gridSpan w:val="7"/>
                  <w:shd w:val="clear" w:color="auto" w:fill="FFFFFF"/>
                </w:tcPr>
                <w:p w14:paraId="50FB6077" w14:textId="77777777" w:rsidR="00106ABD" w:rsidRPr="003C6EC8" w:rsidRDefault="00106ABD" w:rsidP="00E86F6B">
                  <w:pPr>
                    <w:rPr>
                      <w:rFonts w:ascii="Times New Roman" w:hAnsi="Times New Roman" w:cs="Times New Roman"/>
                      <w:sz w:val="24"/>
                      <w:szCs w:val="24"/>
                    </w:rPr>
                  </w:pPr>
                </w:p>
              </w:tc>
            </w:tr>
          </w:tbl>
          <w:p w14:paraId="4EEBF185" w14:textId="77777777" w:rsidR="00106ABD" w:rsidRDefault="00106ABD" w:rsidP="00E86F6B"/>
        </w:tc>
      </w:tr>
    </w:tbl>
    <w:p w14:paraId="4C59DFDF" w14:textId="77777777" w:rsidR="00106ABD" w:rsidRDefault="00106ABD" w:rsidP="00106ABD">
      <w:pPr>
        <w:rPr>
          <w:rFonts w:ascii="Times New Roman" w:hAnsi="Times New Roman" w:cs="Times New Roman"/>
          <w:b/>
          <w:bCs/>
          <w:sz w:val="24"/>
          <w:szCs w:val="24"/>
        </w:rPr>
      </w:pPr>
      <w:r>
        <w:rPr>
          <w:rFonts w:ascii="Times New Roman" w:hAnsi="Times New Roman" w:cs="Times New Roman"/>
          <w:sz w:val="24"/>
          <w:szCs w:val="24"/>
        </w:rPr>
        <w:br w:type="textWrapping" w:clear="all"/>
      </w:r>
    </w:p>
    <w:p w14:paraId="2EEE5EA1" w14:textId="77777777" w:rsidR="00106ABD" w:rsidRPr="00A5039D" w:rsidRDefault="00106ABD" w:rsidP="00106ABD">
      <w:pPr>
        <w:spacing w:line="360" w:lineRule="auto"/>
        <w:rPr>
          <w:rFonts w:ascii="Times New Roman" w:hAnsi="Times New Roman" w:cs="Times New Roman"/>
          <w:b/>
          <w:bCs/>
          <w:sz w:val="24"/>
          <w:szCs w:val="24"/>
        </w:rPr>
      </w:pPr>
      <w:r w:rsidRPr="00270435">
        <w:rPr>
          <w:rFonts w:ascii="Times New Roman" w:hAnsi="Times New Roman" w:cs="Times New Roman"/>
          <w:b/>
          <w:bCs/>
          <w:sz w:val="24"/>
          <w:szCs w:val="24"/>
        </w:rPr>
        <w:t>Interpretation</w:t>
      </w:r>
    </w:p>
    <w:p w14:paraId="09B1208E" w14:textId="77777777" w:rsidR="00106ABD" w:rsidRDefault="00106ABD" w:rsidP="00106A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we can infer that regression analysis is conducted on occupation and </w:t>
      </w:r>
      <w:r w:rsidRPr="00931A5D">
        <w:rPr>
          <w:rFonts w:ascii="Times New Roman" w:hAnsi="Times New Roman" w:cs="Times New Roman"/>
          <w:sz w:val="24"/>
          <w:szCs w:val="24"/>
        </w:rPr>
        <w:t>the influence of employment status on investment behavior by comparing the patterns among different classes.</w:t>
      </w:r>
      <w:r>
        <w:rPr>
          <w:rFonts w:ascii="Times New Roman" w:hAnsi="Times New Roman" w:cs="Times New Roman"/>
          <w:sz w:val="24"/>
          <w:szCs w:val="24"/>
        </w:rPr>
        <w:t xml:space="preserve"> The first statement had significant value of more than 0.05 ie, .169. The second statement had significant value of more than 0.05 ie, .829. The third statement had significant value of more than 0.05 ie, .491. The fourth statement had significant value of more than 0.05 ie, .078.</w:t>
      </w:r>
    </w:p>
    <w:p w14:paraId="4C6D4073" w14:textId="77777777" w:rsidR="008F3C84" w:rsidRDefault="00106ABD" w:rsidP="001F5F32">
      <w:pPr>
        <w:spacing w:line="360" w:lineRule="auto"/>
        <w:jc w:val="both"/>
        <w:rPr>
          <w:rFonts w:ascii="Times New Roman" w:hAnsi="Times New Roman" w:cs="Times New Roman"/>
          <w:sz w:val="24"/>
          <w:szCs w:val="24"/>
        </w:rPr>
      </w:pPr>
      <w:r>
        <w:rPr>
          <w:rFonts w:ascii="Times New Roman" w:hAnsi="Times New Roman" w:cs="Times New Roman"/>
          <w:sz w:val="24"/>
          <w:szCs w:val="24"/>
        </w:rPr>
        <w:t>The majority have more than significant value of 0.05 thus accepting hypothesis.</w:t>
      </w:r>
    </w:p>
    <w:p w14:paraId="1D346388" w14:textId="42A4EEE3" w:rsidR="001F5F32" w:rsidRPr="00A05915" w:rsidRDefault="001F5F32" w:rsidP="001F5F32">
      <w:pPr>
        <w:spacing w:line="360" w:lineRule="auto"/>
        <w:jc w:val="both"/>
        <w:rPr>
          <w:rFonts w:ascii="Times New Roman" w:hAnsi="Times New Roman" w:cs="Times New Roman"/>
          <w:sz w:val="24"/>
          <w:szCs w:val="24"/>
        </w:rPr>
      </w:pPr>
      <w:r w:rsidRPr="00174C7A">
        <w:rPr>
          <w:rFonts w:ascii="Times New Roman" w:hAnsi="Times New Roman" w:cs="Times New Roman"/>
          <w:b/>
          <w:bCs/>
          <w:sz w:val="28"/>
          <w:szCs w:val="28"/>
        </w:rPr>
        <w:lastRenderedPageBreak/>
        <w:t>Findings</w:t>
      </w:r>
    </w:p>
    <w:p w14:paraId="2A5CC764" w14:textId="0344920C" w:rsidR="00E35AE1" w:rsidRDefault="00E35AE1" w:rsidP="00E35AE1">
      <w:pPr>
        <w:spacing w:after="0" w:line="360" w:lineRule="auto"/>
        <w:jc w:val="both"/>
        <w:rPr>
          <w:rFonts w:ascii="Times New Roman" w:hAnsi="Times New Roman" w:cs="Times New Roman"/>
          <w:sz w:val="24"/>
          <w:szCs w:val="24"/>
        </w:rPr>
      </w:pPr>
      <w:r w:rsidRPr="00E35AE1">
        <w:rPr>
          <w:rFonts w:ascii="Times New Roman" w:hAnsi="Times New Roman" w:cs="Times New Roman"/>
          <w:sz w:val="24"/>
          <w:szCs w:val="24"/>
        </w:rPr>
        <w:t>About 49.3% of respondents believe their employment status influences investment decisions, while 26.7% do not perceive a direct impact. This finding suggests that while employment status has some influence, personal financial goals and knowledge also play</w:t>
      </w:r>
      <w:r w:rsidR="001A47FB">
        <w:rPr>
          <w:rFonts w:ascii="Times New Roman" w:hAnsi="Times New Roman" w:cs="Times New Roman"/>
          <w:sz w:val="24"/>
          <w:szCs w:val="24"/>
        </w:rPr>
        <w:t xml:space="preserve"> some</w:t>
      </w:r>
      <w:r w:rsidRPr="00E35AE1">
        <w:rPr>
          <w:rFonts w:ascii="Times New Roman" w:hAnsi="Times New Roman" w:cs="Times New Roman"/>
          <w:sz w:val="24"/>
          <w:szCs w:val="24"/>
        </w:rPr>
        <w:t xml:space="preserve"> role.</w:t>
      </w:r>
    </w:p>
    <w:p w14:paraId="7BA9CF91" w14:textId="7BCB6D45" w:rsidR="00E720B3" w:rsidRPr="00E720B3" w:rsidRDefault="00E720B3" w:rsidP="00E720B3">
      <w:pPr>
        <w:spacing w:after="0" w:line="360" w:lineRule="auto"/>
        <w:jc w:val="both"/>
        <w:rPr>
          <w:rFonts w:ascii="Times New Roman" w:hAnsi="Times New Roman" w:cs="Times New Roman"/>
          <w:sz w:val="24"/>
          <w:szCs w:val="24"/>
        </w:rPr>
      </w:pPr>
      <w:r w:rsidRPr="00E720B3">
        <w:rPr>
          <w:rFonts w:ascii="Times New Roman" w:hAnsi="Times New Roman" w:cs="Times New Roman"/>
          <w:sz w:val="24"/>
          <w:szCs w:val="24"/>
        </w:rPr>
        <w:t xml:space="preserve">Regression analysis results indicate that employment status have a statistically significant influence on investment behavior. This means that factors other than employment status, such as income, financial literacy, and personal preferences, play a </w:t>
      </w:r>
      <w:r w:rsidR="00B85122">
        <w:rPr>
          <w:rFonts w:ascii="Times New Roman" w:hAnsi="Times New Roman" w:cs="Times New Roman"/>
          <w:sz w:val="24"/>
          <w:szCs w:val="24"/>
        </w:rPr>
        <w:t>small</w:t>
      </w:r>
      <w:r w:rsidRPr="00E720B3">
        <w:rPr>
          <w:rFonts w:ascii="Times New Roman" w:hAnsi="Times New Roman" w:cs="Times New Roman"/>
          <w:sz w:val="24"/>
          <w:szCs w:val="24"/>
        </w:rPr>
        <w:t xml:space="preserve"> role in shaping investment decisions.</w:t>
      </w:r>
    </w:p>
    <w:p w14:paraId="3C8CE497" w14:textId="5F99FD23" w:rsidR="00E720B3" w:rsidRDefault="00E720B3" w:rsidP="00E720B3">
      <w:pPr>
        <w:spacing w:after="0" w:line="360" w:lineRule="auto"/>
        <w:jc w:val="both"/>
        <w:rPr>
          <w:rFonts w:ascii="Times New Roman" w:hAnsi="Times New Roman" w:cs="Times New Roman"/>
          <w:sz w:val="24"/>
          <w:szCs w:val="24"/>
        </w:rPr>
      </w:pPr>
      <w:r w:rsidRPr="00E720B3">
        <w:rPr>
          <w:rFonts w:ascii="Times New Roman" w:hAnsi="Times New Roman" w:cs="Times New Roman"/>
          <w:sz w:val="24"/>
          <w:szCs w:val="24"/>
        </w:rPr>
        <w:t>Respondents perceive their employment status as a limiting factor in their investment options, suggesting that personal financial goals and knowledge dictate investment choices in a less way than professional stability.</w:t>
      </w:r>
    </w:p>
    <w:p w14:paraId="6719BEDB" w14:textId="77777777" w:rsidR="00CD512A" w:rsidRDefault="00CD512A" w:rsidP="0090410A">
      <w:pPr>
        <w:spacing w:after="0" w:line="360" w:lineRule="auto"/>
        <w:jc w:val="both"/>
        <w:rPr>
          <w:rFonts w:ascii="Times New Roman" w:hAnsi="Times New Roman" w:cs="Times New Roman"/>
          <w:b/>
          <w:bCs/>
          <w:sz w:val="28"/>
          <w:szCs w:val="28"/>
        </w:rPr>
      </w:pPr>
    </w:p>
    <w:p w14:paraId="14AA25EC" w14:textId="25847F70" w:rsidR="0090410A" w:rsidRDefault="0090410A" w:rsidP="0090410A">
      <w:pPr>
        <w:spacing w:after="0" w:line="360" w:lineRule="auto"/>
        <w:jc w:val="both"/>
        <w:rPr>
          <w:rFonts w:ascii="Times New Roman" w:hAnsi="Times New Roman" w:cs="Times New Roman"/>
          <w:b/>
          <w:bCs/>
          <w:sz w:val="28"/>
          <w:szCs w:val="28"/>
        </w:rPr>
      </w:pPr>
      <w:r w:rsidRPr="0090410A">
        <w:rPr>
          <w:rFonts w:ascii="Times New Roman" w:hAnsi="Times New Roman" w:cs="Times New Roman"/>
          <w:b/>
          <w:bCs/>
          <w:sz w:val="28"/>
          <w:szCs w:val="28"/>
        </w:rPr>
        <w:t>Conclusions</w:t>
      </w:r>
    </w:p>
    <w:p w14:paraId="15367D9B" w14:textId="77777777" w:rsidR="00B04A09" w:rsidRDefault="00B04A09" w:rsidP="00B04A09">
      <w:pPr>
        <w:spacing w:after="0" w:line="360" w:lineRule="auto"/>
        <w:jc w:val="both"/>
        <w:rPr>
          <w:rFonts w:ascii="Times New Roman" w:hAnsi="Times New Roman" w:cs="Times New Roman"/>
          <w:sz w:val="24"/>
          <w:szCs w:val="24"/>
        </w:rPr>
      </w:pPr>
      <w:r w:rsidRPr="00B04A09">
        <w:rPr>
          <w:rFonts w:ascii="Times New Roman" w:hAnsi="Times New Roman" w:cs="Times New Roman"/>
          <w:sz w:val="24"/>
          <w:szCs w:val="24"/>
        </w:rPr>
        <w:t>The study concludes that employment status significantly influences investment behavior, with business owners, salaried employees, and students exhibiting distinct patterns. Approximately 49.3% of respondents believe their employment status affects their investment decisions, indicating a notable relationship between occupational stability and financial choices. However, the regression analysis suggests that employment status alone is not the sole determinant of investment behavior. Factors such as income stability, financial literacy, and personal goals also play a significant role. While full-time employees with stable incomes tend to engage in long-term investments, part-time and self-employed individuals often prioritize liquidity due to income variability. The study emphasizes the importance of tailored financial strategies to address the diverse needs of individuals across employment categories. Policymakers and financial institutions should focus on improving financial literacy and providing inclusive investment opportunities to enhance participation and informed decision-making.</w:t>
      </w:r>
    </w:p>
    <w:p w14:paraId="1A30A7C9" w14:textId="77777777" w:rsidR="00A36FB7" w:rsidRDefault="00A36FB7" w:rsidP="00B04A09">
      <w:pPr>
        <w:spacing w:after="0" w:line="360" w:lineRule="auto"/>
        <w:jc w:val="both"/>
        <w:rPr>
          <w:rFonts w:ascii="Times New Roman" w:hAnsi="Times New Roman" w:cs="Times New Roman"/>
          <w:sz w:val="24"/>
          <w:szCs w:val="24"/>
        </w:rPr>
      </w:pPr>
    </w:p>
    <w:p w14:paraId="364D003E" w14:textId="77777777" w:rsidR="00A36FB7" w:rsidRDefault="00A36FB7" w:rsidP="00A36FB7">
      <w:pPr>
        <w:pStyle w:val="ListParagraph"/>
        <w:spacing w:line="360" w:lineRule="auto"/>
        <w:ind w:left="0"/>
        <w:jc w:val="both"/>
        <w:rPr>
          <w:rFonts w:ascii="Times New Roman" w:hAnsi="Times New Roman" w:cs="Times New Roman"/>
          <w:b/>
          <w:bCs/>
          <w:sz w:val="24"/>
          <w:szCs w:val="24"/>
        </w:rPr>
      </w:pPr>
      <w:r w:rsidRPr="00441F3B">
        <w:rPr>
          <w:rFonts w:ascii="Times New Roman" w:hAnsi="Times New Roman" w:cs="Times New Roman"/>
          <w:b/>
          <w:bCs/>
          <w:sz w:val="24"/>
          <w:szCs w:val="24"/>
        </w:rPr>
        <w:t>LIMITATIONS OF THE STUDY</w:t>
      </w:r>
    </w:p>
    <w:p w14:paraId="430F10BB" w14:textId="77777777" w:rsidR="00A36FB7" w:rsidRDefault="00A36FB7" w:rsidP="00A36FB7">
      <w:pPr>
        <w:pStyle w:val="ListParagraph"/>
        <w:spacing w:line="360" w:lineRule="auto"/>
        <w:ind w:left="0"/>
        <w:jc w:val="both"/>
        <w:rPr>
          <w:rFonts w:ascii="Times New Roman" w:hAnsi="Times New Roman" w:cs="Times New Roman"/>
          <w:sz w:val="24"/>
          <w:szCs w:val="24"/>
        </w:rPr>
      </w:pPr>
      <w:r w:rsidRPr="00441F3B">
        <w:rPr>
          <w:rFonts w:ascii="Times New Roman" w:hAnsi="Times New Roman" w:cs="Times New Roman"/>
          <w:sz w:val="24"/>
          <w:szCs w:val="24"/>
        </w:rPr>
        <w:t>The data was gathered using a self-designed questionnaire, which could lead to response bias and potentially impact the reliability of the findings.</w:t>
      </w:r>
    </w:p>
    <w:p w14:paraId="3401B757" w14:textId="77777777" w:rsidR="00A36FB7" w:rsidRDefault="00A36FB7" w:rsidP="00A36FB7">
      <w:pPr>
        <w:pStyle w:val="ListParagraph"/>
        <w:spacing w:line="360" w:lineRule="auto"/>
        <w:ind w:left="0"/>
        <w:jc w:val="both"/>
        <w:rPr>
          <w:rFonts w:ascii="Times New Roman" w:hAnsi="Times New Roman" w:cs="Times New Roman"/>
          <w:sz w:val="24"/>
          <w:szCs w:val="24"/>
        </w:rPr>
      </w:pPr>
    </w:p>
    <w:p w14:paraId="40E3638A" w14:textId="77777777" w:rsidR="00A36FB7" w:rsidRPr="00441F3B" w:rsidRDefault="00A36FB7" w:rsidP="00A36FB7">
      <w:pPr>
        <w:pStyle w:val="ListParagraph"/>
        <w:spacing w:line="360" w:lineRule="auto"/>
        <w:ind w:left="0"/>
        <w:jc w:val="both"/>
        <w:rPr>
          <w:rFonts w:ascii="Times New Roman" w:hAnsi="Times New Roman" w:cs="Times New Roman"/>
          <w:sz w:val="24"/>
          <w:szCs w:val="24"/>
        </w:rPr>
      </w:pPr>
      <w:r w:rsidRPr="00441F3B">
        <w:rPr>
          <w:rFonts w:ascii="Times New Roman" w:hAnsi="Times New Roman" w:cs="Times New Roman"/>
          <w:sz w:val="24"/>
          <w:szCs w:val="24"/>
        </w:rPr>
        <w:t>The study employed both quantitative and qualitative methods; however, the approach for integrating and analyzing data from these methodologies is not clearly specified.</w:t>
      </w:r>
    </w:p>
    <w:p w14:paraId="6E6E844A" w14:textId="77777777" w:rsidR="00A36FB7" w:rsidRDefault="00A36FB7" w:rsidP="00A36FB7">
      <w:pPr>
        <w:pStyle w:val="ListParagraph"/>
        <w:spacing w:line="360" w:lineRule="auto"/>
        <w:ind w:left="0"/>
        <w:jc w:val="both"/>
        <w:rPr>
          <w:rFonts w:ascii="Times New Roman" w:hAnsi="Times New Roman" w:cs="Times New Roman"/>
          <w:sz w:val="24"/>
          <w:szCs w:val="24"/>
        </w:rPr>
      </w:pPr>
    </w:p>
    <w:p w14:paraId="11A50729" w14:textId="77777777" w:rsidR="008F3C84" w:rsidRDefault="00A36FB7" w:rsidP="00CD512A">
      <w:pPr>
        <w:pStyle w:val="ListParagraph"/>
        <w:spacing w:line="360" w:lineRule="auto"/>
        <w:ind w:left="0"/>
        <w:jc w:val="both"/>
        <w:rPr>
          <w:rFonts w:ascii="Times New Roman" w:hAnsi="Times New Roman" w:cs="Times New Roman"/>
          <w:sz w:val="24"/>
          <w:szCs w:val="24"/>
        </w:rPr>
      </w:pPr>
      <w:r w:rsidRPr="00441F3B">
        <w:rPr>
          <w:rFonts w:ascii="Times New Roman" w:hAnsi="Times New Roman" w:cs="Times New Roman"/>
          <w:sz w:val="24"/>
          <w:szCs w:val="24"/>
        </w:rPr>
        <w:t>Additionally, limited details on the sample size and demographic characteristics of participants may restrict the generalizability of the results.</w:t>
      </w:r>
    </w:p>
    <w:p w14:paraId="69598D21" w14:textId="26C29398" w:rsidR="00913E4A" w:rsidRPr="00CD512A" w:rsidRDefault="00913E4A" w:rsidP="00CD512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8"/>
          <w:szCs w:val="28"/>
        </w:rPr>
        <w:lastRenderedPageBreak/>
        <w:t>References</w:t>
      </w:r>
    </w:p>
    <w:p w14:paraId="5E487BC6" w14:textId="45C66259" w:rsidR="00FD0C7C" w:rsidRDefault="00FD0C7C" w:rsidP="00025AE7">
      <w:pPr>
        <w:pStyle w:val="NormalWeb"/>
        <w:jc w:val="both"/>
      </w:pPr>
      <w:r>
        <w:rPr>
          <w:rFonts w:hAnsi="Symbol"/>
        </w:rPr>
        <w:t></w:t>
      </w:r>
      <w:r>
        <w:t xml:space="preserve"> Khan, H. (2024). The impact of tax policy changes on Saudi Arabian corporations' investment decisions. </w:t>
      </w:r>
      <w:r>
        <w:rPr>
          <w:rStyle w:val="Emphasis"/>
          <w:rFonts w:eastAsiaTheme="majorEastAsia"/>
        </w:rPr>
        <w:t>Middle East Journal of Economics</w:t>
      </w:r>
      <w:r>
        <w:t xml:space="preserve">, </w:t>
      </w:r>
      <w:r>
        <w:rPr>
          <w:rStyle w:val="Strong"/>
          <w:rFonts w:eastAsiaTheme="majorEastAsia"/>
        </w:rPr>
        <w:t>29</w:t>
      </w:r>
      <w:r>
        <w:t>(1), 33-47.</w:t>
      </w:r>
    </w:p>
    <w:p w14:paraId="1DC1366B" w14:textId="7D71393A" w:rsidR="00FD0C7C" w:rsidRDefault="00FD0C7C" w:rsidP="00025AE7">
      <w:pPr>
        <w:pStyle w:val="NormalWeb"/>
        <w:jc w:val="both"/>
      </w:pPr>
      <w:r>
        <w:rPr>
          <w:rFonts w:hAnsi="Symbol"/>
        </w:rPr>
        <w:t></w:t>
      </w:r>
      <w:r>
        <w:t xml:space="preserve"> Timalsena, C., &amp; Nyaupane, N. P. (2024). Analyzing undergraduate students' investment behavior in initial public offerings (IPOs). </w:t>
      </w:r>
      <w:r>
        <w:rPr>
          <w:rStyle w:val="Emphasis"/>
          <w:rFonts w:eastAsiaTheme="majorEastAsia"/>
        </w:rPr>
        <w:t>Journal of Financial Literacy Studies</w:t>
      </w:r>
      <w:r>
        <w:t xml:space="preserve">, </w:t>
      </w:r>
      <w:r>
        <w:rPr>
          <w:rStyle w:val="Strong"/>
          <w:rFonts w:eastAsiaTheme="majorEastAsia"/>
        </w:rPr>
        <w:t>18</w:t>
      </w:r>
      <w:r>
        <w:t>(2), 145-160.</w:t>
      </w:r>
    </w:p>
    <w:p w14:paraId="18517865" w14:textId="66B7DC27" w:rsidR="00FD0C7C" w:rsidRDefault="00FD0C7C" w:rsidP="00025AE7">
      <w:pPr>
        <w:pStyle w:val="NormalWeb"/>
        <w:jc w:val="both"/>
      </w:pPr>
      <w:r>
        <w:rPr>
          <w:rFonts w:hAnsi="Symbol"/>
        </w:rPr>
        <w:t></w:t>
      </w:r>
      <w:r>
        <w:t xml:space="preserve"> Akinsulire, A. A., &amp; Idemudia, C. (2024). Strategic planning and investment analysis for affordable housing projects. </w:t>
      </w:r>
      <w:r>
        <w:rPr>
          <w:rStyle w:val="Emphasis"/>
          <w:rFonts w:eastAsiaTheme="majorEastAsia"/>
        </w:rPr>
        <w:t>Journal of Housing Studies</w:t>
      </w:r>
      <w:r>
        <w:t xml:space="preserve">, </w:t>
      </w:r>
      <w:r>
        <w:rPr>
          <w:rStyle w:val="Strong"/>
          <w:rFonts w:eastAsiaTheme="majorEastAsia"/>
        </w:rPr>
        <w:t>45</w:t>
      </w:r>
      <w:r>
        <w:t>(3), 112-125.</w:t>
      </w:r>
    </w:p>
    <w:p w14:paraId="08848626" w14:textId="3685AC9E" w:rsidR="00FD0C7C" w:rsidRDefault="00FD0C7C" w:rsidP="00025AE7">
      <w:pPr>
        <w:pStyle w:val="NormalWeb"/>
        <w:jc w:val="both"/>
      </w:pPr>
      <w:r>
        <w:rPr>
          <w:rFonts w:hAnsi="Symbol"/>
        </w:rPr>
        <w:t></w:t>
      </w:r>
      <w:r>
        <w:t xml:space="preserve"> Ko, H., &amp; Lee, J. (2024). Evaluating ChatGPT’s role in asset selection and portfolio diversification. </w:t>
      </w:r>
      <w:r>
        <w:rPr>
          <w:rStyle w:val="Emphasis"/>
          <w:rFonts w:eastAsiaTheme="majorEastAsia"/>
        </w:rPr>
        <w:t>Journal of Financial Technology</w:t>
      </w:r>
      <w:r>
        <w:t xml:space="preserve">, </w:t>
      </w:r>
      <w:r>
        <w:rPr>
          <w:rStyle w:val="Strong"/>
          <w:rFonts w:eastAsiaTheme="majorEastAsia"/>
        </w:rPr>
        <w:t>16</w:t>
      </w:r>
      <w:r>
        <w:t>(2), 98-112.</w:t>
      </w:r>
    </w:p>
    <w:p w14:paraId="5F1B0FE8" w14:textId="413C0B2E" w:rsidR="00FD0C7C" w:rsidRDefault="00FD0C7C" w:rsidP="00025AE7">
      <w:pPr>
        <w:pStyle w:val="NormalWeb"/>
        <w:jc w:val="both"/>
      </w:pPr>
      <w:r>
        <w:rPr>
          <w:rFonts w:hAnsi="Symbol"/>
        </w:rPr>
        <w:t></w:t>
      </w:r>
      <w:r>
        <w:t xml:space="preserve"> Sangwan, N., &amp; Shweta. (2024). Exploring savings allocation and investment behavior in India. </w:t>
      </w:r>
      <w:r>
        <w:rPr>
          <w:rStyle w:val="Emphasis"/>
          <w:rFonts w:eastAsiaTheme="majorEastAsia"/>
        </w:rPr>
        <w:t>Indian Journal of Economic Research</w:t>
      </w:r>
      <w:r>
        <w:t xml:space="preserve">, </w:t>
      </w:r>
      <w:r>
        <w:rPr>
          <w:rStyle w:val="Strong"/>
          <w:rFonts w:eastAsiaTheme="majorEastAsia"/>
        </w:rPr>
        <w:t>40</w:t>
      </w:r>
      <w:r>
        <w:t>(1), 55-68.</w:t>
      </w:r>
    </w:p>
    <w:p w14:paraId="2C3E28A6" w14:textId="3785BF20" w:rsidR="00FD0C7C" w:rsidRDefault="00FD0C7C" w:rsidP="00025AE7">
      <w:pPr>
        <w:pStyle w:val="NormalWeb"/>
        <w:jc w:val="both"/>
      </w:pPr>
      <w:r>
        <w:rPr>
          <w:rFonts w:hAnsi="Symbol"/>
        </w:rPr>
        <w:t></w:t>
      </w:r>
      <w:r>
        <w:t xml:space="preserve"> Zhang, D., &amp; He, Y. (2023). The impact of central bank communication on corporate investment decisions. </w:t>
      </w:r>
      <w:r>
        <w:rPr>
          <w:rStyle w:val="Emphasis"/>
          <w:rFonts w:eastAsiaTheme="majorEastAsia"/>
        </w:rPr>
        <w:t>Journal of Monetary Policy Studies</w:t>
      </w:r>
      <w:r>
        <w:t xml:space="preserve">, </w:t>
      </w:r>
      <w:r>
        <w:rPr>
          <w:rStyle w:val="Strong"/>
          <w:rFonts w:eastAsiaTheme="majorEastAsia"/>
        </w:rPr>
        <w:t>19</w:t>
      </w:r>
      <w:r>
        <w:t>(3), 210-225.</w:t>
      </w:r>
    </w:p>
    <w:p w14:paraId="67AA3B53" w14:textId="2101F92E" w:rsidR="00FD0C7C" w:rsidRDefault="00FD0C7C" w:rsidP="00025AE7">
      <w:pPr>
        <w:pStyle w:val="NormalWeb"/>
        <w:jc w:val="both"/>
      </w:pPr>
      <w:r>
        <w:rPr>
          <w:rFonts w:hAnsi="Symbol"/>
        </w:rPr>
        <w:t></w:t>
      </w:r>
      <w:r>
        <w:t xml:space="preserve"> Gaurav, K., &amp; Ray, A. S. (2023). Factors influencing corporate professionals’ investment behavior toward mutual funds. </w:t>
      </w:r>
      <w:r>
        <w:rPr>
          <w:rStyle w:val="Emphasis"/>
          <w:rFonts w:eastAsiaTheme="majorEastAsia"/>
        </w:rPr>
        <w:t>International Journal of Financial Research</w:t>
      </w:r>
      <w:r>
        <w:t xml:space="preserve">, </w:t>
      </w:r>
      <w:r>
        <w:rPr>
          <w:rStyle w:val="Strong"/>
          <w:rFonts w:eastAsiaTheme="majorEastAsia"/>
        </w:rPr>
        <w:t>12</w:t>
      </w:r>
      <w:r>
        <w:t>(4), 178-193.</w:t>
      </w:r>
    </w:p>
    <w:p w14:paraId="08B2C2E3" w14:textId="63C12948" w:rsidR="00FD0C7C" w:rsidRDefault="00FD0C7C" w:rsidP="00025AE7">
      <w:pPr>
        <w:pStyle w:val="NormalWeb"/>
        <w:jc w:val="both"/>
      </w:pPr>
      <w:r>
        <w:rPr>
          <w:rFonts w:hAnsi="Symbol"/>
        </w:rPr>
        <w:t></w:t>
      </w:r>
      <w:r>
        <w:t xml:space="preserve"> Bernhofer, J., &amp; Costantini, F. (2023). Linguistic variation and risk attitudes: A new marker for financial decision-making. </w:t>
      </w:r>
      <w:r>
        <w:rPr>
          <w:rStyle w:val="Emphasis"/>
          <w:rFonts w:eastAsiaTheme="majorEastAsia"/>
        </w:rPr>
        <w:t>Journal of Behavioral Economics</w:t>
      </w:r>
      <w:r>
        <w:t xml:space="preserve">, </w:t>
      </w:r>
      <w:r>
        <w:rPr>
          <w:rStyle w:val="Strong"/>
          <w:rFonts w:eastAsiaTheme="majorEastAsia"/>
        </w:rPr>
        <w:t>38</w:t>
      </w:r>
      <w:r>
        <w:t>(2), 245-260.</w:t>
      </w:r>
    </w:p>
    <w:p w14:paraId="4CEB28E0" w14:textId="0459AB9E" w:rsidR="00FD0C7C" w:rsidRDefault="00FD0C7C" w:rsidP="00025AE7">
      <w:pPr>
        <w:pStyle w:val="NormalWeb"/>
        <w:jc w:val="both"/>
      </w:pPr>
      <w:r>
        <w:rPr>
          <w:rFonts w:hAnsi="Symbol"/>
        </w:rPr>
        <w:t></w:t>
      </w:r>
      <w:r>
        <w:t xml:space="preserve"> Wang, Q., &amp; Fan, Z. (2023). Green finance and renewable energy investment: A dynamic panel threshold model. </w:t>
      </w:r>
      <w:r>
        <w:rPr>
          <w:rStyle w:val="Emphasis"/>
          <w:rFonts w:eastAsiaTheme="majorEastAsia"/>
        </w:rPr>
        <w:t>Renewable Energy Economics Review</w:t>
      </w:r>
      <w:r>
        <w:t xml:space="preserve">, </w:t>
      </w:r>
      <w:r>
        <w:rPr>
          <w:rStyle w:val="Strong"/>
          <w:rFonts w:eastAsiaTheme="majorEastAsia"/>
        </w:rPr>
        <w:t>27</w:t>
      </w:r>
      <w:r>
        <w:t>(4), 312-328.</w:t>
      </w:r>
    </w:p>
    <w:p w14:paraId="748BEBDE" w14:textId="7F19748E" w:rsidR="00FD0C7C" w:rsidRDefault="00FD0C7C" w:rsidP="00025AE7">
      <w:pPr>
        <w:pStyle w:val="NormalWeb"/>
        <w:jc w:val="both"/>
      </w:pPr>
      <w:r>
        <w:rPr>
          <w:rFonts w:hAnsi="Symbol"/>
        </w:rPr>
        <w:t></w:t>
      </w:r>
      <w:r>
        <w:t xml:space="preserve"> Hagen, J., &amp; Malisa, A. (2022). Investor inertia in the wake of financial fraud: Evidence from Sweden’s pension system. </w:t>
      </w:r>
      <w:r>
        <w:rPr>
          <w:rStyle w:val="Emphasis"/>
          <w:rFonts w:eastAsiaTheme="majorEastAsia"/>
        </w:rPr>
        <w:t>Journal of Pension Economics and Finance</w:t>
      </w:r>
      <w:r>
        <w:t xml:space="preserve">, </w:t>
      </w:r>
      <w:r>
        <w:rPr>
          <w:rStyle w:val="Strong"/>
          <w:rFonts w:eastAsiaTheme="majorEastAsia"/>
        </w:rPr>
        <w:t>21</w:t>
      </w:r>
      <w:r>
        <w:t>(5), 432-450.</w:t>
      </w:r>
    </w:p>
    <w:p w14:paraId="6B76A56C" w14:textId="77777777" w:rsidR="00FD0C7C" w:rsidRPr="00174C7A" w:rsidRDefault="00FD0C7C" w:rsidP="001F5F32">
      <w:pPr>
        <w:spacing w:line="360" w:lineRule="auto"/>
        <w:jc w:val="both"/>
        <w:rPr>
          <w:rFonts w:ascii="Times New Roman" w:hAnsi="Times New Roman" w:cs="Times New Roman"/>
          <w:b/>
          <w:bCs/>
          <w:sz w:val="28"/>
          <w:szCs w:val="28"/>
          <w:lang w:val="en-US"/>
        </w:rPr>
      </w:pPr>
    </w:p>
    <w:p w14:paraId="54640C30" w14:textId="77777777" w:rsidR="001F5F32" w:rsidRDefault="001F5F32" w:rsidP="00106ABD">
      <w:pPr>
        <w:spacing w:line="360" w:lineRule="auto"/>
        <w:jc w:val="both"/>
        <w:rPr>
          <w:rFonts w:ascii="Times New Roman" w:hAnsi="Times New Roman" w:cs="Times New Roman"/>
          <w:sz w:val="24"/>
          <w:szCs w:val="24"/>
        </w:rPr>
      </w:pPr>
    </w:p>
    <w:p w14:paraId="2A0EF1A7" w14:textId="77777777" w:rsidR="00FA6BEE" w:rsidRDefault="00FA6BEE" w:rsidP="00106ABD">
      <w:pPr>
        <w:spacing w:line="360" w:lineRule="auto"/>
        <w:jc w:val="both"/>
        <w:rPr>
          <w:rFonts w:ascii="Times New Roman" w:hAnsi="Times New Roman" w:cs="Times New Roman"/>
          <w:sz w:val="24"/>
          <w:szCs w:val="24"/>
        </w:rPr>
      </w:pPr>
    </w:p>
    <w:p w14:paraId="50C1E57E" w14:textId="77777777" w:rsidR="00AE1B06" w:rsidRDefault="00AE1B06" w:rsidP="000F67C1">
      <w:pPr>
        <w:spacing w:line="360" w:lineRule="auto"/>
        <w:jc w:val="both"/>
        <w:rPr>
          <w:rFonts w:ascii="Times New Roman" w:hAnsi="Times New Roman" w:cs="Times New Roman"/>
          <w:sz w:val="24"/>
          <w:szCs w:val="24"/>
        </w:rPr>
      </w:pPr>
    </w:p>
    <w:p w14:paraId="5A7BF16D" w14:textId="77777777" w:rsidR="00930F4F" w:rsidRDefault="00930F4F" w:rsidP="00803776">
      <w:pPr>
        <w:spacing w:line="360" w:lineRule="auto"/>
        <w:jc w:val="both"/>
        <w:rPr>
          <w:rFonts w:ascii="Times New Roman" w:hAnsi="Times New Roman" w:cs="Times New Roman"/>
          <w:sz w:val="24"/>
          <w:szCs w:val="24"/>
        </w:rPr>
      </w:pPr>
    </w:p>
    <w:p w14:paraId="30257DDF" w14:textId="77777777" w:rsidR="00610D1A" w:rsidRPr="00193AD7" w:rsidRDefault="00610D1A" w:rsidP="00193AD7">
      <w:pPr>
        <w:spacing w:line="360" w:lineRule="auto"/>
        <w:jc w:val="both"/>
        <w:rPr>
          <w:rFonts w:ascii="Times New Roman" w:hAnsi="Times New Roman" w:cs="Times New Roman"/>
          <w:sz w:val="24"/>
          <w:szCs w:val="24"/>
        </w:rPr>
      </w:pPr>
    </w:p>
    <w:p w14:paraId="72A0E6B9" w14:textId="77777777" w:rsidR="000C74E4" w:rsidRDefault="000C74E4" w:rsidP="006941A2">
      <w:pPr>
        <w:spacing w:line="360" w:lineRule="auto"/>
        <w:jc w:val="both"/>
        <w:rPr>
          <w:rFonts w:ascii="Times New Roman" w:hAnsi="Times New Roman" w:cs="Times New Roman"/>
          <w:sz w:val="24"/>
          <w:szCs w:val="24"/>
        </w:rPr>
      </w:pPr>
    </w:p>
    <w:sectPr w:rsidR="000C74E4" w:rsidSect="007473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D961" w14:textId="77777777" w:rsidR="00655E23" w:rsidRDefault="00655E23" w:rsidP="00671D47">
      <w:pPr>
        <w:spacing w:after="0" w:line="240" w:lineRule="auto"/>
      </w:pPr>
      <w:r>
        <w:separator/>
      </w:r>
    </w:p>
  </w:endnote>
  <w:endnote w:type="continuationSeparator" w:id="0">
    <w:p w14:paraId="378F8A5C" w14:textId="77777777" w:rsidR="00655E23" w:rsidRDefault="00655E23" w:rsidP="0067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B9E6" w14:textId="77777777" w:rsidR="00655E23" w:rsidRDefault="00655E23" w:rsidP="00671D47">
      <w:pPr>
        <w:spacing w:after="0" w:line="240" w:lineRule="auto"/>
      </w:pPr>
      <w:r>
        <w:separator/>
      </w:r>
    </w:p>
  </w:footnote>
  <w:footnote w:type="continuationSeparator" w:id="0">
    <w:p w14:paraId="54BBA77B" w14:textId="77777777" w:rsidR="00655E23" w:rsidRDefault="00655E23" w:rsidP="00671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83BFD"/>
    <w:multiLevelType w:val="hybridMultilevel"/>
    <w:tmpl w:val="12E06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1F4D05"/>
    <w:multiLevelType w:val="hybridMultilevel"/>
    <w:tmpl w:val="D9204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5A61AF"/>
    <w:multiLevelType w:val="hybridMultilevel"/>
    <w:tmpl w:val="9580D0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14D0416"/>
    <w:multiLevelType w:val="hybridMultilevel"/>
    <w:tmpl w:val="439C2E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A5560EC"/>
    <w:multiLevelType w:val="multilevel"/>
    <w:tmpl w:val="090A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2019886">
    <w:abstractNumId w:val="3"/>
  </w:num>
  <w:num w:numId="2" w16cid:durableId="1905018183">
    <w:abstractNumId w:val="4"/>
  </w:num>
  <w:num w:numId="3" w16cid:durableId="814373784">
    <w:abstractNumId w:val="0"/>
  </w:num>
  <w:num w:numId="4" w16cid:durableId="1875996330">
    <w:abstractNumId w:val="1"/>
  </w:num>
  <w:num w:numId="5" w16cid:durableId="1588148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7F"/>
    <w:rsid w:val="00014FAF"/>
    <w:rsid w:val="00025AE7"/>
    <w:rsid w:val="000A2790"/>
    <w:rsid w:val="000C74E4"/>
    <w:rsid w:val="000F67C1"/>
    <w:rsid w:val="00106ABD"/>
    <w:rsid w:val="00167FAB"/>
    <w:rsid w:val="001812EA"/>
    <w:rsid w:val="00191C6C"/>
    <w:rsid w:val="00193AD7"/>
    <w:rsid w:val="001A2BD3"/>
    <w:rsid w:val="001A47FB"/>
    <w:rsid w:val="001B2ADA"/>
    <w:rsid w:val="001F5F32"/>
    <w:rsid w:val="00235355"/>
    <w:rsid w:val="00253D19"/>
    <w:rsid w:val="0028633F"/>
    <w:rsid w:val="00295997"/>
    <w:rsid w:val="002E3470"/>
    <w:rsid w:val="002E70C5"/>
    <w:rsid w:val="003278A6"/>
    <w:rsid w:val="00372ED6"/>
    <w:rsid w:val="00380897"/>
    <w:rsid w:val="00384618"/>
    <w:rsid w:val="00391482"/>
    <w:rsid w:val="003941DE"/>
    <w:rsid w:val="003C28F4"/>
    <w:rsid w:val="00401C5A"/>
    <w:rsid w:val="00461F85"/>
    <w:rsid w:val="0047152E"/>
    <w:rsid w:val="004A0D4F"/>
    <w:rsid w:val="004B4C1F"/>
    <w:rsid w:val="00521107"/>
    <w:rsid w:val="005330CF"/>
    <w:rsid w:val="00534540"/>
    <w:rsid w:val="00575E44"/>
    <w:rsid w:val="005767EF"/>
    <w:rsid w:val="005C1644"/>
    <w:rsid w:val="005F7887"/>
    <w:rsid w:val="00610D1A"/>
    <w:rsid w:val="00655E23"/>
    <w:rsid w:val="00671D47"/>
    <w:rsid w:val="006941A2"/>
    <w:rsid w:val="006C32BD"/>
    <w:rsid w:val="006E24D3"/>
    <w:rsid w:val="0070306A"/>
    <w:rsid w:val="00716826"/>
    <w:rsid w:val="00747332"/>
    <w:rsid w:val="00752461"/>
    <w:rsid w:val="007931BE"/>
    <w:rsid w:val="007C045D"/>
    <w:rsid w:val="007D7BED"/>
    <w:rsid w:val="007E3749"/>
    <w:rsid w:val="008027EA"/>
    <w:rsid w:val="00803776"/>
    <w:rsid w:val="0082092B"/>
    <w:rsid w:val="00880FCC"/>
    <w:rsid w:val="008B2E5E"/>
    <w:rsid w:val="008F3C84"/>
    <w:rsid w:val="009006BA"/>
    <w:rsid w:val="0090410A"/>
    <w:rsid w:val="00913E4A"/>
    <w:rsid w:val="00930F4F"/>
    <w:rsid w:val="009C468E"/>
    <w:rsid w:val="00A05915"/>
    <w:rsid w:val="00A36FB7"/>
    <w:rsid w:val="00A66428"/>
    <w:rsid w:val="00AB0A20"/>
    <w:rsid w:val="00AC07CA"/>
    <w:rsid w:val="00AE1B06"/>
    <w:rsid w:val="00AF074E"/>
    <w:rsid w:val="00AF5561"/>
    <w:rsid w:val="00B04A09"/>
    <w:rsid w:val="00B35CBE"/>
    <w:rsid w:val="00B438DC"/>
    <w:rsid w:val="00B52D54"/>
    <w:rsid w:val="00B643CD"/>
    <w:rsid w:val="00B721F8"/>
    <w:rsid w:val="00B85122"/>
    <w:rsid w:val="00BA17C4"/>
    <w:rsid w:val="00BB2E58"/>
    <w:rsid w:val="00BD49AF"/>
    <w:rsid w:val="00C62A65"/>
    <w:rsid w:val="00CA347F"/>
    <w:rsid w:val="00CD512A"/>
    <w:rsid w:val="00D01D27"/>
    <w:rsid w:val="00D031EF"/>
    <w:rsid w:val="00D05CA7"/>
    <w:rsid w:val="00D31AC4"/>
    <w:rsid w:val="00DC6392"/>
    <w:rsid w:val="00DE6E5B"/>
    <w:rsid w:val="00DF48F2"/>
    <w:rsid w:val="00E11800"/>
    <w:rsid w:val="00E35AE1"/>
    <w:rsid w:val="00E643B5"/>
    <w:rsid w:val="00E720B3"/>
    <w:rsid w:val="00E7291E"/>
    <w:rsid w:val="00E75C1E"/>
    <w:rsid w:val="00E94417"/>
    <w:rsid w:val="00EE6498"/>
    <w:rsid w:val="00EE6AD0"/>
    <w:rsid w:val="00F319FC"/>
    <w:rsid w:val="00F9396A"/>
    <w:rsid w:val="00FA6BEE"/>
    <w:rsid w:val="00FD0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7A7"/>
  <w15:chartTrackingRefBased/>
  <w15:docId w15:val="{7ADCDE43-5D7F-4BAC-9C32-7DEBB1DB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4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34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34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A34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34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34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4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4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4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4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34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34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A34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34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34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4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4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47F"/>
    <w:rPr>
      <w:rFonts w:eastAsiaTheme="majorEastAsia" w:cstheme="majorBidi"/>
      <w:color w:val="272727" w:themeColor="text1" w:themeTint="D8"/>
    </w:rPr>
  </w:style>
  <w:style w:type="paragraph" w:styleId="Title">
    <w:name w:val="Title"/>
    <w:basedOn w:val="Normal"/>
    <w:next w:val="Normal"/>
    <w:link w:val="TitleChar"/>
    <w:uiPriority w:val="10"/>
    <w:qFormat/>
    <w:rsid w:val="00CA34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4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4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4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47F"/>
    <w:pPr>
      <w:spacing w:before="160"/>
      <w:jc w:val="center"/>
    </w:pPr>
    <w:rPr>
      <w:i/>
      <w:iCs/>
      <w:color w:val="404040" w:themeColor="text1" w:themeTint="BF"/>
    </w:rPr>
  </w:style>
  <w:style w:type="character" w:customStyle="1" w:styleId="QuoteChar">
    <w:name w:val="Quote Char"/>
    <w:basedOn w:val="DefaultParagraphFont"/>
    <w:link w:val="Quote"/>
    <w:uiPriority w:val="29"/>
    <w:rsid w:val="00CA347F"/>
    <w:rPr>
      <w:i/>
      <w:iCs/>
      <w:color w:val="404040" w:themeColor="text1" w:themeTint="BF"/>
    </w:rPr>
  </w:style>
  <w:style w:type="paragraph" w:styleId="ListParagraph">
    <w:name w:val="List Paragraph"/>
    <w:basedOn w:val="Normal"/>
    <w:uiPriority w:val="34"/>
    <w:qFormat/>
    <w:rsid w:val="00CA347F"/>
    <w:pPr>
      <w:ind w:left="720"/>
      <w:contextualSpacing/>
    </w:pPr>
  </w:style>
  <w:style w:type="character" w:styleId="IntenseEmphasis">
    <w:name w:val="Intense Emphasis"/>
    <w:basedOn w:val="DefaultParagraphFont"/>
    <w:uiPriority w:val="21"/>
    <w:qFormat/>
    <w:rsid w:val="00CA347F"/>
    <w:rPr>
      <w:i/>
      <w:iCs/>
      <w:color w:val="2F5496" w:themeColor="accent1" w:themeShade="BF"/>
    </w:rPr>
  </w:style>
  <w:style w:type="paragraph" w:styleId="IntenseQuote">
    <w:name w:val="Intense Quote"/>
    <w:basedOn w:val="Normal"/>
    <w:next w:val="Normal"/>
    <w:link w:val="IntenseQuoteChar"/>
    <w:uiPriority w:val="30"/>
    <w:qFormat/>
    <w:rsid w:val="00CA3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347F"/>
    <w:rPr>
      <w:i/>
      <w:iCs/>
      <w:color w:val="2F5496" w:themeColor="accent1" w:themeShade="BF"/>
    </w:rPr>
  </w:style>
  <w:style w:type="character" w:styleId="IntenseReference">
    <w:name w:val="Intense Reference"/>
    <w:basedOn w:val="DefaultParagraphFont"/>
    <w:uiPriority w:val="32"/>
    <w:qFormat/>
    <w:rsid w:val="00CA347F"/>
    <w:rPr>
      <w:b/>
      <w:bCs/>
      <w:smallCaps/>
      <w:color w:val="2F5496" w:themeColor="accent1" w:themeShade="BF"/>
      <w:spacing w:val="5"/>
    </w:rPr>
  </w:style>
  <w:style w:type="paragraph" w:styleId="NormalWeb">
    <w:name w:val="Normal (Web)"/>
    <w:basedOn w:val="Normal"/>
    <w:uiPriority w:val="99"/>
    <w:unhideWhenUsed/>
    <w:rsid w:val="0047152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461F85"/>
    <w:rPr>
      <w:color w:val="0563C1" w:themeColor="hyperlink"/>
      <w:u w:val="single"/>
    </w:rPr>
  </w:style>
  <w:style w:type="character" w:styleId="UnresolvedMention">
    <w:name w:val="Unresolved Mention"/>
    <w:basedOn w:val="DefaultParagraphFont"/>
    <w:uiPriority w:val="99"/>
    <w:semiHidden/>
    <w:unhideWhenUsed/>
    <w:rsid w:val="00461F85"/>
    <w:rPr>
      <w:color w:val="605E5C"/>
      <w:shd w:val="clear" w:color="auto" w:fill="E1DFDD"/>
    </w:rPr>
  </w:style>
  <w:style w:type="table" w:styleId="TableGrid">
    <w:name w:val="Table Grid"/>
    <w:basedOn w:val="TableNormal"/>
    <w:uiPriority w:val="39"/>
    <w:rsid w:val="0016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1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D47"/>
  </w:style>
  <w:style w:type="paragraph" w:styleId="Footer">
    <w:name w:val="footer"/>
    <w:basedOn w:val="Normal"/>
    <w:link w:val="FooterChar"/>
    <w:uiPriority w:val="99"/>
    <w:unhideWhenUsed/>
    <w:rsid w:val="00671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D47"/>
  </w:style>
  <w:style w:type="character" w:styleId="Emphasis">
    <w:name w:val="Emphasis"/>
    <w:basedOn w:val="DefaultParagraphFont"/>
    <w:uiPriority w:val="20"/>
    <w:qFormat/>
    <w:rsid w:val="00FD0C7C"/>
    <w:rPr>
      <w:i/>
      <w:iCs/>
    </w:rPr>
  </w:style>
  <w:style w:type="character" w:styleId="Strong">
    <w:name w:val="Strong"/>
    <w:basedOn w:val="DefaultParagraphFont"/>
    <w:uiPriority w:val="22"/>
    <w:qFormat/>
    <w:rsid w:val="00FD0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5136">
      <w:bodyDiv w:val="1"/>
      <w:marLeft w:val="0"/>
      <w:marRight w:val="0"/>
      <w:marTop w:val="0"/>
      <w:marBottom w:val="0"/>
      <w:divBdr>
        <w:top w:val="none" w:sz="0" w:space="0" w:color="auto"/>
        <w:left w:val="none" w:sz="0" w:space="0" w:color="auto"/>
        <w:bottom w:val="none" w:sz="0" w:space="0" w:color="auto"/>
        <w:right w:val="none" w:sz="0" w:space="0" w:color="auto"/>
      </w:divBdr>
    </w:div>
    <w:div w:id="23676551">
      <w:bodyDiv w:val="1"/>
      <w:marLeft w:val="0"/>
      <w:marRight w:val="0"/>
      <w:marTop w:val="0"/>
      <w:marBottom w:val="0"/>
      <w:divBdr>
        <w:top w:val="none" w:sz="0" w:space="0" w:color="auto"/>
        <w:left w:val="none" w:sz="0" w:space="0" w:color="auto"/>
        <w:bottom w:val="none" w:sz="0" w:space="0" w:color="auto"/>
        <w:right w:val="none" w:sz="0" w:space="0" w:color="auto"/>
      </w:divBdr>
    </w:div>
    <w:div w:id="402720382">
      <w:bodyDiv w:val="1"/>
      <w:marLeft w:val="0"/>
      <w:marRight w:val="0"/>
      <w:marTop w:val="0"/>
      <w:marBottom w:val="0"/>
      <w:divBdr>
        <w:top w:val="none" w:sz="0" w:space="0" w:color="auto"/>
        <w:left w:val="none" w:sz="0" w:space="0" w:color="auto"/>
        <w:bottom w:val="none" w:sz="0" w:space="0" w:color="auto"/>
        <w:right w:val="none" w:sz="0" w:space="0" w:color="auto"/>
      </w:divBdr>
    </w:div>
    <w:div w:id="426267341">
      <w:bodyDiv w:val="1"/>
      <w:marLeft w:val="0"/>
      <w:marRight w:val="0"/>
      <w:marTop w:val="0"/>
      <w:marBottom w:val="0"/>
      <w:divBdr>
        <w:top w:val="none" w:sz="0" w:space="0" w:color="auto"/>
        <w:left w:val="none" w:sz="0" w:space="0" w:color="auto"/>
        <w:bottom w:val="none" w:sz="0" w:space="0" w:color="auto"/>
        <w:right w:val="none" w:sz="0" w:space="0" w:color="auto"/>
      </w:divBdr>
    </w:div>
    <w:div w:id="433674768">
      <w:bodyDiv w:val="1"/>
      <w:marLeft w:val="0"/>
      <w:marRight w:val="0"/>
      <w:marTop w:val="0"/>
      <w:marBottom w:val="0"/>
      <w:divBdr>
        <w:top w:val="none" w:sz="0" w:space="0" w:color="auto"/>
        <w:left w:val="none" w:sz="0" w:space="0" w:color="auto"/>
        <w:bottom w:val="none" w:sz="0" w:space="0" w:color="auto"/>
        <w:right w:val="none" w:sz="0" w:space="0" w:color="auto"/>
      </w:divBdr>
    </w:div>
    <w:div w:id="541938398">
      <w:bodyDiv w:val="1"/>
      <w:marLeft w:val="0"/>
      <w:marRight w:val="0"/>
      <w:marTop w:val="0"/>
      <w:marBottom w:val="0"/>
      <w:divBdr>
        <w:top w:val="none" w:sz="0" w:space="0" w:color="auto"/>
        <w:left w:val="none" w:sz="0" w:space="0" w:color="auto"/>
        <w:bottom w:val="none" w:sz="0" w:space="0" w:color="auto"/>
        <w:right w:val="none" w:sz="0" w:space="0" w:color="auto"/>
      </w:divBdr>
    </w:div>
    <w:div w:id="757139649">
      <w:bodyDiv w:val="1"/>
      <w:marLeft w:val="0"/>
      <w:marRight w:val="0"/>
      <w:marTop w:val="0"/>
      <w:marBottom w:val="0"/>
      <w:divBdr>
        <w:top w:val="none" w:sz="0" w:space="0" w:color="auto"/>
        <w:left w:val="none" w:sz="0" w:space="0" w:color="auto"/>
        <w:bottom w:val="none" w:sz="0" w:space="0" w:color="auto"/>
        <w:right w:val="none" w:sz="0" w:space="0" w:color="auto"/>
      </w:divBdr>
    </w:div>
    <w:div w:id="765225111">
      <w:bodyDiv w:val="1"/>
      <w:marLeft w:val="0"/>
      <w:marRight w:val="0"/>
      <w:marTop w:val="0"/>
      <w:marBottom w:val="0"/>
      <w:divBdr>
        <w:top w:val="none" w:sz="0" w:space="0" w:color="auto"/>
        <w:left w:val="none" w:sz="0" w:space="0" w:color="auto"/>
        <w:bottom w:val="none" w:sz="0" w:space="0" w:color="auto"/>
        <w:right w:val="none" w:sz="0" w:space="0" w:color="auto"/>
      </w:divBdr>
    </w:div>
    <w:div w:id="767509211">
      <w:bodyDiv w:val="1"/>
      <w:marLeft w:val="0"/>
      <w:marRight w:val="0"/>
      <w:marTop w:val="0"/>
      <w:marBottom w:val="0"/>
      <w:divBdr>
        <w:top w:val="none" w:sz="0" w:space="0" w:color="auto"/>
        <w:left w:val="none" w:sz="0" w:space="0" w:color="auto"/>
        <w:bottom w:val="none" w:sz="0" w:space="0" w:color="auto"/>
        <w:right w:val="none" w:sz="0" w:space="0" w:color="auto"/>
      </w:divBdr>
    </w:div>
    <w:div w:id="798303273">
      <w:bodyDiv w:val="1"/>
      <w:marLeft w:val="0"/>
      <w:marRight w:val="0"/>
      <w:marTop w:val="0"/>
      <w:marBottom w:val="0"/>
      <w:divBdr>
        <w:top w:val="none" w:sz="0" w:space="0" w:color="auto"/>
        <w:left w:val="none" w:sz="0" w:space="0" w:color="auto"/>
        <w:bottom w:val="none" w:sz="0" w:space="0" w:color="auto"/>
        <w:right w:val="none" w:sz="0" w:space="0" w:color="auto"/>
      </w:divBdr>
    </w:div>
    <w:div w:id="824664460">
      <w:bodyDiv w:val="1"/>
      <w:marLeft w:val="0"/>
      <w:marRight w:val="0"/>
      <w:marTop w:val="0"/>
      <w:marBottom w:val="0"/>
      <w:divBdr>
        <w:top w:val="none" w:sz="0" w:space="0" w:color="auto"/>
        <w:left w:val="none" w:sz="0" w:space="0" w:color="auto"/>
        <w:bottom w:val="none" w:sz="0" w:space="0" w:color="auto"/>
        <w:right w:val="none" w:sz="0" w:space="0" w:color="auto"/>
      </w:divBdr>
    </w:div>
    <w:div w:id="846141173">
      <w:bodyDiv w:val="1"/>
      <w:marLeft w:val="0"/>
      <w:marRight w:val="0"/>
      <w:marTop w:val="0"/>
      <w:marBottom w:val="0"/>
      <w:divBdr>
        <w:top w:val="none" w:sz="0" w:space="0" w:color="auto"/>
        <w:left w:val="none" w:sz="0" w:space="0" w:color="auto"/>
        <w:bottom w:val="none" w:sz="0" w:space="0" w:color="auto"/>
        <w:right w:val="none" w:sz="0" w:space="0" w:color="auto"/>
      </w:divBdr>
    </w:div>
    <w:div w:id="867256091">
      <w:bodyDiv w:val="1"/>
      <w:marLeft w:val="0"/>
      <w:marRight w:val="0"/>
      <w:marTop w:val="0"/>
      <w:marBottom w:val="0"/>
      <w:divBdr>
        <w:top w:val="none" w:sz="0" w:space="0" w:color="auto"/>
        <w:left w:val="none" w:sz="0" w:space="0" w:color="auto"/>
        <w:bottom w:val="none" w:sz="0" w:space="0" w:color="auto"/>
        <w:right w:val="none" w:sz="0" w:space="0" w:color="auto"/>
      </w:divBdr>
    </w:div>
    <w:div w:id="956065363">
      <w:bodyDiv w:val="1"/>
      <w:marLeft w:val="0"/>
      <w:marRight w:val="0"/>
      <w:marTop w:val="0"/>
      <w:marBottom w:val="0"/>
      <w:divBdr>
        <w:top w:val="none" w:sz="0" w:space="0" w:color="auto"/>
        <w:left w:val="none" w:sz="0" w:space="0" w:color="auto"/>
        <w:bottom w:val="none" w:sz="0" w:space="0" w:color="auto"/>
        <w:right w:val="none" w:sz="0" w:space="0" w:color="auto"/>
      </w:divBdr>
    </w:div>
    <w:div w:id="1029642768">
      <w:bodyDiv w:val="1"/>
      <w:marLeft w:val="0"/>
      <w:marRight w:val="0"/>
      <w:marTop w:val="0"/>
      <w:marBottom w:val="0"/>
      <w:divBdr>
        <w:top w:val="none" w:sz="0" w:space="0" w:color="auto"/>
        <w:left w:val="none" w:sz="0" w:space="0" w:color="auto"/>
        <w:bottom w:val="none" w:sz="0" w:space="0" w:color="auto"/>
        <w:right w:val="none" w:sz="0" w:space="0" w:color="auto"/>
      </w:divBdr>
    </w:div>
    <w:div w:id="1076054584">
      <w:bodyDiv w:val="1"/>
      <w:marLeft w:val="0"/>
      <w:marRight w:val="0"/>
      <w:marTop w:val="0"/>
      <w:marBottom w:val="0"/>
      <w:divBdr>
        <w:top w:val="none" w:sz="0" w:space="0" w:color="auto"/>
        <w:left w:val="none" w:sz="0" w:space="0" w:color="auto"/>
        <w:bottom w:val="none" w:sz="0" w:space="0" w:color="auto"/>
        <w:right w:val="none" w:sz="0" w:space="0" w:color="auto"/>
      </w:divBdr>
    </w:div>
    <w:div w:id="1172070084">
      <w:bodyDiv w:val="1"/>
      <w:marLeft w:val="0"/>
      <w:marRight w:val="0"/>
      <w:marTop w:val="0"/>
      <w:marBottom w:val="0"/>
      <w:divBdr>
        <w:top w:val="none" w:sz="0" w:space="0" w:color="auto"/>
        <w:left w:val="none" w:sz="0" w:space="0" w:color="auto"/>
        <w:bottom w:val="none" w:sz="0" w:space="0" w:color="auto"/>
        <w:right w:val="none" w:sz="0" w:space="0" w:color="auto"/>
      </w:divBdr>
    </w:div>
    <w:div w:id="1398673306">
      <w:bodyDiv w:val="1"/>
      <w:marLeft w:val="0"/>
      <w:marRight w:val="0"/>
      <w:marTop w:val="0"/>
      <w:marBottom w:val="0"/>
      <w:divBdr>
        <w:top w:val="none" w:sz="0" w:space="0" w:color="auto"/>
        <w:left w:val="none" w:sz="0" w:space="0" w:color="auto"/>
        <w:bottom w:val="none" w:sz="0" w:space="0" w:color="auto"/>
        <w:right w:val="none" w:sz="0" w:space="0" w:color="auto"/>
      </w:divBdr>
    </w:div>
    <w:div w:id="1529951078">
      <w:bodyDiv w:val="1"/>
      <w:marLeft w:val="0"/>
      <w:marRight w:val="0"/>
      <w:marTop w:val="0"/>
      <w:marBottom w:val="0"/>
      <w:divBdr>
        <w:top w:val="none" w:sz="0" w:space="0" w:color="auto"/>
        <w:left w:val="none" w:sz="0" w:space="0" w:color="auto"/>
        <w:bottom w:val="none" w:sz="0" w:space="0" w:color="auto"/>
        <w:right w:val="none" w:sz="0" w:space="0" w:color="auto"/>
      </w:divBdr>
    </w:div>
    <w:div w:id="1546059967">
      <w:bodyDiv w:val="1"/>
      <w:marLeft w:val="0"/>
      <w:marRight w:val="0"/>
      <w:marTop w:val="0"/>
      <w:marBottom w:val="0"/>
      <w:divBdr>
        <w:top w:val="none" w:sz="0" w:space="0" w:color="auto"/>
        <w:left w:val="none" w:sz="0" w:space="0" w:color="auto"/>
        <w:bottom w:val="none" w:sz="0" w:space="0" w:color="auto"/>
        <w:right w:val="none" w:sz="0" w:space="0" w:color="auto"/>
      </w:divBdr>
    </w:div>
    <w:div w:id="1567569041">
      <w:bodyDiv w:val="1"/>
      <w:marLeft w:val="0"/>
      <w:marRight w:val="0"/>
      <w:marTop w:val="0"/>
      <w:marBottom w:val="0"/>
      <w:divBdr>
        <w:top w:val="none" w:sz="0" w:space="0" w:color="auto"/>
        <w:left w:val="none" w:sz="0" w:space="0" w:color="auto"/>
        <w:bottom w:val="none" w:sz="0" w:space="0" w:color="auto"/>
        <w:right w:val="none" w:sz="0" w:space="0" w:color="auto"/>
      </w:divBdr>
    </w:div>
    <w:div w:id="19135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jacobthomas666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1"/>
          <c:order val="1"/>
          <c:tx>
            <c:strRef>
              <c:f>Sheet1!$D$2</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44-4BEF-94C8-5CE63C93FF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44-4BEF-94C8-5CE63C93FF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44-4BEF-94C8-5CE63C93FF1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Sheet1!$B$3:$B$5</c:f>
              <c:strCache>
                <c:ptCount val="3"/>
                <c:pt idx="0">
                  <c:v>yes</c:v>
                </c:pt>
                <c:pt idx="1">
                  <c:v>no</c:v>
                </c:pt>
                <c:pt idx="2">
                  <c:v>maybe</c:v>
                </c:pt>
              </c:strCache>
              <c:extLst/>
            </c:strRef>
          </c:cat>
          <c:val>
            <c:numRef>
              <c:f>Sheet1!$D$3:$D$5</c:f>
              <c:numCache>
                <c:formatCode>General</c:formatCode>
                <c:ptCount val="3"/>
                <c:pt idx="0">
                  <c:v>49.3</c:v>
                </c:pt>
                <c:pt idx="1">
                  <c:v>26.7</c:v>
                </c:pt>
                <c:pt idx="2">
                  <c:v>24</c:v>
                </c:pt>
              </c:numCache>
              <c:extLst/>
            </c:numRef>
          </c:val>
          <c:extLst>
            <c:ext xmlns:c16="http://schemas.microsoft.com/office/drawing/2014/chart" uri="{C3380CC4-5D6E-409C-BE32-E72D297353CC}">
              <c16:uniqueId val="{00000006-D344-4BEF-94C8-5CE63C93FF12}"/>
            </c:ext>
          </c:extLst>
        </c:ser>
        <c:dLbls>
          <c:dLblPos val="bestFit"/>
          <c:showLegendKey val="0"/>
          <c:showVal val="1"/>
          <c:showCatName val="0"/>
          <c:showSerName val="0"/>
          <c:showPercent val="0"/>
          <c:showBubbleSize val="0"/>
          <c:showLeaderLines val="0"/>
        </c:dLbls>
        <c:firstSliceAng val="0"/>
        <c:extLst>
          <c:ext xmlns:c15="http://schemas.microsoft.com/office/drawing/2012/chart" uri="{02D57815-91ED-43cb-92C2-25804820EDAC}">
            <c15:filteredPieSeries>
              <c15:ser>
                <c:idx val="0"/>
                <c:order val="0"/>
                <c:tx>
                  <c:strRef>
                    <c:extLst>
                      <c:ext uri="{02D57815-91ED-43cb-92C2-25804820EDAC}">
                        <c15:formulaRef>
                          <c15:sqref>Sheet1!$C$2</c15:sqref>
                        </c15:formulaRef>
                      </c:ext>
                    </c:extLst>
                    <c:strCache>
                      <c:ptCount val="1"/>
                      <c:pt idx="0">
                        <c:v>Frequency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D344-4BEF-94C8-5CE63C93FF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D344-4BEF-94C8-5CE63C93FF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D344-4BEF-94C8-5CE63C93FF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Sheet1!$B$3:$B$5</c15:sqref>
                        </c15:formulaRef>
                      </c:ext>
                    </c:extLst>
                    <c:strCache>
                      <c:ptCount val="3"/>
                      <c:pt idx="0">
                        <c:v>yes</c:v>
                      </c:pt>
                      <c:pt idx="1">
                        <c:v>no</c:v>
                      </c:pt>
                      <c:pt idx="2">
                        <c:v>maybe</c:v>
                      </c:pt>
                    </c:strCache>
                  </c:strRef>
                </c:cat>
                <c:val>
                  <c:numRef>
                    <c:extLst>
                      <c:ext uri="{02D57815-91ED-43cb-92C2-25804820EDAC}">
                        <c15:formulaRef>
                          <c15:sqref>Sheet1!$C$3:$C$5</c15:sqref>
                        </c15:formulaRef>
                      </c:ext>
                    </c:extLst>
                    <c:numCache>
                      <c:formatCode>General</c:formatCode>
                      <c:ptCount val="3"/>
                      <c:pt idx="0">
                        <c:v>74</c:v>
                      </c:pt>
                      <c:pt idx="1">
                        <c:v>40</c:v>
                      </c:pt>
                      <c:pt idx="2">
                        <c:v>36</c:v>
                      </c:pt>
                    </c:numCache>
                  </c:numRef>
                </c:val>
                <c:extLst>
                  <c:ext xmlns:c16="http://schemas.microsoft.com/office/drawing/2014/chart" uri="{C3380CC4-5D6E-409C-BE32-E72D297353CC}">
                    <c16:uniqueId val="{0000000D-D344-4BEF-94C8-5CE63C93FF12}"/>
                  </c:ext>
                </c:extLst>
              </c15:ser>
            </c15:filteredPieSeries>
          </c:ext>
        </c:extLst>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97</TotalTime>
  <Pages>9</Pages>
  <Words>2813</Words>
  <Characters>16036</Characters>
  <Application>Microsoft Office Word</Application>
  <DocSecurity>0</DocSecurity>
  <Lines>133</Lines>
  <Paragraphs>37</Paragraphs>
  <ScaleCrop>false</ScaleCrop>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thomas</dc:creator>
  <cp:keywords/>
  <dc:description/>
  <cp:lastModifiedBy>jacob thomas</cp:lastModifiedBy>
  <cp:revision>109</cp:revision>
  <dcterms:created xsi:type="dcterms:W3CDTF">2025-03-10T07:26:00Z</dcterms:created>
  <dcterms:modified xsi:type="dcterms:W3CDTF">2025-03-11T06:50:00Z</dcterms:modified>
</cp:coreProperties>
</file>