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44.3071174621582" w:lineRule="auto"/>
        <w:ind w:left="1395.1080322265625" w:right="328.800048828125" w:firstLine="0"/>
        <w:jc w:val="center"/>
        <w:rPr>
          <w:rFonts w:ascii="Times New Roman" w:cs="Times New Roman" w:eastAsia="Times New Roman" w:hAnsi="Times New Roman"/>
          <w:b w:val="1"/>
          <w:sz w:val="28.079999923706055"/>
          <w:szCs w:val="28.079999923706055"/>
        </w:rPr>
      </w:pPr>
      <w:r w:rsidDel="00000000" w:rsidR="00000000" w:rsidRPr="00000000">
        <w:rPr>
          <w:rFonts w:ascii="Times New Roman" w:cs="Times New Roman" w:eastAsia="Times New Roman" w:hAnsi="Times New Roman"/>
          <w:b w:val="1"/>
          <w:sz w:val="28.079999923706055"/>
          <w:szCs w:val="28.079999923706055"/>
          <w:rtl w:val="0"/>
        </w:rPr>
        <w:t xml:space="preserve">A STUDY ON THE KNOWLEDGE GAP IN TAX FILING   AMONG MSME WITH SPECIAL REFERENCE TO ERNAKULAM DISTRICT </w:t>
      </w:r>
    </w:p>
    <w:p w:rsidR="00000000" w:rsidDel="00000000" w:rsidP="00000000" w:rsidRDefault="00000000" w:rsidRPr="00000000" w14:paraId="00000002">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Safrin R. II MBA, Kumaraguru School of Business, Coimbatore, Tamilnadu, India,</w:t>
      </w:r>
    </w:p>
    <w:p w:rsidR="00000000" w:rsidDel="00000000" w:rsidP="00000000" w:rsidRDefault="00000000" w:rsidRPr="00000000" w14:paraId="00000003">
      <w:pPr>
        <w:jc w:val="center"/>
        <w:rPr>
          <w:rFonts w:ascii="Times New Roman" w:cs="Times New Roman" w:eastAsia="Times New Roman" w:hAnsi="Times New Roman"/>
          <w:i w:val="1"/>
          <w:sz w:val="24"/>
          <w:szCs w:val="24"/>
        </w:rPr>
      </w:pPr>
      <w:hyperlink r:id="rId6">
        <w:r w:rsidDel="00000000" w:rsidR="00000000" w:rsidRPr="00000000">
          <w:rPr>
            <w:rFonts w:ascii="Times New Roman" w:cs="Times New Roman" w:eastAsia="Times New Roman" w:hAnsi="Times New Roman"/>
            <w:i w:val="1"/>
            <w:color w:val="1155cc"/>
            <w:sz w:val="24"/>
            <w:szCs w:val="24"/>
            <w:u w:val="single"/>
            <w:rtl w:val="0"/>
          </w:rPr>
          <w:t xml:space="preserve">safrin.23mba@ksbedu.in</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Dr. P. Shanmugha Priya, Associate Professor, Kumaraguru School of Business, Coimbatore, Tamilnadu, India,</w:t>
      </w:r>
    </w:p>
    <w:p w:rsidR="00000000" w:rsidDel="00000000" w:rsidP="00000000" w:rsidRDefault="00000000" w:rsidRPr="00000000" w14:paraId="00000005">
      <w:pPr>
        <w:jc w:val="center"/>
        <w:rPr>
          <w:rFonts w:ascii="Times New Roman" w:cs="Times New Roman" w:eastAsia="Times New Roman" w:hAnsi="Times New Roman"/>
          <w:i w:val="1"/>
          <w:sz w:val="24"/>
          <w:szCs w:val="24"/>
        </w:rPr>
      </w:pPr>
      <w:hyperlink r:id="rId7">
        <w:r w:rsidDel="00000000" w:rsidR="00000000" w:rsidRPr="00000000">
          <w:rPr>
            <w:rFonts w:ascii="Times New Roman" w:cs="Times New Roman" w:eastAsia="Times New Roman" w:hAnsi="Times New Roman"/>
            <w:i w:val="1"/>
            <w:color w:val="1155cc"/>
            <w:sz w:val="24"/>
            <w:szCs w:val="24"/>
            <w:u w:val="single"/>
            <w:rtl w:val="0"/>
          </w:rPr>
          <w:t xml:space="preserve">shanmughapriya.p@ksbedu.in</w:t>
        </w:r>
      </w:hyperlink>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color w:val="191919"/>
          <w:sz w:val="24"/>
          <w:szCs w:val="24"/>
          <w:highlight w:val="white"/>
        </w:rPr>
      </w:pPr>
      <w:r w:rsidDel="00000000" w:rsidR="00000000" w:rsidRPr="00000000">
        <w:rPr>
          <w:rFonts w:ascii="Times New Roman" w:cs="Times New Roman" w:eastAsia="Times New Roman" w:hAnsi="Times New Roman"/>
          <w:color w:val="191919"/>
          <w:sz w:val="24"/>
          <w:szCs w:val="24"/>
          <w:highlight w:val="white"/>
          <w:rtl w:val="0"/>
        </w:rPr>
        <w:t xml:space="preserve">This </w:t>
      </w:r>
      <w:r w:rsidDel="00000000" w:rsidR="00000000" w:rsidRPr="00000000">
        <w:rPr>
          <w:rFonts w:ascii="Times New Roman" w:cs="Times New Roman" w:eastAsia="Times New Roman" w:hAnsi="Times New Roman"/>
          <w:sz w:val="24"/>
          <w:szCs w:val="24"/>
          <w:highlight w:val="white"/>
          <w:rtl w:val="0"/>
        </w:rPr>
        <w:t xml:space="preserve">research</w:t>
      </w:r>
      <w:r w:rsidDel="00000000" w:rsidR="00000000" w:rsidRPr="00000000">
        <w:rPr>
          <w:rFonts w:ascii="Times New Roman" w:cs="Times New Roman" w:eastAsia="Times New Roman" w:hAnsi="Times New Roman"/>
          <w:color w:val="191919"/>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investigates</w:t>
      </w:r>
      <w:r w:rsidDel="00000000" w:rsidR="00000000" w:rsidRPr="00000000">
        <w:rPr>
          <w:rFonts w:ascii="Times New Roman" w:cs="Times New Roman" w:eastAsia="Times New Roman" w:hAnsi="Times New Roman"/>
          <w:color w:val="191919"/>
          <w:sz w:val="24"/>
          <w:szCs w:val="24"/>
          <w:highlight w:val="white"/>
          <w:rtl w:val="0"/>
        </w:rPr>
        <w:t xml:space="preserve"> the </w:t>
      </w:r>
      <w:r w:rsidDel="00000000" w:rsidR="00000000" w:rsidRPr="00000000">
        <w:rPr>
          <w:rFonts w:ascii="Times New Roman" w:cs="Times New Roman" w:eastAsia="Times New Roman" w:hAnsi="Times New Roman"/>
          <w:sz w:val="24"/>
          <w:szCs w:val="24"/>
          <w:highlight w:val="white"/>
          <w:rtl w:val="0"/>
        </w:rPr>
        <w:t xml:space="preserve">knowledge gaps in tax filing among Micro, Small, and Medium Enterprises (MSMEs). The sample is 111 MSMEs in total from different</w:t>
      </w:r>
      <w:r w:rsidDel="00000000" w:rsidR="00000000" w:rsidRPr="00000000">
        <w:rPr>
          <w:rFonts w:ascii="Times New Roman" w:cs="Times New Roman" w:eastAsia="Times New Roman" w:hAnsi="Times New Roman"/>
          <w:color w:val="191919"/>
          <w:sz w:val="24"/>
          <w:szCs w:val="24"/>
          <w:highlight w:val="white"/>
          <w:rtl w:val="0"/>
        </w:rPr>
        <w:t xml:space="preserve"> sectors </w:t>
      </w:r>
      <w:r w:rsidDel="00000000" w:rsidR="00000000" w:rsidRPr="00000000">
        <w:rPr>
          <w:rFonts w:ascii="Times New Roman" w:cs="Times New Roman" w:eastAsia="Times New Roman" w:hAnsi="Times New Roman"/>
          <w:sz w:val="24"/>
          <w:szCs w:val="24"/>
          <w:highlight w:val="white"/>
          <w:rtl w:val="0"/>
        </w:rPr>
        <w:t xml:space="preserve">in the Ernakulam district. Simple random sampling is employed</w:t>
      </w:r>
      <w:r w:rsidDel="00000000" w:rsidR="00000000" w:rsidRPr="00000000">
        <w:rPr>
          <w:rFonts w:ascii="Times New Roman" w:cs="Times New Roman" w:eastAsia="Times New Roman" w:hAnsi="Times New Roman"/>
          <w:color w:val="191919"/>
          <w:sz w:val="24"/>
          <w:szCs w:val="24"/>
          <w:highlight w:val="white"/>
          <w:rtl w:val="0"/>
        </w:rPr>
        <w:t xml:space="preserve"> to </w:t>
      </w:r>
      <w:r w:rsidDel="00000000" w:rsidR="00000000" w:rsidRPr="00000000">
        <w:rPr>
          <w:rFonts w:ascii="Times New Roman" w:cs="Times New Roman" w:eastAsia="Times New Roman" w:hAnsi="Times New Roman"/>
          <w:sz w:val="24"/>
          <w:szCs w:val="24"/>
          <w:highlight w:val="white"/>
          <w:rtl w:val="0"/>
        </w:rPr>
        <w:t xml:space="preserve">investigate the understanding of tax filing among MSMEs. This research seeks</w:t>
      </w:r>
      <w:r w:rsidDel="00000000" w:rsidR="00000000" w:rsidRPr="00000000">
        <w:rPr>
          <w:rFonts w:ascii="Times New Roman" w:cs="Times New Roman" w:eastAsia="Times New Roman" w:hAnsi="Times New Roman"/>
          <w:color w:val="191919"/>
          <w:sz w:val="24"/>
          <w:szCs w:val="24"/>
          <w:highlight w:val="white"/>
          <w:rtl w:val="0"/>
        </w:rPr>
        <w:t xml:space="preserve"> to </w:t>
      </w:r>
      <w:r w:rsidDel="00000000" w:rsidR="00000000" w:rsidRPr="00000000">
        <w:rPr>
          <w:rFonts w:ascii="Times New Roman" w:cs="Times New Roman" w:eastAsia="Times New Roman" w:hAnsi="Times New Roman"/>
          <w:sz w:val="24"/>
          <w:szCs w:val="24"/>
          <w:highlight w:val="white"/>
          <w:rtl w:val="0"/>
        </w:rPr>
        <w:t xml:space="preserve">comprehend the knowledge of MSME owners in filing taxation, Understanding the legal knowledge, procedural knowledge and general knowledge towards government fiscal policies</w:t>
      </w:r>
      <w:r w:rsidDel="00000000" w:rsidR="00000000" w:rsidRPr="00000000">
        <w:rPr>
          <w:rFonts w:ascii="Times New Roman" w:cs="Times New Roman" w:eastAsia="Times New Roman" w:hAnsi="Times New Roman"/>
          <w:color w:val="191919"/>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percentage analysis and One way ANOVA is employed to analyze the data. </w:t>
      </w:r>
      <w:r w:rsidDel="00000000" w:rsidR="00000000" w:rsidRPr="00000000">
        <w:rPr>
          <w:rFonts w:ascii="Times New Roman" w:cs="Times New Roman" w:eastAsia="Times New Roman" w:hAnsi="Times New Roman"/>
          <w:color w:val="191919"/>
          <w:sz w:val="24"/>
          <w:szCs w:val="24"/>
          <w:highlight w:val="white"/>
          <w:rtl w:val="0"/>
        </w:rPr>
        <w:t xml:space="preserve">Questionnaire method is </w:t>
      </w:r>
      <w:r w:rsidDel="00000000" w:rsidR="00000000" w:rsidRPr="00000000">
        <w:rPr>
          <w:rFonts w:ascii="Times New Roman" w:cs="Times New Roman" w:eastAsia="Times New Roman" w:hAnsi="Times New Roman"/>
          <w:sz w:val="24"/>
          <w:szCs w:val="24"/>
          <w:highlight w:val="white"/>
          <w:rtl w:val="0"/>
        </w:rPr>
        <w:t xml:space="preserve">employed</w:t>
      </w:r>
      <w:r w:rsidDel="00000000" w:rsidR="00000000" w:rsidRPr="00000000">
        <w:rPr>
          <w:rFonts w:ascii="Times New Roman" w:cs="Times New Roman" w:eastAsia="Times New Roman" w:hAnsi="Times New Roman"/>
          <w:color w:val="191919"/>
          <w:sz w:val="24"/>
          <w:szCs w:val="24"/>
          <w:highlight w:val="white"/>
          <w:rtl w:val="0"/>
        </w:rPr>
        <w:t xml:space="preserve"> to </w:t>
      </w:r>
      <w:r w:rsidDel="00000000" w:rsidR="00000000" w:rsidRPr="00000000">
        <w:rPr>
          <w:rFonts w:ascii="Times New Roman" w:cs="Times New Roman" w:eastAsia="Times New Roman" w:hAnsi="Times New Roman"/>
          <w:sz w:val="24"/>
          <w:szCs w:val="24"/>
          <w:highlight w:val="white"/>
          <w:rtl w:val="0"/>
        </w:rPr>
        <w:t xml:space="preserve">gather data from samples. The study brings</w:t>
      </w:r>
      <w:r w:rsidDel="00000000" w:rsidR="00000000" w:rsidRPr="00000000">
        <w:rPr>
          <w:rFonts w:ascii="Times New Roman" w:cs="Times New Roman" w:eastAsia="Times New Roman" w:hAnsi="Times New Roman"/>
          <w:color w:val="191919"/>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out </w:t>
      </w:r>
      <w:r w:rsidDel="00000000" w:rsidR="00000000" w:rsidRPr="00000000">
        <w:rPr>
          <w:rFonts w:ascii="Times New Roman" w:cs="Times New Roman" w:eastAsia="Times New Roman" w:hAnsi="Times New Roman"/>
          <w:color w:val="191919"/>
          <w:sz w:val="24"/>
          <w:szCs w:val="24"/>
          <w:highlight w:val="white"/>
          <w:rtl w:val="0"/>
        </w:rPr>
        <w:t xml:space="preserve">the need for </w:t>
      </w:r>
      <w:r w:rsidDel="00000000" w:rsidR="00000000" w:rsidRPr="00000000">
        <w:rPr>
          <w:rFonts w:ascii="Times New Roman" w:cs="Times New Roman" w:eastAsia="Times New Roman" w:hAnsi="Times New Roman"/>
          <w:sz w:val="24"/>
          <w:szCs w:val="24"/>
          <w:highlight w:val="white"/>
          <w:rtl w:val="0"/>
        </w:rPr>
        <w:t xml:space="preserve">focused </w:t>
      </w:r>
      <w:r w:rsidDel="00000000" w:rsidR="00000000" w:rsidRPr="00000000">
        <w:rPr>
          <w:rFonts w:ascii="Times New Roman" w:cs="Times New Roman" w:eastAsia="Times New Roman" w:hAnsi="Times New Roman"/>
          <w:color w:val="191919"/>
          <w:sz w:val="24"/>
          <w:szCs w:val="24"/>
          <w:highlight w:val="white"/>
          <w:rtl w:val="0"/>
        </w:rPr>
        <w:t xml:space="preserve">educational programs and </w:t>
      </w:r>
      <w:r w:rsidDel="00000000" w:rsidR="00000000" w:rsidRPr="00000000">
        <w:rPr>
          <w:rFonts w:ascii="Times New Roman" w:cs="Times New Roman" w:eastAsia="Times New Roman" w:hAnsi="Times New Roman"/>
          <w:sz w:val="24"/>
          <w:szCs w:val="24"/>
          <w:highlight w:val="white"/>
          <w:rtl w:val="0"/>
        </w:rPr>
        <w:t xml:space="preserve">affordable</w:t>
      </w:r>
      <w:r w:rsidDel="00000000" w:rsidR="00000000" w:rsidRPr="00000000">
        <w:rPr>
          <w:rFonts w:ascii="Times New Roman" w:cs="Times New Roman" w:eastAsia="Times New Roman" w:hAnsi="Times New Roman"/>
          <w:color w:val="191919"/>
          <w:sz w:val="24"/>
          <w:szCs w:val="24"/>
          <w:highlight w:val="white"/>
          <w:rtl w:val="0"/>
        </w:rPr>
        <w:t xml:space="preserve"> advisory services to </w:t>
      </w:r>
      <w:r w:rsidDel="00000000" w:rsidR="00000000" w:rsidRPr="00000000">
        <w:rPr>
          <w:rFonts w:ascii="Times New Roman" w:cs="Times New Roman" w:eastAsia="Times New Roman" w:hAnsi="Times New Roman"/>
          <w:sz w:val="24"/>
          <w:szCs w:val="24"/>
          <w:highlight w:val="white"/>
          <w:rtl w:val="0"/>
        </w:rPr>
        <w:t xml:space="preserve">close the knowledge gap and improve tax compliance among MSMEs. By enhancing</w:t>
      </w:r>
      <w:r w:rsidDel="00000000" w:rsidR="00000000" w:rsidRPr="00000000">
        <w:rPr>
          <w:rFonts w:ascii="Times New Roman" w:cs="Times New Roman" w:eastAsia="Times New Roman" w:hAnsi="Times New Roman"/>
          <w:color w:val="191919"/>
          <w:sz w:val="24"/>
          <w:szCs w:val="24"/>
          <w:highlight w:val="white"/>
          <w:rtl w:val="0"/>
        </w:rPr>
        <w:t xml:space="preserve"> understanding and </w:t>
      </w:r>
      <w:r w:rsidDel="00000000" w:rsidR="00000000" w:rsidRPr="00000000">
        <w:rPr>
          <w:rFonts w:ascii="Times New Roman" w:cs="Times New Roman" w:eastAsia="Times New Roman" w:hAnsi="Times New Roman"/>
          <w:sz w:val="24"/>
          <w:szCs w:val="24"/>
          <w:highlight w:val="white"/>
          <w:rtl w:val="0"/>
        </w:rPr>
        <w:t xml:space="preserve">capacity in tax filing, MSMEs can better meet</w:t>
      </w:r>
      <w:r w:rsidDel="00000000" w:rsidR="00000000" w:rsidRPr="00000000">
        <w:rPr>
          <w:rFonts w:ascii="Times New Roman" w:cs="Times New Roman" w:eastAsia="Times New Roman" w:hAnsi="Times New Roman"/>
          <w:color w:val="191919"/>
          <w:sz w:val="24"/>
          <w:szCs w:val="24"/>
          <w:highlight w:val="white"/>
          <w:rtl w:val="0"/>
        </w:rPr>
        <w:t xml:space="preserve"> their tax obligations, </w:t>
      </w:r>
      <w:r w:rsidDel="00000000" w:rsidR="00000000" w:rsidRPr="00000000">
        <w:rPr>
          <w:rFonts w:ascii="Times New Roman" w:cs="Times New Roman" w:eastAsia="Times New Roman" w:hAnsi="Times New Roman"/>
          <w:sz w:val="24"/>
          <w:szCs w:val="24"/>
          <w:highlight w:val="white"/>
          <w:rtl w:val="0"/>
        </w:rPr>
        <w:t xml:space="preserve">hence</w:t>
      </w:r>
      <w:r w:rsidDel="00000000" w:rsidR="00000000" w:rsidRPr="00000000">
        <w:rPr>
          <w:rFonts w:ascii="Times New Roman" w:cs="Times New Roman" w:eastAsia="Times New Roman" w:hAnsi="Times New Roman"/>
          <w:color w:val="191919"/>
          <w:sz w:val="24"/>
          <w:szCs w:val="24"/>
          <w:highlight w:val="white"/>
          <w:rtl w:val="0"/>
        </w:rPr>
        <w:t xml:space="preserve"> contributing to a </w:t>
      </w:r>
      <w:r w:rsidDel="00000000" w:rsidR="00000000" w:rsidRPr="00000000">
        <w:rPr>
          <w:rFonts w:ascii="Times New Roman" w:cs="Times New Roman" w:eastAsia="Times New Roman" w:hAnsi="Times New Roman"/>
          <w:sz w:val="24"/>
          <w:szCs w:val="24"/>
          <w:highlight w:val="white"/>
          <w:rtl w:val="0"/>
        </w:rPr>
        <w:t xml:space="preserve">stronger </w:t>
      </w:r>
      <w:r w:rsidDel="00000000" w:rsidR="00000000" w:rsidRPr="00000000">
        <w:rPr>
          <w:rFonts w:ascii="Times New Roman" w:cs="Times New Roman" w:eastAsia="Times New Roman" w:hAnsi="Times New Roman"/>
          <w:color w:val="191919"/>
          <w:sz w:val="24"/>
          <w:szCs w:val="24"/>
          <w:highlight w:val="white"/>
          <w:rtl w:val="0"/>
        </w:rPr>
        <w:t xml:space="preserve">and compliant economic environment</w:t>
      </w:r>
    </w:p>
    <w:p w:rsidR="00000000" w:rsidDel="00000000" w:rsidP="00000000" w:rsidRDefault="00000000" w:rsidRPr="00000000" w14:paraId="0000000A">
      <w:pPr>
        <w:spacing w:line="360" w:lineRule="auto"/>
        <w:jc w:val="both"/>
        <w:rPr>
          <w:rFonts w:ascii="Times New Roman" w:cs="Times New Roman" w:eastAsia="Times New Roman" w:hAnsi="Times New Roman"/>
          <w:color w:val="191919"/>
          <w:sz w:val="24"/>
          <w:szCs w:val="24"/>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ind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Tax Compliance, Tax Knowledge and Tax Advisory Services</w:t>
      </w:r>
    </w:p>
    <w:p w:rsidR="00000000" w:rsidDel="00000000" w:rsidP="00000000" w:rsidRDefault="00000000" w:rsidRPr="00000000" w14:paraId="0000000E">
      <w:pPr>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F">
      <w:pPr>
        <w:ind w:firstLine="72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INTRODUCTION:</w:t>
      </w:r>
    </w:p>
    <w:p w:rsidR="00000000" w:rsidDel="00000000" w:rsidP="00000000" w:rsidRDefault="00000000" w:rsidRPr="00000000" w14:paraId="0000001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MSMEs are now accredited by the international community as critical players in the economic development, employment and creativity. Most often, they contribute to the gross domestic product of many developing and some developed countries and are regarded as sources of economic growth. More information on the share of MSMEs can be sourced from the World Bank and was estimated to be about 90% of business and over 50% of employment all over the world. In many countries they have social importance in poverty reduction and in decentralizing the economic activity, generating employment opportunities as well as encouraging Entrepreneurship at the basic level.</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REVIEW OF LITERATURE:</w:t>
      </w:r>
    </w:p>
    <w:p w:rsidR="00000000" w:rsidDel="00000000" w:rsidP="00000000" w:rsidRDefault="00000000" w:rsidRPr="00000000" w14:paraId="00000015">
      <w:pPr>
        <w:widowControl w:val="0"/>
        <w:spacing w:before="376.680908203125" w:line="335.3158950805664" w:lineRule="auto"/>
        <w:ind w:left="0" w:right="205.06103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A study titled “Implications of goods and services tax on Indian micro small and medium enterprises”Chennathur, Guna (2024) </w:t>
      </w:r>
      <w:r w:rsidDel="00000000" w:rsidR="00000000" w:rsidRPr="00000000">
        <w:rPr>
          <w:rFonts w:ascii="Times New Roman" w:cs="Times New Roman" w:eastAsia="Times New Roman" w:hAnsi="Times New Roman"/>
          <w:sz w:val="24"/>
          <w:szCs w:val="24"/>
          <w:rtl w:val="0"/>
        </w:rPr>
        <w:t xml:space="preserve">This research explores the impact and provides implications of Goods and newline Services Tax, a comprehensive indirect tax reform  on the growth of Indian newline MSMEs, the fundamental drivers of economic  progress and employment in India. Newline. The purpose is to assess the relationships  and impact of the knowledge of GST, newline Input tax credit (ITC), Revenue neutral rate (RNR), and GST compliance on the newline growth of Indian MSMEs.</w:t>
      </w:r>
    </w:p>
    <w:p w:rsidR="00000000" w:rsidDel="00000000" w:rsidP="00000000" w:rsidRDefault="00000000" w:rsidRPr="00000000" w14:paraId="00000016">
      <w:pPr>
        <w:widowControl w:val="0"/>
        <w:spacing w:before="376.680908203125" w:line="335.3158950805664" w:lineRule="auto"/>
        <w:ind w:left="0" w:right="205.061035156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“A Study on Goods and Services Tax Post Compliance Issues with Special Reference  to the MSMEs in the State of Karnataka” Raj N, Jesmon (2024) </w:t>
      </w:r>
      <w:r w:rsidDel="00000000" w:rsidR="00000000" w:rsidRPr="00000000">
        <w:rPr>
          <w:rFonts w:ascii="Times New Roman" w:cs="Times New Roman" w:eastAsia="Times New Roman" w:hAnsi="Times New Roman"/>
          <w:sz w:val="24"/>
          <w:szCs w:val="24"/>
          <w:rtl w:val="0"/>
        </w:rPr>
        <w:t xml:space="preserve">Researcher have  explored the Ease of compliance is always desirable to foster the growth of small  businesses in India. Goods and Services Tax (GST) was introduced in India on 1st July 2018 to curb the limitations of earlier indirect tax laws. It has addressed many of the  compliance issues faced by MSMEs in India such as the organization's employee cost increase after the implementation of GST, the increase in software cost, the increase in  the working capital cost after the implementation of GST, Process is difficult, Cost of  compliance is very high etc.</w:t>
      </w:r>
    </w:p>
    <w:p w:rsidR="00000000" w:rsidDel="00000000" w:rsidP="00000000" w:rsidRDefault="00000000" w:rsidRPr="00000000" w14:paraId="00000017">
      <w:pPr>
        <w:widowControl w:val="0"/>
        <w:spacing w:line="340.11385917663574" w:lineRule="auto"/>
        <w:ind w:left="0" w:right="202.66113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line="340.11385917663574" w:lineRule="auto"/>
        <w:ind w:left="0" w:right="202.661132812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“A Study on impact of indirect tax system on micro small and medium enterprises with the special reference to Palghar taluka of Maharashtra”-Khatri Sunil Badrinath  (2023)</w:t>
      </w:r>
    </w:p>
    <w:p w:rsidR="00000000" w:rsidDel="00000000" w:rsidP="00000000" w:rsidRDefault="00000000" w:rsidRPr="00000000" w14:paraId="00000019">
      <w:pPr>
        <w:widowControl w:val="0"/>
        <w:spacing w:line="340.11385917663574" w:lineRule="auto"/>
        <w:ind w:left="0" w:right="202.6611328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tries to investigate the impact of awareness and knowledge, operational, complexity, and technical challenges faced by MSMEs in Palghar as it is the Taluka with a large population and a business place for many investors, traders, and small businessmen. Therefore, it becomes important to find the level of awareness, knowledge, and challenges faced among these people for GST compliance as it's been more than three years since GST was implemented in India. </w:t>
      </w:r>
    </w:p>
    <w:p w:rsidR="00000000" w:rsidDel="00000000" w:rsidP="00000000" w:rsidRDefault="00000000" w:rsidRPr="00000000" w14:paraId="0000001A">
      <w:pPr>
        <w:widowControl w:val="0"/>
        <w:spacing w:line="340.11385917663574" w:lineRule="auto"/>
        <w:ind w:left="0" w:right="202.66113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spacing w:line="340.11385917663574" w:lineRule="auto"/>
        <w:ind w:left="0" w:right="202.661132812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OBJECTIVE:</w:t>
      </w:r>
    </w:p>
    <w:p w:rsidR="00000000" w:rsidDel="00000000" w:rsidP="00000000" w:rsidRDefault="00000000" w:rsidRPr="00000000" w14:paraId="0000001C">
      <w:pPr>
        <w:widowControl w:val="0"/>
        <w:spacing w:line="340.11385917663574" w:lineRule="auto"/>
        <w:ind w:left="0" w:right="202.661132812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widowControl w:val="0"/>
        <w:spacing w:line="340.11385917663574" w:lineRule="auto"/>
        <w:ind w:left="0" w:right="202.661132812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Primary Objective:</w:t>
      </w:r>
    </w:p>
    <w:p w:rsidR="00000000" w:rsidDel="00000000" w:rsidP="00000000" w:rsidRDefault="00000000" w:rsidRPr="00000000" w14:paraId="0000001E">
      <w:pPr>
        <w:widowControl w:val="0"/>
        <w:spacing w:line="340.11385917663574" w:lineRule="auto"/>
        <w:ind w:right="202.66113281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numPr>
          <w:ilvl w:val="0"/>
          <w:numId w:val="2"/>
        </w:numPr>
        <w:spacing w:line="340.11385917663574" w:lineRule="auto"/>
        <w:ind w:left="720" w:right="202.66113281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aims to explore the knowledge gap in tax filing among MSMEs, examining the underlying causes and the impact of this gap on tax compliance.</w:t>
      </w:r>
    </w:p>
    <w:p w:rsidR="00000000" w:rsidDel="00000000" w:rsidP="00000000" w:rsidRDefault="00000000" w:rsidRPr="00000000" w14:paraId="00000020">
      <w:pPr>
        <w:widowControl w:val="0"/>
        <w:spacing w:line="340.11385917663574" w:lineRule="auto"/>
        <w:ind w:left="720" w:right="202.66113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340.11385917663574" w:lineRule="auto"/>
        <w:ind w:right="202.66113281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Secondary Objective:</w:t>
      </w:r>
    </w:p>
    <w:p w:rsidR="00000000" w:rsidDel="00000000" w:rsidP="00000000" w:rsidRDefault="00000000" w:rsidRPr="00000000" w14:paraId="00000022">
      <w:pPr>
        <w:widowControl w:val="0"/>
        <w:spacing w:line="340.11385917663574" w:lineRule="auto"/>
        <w:ind w:right="202.661132812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widowControl w:val="0"/>
        <w:numPr>
          <w:ilvl w:val="0"/>
          <w:numId w:val="3"/>
        </w:numPr>
        <w:spacing w:line="340.11385917663574" w:lineRule="auto"/>
        <w:ind w:left="720" w:right="202.66113281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actionable insights for policymakers, tax authorities, and MSMEs themselves.</w:t>
      </w:r>
    </w:p>
    <w:p w:rsidR="00000000" w:rsidDel="00000000" w:rsidP="00000000" w:rsidRDefault="00000000" w:rsidRPr="00000000" w14:paraId="00000024">
      <w:pPr>
        <w:widowControl w:val="0"/>
        <w:numPr>
          <w:ilvl w:val="0"/>
          <w:numId w:val="3"/>
        </w:numPr>
        <w:spacing w:line="340.11385917663574" w:lineRule="auto"/>
        <w:ind w:left="720" w:right="202.66113281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Closing the knowledge gap in tax filing is not only essential for enhancing compliance but also for supporting the growth and sustainability of MSMEs.</w:t>
      </w:r>
    </w:p>
    <w:p w:rsidR="00000000" w:rsidDel="00000000" w:rsidP="00000000" w:rsidRDefault="00000000" w:rsidRPr="00000000" w14:paraId="00000025">
      <w:pPr>
        <w:widowControl w:val="0"/>
        <w:numPr>
          <w:ilvl w:val="0"/>
          <w:numId w:val="3"/>
        </w:numPr>
        <w:spacing w:line="340.11385917663574" w:lineRule="auto"/>
        <w:ind w:left="720" w:right="202.66113281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understand the demographic factors of tax compliance.</w:t>
      </w:r>
    </w:p>
    <w:p w:rsidR="00000000" w:rsidDel="00000000" w:rsidP="00000000" w:rsidRDefault="00000000" w:rsidRPr="00000000" w14:paraId="00000026">
      <w:pPr>
        <w:widowControl w:val="0"/>
        <w:spacing w:line="340.11385917663574" w:lineRule="auto"/>
        <w:ind w:left="720" w:right="202.66113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line="340.11385917663574" w:lineRule="auto"/>
        <w:ind w:left="0" w:right="202.661132812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CONCEPTUAL MODEL:</w:t>
      </w:r>
    </w:p>
    <w:p w:rsidR="00000000" w:rsidDel="00000000" w:rsidP="00000000" w:rsidRDefault="00000000" w:rsidRPr="00000000" w14:paraId="00000028">
      <w:pPr>
        <w:widowControl w:val="0"/>
        <w:spacing w:line="340.11385917663574" w:lineRule="auto"/>
        <w:ind w:left="720" w:right="202.661132812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widowControl w:val="0"/>
        <w:spacing w:line="340.11385917663574" w:lineRule="auto"/>
        <w:ind w:left="720" w:right="202.661132812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4795838" cy="4170294"/>
                <wp:effectExtent b="0" l="0" r="0" t="0"/>
                <wp:docPr id="1" name=""/>
                <a:graphic>
                  <a:graphicData uri="http://schemas.microsoft.com/office/word/2010/wordprocessingGroup">
                    <wpg:wgp>
                      <wpg:cNvGrpSpPr/>
                      <wpg:grpSpPr>
                        <a:xfrm>
                          <a:off x="2948050" y="1696400"/>
                          <a:ext cx="4795838" cy="4170294"/>
                          <a:chOff x="2948050" y="1696400"/>
                          <a:chExt cx="4795875" cy="4168300"/>
                        </a:xfrm>
                      </wpg:grpSpPr>
                      <wpg:grpSp>
                        <wpg:cNvGrpSpPr/>
                        <wpg:grpSpPr>
                          <a:xfrm>
                            <a:off x="2948074" y="1696415"/>
                            <a:ext cx="4795845" cy="4167170"/>
                            <a:chOff x="1840691" y="784375"/>
                            <a:chExt cx="6262859" cy="5444050"/>
                          </a:xfrm>
                        </wpg:grpSpPr>
                        <wps:wsp>
                          <wps:cNvSpPr/>
                          <wps:cNvPr id="3" name="Shape 3"/>
                          <wps:spPr>
                            <a:xfrm>
                              <a:off x="1840700" y="784375"/>
                              <a:ext cx="6262850" cy="5444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80090" y="1338848"/>
                              <a:ext cx="5918759" cy="4884800"/>
                              <a:chOff x="275089" y="436071"/>
                              <a:chExt cx="5903999" cy="4871161"/>
                            </a:xfrm>
                          </wpg:grpSpPr>
                          <wps:wsp>
                            <wps:cNvSpPr/>
                            <wps:cNvPr id="5" name="Shape 5"/>
                            <wps:spPr>
                              <a:xfrm>
                                <a:off x="886638" y="1399359"/>
                                <a:ext cx="5292450" cy="294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75310" y="1402958"/>
                                <a:ext cx="1905000" cy="623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Demographic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Factors</w:t>
                                  </w:r>
                                </w:p>
                              </w:txbxContent>
                            </wps:txbx>
                            <wps:bodyPr anchorCtr="0" anchor="ctr" bIns="91425" lIns="91425" spcFirstLastPara="1" rIns="91425" wrap="square" tIns="91425">
                              <a:noAutofit/>
                            </wps:bodyPr>
                          </wps:wsp>
                          <wps:wsp>
                            <wps:cNvSpPr/>
                            <wps:cNvPr id="7" name="Shape 7"/>
                            <wps:spPr>
                              <a:xfrm>
                                <a:off x="275089" y="2497086"/>
                                <a:ext cx="1905000" cy="685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Procedural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Knowledge</w:t>
                                  </w:r>
                                </w:p>
                              </w:txbxContent>
                            </wps:txbx>
                            <wps:bodyPr anchorCtr="0" anchor="ctr" bIns="91425" lIns="91425" spcFirstLastPara="1" rIns="91425" wrap="square" tIns="91425">
                              <a:noAutofit/>
                            </wps:bodyPr>
                          </wps:wsp>
                          <wps:wsp>
                            <wps:cNvSpPr/>
                            <wps:cNvPr id="8" name="Shape 8"/>
                            <wps:spPr>
                              <a:xfrm>
                                <a:off x="275089" y="3652766"/>
                                <a:ext cx="1975500" cy="685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Compliance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challenges</w:t>
                                  </w:r>
                                </w:p>
                              </w:txbxContent>
                            </wps:txbx>
                            <wps:bodyPr anchorCtr="0" anchor="ctr" bIns="91425" lIns="91425" spcFirstLastPara="1" rIns="91425" wrap="square" tIns="91425">
                              <a:noAutofit/>
                            </wps:bodyPr>
                          </wps:wsp>
                          <wps:wsp>
                            <wps:cNvSpPr/>
                            <wps:cNvPr id="9" name="Shape 9"/>
                            <wps:spPr>
                              <a:xfrm>
                                <a:off x="275178" y="4622031"/>
                                <a:ext cx="1975500" cy="685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General knowledge</w:t>
                                  </w:r>
                                </w:p>
                              </w:txbxContent>
                            </wps:txbx>
                            <wps:bodyPr anchorCtr="0" anchor="ctr" bIns="91425" lIns="91425" spcFirstLastPara="1" rIns="91425" wrap="square" tIns="91425">
                              <a:noAutofit/>
                            </wps:bodyPr>
                          </wps:wsp>
                          <wps:wsp>
                            <wps:cNvSpPr/>
                            <wps:cNvPr id="10" name="Shape 10"/>
                            <wps:spPr>
                              <a:xfrm>
                                <a:off x="275179" y="436071"/>
                                <a:ext cx="1905000" cy="6852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Legal factors</w:t>
                                  </w:r>
                                </w:p>
                              </w:txbxContent>
                            </wps:txbx>
                            <wps:bodyPr anchorCtr="0" anchor="ctr" bIns="91425" lIns="91425" spcFirstLastPara="1" rIns="91425" wrap="square" tIns="91425">
                              <a:noAutofit/>
                            </wps:bodyPr>
                          </wps:wsp>
                          <wps:wsp>
                            <wps:cNvSpPr/>
                            <wps:cNvPr id="11" name="Shape 11"/>
                            <wps:spPr>
                              <a:xfrm>
                                <a:off x="3634700" y="2411891"/>
                                <a:ext cx="1905000" cy="919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Knowledge gap in tax filing</w:t>
                                  </w:r>
                                </w:p>
                              </w:txbxContent>
                            </wps:txbx>
                            <wps:bodyPr anchorCtr="0" anchor="ctr" bIns="91425" lIns="91425" spcFirstLastPara="1" rIns="91425" wrap="square" tIns="91425">
                              <a:noAutofit/>
                            </wps:bodyPr>
                          </wps:wsp>
                        </wpg:grpSp>
                        <wps:wsp>
                          <wps:cNvCnPr/>
                          <wps:spPr>
                            <a:xfrm>
                              <a:off x="3989950" y="1682392"/>
                              <a:ext cx="1723500" cy="16011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4060630" y="4242393"/>
                              <a:ext cx="2184000" cy="16377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4060616" y="3781293"/>
                              <a:ext cx="1387500" cy="11268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4016350" y="3715250"/>
                              <a:ext cx="142770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4001189" y="2489108"/>
                              <a:ext cx="1458000" cy="11601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17" name="Shape 17"/>
                          <wps:spPr>
                            <a:xfrm>
                              <a:off x="1840691" y="784406"/>
                              <a:ext cx="3452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INDEPENDENT VARIABLE</w:t>
                                </w:r>
                              </w:p>
                            </w:txbxContent>
                          </wps:txbx>
                          <wps:bodyPr anchorCtr="0" anchor="t" bIns="91425" lIns="91425" spcFirstLastPara="1" rIns="91425" wrap="square" tIns="91425">
                            <a:noAutofit/>
                          </wps:bodyPr>
                        </wps:wsp>
                        <wps:wsp>
                          <wps:cNvSpPr/>
                          <wps:cNvPr id="18" name="Shape 18"/>
                          <wps:spPr>
                            <a:xfrm>
                              <a:off x="5103550" y="784388"/>
                              <a:ext cx="30000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t xml:space="preserve">DEPENDENT VARIABLE</w:t>
                                </w:r>
                              </w:p>
                            </w:txbxContent>
                          </wps:txbx>
                          <wps:bodyPr anchorCtr="0" anchor="t" bIns="91425" lIns="91425" spcFirstLastPara="1" rIns="91425" wrap="square" tIns="91425">
                            <a:noAutofit/>
                          </wps:bodyPr>
                        </wps:wsp>
                      </wpg:grpSp>
                    </wpg:wgp>
                  </a:graphicData>
                </a:graphic>
              </wp:inline>
            </w:drawing>
          </mc:Choice>
          <mc:Fallback>
            <w:drawing>
              <wp:inline distB="114300" distT="114300" distL="114300" distR="114300">
                <wp:extent cx="4795838" cy="4170294"/>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4795838" cy="417029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widowControl w:val="0"/>
        <w:spacing w:line="340.11385917663574" w:lineRule="auto"/>
        <w:ind w:left="0" w:right="202.661132812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SCOPE OF THE STUDY:</w:t>
      </w:r>
    </w:p>
    <w:p w:rsidR="00000000" w:rsidDel="00000000" w:rsidP="00000000" w:rsidRDefault="00000000" w:rsidRPr="00000000" w14:paraId="0000002B">
      <w:pPr>
        <w:widowControl w:val="0"/>
        <w:spacing w:before="283.9202880859375" w:line="360" w:lineRule="auto"/>
        <w:ind w:left="0" w:right="261.0205078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increasing complexity of tax laws and regulations refers to the ongoing trend of governments and regulatory bodies implementing detailed and multifaceted tax frameworks that require businesses and individuals to navigate a myriad of rules, forms, and compliance requirements. As tax legislation evolves, it often incorporates various exemptions, deductions, and credits that complicate the filing process. This complexity can lead to confusion and potential errors in tax reporting, increasing the likelihood of audits, penalties, and fines. </w:t>
      </w:r>
    </w:p>
    <w:p w:rsidR="00000000" w:rsidDel="00000000" w:rsidP="00000000" w:rsidRDefault="00000000" w:rsidRPr="00000000" w14:paraId="0000002C">
      <w:pPr>
        <w:widowControl w:val="0"/>
        <w:spacing w:before="283.9202880859375" w:line="360" w:lineRule="auto"/>
        <w:ind w:left="0" w:right="261.020507812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DATA ANALYSIS:</w:t>
      </w:r>
    </w:p>
    <w:p w:rsidR="00000000" w:rsidDel="00000000" w:rsidP="00000000" w:rsidRDefault="00000000" w:rsidRPr="00000000" w14:paraId="0000002D">
      <w:pPr>
        <w:widowControl w:val="0"/>
        <w:spacing w:before="283.9202880859375" w:line="360" w:lineRule="auto"/>
        <w:ind w:left="0" w:right="261.02050781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table provide the dependent and independent variable analysis</w:t>
      </w:r>
    </w:p>
    <w:p w:rsidR="00000000" w:rsidDel="00000000" w:rsidP="00000000" w:rsidRDefault="00000000" w:rsidRPr="00000000" w14:paraId="0000002E">
      <w:pPr>
        <w:widowControl w:val="0"/>
        <w:spacing w:before="283.9202880859375" w:line="360" w:lineRule="auto"/>
        <w:ind w:left="0" w:right="261.020507812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No. 1</w:t>
      </w:r>
    </w:p>
    <w:p w:rsidR="00000000" w:rsidDel="00000000" w:rsidP="00000000" w:rsidRDefault="00000000" w:rsidRPr="00000000" w14:paraId="0000002F">
      <w:pPr>
        <w:widowControl w:val="0"/>
        <w:spacing w:line="240" w:lineRule="auto"/>
        <w:rPr>
          <w:rFonts w:ascii="Times New Roman" w:cs="Times New Roman" w:eastAsia="Times New Roman" w:hAnsi="Times New Roman"/>
        </w:rPr>
      </w:pPr>
      <w:r w:rsidDel="00000000" w:rsidR="00000000" w:rsidRPr="00000000">
        <w:rPr>
          <w:rtl w:val="0"/>
        </w:rPr>
      </w:r>
    </w:p>
    <w:tbl>
      <w:tblPr>
        <w:tblStyle w:val="Table1"/>
        <w:tblW w:w="90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5"/>
        <w:gridCol w:w="3450"/>
        <w:gridCol w:w="1080"/>
        <w:gridCol w:w="1425"/>
        <w:tblGridChange w:id="0">
          <w:tblGrid>
            <w:gridCol w:w="3135"/>
            <w:gridCol w:w="3450"/>
            <w:gridCol w:w="1080"/>
            <w:gridCol w:w="1425"/>
          </w:tblGrid>
        </w:tblGridChange>
      </w:tblGrid>
      <w:tr>
        <w:trPr>
          <w:cantSplit w:val="0"/>
          <w:tblHeader w:val="1"/>
        </w:trPr>
        <w:tc>
          <w:tcPr>
            <w:vAlign w:val="center"/>
          </w:tcPr>
          <w:p w:rsidR="00000000" w:rsidDel="00000000" w:rsidP="00000000" w:rsidRDefault="00000000" w:rsidRPr="00000000" w14:paraId="0000003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Sl. No</w:t>
            </w:r>
          </w:p>
        </w:tc>
        <w:tc>
          <w:tcPr>
            <w:vAlign w:val="center"/>
          </w:tcPr>
          <w:p w:rsidR="00000000" w:rsidDel="00000000" w:rsidP="00000000" w:rsidRDefault="00000000" w:rsidRPr="00000000" w14:paraId="00000031">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Category</w:t>
            </w:r>
          </w:p>
        </w:tc>
        <w:tc>
          <w:tcPr>
            <w:vAlign w:val="center"/>
          </w:tcPr>
          <w:p w:rsidR="00000000" w:rsidDel="00000000" w:rsidP="00000000" w:rsidRDefault="00000000" w:rsidRPr="00000000" w14:paraId="00000032">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Frequency</w:t>
            </w:r>
          </w:p>
        </w:tc>
        <w:tc>
          <w:tcPr>
            <w:vAlign w:val="center"/>
          </w:tcPr>
          <w:p w:rsidR="00000000" w:rsidDel="00000000" w:rsidP="00000000" w:rsidRDefault="00000000" w:rsidRPr="00000000" w14:paraId="00000033">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Percent (%)</w:t>
            </w:r>
          </w:p>
        </w:tc>
      </w:tr>
      <w:tr>
        <w:trPr>
          <w:cantSplit w:val="0"/>
          <w:tblHeader w:val="0"/>
        </w:trPr>
        <w:tc>
          <w:tcPr>
            <w:vAlign w:val="center"/>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Business Category</w:t>
            </w:r>
            <w:r w:rsidDel="00000000" w:rsidR="00000000" w:rsidRPr="00000000">
              <w:rPr>
                <w:rtl w:val="0"/>
              </w:rPr>
            </w:r>
          </w:p>
        </w:tc>
        <w:tc>
          <w:tcP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37">
            <w:pPr>
              <w:widowControl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 Enterprises</w:t>
            </w:r>
          </w:p>
        </w:tc>
        <w:tc>
          <w:tcP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w:t>
            </w:r>
          </w:p>
        </w:tc>
      </w:tr>
      <w:tr>
        <w:trPr>
          <w:cantSplit w:val="0"/>
          <w:tblHeader w:val="0"/>
        </w:trPr>
        <w:tc>
          <w:tcP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Medium Enterprises</w:t>
            </w:r>
          </w:p>
        </w:tc>
        <w:tc>
          <w:tcP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c>
          <w:tcP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45.9</w:t>
            </w:r>
          </w:p>
        </w:tc>
      </w:tr>
      <w:tr>
        <w:trPr>
          <w:cantSplit w:val="0"/>
          <w:tblHeader w:val="0"/>
        </w:trPr>
        <w:tc>
          <w:tcP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Small Enterprises</w:t>
            </w:r>
          </w:p>
        </w:tc>
        <w:tc>
          <w:tcPr>
            <w:vAlign w:val="center"/>
          </w:tcPr>
          <w:p w:rsidR="00000000" w:rsidDel="00000000" w:rsidP="00000000" w:rsidRDefault="00000000" w:rsidRPr="00000000" w14:paraId="0000004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c>
          <w:tcPr>
            <w:vAlign w:val="center"/>
          </w:tcPr>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w:t>
            </w:r>
          </w:p>
        </w:tc>
      </w:tr>
      <w:tr>
        <w:trPr>
          <w:cantSplit w:val="0"/>
          <w:tblHeader w:val="0"/>
        </w:trPr>
        <w:tc>
          <w:tcPr>
            <w:vAlign w:val="center"/>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Industry</w:t>
            </w:r>
            <w:r w:rsidDel="00000000" w:rsidR="00000000" w:rsidRPr="00000000">
              <w:rPr>
                <w:rtl w:val="0"/>
              </w:rPr>
            </w:r>
          </w:p>
        </w:tc>
        <w:tc>
          <w:tcPr>
            <w:vAlign w:val="center"/>
          </w:tcPr>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4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Manufacturing</w:t>
            </w:r>
          </w:p>
        </w:tc>
        <w:tc>
          <w:tcPr>
            <w:vAlign w:val="center"/>
          </w:tcPr>
          <w:p w:rsidR="00000000" w:rsidDel="00000000" w:rsidP="00000000" w:rsidRDefault="00000000" w:rsidRPr="00000000" w14:paraId="0000004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c>
          <w:tcPr>
            <w:vAlign w:val="center"/>
          </w:tcPr>
          <w:p w:rsidR="00000000" w:rsidDel="00000000" w:rsidP="00000000" w:rsidRDefault="00000000" w:rsidRPr="00000000" w14:paraId="0000004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63.1</w:t>
            </w:r>
          </w:p>
        </w:tc>
      </w:tr>
      <w:tr>
        <w:trPr>
          <w:cantSplit w:val="0"/>
          <w:tblHeader w:val="0"/>
        </w:trPr>
        <w:tc>
          <w:tcPr>
            <w:vAlign w:val="center"/>
          </w:tcPr>
          <w:p w:rsidR="00000000" w:rsidDel="00000000" w:rsidP="00000000" w:rsidRDefault="00000000" w:rsidRPr="00000000" w14:paraId="0000004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4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Transportation, Shipping, and Storage</w:t>
            </w:r>
          </w:p>
        </w:tc>
        <w:tc>
          <w:tcPr>
            <w:vAlign w:val="center"/>
          </w:tcPr>
          <w:p w:rsidR="00000000" w:rsidDel="00000000" w:rsidP="00000000" w:rsidRDefault="00000000" w:rsidRPr="00000000" w14:paraId="0000004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vAlign w:val="center"/>
          </w:tcPr>
          <w:p w:rsidR="00000000" w:rsidDel="00000000" w:rsidP="00000000" w:rsidRDefault="00000000" w:rsidRPr="00000000" w14:paraId="0000004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r>
      <w:tr>
        <w:trPr>
          <w:cantSplit w:val="0"/>
          <w:tblHeader w:val="0"/>
        </w:trPr>
        <w:tc>
          <w:tcPr>
            <w:vAlign w:val="center"/>
          </w:tcPr>
          <w:p w:rsidR="00000000" w:rsidDel="00000000" w:rsidP="00000000" w:rsidRDefault="00000000" w:rsidRPr="00000000" w14:paraId="0000005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5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and Communication</w:t>
            </w:r>
          </w:p>
        </w:tc>
        <w:tc>
          <w:tcPr>
            <w:vAlign w:val="center"/>
          </w:tcPr>
          <w:p w:rsidR="00000000" w:rsidDel="00000000" w:rsidP="00000000" w:rsidRDefault="00000000" w:rsidRPr="00000000" w14:paraId="0000005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vAlign w:val="center"/>
          </w:tcPr>
          <w:p w:rsidR="00000000" w:rsidDel="00000000" w:rsidP="00000000" w:rsidRDefault="00000000" w:rsidRPr="00000000" w14:paraId="0000005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w:t>
            </w:r>
          </w:p>
        </w:tc>
      </w:tr>
      <w:tr>
        <w:trPr>
          <w:cantSplit w:val="0"/>
          <w:tblHeader w:val="0"/>
        </w:trPr>
        <w:tc>
          <w:tcPr>
            <w:vAlign w:val="center"/>
          </w:tcPr>
          <w:p w:rsidR="00000000" w:rsidDel="00000000" w:rsidP="00000000" w:rsidRDefault="00000000" w:rsidRPr="00000000" w14:paraId="0000005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5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Accommodation, Food, and Beverage Services</w:t>
            </w:r>
          </w:p>
        </w:tc>
        <w:tc>
          <w:tcPr>
            <w:vAlign w:val="center"/>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vAlign w:val="center"/>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w:t>
            </w:r>
          </w:p>
        </w:tc>
      </w:tr>
      <w:tr>
        <w:trPr>
          <w:cantSplit w:val="0"/>
          <w:tblHeader w:val="0"/>
        </w:trPr>
        <w:tc>
          <w:tcPr>
            <w:vAlign w:val="center"/>
          </w:tcPr>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Others</w:t>
            </w:r>
          </w:p>
        </w:tc>
        <w:tc>
          <w:tcPr>
            <w:vAlign w:val="center"/>
          </w:tcPr>
          <w:p w:rsidR="00000000" w:rsidDel="00000000" w:rsidP="00000000" w:rsidRDefault="00000000" w:rsidRPr="00000000" w14:paraId="0000005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c>
          <w:tcPr>
            <w:vAlign w:val="center"/>
          </w:tcPr>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14.4</w:t>
            </w:r>
          </w:p>
        </w:tc>
      </w:tr>
      <w:tr>
        <w:trPr>
          <w:cantSplit w:val="0"/>
          <w:tblHeader w:val="0"/>
        </w:trPr>
        <w:tc>
          <w:tcPr>
            <w:vAlign w:val="center"/>
          </w:tcPr>
          <w:p w:rsidR="00000000" w:rsidDel="00000000" w:rsidP="00000000" w:rsidRDefault="00000000" w:rsidRPr="00000000" w14:paraId="0000005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Number of Employees</w:t>
            </w:r>
            <w:r w:rsidDel="00000000" w:rsidR="00000000" w:rsidRPr="00000000">
              <w:rPr>
                <w:rtl w:val="0"/>
              </w:rPr>
            </w:r>
          </w:p>
        </w:tc>
        <w:tc>
          <w:tcPr>
            <w:vAlign w:val="center"/>
          </w:tcPr>
          <w:p w:rsidR="00000000" w:rsidDel="00000000" w:rsidP="00000000" w:rsidRDefault="00000000" w:rsidRPr="00000000" w14:paraId="0000005D">
            <w:pPr>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1-10</w:t>
            </w:r>
          </w:p>
        </w:tc>
        <w:tc>
          <w:tcPr>
            <w:vAlign w:val="center"/>
          </w:tcPr>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c>
          <w:tcPr>
            <w:vAlign w:val="center"/>
          </w:tcPr>
          <w:p w:rsidR="00000000" w:rsidDel="00000000" w:rsidP="00000000" w:rsidRDefault="00000000" w:rsidRPr="00000000" w14:paraId="0000006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24.3</w:t>
            </w:r>
          </w:p>
        </w:tc>
      </w:tr>
      <w:tr>
        <w:trPr>
          <w:cantSplit w:val="0"/>
          <w:tblHeader w:val="0"/>
        </w:trPr>
        <w:tc>
          <w:tcPr>
            <w:vAlign w:val="center"/>
          </w:tcPr>
          <w:p w:rsidR="00000000" w:rsidDel="00000000" w:rsidP="00000000" w:rsidRDefault="00000000" w:rsidRPr="00000000" w14:paraId="0000006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w:t>
            </w:r>
          </w:p>
        </w:tc>
        <w:tc>
          <w:tcPr>
            <w:vAlign w:val="center"/>
          </w:tcPr>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vAlign w:val="center"/>
          </w:tcPr>
          <w:p w:rsidR="00000000" w:rsidDel="00000000" w:rsidP="00000000" w:rsidRDefault="00000000" w:rsidRPr="00000000" w14:paraId="0000006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34.2</w:t>
            </w:r>
          </w:p>
        </w:tc>
      </w:tr>
      <w:tr>
        <w:trPr>
          <w:cantSplit w:val="0"/>
          <w:tblHeader w:val="0"/>
        </w:trPr>
        <w:tc>
          <w:tcPr>
            <w:vAlign w:val="center"/>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6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21-50</w:t>
            </w:r>
          </w:p>
        </w:tc>
        <w:tc>
          <w:tcPr>
            <w:vAlign w:val="center"/>
          </w:tcPr>
          <w:p w:rsidR="00000000" w:rsidDel="00000000" w:rsidP="00000000" w:rsidRDefault="00000000" w:rsidRPr="00000000" w14:paraId="0000006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c>
          <w:tcPr>
            <w:vAlign w:val="center"/>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41.4</w:t>
            </w:r>
          </w:p>
        </w:tc>
      </w:tr>
      <w:tr>
        <w:trPr>
          <w:cantSplit w:val="0"/>
          <w:tblHeader w:val="0"/>
        </w:trPr>
        <w:tc>
          <w:tcPr>
            <w:vAlign w:val="center"/>
          </w:tcPr>
          <w:p w:rsidR="00000000" w:rsidDel="00000000" w:rsidP="00000000" w:rsidRDefault="00000000" w:rsidRPr="00000000" w14:paraId="0000006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Years in Operation</w:t>
            </w:r>
            <w:r w:rsidDel="00000000" w:rsidR="00000000" w:rsidRPr="00000000">
              <w:rPr>
                <w:rtl w:val="0"/>
              </w:rPr>
            </w:r>
          </w:p>
        </w:tc>
        <w:tc>
          <w:tcPr>
            <w:vAlign w:val="center"/>
          </w:tcPr>
          <w:p w:rsidR="00000000" w:rsidDel="00000000" w:rsidP="00000000" w:rsidRDefault="00000000" w:rsidRPr="00000000" w14:paraId="0000006D">
            <w:pPr>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7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w:t>
            </w:r>
          </w:p>
        </w:tc>
        <w:tc>
          <w:tcPr>
            <w:vAlign w:val="center"/>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w:t>
            </w:r>
          </w:p>
        </w:tc>
        <w:tc>
          <w:tcPr>
            <w:vAlign w:val="center"/>
          </w:tcPr>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25.2</w:t>
            </w:r>
          </w:p>
        </w:tc>
      </w:tr>
      <w:tr>
        <w:trPr>
          <w:cantSplit w:val="0"/>
          <w:tblHeader w:val="0"/>
        </w:trPr>
        <w:tc>
          <w:tcPr>
            <w:vAlign w:val="center"/>
          </w:tcPr>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7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6-11</w:t>
            </w:r>
          </w:p>
        </w:tc>
        <w:tc>
          <w:tcPr>
            <w:vAlign w:val="center"/>
          </w:tcPr>
          <w:p w:rsidR="00000000" w:rsidDel="00000000" w:rsidP="00000000" w:rsidRDefault="00000000" w:rsidRPr="00000000" w14:paraId="0000007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r>
          </w:p>
        </w:tc>
        <w:tc>
          <w:tcPr>
            <w:vAlign w:val="center"/>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23.4</w:t>
            </w:r>
          </w:p>
        </w:tc>
      </w:tr>
      <w:tr>
        <w:trPr>
          <w:cantSplit w:val="0"/>
          <w:tblHeader w:val="0"/>
        </w:trPr>
        <w:tc>
          <w:tcPr>
            <w:vAlign w:val="center"/>
          </w:tcPr>
          <w:p w:rsidR="00000000" w:rsidDel="00000000" w:rsidP="00000000" w:rsidRDefault="00000000" w:rsidRPr="00000000" w14:paraId="00000078">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79">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12-15</w:t>
            </w:r>
          </w:p>
        </w:tc>
        <w:tc>
          <w:tcPr>
            <w:vAlign w:val="center"/>
          </w:tcPr>
          <w:p w:rsidR="00000000" w:rsidDel="00000000" w:rsidP="00000000" w:rsidRDefault="00000000" w:rsidRPr="00000000" w14:paraId="0000007A">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vAlign w:val="center"/>
          </w:tcPr>
          <w:p w:rsidR="00000000" w:rsidDel="00000000" w:rsidP="00000000" w:rsidRDefault="00000000" w:rsidRPr="00000000" w14:paraId="0000007B">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17.1</w:t>
            </w:r>
          </w:p>
        </w:tc>
      </w:tr>
      <w:tr>
        <w:trPr>
          <w:cantSplit w:val="0"/>
          <w:tblHeader w:val="0"/>
        </w:trPr>
        <w:tc>
          <w:tcPr>
            <w:vAlign w:val="center"/>
          </w:tcPr>
          <w:p w:rsidR="00000000" w:rsidDel="00000000" w:rsidP="00000000" w:rsidRDefault="00000000" w:rsidRPr="00000000" w14:paraId="0000007C">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7D">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Above 15</w:t>
            </w:r>
          </w:p>
        </w:tc>
        <w:tc>
          <w:tcPr>
            <w:vAlign w:val="center"/>
          </w:tcPr>
          <w:p w:rsidR="00000000" w:rsidDel="00000000" w:rsidP="00000000" w:rsidRDefault="00000000" w:rsidRPr="00000000" w14:paraId="0000007E">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c>
          <w:tcPr>
            <w:vAlign w:val="center"/>
          </w:tcPr>
          <w:p w:rsidR="00000000" w:rsidDel="00000000" w:rsidP="00000000" w:rsidRDefault="00000000" w:rsidRPr="00000000" w14:paraId="0000007F">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34.2</w:t>
            </w:r>
          </w:p>
        </w:tc>
      </w:tr>
      <w:tr>
        <w:trPr>
          <w:cantSplit w:val="0"/>
          <w:tblHeader w:val="0"/>
        </w:trPr>
        <w:tc>
          <w:tcPr>
            <w:vAlign w:val="center"/>
          </w:tcPr>
          <w:p w:rsidR="00000000" w:rsidDel="00000000" w:rsidP="00000000" w:rsidRDefault="00000000" w:rsidRPr="00000000" w14:paraId="00000080">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Business Registered with Tax Authorities</w:t>
            </w:r>
            <w:r w:rsidDel="00000000" w:rsidR="00000000" w:rsidRPr="00000000">
              <w:rPr>
                <w:rtl w:val="0"/>
              </w:rPr>
            </w:r>
          </w:p>
        </w:tc>
        <w:tc>
          <w:tcPr>
            <w:vAlign w:val="center"/>
          </w:tcPr>
          <w:p w:rsidR="00000000" w:rsidDel="00000000" w:rsidP="00000000" w:rsidRDefault="00000000" w:rsidRPr="00000000" w14:paraId="00000081">
            <w:pPr>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2">
            <w:pPr>
              <w:widowControl w:val="0"/>
              <w:spacing w:line="240" w:lineRule="auto"/>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83">
            <w:pPr>
              <w:widowControl w:val="0"/>
              <w:spacing w:line="240" w:lineRule="auto"/>
              <w:jc w:val="center"/>
              <w:rPr>
                <w:rFonts w:ascii="Times New Roman" w:cs="Times New Roman" w:eastAsia="Times New Roman" w:hAnsi="Times New Roman"/>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84">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vAlign w:val="center"/>
          </w:tcPr>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p>
        </w:tc>
        <w:tc>
          <w:tcPr>
            <w:vAlign w:val="center"/>
          </w:tcPr>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c>
          <w:tcPr>
            <w:vAlign w:val="center"/>
          </w:tcPr>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90.1</w:t>
            </w:r>
          </w:p>
        </w:tc>
      </w:tr>
      <w:tr>
        <w:trPr>
          <w:cantSplit w:val="0"/>
          <w:tblHeader w:val="0"/>
        </w:trPr>
        <w:tc>
          <w:tcPr>
            <w:vAlign w:val="center"/>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w:t>
            </w:r>
          </w:p>
        </w:tc>
        <w:tc>
          <w:tcPr>
            <w:vAlign w:val="center"/>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vAlign w:val="center"/>
          </w:tcPr>
          <w:p w:rsidR="00000000" w:rsidDel="00000000" w:rsidP="00000000" w:rsidRDefault="00000000" w:rsidRPr="00000000" w14:paraId="0000008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w:t>
            </w:r>
          </w:p>
        </w:tc>
      </w:tr>
    </w:tbl>
    <w:p w:rsidR="00000000" w:rsidDel="00000000" w:rsidP="00000000" w:rsidRDefault="00000000" w:rsidRPr="00000000" w14:paraId="0000008C">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ONE WAY ANOVA</w:t>
      </w:r>
    </w:p>
    <w:p w:rsidR="00000000" w:rsidDel="00000000" w:rsidP="00000000" w:rsidRDefault="00000000" w:rsidRPr="00000000" w14:paraId="0000008F">
      <w:pPr>
        <w:widowControl w:val="0"/>
        <w:spacing w:before="283.9202880859375" w:line="360" w:lineRule="auto"/>
        <w:ind w:right="261.02050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Way Anova was carried out analyzing the relationship between "Knowledge about tax deductions and credits the business is eligible" and "Category in which the business falls under".</w:t>
      </w:r>
    </w:p>
    <w:p w:rsidR="00000000" w:rsidDel="00000000" w:rsidP="00000000" w:rsidRDefault="00000000" w:rsidRPr="00000000" w14:paraId="00000090">
      <w:pPr>
        <w:widowControl w:val="0"/>
        <w:spacing w:before="283.9202880859375" w:line="360" w:lineRule="auto"/>
        <w:ind w:right="261.02050781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w:t>
      </w:r>
    </w:p>
    <w:p w:rsidR="00000000" w:rsidDel="00000000" w:rsidP="00000000" w:rsidRDefault="00000000" w:rsidRPr="00000000" w14:paraId="00000091">
      <w:pPr>
        <w:widowControl w:val="0"/>
        <w:spacing w:before="283.9202880859375" w:line="360" w:lineRule="auto"/>
        <w:ind w:right="261.02050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Null Hypothesis (H₀):</w:t>
      </w:r>
      <w:r w:rsidDel="00000000" w:rsidR="00000000" w:rsidRPr="00000000">
        <w:rPr>
          <w:rFonts w:ascii="Times New Roman" w:cs="Times New Roman" w:eastAsia="Times New Roman" w:hAnsi="Times New Roman"/>
          <w:sz w:val="24"/>
          <w:szCs w:val="24"/>
          <w:rtl w:val="0"/>
        </w:rPr>
        <w:t xml:space="preserve"> There is no significant difference in the level of knowledge about tax deductions and credits across the different business categories.</w:t>
      </w:r>
    </w:p>
    <w:p w:rsidR="00000000" w:rsidDel="00000000" w:rsidP="00000000" w:rsidRDefault="00000000" w:rsidRPr="00000000" w14:paraId="00000092">
      <w:pPr>
        <w:widowControl w:val="0"/>
        <w:spacing w:before="283.9202880859375" w:line="360" w:lineRule="auto"/>
        <w:ind w:right="261.02050781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Alternative Hypothesis (H₁):</w:t>
      </w:r>
      <w:r w:rsidDel="00000000" w:rsidR="00000000" w:rsidRPr="00000000">
        <w:rPr>
          <w:rFonts w:ascii="Times New Roman" w:cs="Times New Roman" w:eastAsia="Times New Roman" w:hAnsi="Times New Roman"/>
          <w:sz w:val="24"/>
          <w:szCs w:val="24"/>
          <w:rtl w:val="0"/>
        </w:rPr>
        <w:t xml:space="preserve"> At least one business category has a significantly different level of knowledge about tax deductions and credits.</w:t>
      </w:r>
    </w:p>
    <w:p w:rsidR="00000000" w:rsidDel="00000000" w:rsidP="00000000" w:rsidRDefault="00000000" w:rsidRPr="00000000" w14:paraId="00000093">
      <w:pPr>
        <w:widowControl w:val="0"/>
        <w:spacing w:before="283.9202880859375" w:line="360" w:lineRule="auto"/>
        <w:ind w:right="261.020507812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No: 2</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1350"/>
        <w:gridCol w:w="1095"/>
        <w:gridCol w:w="1845"/>
        <w:gridCol w:w="1410"/>
        <w:gridCol w:w="1080"/>
        <w:tblGridChange w:id="0">
          <w:tblGrid>
            <w:gridCol w:w="2580"/>
            <w:gridCol w:w="1350"/>
            <w:gridCol w:w="1095"/>
            <w:gridCol w:w="1845"/>
            <w:gridCol w:w="1410"/>
            <w:gridCol w:w="1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Primary Challenges/ Form of Organization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 of Squares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Square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Groups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49.833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50.775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FINDINGS:</w:t>
      </w:r>
    </w:p>
    <w:p w:rsidR="00000000" w:rsidDel="00000000" w:rsidP="00000000" w:rsidRDefault="00000000" w:rsidRPr="00000000" w14:paraId="000000A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widowControl w:val="0"/>
        <w:spacing w:line="360" w:lineRule="auto"/>
        <w:ind w:left="0" w:right="202.6611328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findings reveal that most of the businesses surveyed are either Medium or Micro Enterprises, with a strong presence of manufacturing industries. The businesses tend to be small, relatively young, and have a high level of tax registration compliance. However, respondents demonstrate only a moderate understanding of tax deductions, credits, and the impact of tax legislation on their operations. The tax audit process is viewed as burdensome, and there is a moderate level of proficiency in using tax software for compliance. Despite this, most businesses rarely seek professional help for tax-related matters, indicating a low reliance on external expertise. Additionally, the type of business does not significantly influence knowledge about tax benefits.</w:t>
      </w:r>
    </w:p>
    <w:p w:rsidR="00000000" w:rsidDel="00000000" w:rsidP="00000000" w:rsidRDefault="00000000" w:rsidRPr="00000000" w14:paraId="000000B1">
      <w:pPr>
        <w:widowControl w:val="0"/>
        <w:spacing w:line="360" w:lineRule="auto"/>
        <w:ind w:left="0" w:right="202.661132812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CONCLUSION:</w:t>
      </w:r>
    </w:p>
    <w:p w:rsidR="00000000" w:rsidDel="00000000" w:rsidP="00000000" w:rsidRDefault="00000000" w:rsidRPr="00000000" w14:paraId="000000B2">
      <w:pPr>
        <w:widowControl w:val="0"/>
        <w:spacing w:line="360" w:lineRule="auto"/>
        <w:ind w:left="0" w:right="202.661132812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widowControl w:val="0"/>
        <w:spacing w:line="360" w:lineRule="auto"/>
        <w:ind w:left="0" w:right="202.6611328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analysis highlights several key issues in tax compliance among MSMEs, with the respondents generally demonstrating moderate knowledge of tax laws, deductions, and the use of tax software. While most businesses are compliant with tax authorities, they face challenges with tax audits and understanding complex tax regulations. There is a need for better education on tax-related matters and increased accessibility to professional help. Simplifying the tax system and offering targeted support to MSMEs can promote a more efficient and compliant business environment. </w:t>
      </w:r>
    </w:p>
    <w:p w:rsidR="00000000" w:rsidDel="00000000" w:rsidP="00000000" w:rsidRDefault="00000000" w:rsidRPr="00000000" w14:paraId="000000B4">
      <w:pPr>
        <w:widowControl w:val="0"/>
        <w:spacing w:line="360" w:lineRule="auto"/>
        <w:ind w:left="0" w:right="202.66113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widowControl w:val="0"/>
        <w:spacing w:line="360" w:lineRule="auto"/>
        <w:ind w:left="0" w:right="202.661132812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REFERENCES:</w:t>
      </w:r>
    </w:p>
    <w:p w:rsidR="00000000" w:rsidDel="00000000" w:rsidP="00000000" w:rsidRDefault="00000000" w:rsidRPr="00000000" w14:paraId="000000B6">
      <w:pPr>
        <w:widowControl w:val="0"/>
        <w:spacing w:line="360" w:lineRule="auto"/>
        <w:ind w:left="0" w:right="202.661132812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widowControl w:val="0"/>
        <w:numPr>
          <w:ilvl w:val="0"/>
          <w:numId w:val="1"/>
        </w:numPr>
        <w:spacing w:line="360" w:lineRule="auto"/>
        <w:ind w:left="720" w:right="202.66113281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Chennathur, G. (2024). Implications of goods and services tax on Indian micro, small and medium enterprises. CHRIST (Deemed to be University).  </w:t>
      </w:r>
      <w:r w:rsidDel="00000000" w:rsidR="00000000" w:rsidRPr="00000000">
        <w:rPr>
          <w:rtl w:val="0"/>
        </w:rPr>
      </w:r>
    </w:p>
    <w:p w:rsidR="00000000" w:rsidDel="00000000" w:rsidP="00000000" w:rsidRDefault="00000000" w:rsidRPr="00000000" w14:paraId="000000B8">
      <w:pPr>
        <w:widowControl w:val="0"/>
        <w:spacing w:line="360" w:lineRule="auto"/>
        <w:ind w:left="720" w:right="202.66113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widowControl w:val="0"/>
        <w:numPr>
          <w:ilvl w:val="0"/>
          <w:numId w:val="1"/>
        </w:numPr>
        <w:spacing w:line="360" w:lineRule="auto"/>
        <w:ind w:left="720" w:right="202.66113281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 J. N. (2024). A study on goods and services tax post compliance issues with special  reference to the MSMEs in the state of Karnataka. </w:t>
      </w:r>
      <w:r w:rsidDel="00000000" w:rsidR="00000000" w:rsidRPr="00000000">
        <w:rPr>
          <w:rtl w:val="0"/>
        </w:rPr>
      </w:r>
    </w:p>
    <w:p w:rsidR="00000000" w:rsidDel="00000000" w:rsidP="00000000" w:rsidRDefault="00000000" w:rsidRPr="00000000" w14:paraId="000000BA">
      <w:pPr>
        <w:widowControl w:val="0"/>
        <w:spacing w:line="360" w:lineRule="auto"/>
        <w:ind w:left="720" w:right="202.66113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numPr>
          <w:ilvl w:val="0"/>
          <w:numId w:val="1"/>
        </w:numPr>
        <w:spacing w:line="360" w:lineRule="auto"/>
        <w:ind w:left="720" w:right="202.66113281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Khatri, S. B. (2023). A study on the impact of indirect tax system on micro, small, and medium enterprises with special reference to Palghar Taluka of Maharashtra.</w:t>
      </w:r>
      <w:r w:rsidDel="00000000" w:rsidR="00000000" w:rsidRPr="00000000">
        <w:rPr>
          <w:rtl w:val="0"/>
        </w:rPr>
      </w:r>
    </w:p>
    <w:p w:rsidR="00000000" w:rsidDel="00000000" w:rsidP="00000000" w:rsidRDefault="00000000" w:rsidRPr="00000000" w14:paraId="000000BC">
      <w:pPr>
        <w:widowControl w:val="0"/>
        <w:spacing w:line="360" w:lineRule="auto"/>
        <w:ind w:left="720" w:right="202.66113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numPr>
          <w:ilvl w:val="0"/>
          <w:numId w:val="1"/>
        </w:numPr>
        <w:spacing w:line="360" w:lineRule="auto"/>
        <w:ind w:left="720" w:right="202.66113281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Paco, D. L. J. A., &amp; Quezon, M. S. (2022). Tax awareness and compliance of micro and small enterprises. </w:t>
      </w:r>
      <w:r w:rsidDel="00000000" w:rsidR="00000000" w:rsidRPr="00000000">
        <w:rPr>
          <w:rtl w:val="0"/>
        </w:rPr>
      </w:r>
    </w:p>
    <w:p w:rsidR="00000000" w:rsidDel="00000000" w:rsidP="00000000" w:rsidRDefault="00000000" w:rsidRPr="00000000" w14:paraId="000000BE">
      <w:pPr>
        <w:widowControl w:val="0"/>
        <w:spacing w:line="360" w:lineRule="auto"/>
        <w:ind w:left="720" w:right="202.66113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numPr>
          <w:ilvl w:val="0"/>
          <w:numId w:val="1"/>
        </w:numPr>
        <w:spacing w:line="360" w:lineRule="auto"/>
        <w:ind w:left="720" w:right="202.66113281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Nisa Ul Albab, F., &amp; Suwardi, E. (2021). The effect of tax knowledge on voluntary tax compliance with trust as a mediating variable: A study on micro, small, and medium enterprises (MSMEs). The Indonesian Journal of Accounting Research, 24.</w:t>
      </w:r>
      <w:r w:rsidDel="00000000" w:rsidR="00000000" w:rsidRPr="00000000">
        <w:rPr>
          <w:rtl w:val="0"/>
        </w:rPr>
      </w:r>
    </w:p>
    <w:p w:rsidR="00000000" w:rsidDel="00000000" w:rsidP="00000000" w:rsidRDefault="00000000" w:rsidRPr="00000000" w14:paraId="000000C0">
      <w:pPr>
        <w:widowControl w:val="0"/>
        <w:spacing w:line="360" w:lineRule="auto"/>
        <w:ind w:left="720" w:right="202.66113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widowControl w:val="0"/>
        <w:numPr>
          <w:ilvl w:val="0"/>
          <w:numId w:val="1"/>
        </w:numPr>
        <w:spacing w:line="360" w:lineRule="auto"/>
        <w:ind w:left="720" w:right="202.661132812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Pertiwi, A. R., Iqbal, S., &amp; Baridwan, Z. (2020). Effect of fairness and knowledge on tax compliance for micro, small, and medium enterprises (MSMEs). IJRBS, 9(1). ISSN: 2147-4478.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frin.23mba@ksbedu.in" TargetMode="External"/><Relationship Id="rId7" Type="http://schemas.openxmlformats.org/officeDocument/2006/relationships/hyperlink" Target="mailto:shanmughapriya.p@ksbedu.in"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