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0" w:lineRule="exact" w:before="0"/>
        <w:jc w:val="left"/>
        <w:rPr>
          <w:sz w:val="2"/>
        </w:rPr>
      </w:pPr>
      <w:r>
        <w:rPr>
          <w:sz w:val="2"/>
        </w:rPr>
        <mc:AlternateContent>
          <mc:Choice Requires="wps">
            <w:drawing>
              <wp:inline distT="0" distB="0" distL="0" distR="0">
                <wp:extent cx="6137275" cy="9525"/>
                <wp:effectExtent l="9525" t="0" r="0" b="0"/>
                <wp:docPr id="4" name="Group 4"/>
                <wp:cNvGraphicFramePr>
                  <a:graphicFrameLocks/>
                </wp:cNvGraphicFramePr>
                <a:graphic>
                  <a:graphicData uri="http://schemas.microsoft.com/office/word/2010/wordprocessingGroup">
                    <wpg:wgp>
                      <wpg:cNvPr id="4" name="Group 4"/>
                      <wpg:cNvGrpSpPr/>
                      <wpg:grpSpPr>
                        <a:xfrm>
                          <a:off x="0" y="0"/>
                          <a:ext cx="6137275" cy="9525"/>
                          <a:chExt cx="6137275" cy="9525"/>
                        </a:xfrm>
                      </wpg:grpSpPr>
                      <wps:wsp>
                        <wps:cNvPr id="5" name="Graphic 5"/>
                        <wps:cNvSpPr/>
                        <wps:spPr>
                          <a:xfrm>
                            <a:off x="0" y="4632"/>
                            <a:ext cx="6137275" cy="1270"/>
                          </a:xfrm>
                          <a:custGeom>
                            <a:avLst/>
                            <a:gdLst/>
                            <a:ahLst/>
                            <a:cxnLst/>
                            <a:rect l="l" t="t" r="r" b="b"/>
                            <a:pathLst>
                              <a:path w="6137275" h="0">
                                <a:moveTo>
                                  <a:pt x="0" y="0"/>
                                </a:moveTo>
                                <a:lnTo>
                                  <a:pt x="6136941" y="0"/>
                                </a:lnTo>
                              </a:path>
                            </a:pathLst>
                          </a:custGeom>
                          <a:ln w="9264">
                            <a:solidFill>
                              <a:srgbClr val="008CB4"/>
                            </a:solidFill>
                            <a:prstDash val="solid"/>
                          </a:ln>
                        </wps:spPr>
                        <wps:bodyPr wrap="square" lIns="0" tIns="0" rIns="0" bIns="0" rtlCol="0">
                          <a:prstTxWarp prst="textNoShape">
                            <a:avLst/>
                          </a:prstTxWarp>
                          <a:noAutofit/>
                        </wps:bodyPr>
                      </wps:wsp>
                    </wpg:wgp>
                  </a:graphicData>
                </a:graphic>
              </wp:inline>
            </w:drawing>
          </mc:Choice>
          <mc:Fallback>
            <w:pict>
              <v:group style="width:483.25pt;height:.75pt;mso-position-horizontal-relative:char;mso-position-vertical-relative:line" id="docshapegroup3" coordorigin="0,0" coordsize="9665,15">
                <v:line style="position:absolute" from="0,7" to="9664,7" stroked="true" strokeweight=".729504pt" strokecolor="#008cb4">
                  <v:stroke dashstyle="solid"/>
                </v:line>
              </v:group>
            </w:pict>
          </mc:Fallback>
        </mc:AlternateContent>
      </w:r>
      <w:r>
        <w:rPr>
          <w:sz w:val="2"/>
        </w:rPr>
      </w:r>
    </w:p>
    <w:p>
      <w:pPr>
        <w:pStyle w:val="Title"/>
        <w:spacing w:line="199" w:lineRule="auto"/>
      </w:pPr>
      <w:r>
        <w:rPr>
          <w:color w:val="008CB4"/>
        </w:rPr>
        <w:t>The Role of Physiotherapy in Osteoporosis Management: A Comprehensive Approach</w:t>
      </w:r>
    </w:p>
    <w:p>
      <w:pPr>
        <w:spacing w:before="196"/>
        <w:ind w:left="63" w:right="58" w:firstLine="0"/>
        <w:jc w:val="center"/>
        <w:rPr>
          <w:rFonts w:ascii="Arial MT"/>
          <w:sz w:val="25"/>
        </w:rPr>
      </w:pPr>
      <w:r>
        <w:rPr>
          <w:rFonts w:ascii="Arial MT"/>
          <w:sz w:val="25"/>
        </w:rPr>
        <w:t>Osh</w:t>
      </w:r>
      <w:r>
        <w:rPr>
          <w:rFonts w:ascii="Arial MT"/>
          <w:spacing w:val="27"/>
          <w:sz w:val="25"/>
        </w:rPr>
        <w:t> </w:t>
      </w:r>
      <w:r>
        <w:rPr>
          <w:rFonts w:ascii="Arial MT"/>
          <w:sz w:val="25"/>
        </w:rPr>
        <w:t>State</w:t>
      </w:r>
      <w:r>
        <w:rPr>
          <w:rFonts w:ascii="Arial MT"/>
          <w:spacing w:val="27"/>
          <w:sz w:val="25"/>
        </w:rPr>
        <w:t> </w:t>
      </w:r>
      <w:r>
        <w:rPr>
          <w:rFonts w:ascii="Arial MT"/>
          <w:sz w:val="25"/>
        </w:rPr>
        <w:t>University-International</w:t>
      </w:r>
      <w:r>
        <w:rPr>
          <w:rFonts w:ascii="Arial MT"/>
          <w:spacing w:val="27"/>
          <w:sz w:val="25"/>
        </w:rPr>
        <w:t> </w:t>
      </w:r>
      <w:r>
        <w:rPr>
          <w:rFonts w:ascii="Arial MT"/>
          <w:sz w:val="25"/>
        </w:rPr>
        <w:t>Medical</w:t>
      </w:r>
      <w:r>
        <w:rPr>
          <w:rFonts w:ascii="Arial MT"/>
          <w:spacing w:val="28"/>
          <w:sz w:val="25"/>
        </w:rPr>
        <w:t> </w:t>
      </w:r>
      <w:r>
        <w:rPr>
          <w:rFonts w:ascii="Arial MT"/>
          <w:sz w:val="25"/>
        </w:rPr>
        <w:t>Faculty,</w:t>
      </w:r>
      <w:r>
        <w:rPr>
          <w:rFonts w:ascii="Arial MT"/>
          <w:spacing w:val="27"/>
          <w:sz w:val="25"/>
        </w:rPr>
        <w:t> </w:t>
      </w:r>
      <w:r>
        <w:rPr>
          <w:rFonts w:ascii="Arial MT"/>
          <w:spacing w:val="-2"/>
          <w:sz w:val="25"/>
        </w:rPr>
        <w:t>Kyrgyzstan</w:t>
      </w:r>
    </w:p>
    <w:p>
      <w:pPr>
        <w:spacing w:before="7"/>
        <w:ind w:left="5" w:right="63" w:firstLine="0"/>
        <w:jc w:val="center"/>
        <w:rPr>
          <w:rFonts w:ascii="Arial MT"/>
          <w:sz w:val="23"/>
        </w:rPr>
      </w:pPr>
      <w:r>
        <w:rPr>
          <w:rFonts w:ascii="Arial MT"/>
          <w:sz w:val="23"/>
        </w:rPr>
        <w:t>Abhishek</w:t>
      </w:r>
      <w:r>
        <w:rPr>
          <w:rFonts w:ascii="Arial MT"/>
          <w:spacing w:val="15"/>
          <w:sz w:val="23"/>
        </w:rPr>
        <w:t> </w:t>
      </w:r>
      <w:r>
        <w:rPr>
          <w:rFonts w:ascii="Arial MT"/>
          <w:sz w:val="23"/>
        </w:rPr>
        <w:t>Rajput,</w:t>
      </w:r>
      <w:r>
        <w:rPr>
          <w:rFonts w:ascii="Arial MT"/>
          <w:spacing w:val="15"/>
          <w:sz w:val="23"/>
        </w:rPr>
        <w:t> </w:t>
      </w:r>
      <w:r>
        <w:rPr>
          <w:rFonts w:ascii="Arial MT"/>
          <w:sz w:val="23"/>
        </w:rPr>
        <w:t>Toichieva</w:t>
      </w:r>
      <w:r>
        <w:rPr>
          <w:rFonts w:ascii="Arial MT"/>
          <w:spacing w:val="16"/>
          <w:sz w:val="23"/>
        </w:rPr>
        <w:t> </w:t>
      </w:r>
      <w:r>
        <w:rPr>
          <w:rFonts w:ascii="Arial MT"/>
          <w:sz w:val="23"/>
        </w:rPr>
        <w:t>Aiperi,</w:t>
      </w:r>
      <w:r>
        <w:rPr>
          <w:rFonts w:ascii="Arial MT"/>
          <w:spacing w:val="15"/>
          <w:sz w:val="23"/>
        </w:rPr>
        <w:t> </w:t>
      </w:r>
      <w:r>
        <w:rPr>
          <w:rFonts w:ascii="Arial MT"/>
          <w:sz w:val="23"/>
        </w:rPr>
        <w:t>Dhirendra</w:t>
      </w:r>
      <w:r>
        <w:rPr>
          <w:rFonts w:ascii="Arial MT"/>
          <w:spacing w:val="15"/>
          <w:sz w:val="23"/>
        </w:rPr>
        <w:t> </w:t>
      </w:r>
      <w:r>
        <w:rPr>
          <w:rFonts w:ascii="Arial MT"/>
          <w:sz w:val="23"/>
        </w:rPr>
        <w:t>Saini,</w:t>
      </w:r>
      <w:r>
        <w:rPr>
          <w:rFonts w:ascii="Arial MT"/>
          <w:spacing w:val="16"/>
          <w:sz w:val="23"/>
        </w:rPr>
        <w:t> </w:t>
      </w:r>
      <w:r>
        <w:rPr>
          <w:rFonts w:ascii="Arial MT"/>
          <w:sz w:val="23"/>
        </w:rPr>
        <w:t>Nafis</w:t>
      </w:r>
      <w:r>
        <w:rPr>
          <w:rFonts w:ascii="Arial MT"/>
          <w:spacing w:val="15"/>
          <w:sz w:val="23"/>
        </w:rPr>
        <w:t> </w:t>
      </w:r>
      <w:r>
        <w:rPr>
          <w:rFonts w:ascii="Arial MT"/>
          <w:spacing w:val="-2"/>
          <w:sz w:val="23"/>
        </w:rPr>
        <w:t>Haider</w:t>
      </w:r>
    </w:p>
    <w:p>
      <w:pPr>
        <w:pStyle w:val="BodyText"/>
        <w:spacing w:before="1"/>
        <w:ind w:left="0"/>
        <w:jc w:val="left"/>
        <w:rPr>
          <w:rFonts w:ascii="Arial MT"/>
          <w:sz w:val="20"/>
        </w:rPr>
      </w:pPr>
      <w:r>
        <w:rPr>
          <w:rFonts w:ascii="Arial MT"/>
          <w:sz w:val="20"/>
        </w:rPr>
        <mc:AlternateContent>
          <mc:Choice Requires="wps">
            <w:drawing>
              <wp:anchor distT="0" distB="0" distL="0" distR="0" allowOverlap="1" layoutInCell="1" locked="0" behindDoc="1" simplePos="0" relativeHeight="487588352">
                <wp:simplePos x="0" y="0"/>
                <wp:positionH relativeFrom="page">
                  <wp:posOffset>716017</wp:posOffset>
                </wp:positionH>
                <wp:positionV relativeFrom="paragraph">
                  <wp:posOffset>162650</wp:posOffset>
                </wp:positionV>
                <wp:extent cx="6132195" cy="35560"/>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6132195" cy="35560"/>
                          <a:chExt cx="6132195" cy="35560"/>
                        </a:xfrm>
                      </wpg:grpSpPr>
                      <wps:wsp>
                        <wps:cNvPr id="7" name="Graphic 7"/>
                        <wps:cNvSpPr/>
                        <wps:spPr>
                          <a:xfrm>
                            <a:off x="177" y="30869"/>
                            <a:ext cx="6131560" cy="1270"/>
                          </a:xfrm>
                          <a:custGeom>
                            <a:avLst/>
                            <a:gdLst/>
                            <a:ahLst/>
                            <a:cxnLst/>
                            <a:rect l="l" t="t" r="r" b="b"/>
                            <a:pathLst>
                              <a:path w="6131560" h="0">
                                <a:moveTo>
                                  <a:pt x="0" y="0"/>
                                </a:moveTo>
                                <a:lnTo>
                                  <a:pt x="6131420" y="0"/>
                                </a:lnTo>
                              </a:path>
                            </a:pathLst>
                          </a:custGeom>
                          <a:ln w="9264">
                            <a:solidFill>
                              <a:srgbClr val="008CB4"/>
                            </a:solidFill>
                            <a:prstDash val="solid"/>
                          </a:ln>
                        </wps:spPr>
                        <wps:bodyPr wrap="square" lIns="0" tIns="0" rIns="0" bIns="0" rtlCol="0">
                          <a:prstTxWarp prst="textNoShape">
                            <a:avLst/>
                          </a:prstTxWarp>
                          <a:noAutofit/>
                        </wps:bodyPr>
                      </wps:wsp>
                      <wps:wsp>
                        <wps:cNvPr id="8" name="Graphic 8"/>
                        <wps:cNvSpPr/>
                        <wps:spPr>
                          <a:xfrm>
                            <a:off x="0" y="6176"/>
                            <a:ext cx="6131560" cy="1270"/>
                          </a:xfrm>
                          <a:custGeom>
                            <a:avLst/>
                            <a:gdLst/>
                            <a:ahLst/>
                            <a:cxnLst/>
                            <a:rect l="l" t="t" r="r" b="b"/>
                            <a:pathLst>
                              <a:path w="6131560" h="0">
                                <a:moveTo>
                                  <a:pt x="0" y="0"/>
                                </a:moveTo>
                                <a:lnTo>
                                  <a:pt x="6131420" y="0"/>
                                </a:lnTo>
                              </a:path>
                            </a:pathLst>
                          </a:custGeom>
                          <a:ln w="12352">
                            <a:solidFill>
                              <a:srgbClr val="008CB4"/>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379341pt;margin-top:12.807101pt;width:482.85pt;height:2.8pt;mso-position-horizontal-relative:page;mso-position-vertical-relative:paragraph;z-index:-15728128;mso-wrap-distance-left:0;mso-wrap-distance-right:0" id="docshapegroup4" coordorigin="1128,256" coordsize="9657,56">
                <v:line style="position:absolute" from="1128,305" to="10784,305" stroked="true" strokeweight=".729504pt" strokecolor="#008cb4">
                  <v:stroke dashstyle="solid"/>
                </v:line>
                <v:line style="position:absolute" from="1128,266" to="10783,266" stroked="true" strokeweight=".972673pt" strokecolor="#008cb4">
                  <v:stroke dashstyle="solid"/>
                </v:line>
                <w10:wrap type="topAndBottom"/>
              </v:group>
            </w:pict>
          </mc:Fallback>
        </mc:AlternateContent>
      </w:r>
    </w:p>
    <w:p>
      <w:pPr>
        <w:pStyle w:val="BodyText"/>
        <w:spacing w:before="165"/>
        <w:ind w:left="0"/>
        <w:jc w:val="left"/>
        <w:rPr>
          <w:rFonts w:ascii="Arial MT"/>
          <w:sz w:val="23"/>
        </w:rPr>
      </w:pPr>
    </w:p>
    <w:p>
      <w:pPr>
        <w:pStyle w:val="Heading1"/>
        <w:spacing w:before="1"/>
      </w:pPr>
      <w:r>
        <w:rPr>
          <w:spacing w:val="-2"/>
        </w:rPr>
        <w:t>Abstract</w:t>
      </w:r>
    </w:p>
    <w:p>
      <w:pPr>
        <w:pStyle w:val="BodyText"/>
        <w:spacing w:line="247" w:lineRule="auto"/>
        <w:ind w:right="125"/>
      </w:pPr>
      <w:r>
        <w:rPr/>
        <w:t>Osteoporosis, a systemic skeletal disorder characterized by reduced bone mass and deterioration of bone microarchitecture, significantly increases fracture risk and morbidity.</w:t>
      </w:r>
      <w:r>
        <w:rPr>
          <w:spacing w:val="-1"/>
        </w:rPr>
        <w:t> </w:t>
      </w:r>
      <w:r>
        <w:rPr/>
        <w:t>While pharmacological interventions remain a cornerstone of treatment, physiotherapy plays a pivotal role in enhancing bone strength, improving balance, and preventing falls. This review explores evidence-based physiotherapeutic strategies, including weight-bearing exercises, resistance training, postural correction, and balance-enhancing interventions. These modalities have demonstrated efficacy in preserving bone mineral density, optimizing musculoskeletal function, and reducing fracture incidence in osteoporotic individuals. Additionally, patient education and lifestyle modifications are essential components of a comprehensive management plan. By integrating physiotherapy into standard osteoporosis care, healthcare providers can improve patient outcomes, enhance mobility, and mitigate fracture- related complications. Further research is needed to refine individualized physiotherapy protocols and assess their long-term impact on skeletal </w:t>
      </w:r>
      <w:r>
        <w:rPr>
          <w:spacing w:val="-2"/>
        </w:rPr>
        <w:t>health.</w:t>
      </w:r>
    </w:p>
    <w:p>
      <w:pPr>
        <w:pStyle w:val="BodyText"/>
        <w:spacing w:line="247" w:lineRule="auto" w:before="203"/>
        <w:ind w:right="126"/>
      </w:pPr>
      <w:r>
        <w:rPr>
          <w:spacing w:val="12"/>
        </w:rPr>
        <w:t>Keywords:</w:t>
      </w:r>
      <w:r>
        <w:rPr>
          <w:spacing w:val="12"/>
        </w:rPr>
        <w:t> osteoporosis,</w:t>
      </w:r>
      <w:r>
        <w:rPr>
          <w:spacing w:val="12"/>
        </w:rPr>
        <w:t> </w:t>
      </w:r>
      <w:r>
        <w:rPr>
          <w:spacing w:val="11"/>
        </w:rPr>
        <w:t>physiotherapy,</w:t>
      </w:r>
      <w:r>
        <w:rPr>
          <w:spacing w:val="11"/>
        </w:rPr>
        <w:t> </w:t>
      </w:r>
      <w:r>
        <w:rPr>
          <w:spacing w:val="10"/>
        </w:rPr>
        <w:t>bone</w:t>
      </w:r>
      <w:r>
        <w:rPr>
          <w:spacing w:val="10"/>
        </w:rPr>
        <w:t> </w:t>
      </w:r>
      <w:r>
        <w:rPr>
          <w:spacing w:val="12"/>
        </w:rPr>
        <w:t>health,</w:t>
      </w:r>
      <w:r>
        <w:rPr>
          <w:spacing w:val="12"/>
        </w:rPr>
        <w:t> fracture </w:t>
      </w:r>
      <w:r>
        <w:rPr/>
        <w:t>prevention, rehabilitation, exercise therapy</w:t>
      </w:r>
    </w:p>
    <w:p>
      <w:pPr>
        <w:pStyle w:val="BodyText"/>
        <w:spacing w:after="0" w:line="247" w:lineRule="auto"/>
        <w:sectPr>
          <w:footerReference w:type="default" r:id="rId5"/>
          <w:type w:val="continuous"/>
          <w:pgSz w:w="11910" w:h="16840"/>
          <w:pgMar w:header="0" w:footer="1649" w:top="1380" w:bottom="1840" w:left="992" w:right="992"/>
          <w:pgNumType w:start="1"/>
        </w:sectPr>
      </w:pPr>
    </w:p>
    <w:p>
      <w:pPr>
        <w:pStyle w:val="Heading1"/>
      </w:pPr>
      <w:r>
        <w:rPr>
          <w:spacing w:val="-2"/>
        </w:rPr>
        <w:t>Introduction</w:t>
      </w:r>
    </w:p>
    <w:p>
      <w:pPr>
        <w:pStyle w:val="BodyText"/>
        <w:spacing w:line="247" w:lineRule="auto"/>
        <w:ind w:right="125"/>
      </w:pPr>
      <w:r>
        <w:rPr/>
        <w:t>Osteoporosis is a systemic skeletal disease characterized by decreased bone mass and compromised bone microarchitecture, leading to increased bone fragility and susceptibility to fractures. According to the World Health Organization (WHO), osteoporosis affects over 200 million people worldwide, with postmenopausal women and elderly individuals being at the highest risk. Fractures, particularly hip,</w:t>
      </w:r>
      <w:r>
        <w:rPr>
          <w:spacing w:val="40"/>
        </w:rPr>
        <w:t> </w:t>
      </w:r>
      <w:r>
        <w:rPr/>
        <w:t>vertebral, and wrist fractures, contribute to significant morbidity, mortality, and healthcare costs. While pharmacological interventions, such as bisphosphonates, denosumab, and selective estrogen receptor modulators, play a critical role in reducing fracture risk, non- pharmacological strategies, including physiotherapy, are essential for </w:t>
      </w:r>
      <w:r>
        <w:rPr>
          <w:spacing w:val="14"/>
        </w:rPr>
        <w:t>improving</w:t>
      </w:r>
      <w:r>
        <w:rPr>
          <w:spacing w:val="14"/>
        </w:rPr>
        <w:t> musculoskeletal</w:t>
      </w:r>
      <w:r>
        <w:rPr>
          <w:spacing w:val="14"/>
        </w:rPr>
        <w:t> strength,</w:t>
      </w:r>
      <w:r>
        <w:rPr>
          <w:spacing w:val="14"/>
        </w:rPr>
        <w:t> balance,</w:t>
      </w:r>
      <w:r>
        <w:rPr>
          <w:spacing w:val="14"/>
        </w:rPr>
        <w:t> </w:t>
      </w:r>
      <w:r>
        <w:rPr>
          <w:spacing w:val="10"/>
        </w:rPr>
        <w:t>and</w:t>
      </w:r>
      <w:r>
        <w:rPr>
          <w:spacing w:val="10"/>
        </w:rPr>
        <w:t> </w:t>
      </w:r>
      <w:r>
        <w:rPr>
          <w:spacing w:val="14"/>
        </w:rPr>
        <w:t>functional </w:t>
      </w:r>
      <w:r>
        <w:rPr>
          <w:spacing w:val="-2"/>
        </w:rPr>
        <w:t>independence.</w:t>
      </w:r>
    </w:p>
    <w:p>
      <w:pPr>
        <w:pStyle w:val="BodyText"/>
        <w:spacing w:before="0"/>
        <w:ind w:left="0"/>
        <w:jc w:val="left"/>
      </w:pPr>
    </w:p>
    <w:p>
      <w:pPr>
        <w:pStyle w:val="BodyText"/>
        <w:spacing w:before="73"/>
        <w:ind w:left="0"/>
        <w:jc w:val="left"/>
      </w:pPr>
    </w:p>
    <w:p>
      <w:pPr>
        <w:pStyle w:val="BodyText"/>
        <w:spacing w:line="247" w:lineRule="auto" w:before="0"/>
        <w:ind w:right="127"/>
      </w:pPr>
      <w:r>
        <w:rPr/>
        <w:t>Physiotherapy interventions aim to enhance BMD, prevent falls, and improve postural stability. This article reviews current evidence on the role of physiotherapy in osteoporosis management, focusing on </w:t>
      </w:r>
      <w:r>
        <w:rPr>
          <w:spacing w:val="12"/>
        </w:rPr>
        <w:t>exercise-</w:t>
      </w:r>
      <w:r>
        <w:rPr>
          <w:spacing w:val="9"/>
        </w:rPr>
        <w:t>based</w:t>
      </w:r>
      <w:r>
        <w:rPr>
          <w:spacing w:val="9"/>
        </w:rPr>
        <w:t> </w:t>
      </w:r>
      <w:r>
        <w:rPr>
          <w:spacing w:val="10"/>
        </w:rPr>
        <w:t>approaches,</w:t>
      </w:r>
      <w:r>
        <w:rPr>
          <w:spacing w:val="10"/>
        </w:rPr>
        <w:t> safety</w:t>
      </w:r>
      <w:r>
        <w:rPr>
          <w:spacing w:val="10"/>
        </w:rPr>
        <w:t> </w:t>
      </w:r>
      <w:r>
        <w:rPr>
          <w:spacing w:val="11"/>
        </w:rPr>
        <w:t>considerations,</w:t>
      </w:r>
      <w:r>
        <w:rPr>
          <w:spacing w:val="11"/>
        </w:rPr>
        <w:t> </w:t>
      </w:r>
      <w:r>
        <w:rPr/>
        <w:t>and </w:t>
      </w:r>
      <w:r>
        <w:rPr>
          <w:spacing w:val="10"/>
        </w:rPr>
        <w:t>clinical </w:t>
      </w:r>
      <w:r>
        <w:rPr>
          <w:spacing w:val="-2"/>
        </w:rPr>
        <w:t>implications.</w:t>
      </w:r>
    </w:p>
    <w:p>
      <w:pPr>
        <w:pStyle w:val="Heading1"/>
        <w:spacing w:before="225"/>
      </w:pPr>
      <w:r>
        <w:rPr/>
        <w:t>Physiotherapy</w:t>
      </w:r>
      <w:r>
        <w:rPr>
          <w:spacing w:val="-7"/>
        </w:rPr>
        <w:t> </w:t>
      </w:r>
      <w:r>
        <w:rPr/>
        <w:t>Interventions</w:t>
      </w:r>
      <w:r>
        <w:rPr>
          <w:spacing w:val="-4"/>
        </w:rPr>
        <w:t> </w:t>
      </w:r>
      <w:r>
        <w:rPr/>
        <w:t>for</w:t>
      </w:r>
      <w:r>
        <w:rPr>
          <w:spacing w:val="-10"/>
        </w:rPr>
        <w:t> </w:t>
      </w:r>
      <w:r>
        <w:rPr>
          <w:spacing w:val="-2"/>
        </w:rPr>
        <w:t>Osteoporosis</w:t>
      </w:r>
    </w:p>
    <w:p>
      <w:pPr>
        <w:pStyle w:val="ListParagraph"/>
        <w:numPr>
          <w:ilvl w:val="0"/>
          <w:numId w:val="1"/>
        </w:numPr>
        <w:tabs>
          <w:tab w:pos="479" w:val="left" w:leader="none"/>
        </w:tabs>
        <w:spacing w:line="240" w:lineRule="auto" w:before="243" w:after="0"/>
        <w:ind w:left="479" w:right="0" w:hanging="351"/>
        <w:jc w:val="left"/>
        <w:rPr>
          <w:sz w:val="33"/>
        </w:rPr>
      </w:pPr>
      <w:r>
        <w:rPr>
          <w:spacing w:val="-2"/>
          <w:sz w:val="33"/>
        </w:rPr>
        <w:t>Weight-Bearing</w:t>
      </w:r>
      <w:r>
        <w:rPr>
          <w:spacing w:val="-16"/>
          <w:sz w:val="33"/>
        </w:rPr>
        <w:t> </w:t>
      </w:r>
      <w:r>
        <w:rPr>
          <w:spacing w:val="-2"/>
          <w:sz w:val="33"/>
        </w:rPr>
        <w:t>Aerobic</w:t>
      </w:r>
      <w:r>
        <w:rPr>
          <w:spacing w:val="4"/>
          <w:sz w:val="33"/>
        </w:rPr>
        <w:t> </w:t>
      </w:r>
      <w:r>
        <w:rPr>
          <w:spacing w:val="-2"/>
          <w:sz w:val="33"/>
        </w:rPr>
        <w:t>Exercise</w:t>
      </w:r>
    </w:p>
    <w:p>
      <w:pPr>
        <w:pStyle w:val="BodyText"/>
        <w:spacing w:line="247" w:lineRule="auto"/>
        <w:ind w:right="126"/>
      </w:pPr>
      <w:r>
        <w:rPr/>
        <w:t>Weight-bearing activities stimulate osteogenesis through mechanical loading, which enhances bone remodeling and increases BMD.</w:t>
      </w:r>
      <w:r>
        <w:rPr>
          <w:spacing w:val="40"/>
        </w:rPr>
        <w:t> </w:t>
      </w:r>
      <w:r>
        <w:rPr/>
        <w:t>Exercises such as walking, stair climbing, dancing, and low-impact aerobics have been shown to slow bone loss and improve bone strength, particularly in the spine and hip regions. Studies indicate that moderate- intensity weight-bearing exercise for at least 30 minutes, three to five times per week, positively impacts skeletal health.</w:t>
      </w:r>
    </w:p>
    <w:p>
      <w:pPr>
        <w:pStyle w:val="BodyText"/>
        <w:spacing w:after="0" w:line="247" w:lineRule="auto"/>
        <w:sectPr>
          <w:pgSz w:w="11910" w:h="16840"/>
          <w:pgMar w:header="0" w:footer="1649" w:top="1300" w:bottom="1840" w:left="992" w:right="992"/>
        </w:sectPr>
      </w:pPr>
    </w:p>
    <w:p>
      <w:pPr>
        <w:pStyle w:val="ListParagraph"/>
        <w:numPr>
          <w:ilvl w:val="0"/>
          <w:numId w:val="1"/>
        </w:numPr>
        <w:tabs>
          <w:tab w:pos="485" w:val="left" w:leader="none"/>
        </w:tabs>
        <w:spacing w:line="240" w:lineRule="auto" w:before="74" w:after="0"/>
        <w:ind w:left="485" w:right="0" w:hanging="357"/>
        <w:jc w:val="left"/>
        <w:rPr>
          <w:sz w:val="33"/>
        </w:rPr>
      </w:pPr>
      <w:r>
        <w:rPr>
          <w:sz w:val="33"/>
        </w:rPr>
        <w:t>Resistance</w:t>
      </w:r>
      <w:r>
        <w:rPr>
          <w:spacing w:val="-11"/>
          <w:sz w:val="33"/>
        </w:rPr>
        <w:t> </w:t>
      </w:r>
      <w:r>
        <w:rPr>
          <w:spacing w:val="-2"/>
          <w:sz w:val="33"/>
        </w:rPr>
        <w:t>Training</w:t>
      </w:r>
    </w:p>
    <w:p>
      <w:pPr>
        <w:pStyle w:val="BodyText"/>
        <w:spacing w:line="247" w:lineRule="auto"/>
        <w:ind w:right="125"/>
      </w:pPr>
      <w:r>
        <w:rPr/>
        <w:t>Resistance training involves exercises that apply progressive overload to muscles and bones, promoting osteoblastic activity and improving</w:t>
      </w:r>
      <w:r>
        <w:rPr>
          <w:spacing w:val="80"/>
        </w:rPr>
        <w:t> </w:t>
      </w:r>
      <w:r>
        <w:rPr/>
        <w:t>BMD. Strength training using free weights, resistance bands, and bodyweight exercises, performed two to three times weekly, has been demonstrated to improve bone density, muscle mass, and overall functional performance in osteoporotic individuals. High-intensity resistance training, when performed under supervision, is particularly effective in reducing vertebral fracture risk.</w:t>
      </w:r>
    </w:p>
    <w:p>
      <w:pPr>
        <w:pStyle w:val="ListParagraph"/>
        <w:numPr>
          <w:ilvl w:val="0"/>
          <w:numId w:val="1"/>
        </w:numPr>
        <w:tabs>
          <w:tab w:pos="485" w:val="left" w:leader="none"/>
        </w:tabs>
        <w:spacing w:line="240" w:lineRule="auto" w:before="219" w:after="0"/>
        <w:ind w:left="485" w:right="0" w:hanging="357"/>
        <w:jc w:val="left"/>
        <w:rPr>
          <w:sz w:val="33"/>
        </w:rPr>
      </w:pPr>
      <w:r>
        <w:rPr>
          <w:sz w:val="33"/>
        </w:rPr>
        <w:t>Balance</w:t>
      </w:r>
      <w:r>
        <w:rPr>
          <w:spacing w:val="-3"/>
          <w:sz w:val="33"/>
        </w:rPr>
        <w:t> </w:t>
      </w:r>
      <w:r>
        <w:rPr>
          <w:sz w:val="33"/>
        </w:rPr>
        <w:t>and</w:t>
      </w:r>
      <w:r>
        <w:rPr>
          <w:spacing w:val="-3"/>
          <w:sz w:val="33"/>
        </w:rPr>
        <w:t> </w:t>
      </w:r>
      <w:r>
        <w:rPr>
          <w:sz w:val="33"/>
        </w:rPr>
        <w:t>Postural</w:t>
      </w:r>
      <w:r>
        <w:rPr>
          <w:spacing w:val="-8"/>
          <w:sz w:val="33"/>
        </w:rPr>
        <w:t> </w:t>
      </w:r>
      <w:r>
        <w:rPr>
          <w:spacing w:val="-2"/>
          <w:sz w:val="33"/>
        </w:rPr>
        <w:t>Training</w:t>
      </w:r>
    </w:p>
    <w:p>
      <w:pPr>
        <w:pStyle w:val="BodyText"/>
        <w:spacing w:line="247" w:lineRule="auto"/>
        <w:ind w:right="125"/>
      </w:pPr>
      <w:r>
        <w:rPr/>
        <w:t>Falls are a leading cause of osteoporotic fractures, necessitating targeted interventions to improve balance and proprioception. Tai chi, yoga, and balance exercises enhance neuromuscular coordination, reducing fall</w:t>
      </w:r>
      <w:r>
        <w:rPr>
          <w:spacing w:val="40"/>
        </w:rPr>
        <w:t> </w:t>
      </w:r>
      <w:r>
        <w:rPr/>
        <w:t>risk in osteoporotic individuals. Postural training, focusing on spinal alignment and core stability, also helps mitigate excessive spinal loading and prevents vertebral compression fractures.</w:t>
      </w:r>
    </w:p>
    <w:p>
      <w:pPr>
        <w:pStyle w:val="ListParagraph"/>
        <w:numPr>
          <w:ilvl w:val="0"/>
          <w:numId w:val="1"/>
        </w:numPr>
        <w:tabs>
          <w:tab w:pos="485" w:val="left" w:leader="none"/>
        </w:tabs>
        <w:spacing w:line="240" w:lineRule="auto" w:before="223" w:after="0"/>
        <w:ind w:left="485" w:right="0" w:hanging="357"/>
        <w:jc w:val="left"/>
        <w:rPr>
          <w:sz w:val="33"/>
        </w:rPr>
      </w:pPr>
      <w:r>
        <w:rPr>
          <w:sz w:val="33"/>
        </w:rPr>
        <w:t>Flexibility</w:t>
      </w:r>
      <w:r>
        <w:rPr>
          <w:spacing w:val="-4"/>
          <w:sz w:val="33"/>
        </w:rPr>
        <w:t> </w:t>
      </w:r>
      <w:r>
        <w:rPr>
          <w:sz w:val="33"/>
        </w:rPr>
        <w:t>and</w:t>
      </w:r>
      <w:r>
        <w:rPr>
          <w:spacing w:val="-4"/>
          <w:sz w:val="33"/>
        </w:rPr>
        <w:t> </w:t>
      </w:r>
      <w:r>
        <w:rPr>
          <w:sz w:val="33"/>
        </w:rPr>
        <w:t>Mobility</w:t>
      </w:r>
      <w:r>
        <w:rPr>
          <w:spacing w:val="-4"/>
          <w:sz w:val="33"/>
        </w:rPr>
        <w:t> </w:t>
      </w:r>
      <w:r>
        <w:rPr>
          <w:spacing w:val="-2"/>
          <w:sz w:val="33"/>
        </w:rPr>
        <w:t>Exercises</w:t>
      </w:r>
    </w:p>
    <w:p>
      <w:pPr>
        <w:pStyle w:val="BodyText"/>
        <w:spacing w:line="247" w:lineRule="auto"/>
        <w:ind w:right="126"/>
      </w:pPr>
      <w:r>
        <w:rPr/>
        <w:t>Gentle stretching and mobility exercises help maintain joint flexibility and reduce stiffness, which is essential for postural correction and movement efficiency. Dynamic stretching and controlled range-of- motion exercises improve musculoskeletal function and prevent compensatory movement patterns that may predispose individuals to </w:t>
      </w:r>
      <w:r>
        <w:rPr>
          <w:spacing w:val="-2"/>
        </w:rPr>
        <w:t>falls.</w:t>
      </w:r>
    </w:p>
    <w:p>
      <w:pPr>
        <w:pStyle w:val="ListParagraph"/>
        <w:numPr>
          <w:ilvl w:val="0"/>
          <w:numId w:val="1"/>
        </w:numPr>
        <w:tabs>
          <w:tab w:pos="466" w:val="left" w:leader="none"/>
        </w:tabs>
        <w:spacing w:line="240" w:lineRule="auto" w:before="222" w:after="0"/>
        <w:ind w:left="466" w:right="0" w:hanging="338"/>
        <w:jc w:val="left"/>
        <w:rPr>
          <w:sz w:val="33"/>
        </w:rPr>
      </w:pPr>
      <w:r>
        <w:rPr>
          <w:sz w:val="33"/>
        </w:rPr>
        <w:t>Aquatic</w:t>
      </w:r>
      <w:r>
        <w:rPr>
          <w:spacing w:val="-9"/>
          <w:sz w:val="33"/>
        </w:rPr>
        <w:t> </w:t>
      </w:r>
      <w:r>
        <w:rPr>
          <w:spacing w:val="-2"/>
          <w:sz w:val="33"/>
        </w:rPr>
        <w:t>Therapy</w:t>
      </w:r>
    </w:p>
    <w:p>
      <w:pPr>
        <w:pStyle w:val="BodyText"/>
        <w:spacing w:line="247" w:lineRule="auto"/>
        <w:ind w:right="125"/>
      </w:pPr>
      <w:r>
        <w:rPr/>
        <w:t>Hydrotherapy provides a low-impact exercise environment that allows individuals with osteoporosis to engage in resistance and balance exercises without excessive joint stress. The buoyancy of water reduces gravitational forces on bones while still providing enough resistance to stimulate muscle and bone strengthening.</w:t>
      </w:r>
    </w:p>
    <w:p>
      <w:pPr>
        <w:pStyle w:val="BodyText"/>
        <w:spacing w:after="0" w:line="247" w:lineRule="auto"/>
        <w:sectPr>
          <w:pgSz w:w="11910" w:h="16840"/>
          <w:pgMar w:header="0" w:footer="1649" w:top="1300" w:bottom="1840" w:left="992" w:right="992"/>
        </w:sectPr>
      </w:pPr>
    </w:p>
    <w:p>
      <w:pPr>
        <w:pStyle w:val="Heading1"/>
      </w:pPr>
      <w:r>
        <w:rPr/>
        <w:t>Clinical</w:t>
      </w:r>
      <w:r>
        <w:rPr>
          <w:spacing w:val="-7"/>
        </w:rPr>
        <w:t> </w:t>
      </w:r>
      <w:r>
        <w:rPr/>
        <w:t>Implications</w:t>
      </w:r>
      <w:r>
        <w:rPr>
          <w:spacing w:val="-5"/>
        </w:rPr>
        <w:t> </w:t>
      </w:r>
      <w:r>
        <w:rPr/>
        <w:t>and</w:t>
      </w:r>
      <w:r>
        <w:rPr>
          <w:spacing w:val="-5"/>
        </w:rPr>
        <w:t> </w:t>
      </w:r>
      <w:r>
        <w:rPr/>
        <w:t>Future</w:t>
      </w:r>
      <w:r>
        <w:rPr>
          <w:spacing w:val="-4"/>
        </w:rPr>
        <w:t> </w:t>
      </w:r>
      <w:r>
        <w:rPr>
          <w:spacing w:val="-2"/>
        </w:rPr>
        <w:t>Directions</w:t>
      </w:r>
    </w:p>
    <w:p>
      <w:pPr>
        <w:pStyle w:val="BodyText"/>
        <w:spacing w:line="247" w:lineRule="auto"/>
        <w:ind w:right="125"/>
      </w:pPr>
      <w:r>
        <w:rPr/>
        <w:t>Integrating physiotherapy into the standard management of osteoporosis has significant implications for reducing fracture risk, improving mobility, and enhancing quality of life. Multidisciplinary collaboration between physicians, physiotherapists, and rehabilitation specialists is essential for developing individualized, evidence-based </w:t>
      </w:r>
      <w:r>
        <w:rPr/>
        <w:t>exercise </w:t>
      </w:r>
      <w:r>
        <w:rPr>
          <w:spacing w:val="-2"/>
        </w:rPr>
        <w:t>programs.</w:t>
      </w:r>
    </w:p>
    <w:p>
      <w:pPr>
        <w:pStyle w:val="BodyText"/>
        <w:spacing w:before="222"/>
        <w:jc w:val="left"/>
      </w:pPr>
      <w:r>
        <w:rPr/>
        <w:t>Future</w:t>
      </w:r>
      <w:r>
        <w:rPr>
          <w:spacing w:val="-4"/>
        </w:rPr>
        <w:t> </w:t>
      </w:r>
      <w:r>
        <w:rPr/>
        <w:t>research</w:t>
      </w:r>
      <w:r>
        <w:rPr>
          <w:spacing w:val="-2"/>
        </w:rPr>
        <w:t> </w:t>
      </w:r>
      <w:r>
        <w:rPr/>
        <w:t>should</w:t>
      </w:r>
      <w:r>
        <w:rPr>
          <w:spacing w:val="-2"/>
        </w:rPr>
        <w:t> </w:t>
      </w:r>
      <w:r>
        <w:rPr/>
        <w:t>focus</w:t>
      </w:r>
      <w:r>
        <w:rPr>
          <w:spacing w:val="-2"/>
        </w:rPr>
        <w:t> </w:t>
      </w:r>
      <w:r>
        <w:rPr>
          <w:spacing w:val="-5"/>
        </w:rPr>
        <w:t>on:</w:t>
      </w:r>
    </w:p>
    <w:p>
      <w:pPr>
        <w:pStyle w:val="ListParagraph"/>
        <w:numPr>
          <w:ilvl w:val="1"/>
          <w:numId w:val="1"/>
        </w:numPr>
        <w:tabs>
          <w:tab w:pos="382" w:val="left" w:leader="none"/>
        </w:tabs>
        <w:spacing w:line="247" w:lineRule="auto" w:before="243" w:after="0"/>
        <w:ind w:left="128" w:right="126" w:firstLine="0"/>
        <w:jc w:val="left"/>
        <w:rPr>
          <w:sz w:val="33"/>
        </w:rPr>
      </w:pPr>
      <w:r>
        <w:rPr>
          <w:sz w:val="33"/>
        </w:rPr>
        <w:t>Determining</w:t>
      </w:r>
      <w:r>
        <w:rPr>
          <w:spacing w:val="40"/>
          <w:sz w:val="33"/>
        </w:rPr>
        <w:t> </w:t>
      </w:r>
      <w:r>
        <w:rPr>
          <w:sz w:val="33"/>
        </w:rPr>
        <w:t>the</w:t>
      </w:r>
      <w:r>
        <w:rPr>
          <w:spacing w:val="40"/>
          <w:sz w:val="33"/>
        </w:rPr>
        <w:t> </w:t>
      </w:r>
      <w:r>
        <w:rPr>
          <w:sz w:val="33"/>
        </w:rPr>
        <w:t>optimal</w:t>
      </w:r>
      <w:r>
        <w:rPr>
          <w:spacing w:val="40"/>
          <w:sz w:val="33"/>
        </w:rPr>
        <w:t> </w:t>
      </w:r>
      <w:r>
        <w:rPr>
          <w:sz w:val="33"/>
        </w:rPr>
        <w:t>intensity</w:t>
      </w:r>
      <w:r>
        <w:rPr>
          <w:spacing w:val="40"/>
          <w:sz w:val="33"/>
        </w:rPr>
        <w:t> </w:t>
      </w:r>
      <w:r>
        <w:rPr>
          <w:sz w:val="33"/>
        </w:rPr>
        <w:t>and</w:t>
      </w:r>
      <w:r>
        <w:rPr>
          <w:spacing w:val="40"/>
          <w:sz w:val="33"/>
        </w:rPr>
        <w:t> </w:t>
      </w:r>
      <w:r>
        <w:rPr>
          <w:sz w:val="33"/>
        </w:rPr>
        <w:t>duration</w:t>
      </w:r>
      <w:r>
        <w:rPr>
          <w:spacing w:val="40"/>
          <w:sz w:val="33"/>
        </w:rPr>
        <w:t> </w:t>
      </w:r>
      <w:r>
        <w:rPr>
          <w:sz w:val="33"/>
        </w:rPr>
        <w:t>of</w:t>
      </w:r>
      <w:r>
        <w:rPr>
          <w:spacing w:val="40"/>
          <w:sz w:val="33"/>
        </w:rPr>
        <w:t> </w:t>
      </w:r>
      <w:r>
        <w:rPr>
          <w:sz w:val="33"/>
        </w:rPr>
        <w:t>physiotherapeutic interventions for different osteoporosis populations.</w:t>
      </w:r>
    </w:p>
    <w:p>
      <w:pPr>
        <w:pStyle w:val="ListParagraph"/>
        <w:numPr>
          <w:ilvl w:val="1"/>
          <w:numId w:val="1"/>
        </w:numPr>
        <w:tabs>
          <w:tab w:pos="457" w:val="left" w:leader="none"/>
          <w:tab w:pos="2397" w:val="left" w:leader="none"/>
          <w:tab w:pos="3014" w:val="left" w:leader="none"/>
          <w:tab w:pos="4532" w:val="left" w:leader="none"/>
          <w:tab w:pos="5645" w:val="left" w:leader="none"/>
          <w:tab w:pos="6134" w:val="left" w:leader="none"/>
          <w:tab w:pos="8221" w:val="left" w:leader="none"/>
          <w:tab w:pos="8765" w:val="left" w:leader="none"/>
        </w:tabs>
        <w:spacing w:line="247" w:lineRule="auto" w:before="230" w:after="0"/>
        <w:ind w:left="128" w:right="125" w:firstLine="0"/>
        <w:jc w:val="left"/>
        <w:rPr>
          <w:sz w:val="33"/>
        </w:rPr>
      </w:pPr>
      <w:r>
        <w:rPr>
          <w:spacing w:val="-2"/>
          <w:sz w:val="33"/>
        </w:rPr>
        <w:t>Investigating</w:t>
      </w:r>
      <w:r>
        <w:rPr>
          <w:sz w:val="33"/>
        </w:rPr>
        <w:tab/>
      </w:r>
      <w:r>
        <w:rPr>
          <w:spacing w:val="-4"/>
          <w:sz w:val="33"/>
        </w:rPr>
        <w:t>the</w:t>
      </w:r>
      <w:r>
        <w:rPr>
          <w:sz w:val="33"/>
        </w:rPr>
        <w:tab/>
      </w:r>
      <w:r>
        <w:rPr>
          <w:spacing w:val="-2"/>
          <w:sz w:val="33"/>
        </w:rPr>
        <w:t>long-term</w:t>
      </w:r>
      <w:r>
        <w:rPr>
          <w:sz w:val="33"/>
        </w:rPr>
        <w:tab/>
      </w:r>
      <w:r>
        <w:rPr>
          <w:spacing w:val="-2"/>
          <w:sz w:val="33"/>
        </w:rPr>
        <w:t>impact</w:t>
      </w:r>
      <w:r>
        <w:rPr>
          <w:sz w:val="33"/>
        </w:rPr>
        <w:tab/>
      </w:r>
      <w:r>
        <w:rPr>
          <w:spacing w:val="-6"/>
          <w:sz w:val="33"/>
        </w:rPr>
        <w:t>of</w:t>
      </w:r>
      <w:r>
        <w:rPr>
          <w:sz w:val="33"/>
        </w:rPr>
        <w:tab/>
      </w:r>
      <w:r>
        <w:rPr>
          <w:spacing w:val="-2"/>
          <w:sz w:val="33"/>
        </w:rPr>
        <w:t>physiotherapy</w:t>
      </w:r>
      <w:r>
        <w:rPr>
          <w:sz w:val="33"/>
        </w:rPr>
        <w:tab/>
      </w:r>
      <w:r>
        <w:rPr>
          <w:spacing w:val="-6"/>
          <w:sz w:val="33"/>
        </w:rPr>
        <w:t>on</w:t>
      </w:r>
      <w:r>
        <w:rPr>
          <w:sz w:val="33"/>
        </w:rPr>
        <w:tab/>
      </w:r>
      <w:r>
        <w:rPr>
          <w:spacing w:val="-2"/>
          <w:sz w:val="33"/>
        </w:rPr>
        <w:t>fracture </w:t>
      </w:r>
      <w:r>
        <w:rPr>
          <w:sz w:val="33"/>
        </w:rPr>
        <w:t>prevention and functional outcomes.</w:t>
      </w:r>
    </w:p>
    <w:p>
      <w:pPr>
        <w:pStyle w:val="ListParagraph"/>
        <w:numPr>
          <w:ilvl w:val="1"/>
          <w:numId w:val="1"/>
        </w:numPr>
        <w:tabs>
          <w:tab w:pos="429" w:val="left" w:leader="none"/>
        </w:tabs>
        <w:spacing w:line="247" w:lineRule="auto" w:before="230" w:after="0"/>
        <w:ind w:left="128" w:right="125" w:firstLine="0"/>
        <w:jc w:val="left"/>
        <w:rPr>
          <w:sz w:val="33"/>
        </w:rPr>
      </w:pPr>
      <w:r>
        <w:rPr>
          <w:sz w:val="33"/>
        </w:rPr>
        <w:t>Exploring</w:t>
      </w:r>
      <w:r>
        <w:rPr>
          <w:spacing w:val="80"/>
          <w:sz w:val="33"/>
        </w:rPr>
        <w:t> </w:t>
      </w:r>
      <w:r>
        <w:rPr>
          <w:sz w:val="33"/>
        </w:rPr>
        <w:t>novel</w:t>
      </w:r>
      <w:r>
        <w:rPr>
          <w:spacing w:val="80"/>
          <w:sz w:val="33"/>
        </w:rPr>
        <w:t> </w:t>
      </w:r>
      <w:r>
        <w:rPr>
          <w:sz w:val="33"/>
        </w:rPr>
        <w:t>exercise</w:t>
      </w:r>
      <w:r>
        <w:rPr>
          <w:spacing w:val="80"/>
          <w:sz w:val="33"/>
        </w:rPr>
        <w:t> </w:t>
      </w:r>
      <w:r>
        <w:rPr>
          <w:sz w:val="33"/>
        </w:rPr>
        <w:t>modalities,</w:t>
      </w:r>
      <w:r>
        <w:rPr>
          <w:spacing w:val="80"/>
          <w:sz w:val="33"/>
        </w:rPr>
        <w:t> </w:t>
      </w:r>
      <w:r>
        <w:rPr>
          <w:sz w:val="33"/>
        </w:rPr>
        <w:t>such</w:t>
      </w:r>
      <w:r>
        <w:rPr>
          <w:spacing w:val="80"/>
          <w:sz w:val="33"/>
        </w:rPr>
        <w:t> </w:t>
      </w:r>
      <w:r>
        <w:rPr>
          <w:sz w:val="33"/>
        </w:rPr>
        <w:t>as</w:t>
      </w:r>
      <w:r>
        <w:rPr>
          <w:spacing w:val="80"/>
          <w:sz w:val="33"/>
        </w:rPr>
        <w:t> </w:t>
      </w:r>
      <w:r>
        <w:rPr>
          <w:sz w:val="33"/>
        </w:rPr>
        <w:t>virtual</w:t>
      </w:r>
      <w:r>
        <w:rPr>
          <w:spacing w:val="80"/>
          <w:sz w:val="33"/>
        </w:rPr>
        <w:t> </w:t>
      </w:r>
      <w:r>
        <w:rPr>
          <w:sz w:val="33"/>
        </w:rPr>
        <w:t>reality-based rehabilitation and neuromuscular training, for osteoporosis management.</w:t>
      </w:r>
    </w:p>
    <w:p>
      <w:pPr>
        <w:pStyle w:val="BodyText"/>
        <w:spacing w:before="0"/>
        <w:ind w:left="0"/>
        <w:jc w:val="left"/>
      </w:pPr>
    </w:p>
    <w:p>
      <w:pPr>
        <w:pStyle w:val="BodyText"/>
        <w:spacing w:before="93"/>
        <w:ind w:left="0"/>
        <w:jc w:val="left"/>
      </w:pPr>
    </w:p>
    <w:p>
      <w:pPr>
        <w:pStyle w:val="Heading1"/>
        <w:spacing w:before="1"/>
      </w:pPr>
      <w:r>
        <w:rPr>
          <w:spacing w:val="-2"/>
        </w:rPr>
        <w:t>Conclusion</w:t>
      </w:r>
    </w:p>
    <w:p>
      <w:pPr>
        <w:pStyle w:val="BodyText"/>
        <w:spacing w:line="247" w:lineRule="auto"/>
        <w:ind w:right="107"/>
      </w:pPr>
      <w:r>
        <w:rPr/>
        <w:t>Physiotherapy is a cornerstone in the comprehensive management of osteoporosis, complementing pharmacological treatments to improve bone strength, reduce fall risk, and enhance functional capacity. A structured physiotherapy regimen, incorporating weight-bearing, resistance, balance, and mobility exercises, can significantly contribute</w:t>
      </w:r>
      <w:r>
        <w:rPr>
          <w:spacing w:val="40"/>
        </w:rPr>
        <w:t> </w:t>
      </w:r>
      <w:r>
        <w:rPr/>
        <w:t>to fracture prevention and long-term skeletal health. Personalized exercise programs, guided by healthcare professionals, are essential for ensuring safety and maximizing therapeutic benefits. As osteoporosis prevalence continues to rise, integrating physiotherapy into routine clinical care remains a priority for optimizing patient outcomes.</w:t>
      </w:r>
    </w:p>
    <w:p>
      <w:pPr>
        <w:pStyle w:val="BodyText"/>
        <w:spacing w:after="0" w:line="247" w:lineRule="auto"/>
        <w:sectPr>
          <w:pgSz w:w="11910" w:h="16840"/>
          <w:pgMar w:header="0" w:footer="1649" w:top="1300" w:bottom="1840" w:left="992" w:right="992"/>
        </w:sectPr>
      </w:pPr>
    </w:p>
    <w:p>
      <w:pPr>
        <w:pStyle w:val="Heading1"/>
      </w:pPr>
      <w:r>
        <w:rPr>
          <w:spacing w:val="-2"/>
        </w:rPr>
        <w:t>References</w:t>
      </w:r>
    </w:p>
    <w:p>
      <w:pPr>
        <w:pStyle w:val="ListParagraph"/>
        <w:numPr>
          <w:ilvl w:val="0"/>
          <w:numId w:val="2"/>
        </w:numPr>
        <w:tabs>
          <w:tab w:pos="535" w:val="left" w:leader="none"/>
        </w:tabs>
        <w:spacing w:line="247" w:lineRule="auto" w:before="243" w:after="0"/>
        <w:ind w:left="128" w:right="126" w:firstLine="0"/>
        <w:jc w:val="both"/>
        <w:rPr>
          <w:sz w:val="33"/>
        </w:rPr>
      </w:pPr>
      <w:r>
        <w:rPr>
          <w:sz w:val="33"/>
        </w:rPr>
        <w:t>Kemmler W, Engelke K, Lauber D, et al. Benefits of 2 years of intense exercise on bone density, physical fitness, and blood lipids in early postmenopausal osteopenic women: results of the Erlangen Fitness </w:t>
      </w:r>
      <w:r>
        <w:rPr>
          <w:spacing w:val="16"/>
          <w:sz w:val="33"/>
        </w:rPr>
        <w:t>Osteoporosis</w:t>
      </w:r>
      <w:r>
        <w:rPr>
          <w:spacing w:val="16"/>
          <w:sz w:val="33"/>
        </w:rPr>
        <w:t> Prevention</w:t>
      </w:r>
      <w:r>
        <w:rPr>
          <w:spacing w:val="16"/>
          <w:sz w:val="33"/>
        </w:rPr>
        <w:t> </w:t>
      </w:r>
      <w:r>
        <w:rPr>
          <w:spacing w:val="14"/>
          <w:sz w:val="33"/>
        </w:rPr>
        <w:t>Study</w:t>
      </w:r>
      <w:r>
        <w:rPr>
          <w:spacing w:val="14"/>
          <w:sz w:val="33"/>
        </w:rPr>
        <w:t> </w:t>
      </w:r>
      <w:r>
        <w:rPr>
          <w:spacing w:val="15"/>
          <w:sz w:val="33"/>
        </w:rPr>
        <w:t>(EFOPS).</w:t>
      </w:r>
      <w:r>
        <w:rPr>
          <w:spacing w:val="15"/>
          <w:sz w:val="33"/>
        </w:rPr>
        <w:t> </w:t>
      </w:r>
      <w:r>
        <w:rPr>
          <w:spacing w:val="13"/>
          <w:sz w:val="33"/>
        </w:rPr>
        <w:t>Arch</w:t>
      </w:r>
      <w:r>
        <w:rPr>
          <w:spacing w:val="13"/>
          <w:sz w:val="33"/>
        </w:rPr>
        <w:t> </w:t>
      </w:r>
      <w:r>
        <w:rPr>
          <w:spacing w:val="15"/>
          <w:sz w:val="33"/>
        </w:rPr>
        <w:t>Intern</w:t>
      </w:r>
      <w:r>
        <w:rPr>
          <w:spacing w:val="15"/>
          <w:sz w:val="33"/>
        </w:rPr>
        <w:t> </w:t>
      </w:r>
      <w:r>
        <w:rPr>
          <w:spacing w:val="13"/>
          <w:sz w:val="33"/>
        </w:rPr>
        <w:t>Med. </w:t>
      </w:r>
      <w:r>
        <w:rPr>
          <w:spacing w:val="-2"/>
          <w:sz w:val="33"/>
        </w:rPr>
        <w:t>2004;164(10):1084-1091.</w:t>
      </w:r>
    </w:p>
    <w:p>
      <w:pPr>
        <w:pStyle w:val="ListParagraph"/>
        <w:numPr>
          <w:ilvl w:val="0"/>
          <w:numId w:val="2"/>
        </w:numPr>
        <w:tabs>
          <w:tab w:pos="480" w:val="left" w:leader="none"/>
        </w:tabs>
        <w:spacing w:line="247" w:lineRule="auto" w:before="224" w:after="0"/>
        <w:ind w:left="128" w:right="125" w:firstLine="0"/>
        <w:jc w:val="both"/>
        <w:rPr>
          <w:sz w:val="33"/>
        </w:rPr>
      </w:pPr>
      <w:r>
        <w:rPr>
          <w:sz w:val="33"/>
        </w:rPr>
        <w:t>Korpelainen R, Keinänen-Kiukaanniemi S, Nieminen P, Heikkinen J, Väänänen K, Korpelainen J. Long-term outcomes of exercise: follow-up of a randomized trial in older women with osteopenia.</w:t>
      </w:r>
      <w:r>
        <w:rPr>
          <w:spacing w:val="-8"/>
          <w:sz w:val="33"/>
        </w:rPr>
        <w:t> </w:t>
      </w:r>
      <w:r>
        <w:rPr>
          <w:sz w:val="33"/>
        </w:rPr>
        <w:t>Arch Intern Med. </w:t>
      </w:r>
      <w:r>
        <w:rPr>
          <w:spacing w:val="-2"/>
          <w:sz w:val="33"/>
        </w:rPr>
        <w:t>2006;166(8):859-865.</w:t>
      </w:r>
    </w:p>
    <w:p>
      <w:pPr>
        <w:pStyle w:val="ListParagraph"/>
        <w:numPr>
          <w:ilvl w:val="0"/>
          <w:numId w:val="2"/>
        </w:numPr>
        <w:tabs>
          <w:tab w:pos="565" w:val="left" w:leader="none"/>
        </w:tabs>
        <w:spacing w:line="247" w:lineRule="auto" w:before="226" w:after="0"/>
        <w:ind w:left="128" w:right="125" w:firstLine="0"/>
        <w:jc w:val="both"/>
        <w:rPr>
          <w:sz w:val="33"/>
        </w:rPr>
      </w:pPr>
      <w:r>
        <w:rPr>
          <w:sz w:val="33"/>
        </w:rPr>
        <w:t>Montero-Odasso M, van der Velde N, Martin FC, et al. World guidelines for falls prevention and management for older adults: a global initiative. JAMA. 2022;328(13):1341-1347.</w:t>
      </w:r>
    </w:p>
    <w:p>
      <w:pPr>
        <w:pStyle w:val="ListParagraph"/>
        <w:numPr>
          <w:ilvl w:val="0"/>
          <w:numId w:val="2"/>
        </w:numPr>
        <w:tabs>
          <w:tab w:pos="586" w:val="left" w:leader="none"/>
        </w:tabs>
        <w:spacing w:line="247" w:lineRule="auto" w:before="228" w:after="0"/>
        <w:ind w:left="128" w:right="126" w:firstLine="0"/>
        <w:jc w:val="both"/>
        <w:rPr>
          <w:sz w:val="33"/>
        </w:rPr>
      </w:pPr>
      <w:r>
        <w:rPr>
          <w:sz w:val="33"/>
        </w:rPr>
        <w:t>Tricco AC, Thomas SM, Veroniki AA, et al. Comparisons of interventions</w:t>
      </w:r>
      <w:r>
        <w:rPr>
          <w:spacing w:val="-1"/>
          <w:sz w:val="33"/>
        </w:rPr>
        <w:t> </w:t>
      </w:r>
      <w:r>
        <w:rPr>
          <w:sz w:val="33"/>
        </w:rPr>
        <w:t>for</w:t>
      </w:r>
      <w:r>
        <w:rPr>
          <w:spacing w:val="-1"/>
          <w:sz w:val="33"/>
        </w:rPr>
        <w:t> </w:t>
      </w:r>
      <w:r>
        <w:rPr>
          <w:sz w:val="33"/>
        </w:rPr>
        <w:t>preventing</w:t>
      </w:r>
      <w:r>
        <w:rPr>
          <w:spacing w:val="-1"/>
          <w:sz w:val="33"/>
        </w:rPr>
        <w:t> </w:t>
      </w:r>
      <w:r>
        <w:rPr>
          <w:sz w:val="33"/>
        </w:rPr>
        <w:t>falls</w:t>
      </w:r>
      <w:r>
        <w:rPr>
          <w:spacing w:val="-1"/>
          <w:sz w:val="33"/>
        </w:rPr>
        <w:t> </w:t>
      </w:r>
      <w:r>
        <w:rPr>
          <w:sz w:val="33"/>
        </w:rPr>
        <w:t>in</w:t>
      </w:r>
      <w:r>
        <w:rPr>
          <w:spacing w:val="-1"/>
          <w:sz w:val="33"/>
        </w:rPr>
        <w:t> </w:t>
      </w:r>
      <w:r>
        <w:rPr>
          <w:sz w:val="33"/>
        </w:rPr>
        <w:t>older</w:t>
      </w:r>
      <w:r>
        <w:rPr>
          <w:spacing w:val="-1"/>
          <w:sz w:val="33"/>
        </w:rPr>
        <w:t> </w:t>
      </w:r>
      <w:r>
        <w:rPr>
          <w:sz w:val="33"/>
        </w:rPr>
        <w:t>adults:</w:t>
      </w:r>
      <w:r>
        <w:rPr>
          <w:spacing w:val="-1"/>
          <w:sz w:val="33"/>
        </w:rPr>
        <w:t> </w:t>
      </w:r>
      <w:r>
        <w:rPr>
          <w:sz w:val="33"/>
        </w:rPr>
        <w:t>a</w:t>
      </w:r>
      <w:r>
        <w:rPr>
          <w:spacing w:val="-1"/>
          <w:sz w:val="33"/>
        </w:rPr>
        <w:t> </w:t>
      </w:r>
      <w:r>
        <w:rPr>
          <w:sz w:val="33"/>
        </w:rPr>
        <w:t>systematic</w:t>
      </w:r>
      <w:r>
        <w:rPr>
          <w:spacing w:val="-1"/>
          <w:sz w:val="33"/>
        </w:rPr>
        <w:t> </w:t>
      </w:r>
      <w:r>
        <w:rPr>
          <w:sz w:val="33"/>
        </w:rPr>
        <w:t>review</w:t>
      </w:r>
      <w:r>
        <w:rPr>
          <w:spacing w:val="-1"/>
          <w:sz w:val="33"/>
        </w:rPr>
        <w:t> </w:t>
      </w:r>
      <w:r>
        <w:rPr>
          <w:sz w:val="33"/>
        </w:rPr>
        <w:t>and meta-analysis. JAMA. 2017;318(17):1687-1699.</w:t>
      </w:r>
    </w:p>
    <w:p>
      <w:pPr>
        <w:pStyle w:val="ListParagraph"/>
        <w:numPr>
          <w:ilvl w:val="0"/>
          <w:numId w:val="2"/>
        </w:numPr>
        <w:tabs>
          <w:tab w:pos="480" w:val="left" w:leader="none"/>
        </w:tabs>
        <w:spacing w:line="247" w:lineRule="auto" w:before="229" w:after="0"/>
        <w:ind w:left="128" w:right="126" w:firstLine="0"/>
        <w:jc w:val="both"/>
        <w:rPr>
          <w:sz w:val="33"/>
        </w:rPr>
      </w:pPr>
      <w:r>
        <w:rPr>
          <w:sz w:val="33"/>
        </w:rPr>
        <w:t>Landry MD, Raman SR, Sully C, Golightly YM, Hamdan E. Secular trends in musculoskeletal rehabilitation needs in 191 countries between 1990 and 2017: a systematic analysis from the Global Burden of Disease Study 2017. JAMA Netw Open. 2021;4(2):e2036462.</w:t>
      </w:r>
    </w:p>
    <w:p>
      <w:pPr>
        <w:pStyle w:val="ListParagraph"/>
        <w:numPr>
          <w:ilvl w:val="0"/>
          <w:numId w:val="2"/>
        </w:numPr>
        <w:tabs>
          <w:tab w:pos="495" w:val="left" w:leader="none"/>
        </w:tabs>
        <w:spacing w:line="247" w:lineRule="auto" w:before="226" w:after="0"/>
        <w:ind w:left="128" w:right="125" w:firstLine="0"/>
        <w:jc w:val="both"/>
        <w:rPr>
          <w:sz w:val="33"/>
        </w:rPr>
      </w:pPr>
      <w:r>
        <w:rPr>
          <w:sz w:val="33"/>
        </w:rPr>
        <w:t>Wang L, Lee M, Zhang Z, Moodie J, Cheng D, Martin J. Effect of prehabilitation before total knee replacement for knee osteoarthritis on functional outcomes: a systematic review and meta-analysis of randomised controlled trials. JAMA Netw Open. 2022;5(2):e2142525.</w:t>
      </w:r>
    </w:p>
    <w:p>
      <w:pPr>
        <w:pStyle w:val="ListParagraph"/>
        <w:numPr>
          <w:ilvl w:val="0"/>
          <w:numId w:val="2"/>
        </w:numPr>
        <w:tabs>
          <w:tab w:pos="489" w:val="left" w:leader="none"/>
        </w:tabs>
        <w:spacing w:line="247" w:lineRule="auto" w:before="226" w:after="0"/>
        <w:ind w:left="128" w:right="126" w:firstLine="0"/>
        <w:jc w:val="both"/>
        <w:rPr>
          <w:sz w:val="33"/>
        </w:rPr>
      </w:pPr>
      <w:r>
        <w:rPr>
          <w:sz w:val="33"/>
        </w:rPr>
        <w:t>Tricco AC, Zarin W, Rios P, et al. Comparisons of interventions for preventing falls in older adults: a systematic review and meta-analysis. JAMA. 2017;318(17):1687-1699.</w:t>
      </w:r>
    </w:p>
    <w:p>
      <w:pPr>
        <w:pStyle w:val="ListParagraph"/>
        <w:spacing w:after="0" w:line="247" w:lineRule="auto"/>
        <w:jc w:val="both"/>
        <w:rPr>
          <w:sz w:val="33"/>
        </w:rPr>
        <w:sectPr>
          <w:pgSz w:w="11910" w:h="16840"/>
          <w:pgMar w:header="0" w:footer="1649" w:top="1300" w:bottom="1840" w:left="992" w:right="992"/>
        </w:sectPr>
      </w:pPr>
    </w:p>
    <w:p>
      <w:pPr>
        <w:pStyle w:val="ListParagraph"/>
        <w:numPr>
          <w:ilvl w:val="0"/>
          <w:numId w:val="2"/>
        </w:numPr>
        <w:tabs>
          <w:tab w:pos="475" w:val="left" w:leader="none"/>
        </w:tabs>
        <w:spacing w:line="247" w:lineRule="auto" w:before="74" w:after="0"/>
        <w:ind w:left="128" w:right="125" w:firstLine="0"/>
        <w:jc w:val="both"/>
        <w:rPr>
          <w:sz w:val="33"/>
        </w:rPr>
      </w:pPr>
      <w:r>
        <w:rPr>
          <w:sz w:val="33"/>
        </w:rPr>
        <w:t>Hopewell S,</w:t>
      </w:r>
      <w:r>
        <w:rPr>
          <w:spacing w:val="-3"/>
          <w:sz w:val="33"/>
        </w:rPr>
        <w:t> </w:t>
      </w:r>
      <w:r>
        <w:rPr>
          <w:sz w:val="33"/>
        </w:rPr>
        <w:t>Adedire O, Copsey BJ, et al. Multifactorial and multiple component interventions for preventing falls in older people living in the community. Cochrane Database Syst Rev. 2018;7(7):CD012221.</w:t>
      </w:r>
    </w:p>
    <w:p>
      <w:pPr>
        <w:pStyle w:val="ListParagraph"/>
        <w:numPr>
          <w:ilvl w:val="0"/>
          <w:numId w:val="2"/>
        </w:numPr>
        <w:tabs>
          <w:tab w:pos="593" w:val="left" w:leader="none"/>
        </w:tabs>
        <w:spacing w:line="247" w:lineRule="auto" w:before="228" w:after="0"/>
        <w:ind w:left="128" w:right="125" w:firstLine="0"/>
        <w:jc w:val="both"/>
        <w:rPr>
          <w:sz w:val="33"/>
        </w:rPr>
      </w:pPr>
      <w:r>
        <w:rPr>
          <w:sz w:val="33"/>
        </w:rPr>
        <w:t>Sherrington C, Fairhall NJ, Wallbank GK, et al. Exercise for preventing falls in older people living in the community. Cochrane Database Syst Rev. 2019;1(1):CD012424.</w:t>
      </w:r>
    </w:p>
    <w:p>
      <w:pPr>
        <w:pStyle w:val="ListParagraph"/>
        <w:numPr>
          <w:ilvl w:val="0"/>
          <w:numId w:val="2"/>
        </w:numPr>
        <w:tabs>
          <w:tab w:pos="671" w:val="left" w:leader="none"/>
        </w:tabs>
        <w:spacing w:line="247" w:lineRule="auto" w:before="228" w:after="0"/>
        <w:ind w:left="128" w:right="126" w:firstLine="0"/>
        <w:jc w:val="both"/>
        <w:rPr>
          <w:sz w:val="33"/>
        </w:rPr>
      </w:pPr>
      <w:r>
        <w:rPr>
          <w:sz w:val="33"/>
        </w:rPr>
        <w:t>Howe TE, Shea B, Dawson LJ, et al. Exercise for preventing and treating osteoporosis in postmenopausal women. Cochrane Database Syst Rev. 2011;(7):CD000333.</w:t>
      </w:r>
    </w:p>
    <w:sectPr>
      <w:pgSz w:w="11910" w:h="16840"/>
      <w:pgMar w:header="0" w:footer="1649" w:top="1300" w:bottom="184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rPr>
        <w:sz w:val="20"/>
      </w:rPr>
    </w:pPr>
    <w:r>
      <w:rPr>
        <w:sz w:val="20"/>
      </w:rPr>
      <mc:AlternateContent>
        <mc:Choice Requires="wps">
          <w:drawing>
            <wp:anchor distT="0" distB="0" distL="0" distR="0" allowOverlap="1" layoutInCell="1" locked="0" behindDoc="1" simplePos="0" relativeHeight="487535104">
              <wp:simplePos x="0" y="0"/>
              <wp:positionH relativeFrom="page">
                <wp:posOffset>716470</wp:posOffset>
              </wp:positionH>
              <wp:positionV relativeFrom="page">
                <wp:posOffset>9471852</wp:posOffset>
              </wp:positionV>
              <wp:extent cx="613156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31560" cy="1270"/>
                      </a:xfrm>
                      <a:custGeom>
                        <a:avLst/>
                        <a:gdLst/>
                        <a:ahLst/>
                        <a:cxnLst/>
                        <a:rect l="l" t="t" r="r" b="b"/>
                        <a:pathLst>
                          <a:path w="6131560" h="0">
                            <a:moveTo>
                              <a:pt x="0" y="0"/>
                            </a:moveTo>
                            <a:lnTo>
                              <a:pt x="6131420" y="0"/>
                            </a:lnTo>
                          </a:path>
                        </a:pathLst>
                      </a:custGeom>
                      <a:ln w="9264">
                        <a:solidFill>
                          <a:srgbClr val="008CB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81376" from="56.415009pt,745.815186pt" to="539.20403pt,745.815186pt" stroked="true" strokeweight=".729504pt" strokecolor="#008cb4">
              <v:stroke dashstyle="solid"/>
              <w10:wrap type="none"/>
            </v:line>
          </w:pict>
        </mc:Fallback>
      </mc:AlternateContent>
    </w:r>
    <w:r>
      <w:rPr>
        <w:sz w:val="20"/>
      </w:rPr>
      <mc:AlternateContent>
        <mc:Choice Requires="wps">
          <w:drawing>
            <wp:anchor distT="0" distB="0" distL="0" distR="0" allowOverlap="1" layoutInCell="1" locked="0" behindDoc="1" simplePos="0" relativeHeight="487535616">
              <wp:simplePos x="0" y="0"/>
              <wp:positionH relativeFrom="page">
                <wp:posOffset>698829</wp:posOffset>
              </wp:positionH>
              <wp:positionV relativeFrom="page">
                <wp:posOffset>9532187</wp:posOffset>
              </wp:positionV>
              <wp:extent cx="2807970" cy="1993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807970" cy="199390"/>
                      </a:xfrm>
                      <a:prstGeom prst="rect">
                        <a:avLst/>
                      </a:prstGeom>
                    </wps:spPr>
                    <wps:txbx>
                      <w:txbxContent>
                        <w:p>
                          <w:pPr>
                            <w:spacing w:before="51"/>
                            <w:ind w:left="20" w:right="0" w:firstLine="0"/>
                            <w:jc w:val="left"/>
                            <w:rPr>
                              <w:rFonts w:ascii="Arial MT"/>
                              <w:sz w:val="19"/>
                            </w:rPr>
                          </w:pPr>
                          <w:r>
                            <w:rPr>
                              <w:rFonts w:ascii="Arial MT"/>
                              <w:color w:val="008CB4"/>
                              <w:spacing w:val="-6"/>
                              <w:sz w:val="19"/>
                            </w:rPr>
                            <w:t>A</w:t>
                          </w:r>
                          <w:r>
                            <w:rPr>
                              <w:rFonts w:ascii="Arial MT"/>
                              <w:color w:val="008CB4"/>
                              <w:spacing w:val="-7"/>
                              <w:sz w:val="19"/>
                            </w:rPr>
                            <w:t> </w:t>
                          </w:r>
                          <w:r>
                            <w:rPr>
                              <w:rFonts w:ascii="Arial MT"/>
                              <w:color w:val="008CB4"/>
                              <w:spacing w:val="-6"/>
                              <w:sz w:val="19"/>
                            </w:rPr>
                            <w:t>VOYAGE</w:t>
                          </w:r>
                          <w:r>
                            <w:rPr>
                              <w:rFonts w:ascii="Arial MT"/>
                              <w:color w:val="008CB4"/>
                              <w:spacing w:val="-7"/>
                              <w:sz w:val="19"/>
                            </w:rPr>
                            <w:t> </w:t>
                          </w:r>
                          <w:r>
                            <w:rPr>
                              <w:rFonts w:ascii="Arial MT"/>
                              <w:color w:val="008CB4"/>
                              <w:spacing w:val="-6"/>
                              <w:sz w:val="19"/>
                            </w:rPr>
                            <w:t>TO THE</w:t>
                          </w:r>
                          <w:r>
                            <w:rPr>
                              <w:rFonts w:ascii="Arial MT"/>
                              <w:color w:val="008CB4"/>
                              <w:spacing w:val="-7"/>
                              <w:sz w:val="19"/>
                            </w:rPr>
                            <w:t> </w:t>
                          </w:r>
                          <w:r>
                            <w:rPr>
                              <w:rFonts w:ascii="Arial MT"/>
                              <w:color w:val="008CB4"/>
                              <w:spacing w:val="-6"/>
                              <w:sz w:val="19"/>
                            </w:rPr>
                            <w:t>NORTH POLE</w:t>
                          </w:r>
                          <w:r>
                            <w:rPr>
                              <w:rFonts w:ascii="Arial MT"/>
                              <w:color w:val="008CB4"/>
                              <w:spacing w:val="-7"/>
                              <w:sz w:val="19"/>
                            </w:rPr>
                            <w:t> </w:t>
                          </w:r>
                          <w:r>
                            <w:rPr>
                              <w:rFonts w:ascii="Arial MT"/>
                              <w:color w:val="008CB4"/>
                              <w:spacing w:val="-6"/>
                              <w:sz w:val="19"/>
                            </w:rPr>
                            <w:t>-</w:t>
                          </w:r>
                          <w:r>
                            <w:rPr>
                              <w:rFonts w:ascii="Arial MT"/>
                              <w:color w:val="008CB4"/>
                              <w:spacing w:val="-7"/>
                              <w:sz w:val="19"/>
                            </w:rPr>
                            <w:t> </w:t>
                          </w:r>
                          <w:r>
                            <w:rPr>
                              <w:rFonts w:ascii="Arial MT"/>
                              <w:color w:val="008CB4"/>
                              <w:spacing w:val="-6"/>
                              <w:sz w:val="19"/>
                            </w:rPr>
                            <w:t>AUTHOR NAME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02594pt;margin-top:750.565979pt;width:221.1pt;height:15.7pt;mso-position-horizontal-relative:page;mso-position-vertical-relative:page;z-index:-15780864" type="#_x0000_t202" id="docshape1" filled="false" stroked="false">
              <v:textbox inset="0,0,0,0">
                <w:txbxContent>
                  <w:p>
                    <w:pPr>
                      <w:spacing w:before="51"/>
                      <w:ind w:left="20" w:right="0" w:firstLine="0"/>
                      <w:jc w:val="left"/>
                      <w:rPr>
                        <w:rFonts w:ascii="Arial MT"/>
                        <w:sz w:val="19"/>
                      </w:rPr>
                    </w:pPr>
                    <w:r>
                      <w:rPr>
                        <w:rFonts w:ascii="Arial MT"/>
                        <w:color w:val="008CB4"/>
                        <w:spacing w:val="-6"/>
                        <w:sz w:val="19"/>
                      </w:rPr>
                      <w:t>A</w:t>
                    </w:r>
                    <w:r>
                      <w:rPr>
                        <w:rFonts w:ascii="Arial MT"/>
                        <w:color w:val="008CB4"/>
                        <w:spacing w:val="-7"/>
                        <w:sz w:val="19"/>
                      </w:rPr>
                      <w:t> </w:t>
                    </w:r>
                    <w:r>
                      <w:rPr>
                        <w:rFonts w:ascii="Arial MT"/>
                        <w:color w:val="008CB4"/>
                        <w:spacing w:val="-6"/>
                        <w:sz w:val="19"/>
                      </w:rPr>
                      <w:t>VOYAGE</w:t>
                    </w:r>
                    <w:r>
                      <w:rPr>
                        <w:rFonts w:ascii="Arial MT"/>
                        <w:color w:val="008CB4"/>
                        <w:spacing w:val="-7"/>
                        <w:sz w:val="19"/>
                      </w:rPr>
                      <w:t> </w:t>
                    </w:r>
                    <w:r>
                      <w:rPr>
                        <w:rFonts w:ascii="Arial MT"/>
                        <w:color w:val="008CB4"/>
                        <w:spacing w:val="-6"/>
                        <w:sz w:val="19"/>
                      </w:rPr>
                      <w:t>TO THE</w:t>
                    </w:r>
                    <w:r>
                      <w:rPr>
                        <w:rFonts w:ascii="Arial MT"/>
                        <w:color w:val="008CB4"/>
                        <w:spacing w:val="-7"/>
                        <w:sz w:val="19"/>
                      </w:rPr>
                      <w:t> </w:t>
                    </w:r>
                    <w:r>
                      <w:rPr>
                        <w:rFonts w:ascii="Arial MT"/>
                        <w:color w:val="008CB4"/>
                        <w:spacing w:val="-6"/>
                        <w:sz w:val="19"/>
                      </w:rPr>
                      <w:t>NORTH POLE</w:t>
                    </w:r>
                    <w:r>
                      <w:rPr>
                        <w:rFonts w:ascii="Arial MT"/>
                        <w:color w:val="008CB4"/>
                        <w:spacing w:val="-7"/>
                        <w:sz w:val="19"/>
                      </w:rPr>
                      <w:t> </w:t>
                    </w:r>
                    <w:r>
                      <w:rPr>
                        <w:rFonts w:ascii="Arial MT"/>
                        <w:color w:val="008CB4"/>
                        <w:spacing w:val="-6"/>
                        <w:sz w:val="19"/>
                      </w:rPr>
                      <w:t>-</w:t>
                    </w:r>
                    <w:r>
                      <w:rPr>
                        <w:rFonts w:ascii="Arial MT"/>
                        <w:color w:val="008CB4"/>
                        <w:spacing w:val="-7"/>
                        <w:sz w:val="19"/>
                      </w:rPr>
                      <w:t> </w:t>
                    </w:r>
                    <w:r>
                      <w:rPr>
                        <w:rFonts w:ascii="Arial MT"/>
                        <w:color w:val="008CB4"/>
                        <w:spacing w:val="-6"/>
                        <w:sz w:val="19"/>
                      </w:rPr>
                      <w:t>AUTHOR NAME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36128">
              <wp:simplePos x="0" y="0"/>
              <wp:positionH relativeFrom="page">
                <wp:posOffset>6763134</wp:posOffset>
              </wp:positionH>
              <wp:positionV relativeFrom="page">
                <wp:posOffset>9532187</wp:posOffset>
              </wp:positionV>
              <wp:extent cx="136525" cy="1993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6525" cy="199390"/>
                      </a:xfrm>
                      <a:prstGeom prst="rect">
                        <a:avLst/>
                      </a:prstGeom>
                    </wps:spPr>
                    <wps:txbx>
                      <w:txbxContent>
                        <w:p>
                          <w:pPr>
                            <w:spacing w:before="51"/>
                            <w:ind w:left="20" w:right="0" w:firstLine="0"/>
                            <w:jc w:val="left"/>
                            <w:rPr>
                              <w:rFonts w:ascii="Arial MT"/>
                              <w:sz w:val="19"/>
                            </w:rPr>
                          </w:pPr>
                          <w:r>
                            <w:rPr>
                              <w:rFonts w:ascii="Arial MT"/>
                              <w:color w:val="008CB4"/>
                              <w:spacing w:val="-10"/>
                              <w:w w:val="110"/>
                              <w:sz w:val="19"/>
                            </w:rPr>
                            <w:fldChar w:fldCharType="begin"/>
                          </w:r>
                          <w:r>
                            <w:rPr>
                              <w:rFonts w:ascii="Arial MT"/>
                              <w:color w:val="008CB4"/>
                              <w:spacing w:val="-10"/>
                              <w:w w:val="110"/>
                              <w:sz w:val="19"/>
                            </w:rPr>
                            <w:instrText> PAGE </w:instrText>
                          </w:r>
                          <w:r>
                            <w:rPr>
                              <w:rFonts w:ascii="Arial MT"/>
                              <w:color w:val="008CB4"/>
                              <w:spacing w:val="-10"/>
                              <w:w w:val="110"/>
                              <w:sz w:val="19"/>
                            </w:rPr>
                            <w:fldChar w:fldCharType="separate"/>
                          </w:r>
                          <w:r>
                            <w:rPr>
                              <w:rFonts w:ascii="Arial MT"/>
                              <w:color w:val="008CB4"/>
                              <w:spacing w:val="-10"/>
                              <w:w w:val="110"/>
                              <w:sz w:val="19"/>
                            </w:rPr>
                            <w:t>2</w:t>
                          </w:r>
                          <w:r>
                            <w:rPr>
                              <w:rFonts w:ascii="Arial MT"/>
                              <w:color w:val="008CB4"/>
                              <w:spacing w:val="-10"/>
                              <w:w w:val="110"/>
                              <w:sz w:val="19"/>
                            </w:rPr>
                            <w:fldChar w:fldCharType="end"/>
                          </w:r>
                        </w:p>
                      </w:txbxContent>
                    </wps:txbx>
                    <wps:bodyPr wrap="square" lIns="0" tIns="0" rIns="0" bIns="0" rtlCol="0">
                      <a:noAutofit/>
                    </wps:bodyPr>
                  </wps:wsp>
                </a:graphicData>
              </a:graphic>
            </wp:anchor>
          </w:drawing>
        </mc:Choice>
        <mc:Fallback>
          <w:pict>
            <v:shape style="position:absolute;margin-left:532.530273pt;margin-top:750.565979pt;width:10.75pt;height:15.7pt;mso-position-horizontal-relative:page;mso-position-vertical-relative:page;z-index:-15780352" type="#_x0000_t202" id="docshape2" filled="false" stroked="false">
              <v:textbox inset="0,0,0,0">
                <w:txbxContent>
                  <w:p>
                    <w:pPr>
                      <w:spacing w:before="51"/>
                      <w:ind w:left="20" w:right="0" w:firstLine="0"/>
                      <w:jc w:val="left"/>
                      <w:rPr>
                        <w:rFonts w:ascii="Arial MT"/>
                        <w:sz w:val="19"/>
                      </w:rPr>
                    </w:pPr>
                    <w:r>
                      <w:rPr>
                        <w:rFonts w:ascii="Arial MT"/>
                        <w:color w:val="008CB4"/>
                        <w:spacing w:val="-10"/>
                        <w:w w:val="110"/>
                        <w:sz w:val="19"/>
                      </w:rPr>
                      <w:fldChar w:fldCharType="begin"/>
                    </w:r>
                    <w:r>
                      <w:rPr>
                        <w:rFonts w:ascii="Arial MT"/>
                        <w:color w:val="008CB4"/>
                        <w:spacing w:val="-10"/>
                        <w:w w:val="110"/>
                        <w:sz w:val="19"/>
                      </w:rPr>
                      <w:instrText> PAGE </w:instrText>
                    </w:r>
                    <w:r>
                      <w:rPr>
                        <w:rFonts w:ascii="Arial MT"/>
                        <w:color w:val="008CB4"/>
                        <w:spacing w:val="-10"/>
                        <w:w w:val="110"/>
                        <w:sz w:val="19"/>
                      </w:rPr>
                      <w:fldChar w:fldCharType="separate"/>
                    </w:r>
                    <w:r>
                      <w:rPr>
                        <w:rFonts w:ascii="Arial MT"/>
                        <w:color w:val="008CB4"/>
                        <w:spacing w:val="-10"/>
                        <w:w w:val="110"/>
                        <w:sz w:val="19"/>
                      </w:rPr>
                      <w:t>2</w:t>
                    </w:r>
                    <w:r>
                      <w:rPr>
                        <w:rFonts w:ascii="Arial MT"/>
                        <w:color w:val="008CB4"/>
                        <w:spacing w:val="-10"/>
                        <w:w w:val="110"/>
                        <w:sz w:val="19"/>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8" w:hanging="408"/>
        <w:jc w:val="left"/>
      </w:pPr>
      <w:rPr>
        <w:rFonts w:hint="default" w:ascii="Times New Roman" w:hAnsi="Times New Roman" w:eastAsia="Times New Roman" w:cs="Times New Roman"/>
        <w:b w:val="0"/>
        <w:bCs w:val="0"/>
        <w:i w:val="0"/>
        <w:iCs w:val="0"/>
        <w:spacing w:val="0"/>
        <w:w w:val="100"/>
        <w:sz w:val="33"/>
        <w:szCs w:val="33"/>
        <w:lang w:val="en-US" w:eastAsia="en-US" w:bidi="ar-SA"/>
      </w:rPr>
    </w:lvl>
    <w:lvl w:ilvl="1">
      <w:start w:val="0"/>
      <w:numFmt w:val="bullet"/>
      <w:lvlText w:val="•"/>
      <w:lvlJc w:val="left"/>
      <w:pPr>
        <w:ind w:left="1100" w:hanging="408"/>
      </w:pPr>
      <w:rPr>
        <w:rFonts w:hint="default"/>
        <w:lang w:val="en-US" w:eastAsia="en-US" w:bidi="ar-SA"/>
      </w:rPr>
    </w:lvl>
    <w:lvl w:ilvl="2">
      <w:start w:val="0"/>
      <w:numFmt w:val="bullet"/>
      <w:lvlText w:val="•"/>
      <w:lvlJc w:val="left"/>
      <w:pPr>
        <w:ind w:left="2080" w:hanging="408"/>
      </w:pPr>
      <w:rPr>
        <w:rFonts w:hint="default"/>
        <w:lang w:val="en-US" w:eastAsia="en-US" w:bidi="ar-SA"/>
      </w:rPr>
    </w:lvl>
    <w:lvl w:ilvl="3">
      <w:start w:val="0"/>
      <w:numFmt w:val="bullet"/>
      <w:lvlText w:val="•"/>
      <w:lvlJc w:val="left"/>
      <w:pPr>
        <w:ind w:left="3060" w:hanging="408"/>
      </w:pPr>
      <w:rPr>
        <w:rFonts w:hint="default"/>
        <w:lang w:val="en-US" w:eastAsia="en-US" w:bidi="ar-SA"/>
      </w:rPr>
    </w:lvl>
    <w:lvl w:ilvl="4">
      <w:start w:val="0"/>
      <w:numFmt w:val="bullet"/>
      <w:lvlText w:val="•"/>
      <w:lvlJc w:val="left"/>
      <w:pPr>
        <w:ind w:left="4040" w:hanging="408"/>
      </w:pPr>
      <w:rPr>
        <w:rFonts w:hint="default"/>
        <w:lang w:val="en-US" w:eastAsia="en-US" w:bidi="ar-SA"/>
      </w:rPr>
    </w:lvl>
    <w:lvl w:ilvl="5">
      <w:start w:val="0"/>
      <w:numFmt w:val="bullet"/>
      <w:lvlText w:val="•"/>
      <w:lvlJc w:val="left"/>
      <w:pPr>
        <w:ind w:left="5020" w:hanging="408"/>
      </w:pPr>
      <w:rPr>
        <w:rFonts w:hint="default"/>
        <w:lang w:val="en-US" w:eastAsia="en-US" w:bidi="ar-SA"/>
      </w:rPr>
    </w:lvl>
    <w:lvl w:ilvl="6">
      <w:start w:val="0"/>
      <w:numFmt w:val="bullet"/>
      <w:lvlText w:val="•"/>
      <w:lvlJc w:val="left"/>
      <w:pPr>
        <w:ind w:left="6000" w:hanging="408"/>
      </w:pPr>
      <w:rPr>
        <w:rFonts w:hint="default"/>
        <w:lang w:val="en-US" w:eastAsia="en-US" w:bidi="ar-SA"/>
      </w:rPr>
    </w:lvl>
    <w:lvl w:ilvl="7">
      <w:start w:val="0"/>
      <w:numFmt w:val="bullet"/>
      <w:lvlText w:val="•"/>
      <w:lvlJc w:val="left"/>
      <w:pPr>
        <w:ind w:left="6981" w:hanging="408"/>
      </w:pPr>
      <w:rPr>
        <w:rFonts w:hint="default"/>
        <w:lang w:val="en-US" w:eastAsia="en-US" w:bidi="ar-SA"/>
      </w:rPr>
    </w:lvl>
    <w:lvl w:ilvl="8">
      <w:start w:val="0"/>
      <w:numFmt w:val="bullet"/>
      <w:lvlText w:val="•"/>
      <w:lvlJc w:val="left"/>
      <w:pPr>
        <w:ind w:left="7961" w:hanging="408"/>
      </w:pPr>
      <w:rPr>
        <w:rFonts w:hint="default"/>
        <w:lang w:val="en-US" w:eastAsia="en-US" w:bidi="ar-SA"/>
      </w:rPr>
    </w:lvl>
  </w:abstractNum>
  <w:abstractNum w:abstractNumId="0">
    <w:multiLevelType w:val="hybridMultilevel"/>
    <w:lvl w:ilvl="0">
      <w:start w:val="1"/>
      <w:numFmt w:val="decimal"/>
      <w:lvlText w:val="%1)"/>
      <w:lvlJc w:val="left"/>
      <w:pPr>
        <w:ind w:left="480" w:hanging="353"/>
        <w:jc w:val="left"/>
      </w:pPr>
      <w:rPr>
        <w:rFonts w:hint="default" w:ascii="Times New Roman" w:hAnsi="Times New Roman" w:eastAsia="Times New Roman" w:cs="Times New Roman"/>
        <w:b w:val="0"/>
        <w:bCs w:val="0"/>
        <w:i w:val="0"/>
        <w:iCs w:val="0"/>
        <w:spacing w:val="0"/>
        <w:w w:val="100"/>
        <w:sz w:val="33"/>
        <w:szCs w:val="33"/>
        <w:lang w:val="en-US" w:eastAsia="en-US" w:bidi="ar-SA"/>
      </w:rPr>
    </w:lvl>
    <w:lvl w:ilvl="1">
      <w:start w:val="0"/>
      <w:numFmt w:val="bullet"/>
      <w:lvlText w:val="•"/>
      <w:lvlJc w:val="left"/>
      <w:pPr>
        <w:ind w:left="128" w:hanging="256"/>
      </w:pPr>
      <w:rPr>
        <w:rFonts w:hint="default" w:ascii="Times New Roman" w:hAnsi="Times New Roman" w:eastAsia="Times New Roman" w:cs="Times New Roman"/>
        <w:b w:val="0"/>
        <w:bCs w:val="0"/>
        <w:i w:val="0"/>
        <w:iCs w:val="0"/>
        <w:spacing w:val="0"/>
        <w:w w:val="100"/>
        <w:sz w:val="33"/>
        <w:szCs w:val="33"/>
        <w:lang w:val="en-US" w:eastAsia="en-US" w:bidi="ar-SA"/>
      </w:rPr>
    </w:lvl>
    <w:lvl w:ilvl="2">
      <w:start w:val="0"/>
      <w:numFmt w:val="bullet"/>
      <w:lvlText w:val="•"/>
      <w:lvlJc w:val="left"/>
      <w:pPr>
        <w:ind w:left="1529" w:hanging="256"/>
      </w:pPr>
      <w:rPr>
        <w:rFonts w:hint="default"/>
        <w:lang w:val="en-US" w:eastAsia="en-US" w:bidi="ar-SA"/>
      </w:rPr>
    </w:lvl>
    <w:lvl w:ilvl="3">
      <w:start w:val="0"/>
      <w:numFmt w:val="bullet"/>
      <w:lvlText w:val="•"/>
      <w:lvlJc w:val="left"/>
      <w:pPr>
        <w:ind w:left="2578" w:hanging="256"/>
      </w:pPr>
      <w:rPr>
        <w:rFonts w:hint="default"/>
        <w:lang w:val="en-US" w:eastAsia="en-US" w:bidi="ar-SA"/>
      </w:rPr>
    </w:lvl>
    <w:lvl w:ilvl="4">
      <w:start w:val="0"/>
      <w:numFmt w:val="bullet"/>
      <w:lvlText w:val="•"/>
      <w:lvlJc w:val="left"/>
      <w:pPr>
        <w:ind w:left="3627" w:hanging="256"/>
      </w:pPr>
      <w:rPr>
        <w:rFonts w:hint="default"/>
        <w:lang w:val="en-US" w:eastAsia="en-US" w:bidi="ar-SA"/>
      </w:rPr>
    </w:lvl>
    <w:lvl w:ilvl="5">
      <w:start w:val="0"/>
      <w:numFmt w:val="bullet"/>
      <w:lvlText w:val="•"/>
      <w:lvlJc w:val="left"/>
      <w:pPr>
        <w:ind w:left="4676" w:hanging="256"/>
      </w:pPr>
      <w:rPr>
        <w:rFonts w:hint="default"/>
        <w:lang w:val="en-US" w:eastAsia="en-US" w:bidi="ar-SA"/>
      </w:rPr>
    </w:lvl>
    <w:lvl w:ilvl="6">
      <w:start w:val="0"/>
      <w:numFmt w:val="bullet"/>
      <w:lvlText w:val="•"/>
      <w:lvlJc w:val="left"/>
      <w:pPr>
        <w:ind w:left="5725" w:hanging="256"/>
      </w:pPr>
      <w:rPr>
        <w:rFonts w:hint="default"/>
        <w:lang w:val="en-US" w:eastAsia="en-US" w:bidi="ar-SA"/>
      </w:rPr>
    </w:lvl>
    <w:lvl w:ilvl="7">
      <w:start w:val="0"/>
      <w:numFmt w:val="bullet"/>
      <w:lvlText w:val="•"/>
      <w:lvlJc w:val="left"/>
      <w:pPr>
        <w:ind w:left="6774" w:hanging="256"/>
      </w:pPr>
      <w:rPr>
        <w:rFonts w:hint="default"/>
        <w:lang w:val="en-US" w:eastAsia="en-US" w:bidi="ar-SA"/>
      </w:rPr>
    </w:lvl>
    <w:lvl w:ilvl="8">
      <w:start w:val="0"/>
      <w:numFmt w:val="bullet"/>
      <w:lvlText w:val="•"/>
      <w:lvlJc w:val="left"/>
      <w:pPr>
        <w:ind w:left="7823" w:hanging="25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243"/>
      <w:ind w:left="128"/>
      <w:jc w:val="both"/>
    </w:pPr>
    <w:rPr>
      <w:rFonts w:ascii="Times New Roman" w:hAnsi="Times New Roman" w:eastAsia="Times New Roman" w:cs="Times New Roman"/>
      <w:sz w:val="33"/>
      <w:szCs w:val="33"/>
      <w:lang w:val="en-US" w:eastAsia="en-US" w:bidi="ar-SA"/>
    </w:rPr>
  </w:style>
  <w:style w:styleId="Heading1" w:type="paragraph">
    <w:name w:val="Heading 1"/>
    <w:basedOn w:val="Normal"/>
    <w:uiPriority w:val="1"/>
    <w:qFormat/>
    <w:pPr>
      <w:spacing w:before="74"/>
      <w:ind w:left="128"/>
      <w:outlineLvl w:val="1"/>
    </w:pPr>
    <w:rPr>
      <w:rFonts w:ascii="Times New Roman" w:hAnsi="Times New Roman" w:eastAsia="Times New Roman" w:cs="Times New Roman"/>
      <w:b/>
      <w:bCs/>
      <w:sz w:val="33"/>
      <w:szCs w:val="33"/>
      <w:lang w:val="en-US" w:eastAsia="en-US" w:bidi="ar-SA"/>
    </w:rPr>
  </w:style>
  <w:style w:styleId="Title" w:type="paragraph">
    <w:name w:val="Title"/>
    <w:basedOn w:val="Normal"/>
    <w:uiPriority w:val="1"/>
    <w:qFormat/>
    <w:pPr>
      <w:spacing w:before="462"/>
      <w:ind w:left="587" w:right="585" w:hanging="1"/>
      <w:jc w:val="center"/>
    </w:pPr>
    <w:rPr>
      <w:rFonts w:ascii="Cambria" w:hAnsi="Cambria" w:eastAsia="Cambria" w:cs="Cambria"/>
      <w:b/>
      <w:bCs/>
      <w:sz w:val="64"/>
      <w:szCs w:val="64"/>
      <w:lang w:val="en-US" w:eastAsia="en-US" w:bidi="ar-SA"/>
    </w:rPr>
  </w:style>
  <w:style w:styleId="ListParagraph" w:type="paragraph">
    <w:name w:val="List Paragraph"/>
    <w:basedOn w:val="Normal"/>
    <w:uiPriority w:val="1"/>
    <w:qFormat/>
    <w:pPr>
      <w:spacing w:before="226"/>
      <w:ind w:left="128" w:right="125"/>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Report</dc:title>
  <dcterms:created xsi:type="dcterms:W3CDTF">2025-03-06T14:58:00Z</dcterms:created>
  <dcterms:modified xsi:type="dcterms:W3CDTF">2025-03-06T14:58:00Z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Pages</vt:lpwstr>
  </property>
  <property fmtid="{D5CDD505-2E9C-101B-9397-08002B2CF9AE}" pid="4" name="LastSaved">
    <vt:filetime>2025-03-06T00:00:00Z</vt:filetime>
  </property>
  <property fmtid="{D5CDD505-2E9C-101B-9397-08002B2CF9AE}" pid="5" name="Producer">
    <vt:lpwstr>iOS Version 18.3.1 (Build 22D72) Quartz PDFContext</vt:lpwstr>
  </property>
</Properties>
</file>