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96B9A1" w14:textId="2B3D3A83" w:rsidR="001B3D9C" w:rsidRPr="00752DA3" w:rsidRDefault="001B3D9C" w:rsidP="005F17C1">
      <w:pPr>
        <w:pStyle w:val="BodyText"/>
        <w:spacing w:line="480" w:lineRule="auto"/>
        <w:ind w:right="108"/>
        <w:jc w:val="both"/>
      </w:pPr>
    </w:p>
    <w:p w14:paraId="670360DE" w14:textId="2B2CD636" w:rsidR="001B3D9C" w:rsidRPr="005F17C1" w:rsidRDefault="001B3D9C" w:rsidP="00B95EF2">
      <w:pPr>
        <w:pStyle w:val="p1"/>
        <w:spacing w:line="360" w:lineRule="auto"/>
        <w:jc w:val="center"/>
        <w:rPr>
          <w:sz w:val="28"/>
          <w:szCs w:val="28"/>
        </w:rPr>
      </w:pPr>
      <w:r w:rsidRPr="005F17C1">
        <w:rPr>
          <w:b/>
          <w:bCs/>
          <w:sz w:val="28"/>
          <w:szCs w:val="28"/>
        </w:rPr>
        <w:t>Intrinsic Motivation's Mediating Role: Perceived Organizational Support's Impact on</w:t>
      </w:r>
      <w:r w:rsidR="005F17C1">
        <w:rPr>
          <w:sz w:val="28"/>
          <w:szCs w:val="28"/>
        </w:rPr>
        <w:t xml:space="preserve"> </w:t>
      </w:r>
      <w:r w:rsidRPr="005F17C1">
        <w:rPr>
          <w:b/>
          <w:bCs/>
          <w:sz w:val="28"/>
          <w:szCs w:val="28"/>
        </w:rPr>
        <w:t>Organizational Citizenship Behavior in Indian IT Sector.</w:t>
      </w:r>
    </w:p>
    <w:p w14:paraId="07A82142" w14:textId="74BBAF7E" w:rsidR="001B3D9C" w:rsidRDefault="00E94A46" w:rsidP="00B95EF2">
      <w:pPr>
        <w:pStyle w:val="p1"/>
        <w:spacing w:line="360" w:lineRule="auto"/>
        <w:ind w:left="720"/>
        <w:jc w:val="center"/>
        <w:rPr>
          <w:rStyle w:val="s2"/>
          <w:rFonts w:eastAsiaTheme="majorEastAsia"/>
          <w:b/>
          <w:bCs/>
          <w:sz w:val="24"/>
          <w:szCs w:val="24"/>
        </w:rPr>
      </w:pPr>
      <w:r w:rsidRPr="00E94A46">
        <w:rPr>
          <w:b/>
          <w:bCs/>
          <w:sz w:val="24"/>
          <w:szCs w:val="24"/>
        </w:rPr>
        <w:t>1.</w:t>
      </w:r>
      <w:r>
        <w:rPr>
          <w:b/>
          <w:bCs/>
          <w:sz w:val="24"/>
          <w:szCs w:val="24"/>
        </w:rPr>
        <w:t xml:space="preserve"> </w:t>
      </w:r>
      <w:r w:rsidR="001B3D9C" w:rsidRPr="00752DA3">
        <w:rPr>
          <w:b/>
          <w:bCs/>
          <w:sz w:val="24"/>
          <w:szCs w:val="24"/>
        </w:rPr>
        <w:t xml:space="preserve">Jignesh </w:t>
      </w:r>
      <w:r w:rsidRPr="00752DA3">
        <w:rPr>
          <w:b/>
          <w:bCs/>
          <w:sz w:val="24"/>
          <w:szCs w:val="24"/>
        </w:rPr>
        <w:t>Bhansari,</w:t>
      </w:r>
      <w:r>
        <w:rPr>
          <w:b/>
          <w:bCs/>
          <w:sz w:val="24"/>
          <w:szCs w:val="24"/>
        </w:rPr>
        <w:t xml:space="preserve"> 2. </w:t>
      </w:r>
      <w:r w:rsidR="001B3D9C" w:rsidRPr="00752DA3">
        <w:rPr>
          <w:b/>
          <w:bCs/>
          <w:sz w:val="24"/>
          <w:szCs w:val="24"/>
        </w:rPr>
        <w:t xml:space="preserve">Dr. </w:t>
      </w:r>
      <w:r w:rsidR="001B3D9C" w:rsidRPr="00752DA3">
        <w:rPr>
          <w:rStyle w:val="s2"/>
          <w:rFonts w:eastAsiaTheme="majorEastAsia"/>
          <w:b/>
          <w:bCs/>
          <w:sz w:val="24"/>
          <w:szCs w:val="24"/>
        </w:rPr>
        <w:t>Smitha Philip</w:t>
      </w:r>
    </w:p>
    <w:p w14:paraId="75964C72" w14:textId="0172DFC0" w:rsidR="00E94A46" w:rsidRDefault="00E94A46" w:rsidP="00B95EF2">
      <w:pPr>
        <w:pStyle w:val="p1"/>
        <w:spacing w:line="360" w:lineRule="auto"/>
        <w:jc w:val="center"/>
        <w:rPr>
          <w:color w:val="000000"/>
          <w:sz w:val="22"/>
          <w:szCs w:val="22"/>
        </w:rPr>
      </w:pPr>
      <w:r>
        <w:rPr>
          <w:rStyle w:val="s2"/>
          <w:rFonts w:eastAsiaTheme="majorEastAsia"/>
          <w:sz w:val="22"/>
          <w:szCs w:val="22"/>
        </w:rPr>
        <w:t>1.</w:t>
      </w:r>
      <w:r w:rsidRPr="005F17C1">
        <w:rPr>
          <w:rStyle w:val="s2"/>
          <w:rFonts w:eastAsiaTheme="majorEastAsia"/>
          <w:sz w:val="22"/>
          <w:szCs w:val="22"/>
        </w:rPr>
        <w:t>Student,</w:t>
      </w:r>
      <w:r w:rsidR="005F17C1" w:rsidRPr="005F17C1">
        <w:rPr>
          <w:rStyle w:val="s2"/>
          <w:rFonts w:eastAsiaTheme="majorEastAsia"/>
          <w:sz w:val="22"/>
          <w:szCs w:val="22"/>
        </w:rPr>
        <w:t xml:space="preserve"> </w:t>
      </w:r>
      <w:r w:rsidR="005F17C1" w:rsidRPr="005F17C1">
        <w:rPr>
          <w:color w:val="000000"/>
          <w:sz w:val="22"/>
          <w:szCs w:val="22"/>
        </w:rPr>
        <w:t xml:space="preserve">Department of </w:t>
      </w:r>
      <w:r w:rsidRPr="005F17C1">
        <w:rPr>
          <w:color w:val="000000"/>
          <w:sz w:val="22"/>
          <w:szCs w:val="22"/>
        </w:rPr>
        <w:t>Psychology, CHRIST</w:t>
      </w:r>
      <w:r w:rsidR="005F17C1" w:rsidRPr="005F17C1">
        <w:rPr>
          <w:color w:val="000000"/>
          <w:sz w:val="22"/>
          <w:szCs w:val="22"/>
        </w:rPr>
        <w:t xml:space="preserve"> (Deemed to be University), Bangalore</w:t>
      </w:r>
      <w:r w:rsidR="005F17C1" w:rsidRPr="005F17C1">
        <w:rPr>
          <w:color w:val="000000"/>
          <w:sz w:val="22"/>
          <w:szCs w:val="22"/>
        </w:rPr>
        <w:t>, Karnataka, India.</w:t>
      </w:r>
    </w:p>
    <w:p w14:paraId="3434422E" w14:textId="7E4181E0" w:rsidR="005F17C1" w:rsidRPr="00E94A46" w:rsidRDefault="00E94A46" w:rsidP="00B95EF2">
      <w:pPr>
        <w:pStyle w:val="p1"/>
        <w:spacing w:line="360" w:lineRule="auto"/>
        <w:jc w:val="center"/>
        <w:rPr>
          <w:rStyle w:val="s2"/>
          <w:sz w:val="22"/>
          <w:szCs w:val="22"/>
        </w:rPr>
      </w:pPr>
      <w:r>
        <w:rPr>
          <w:rStyle w:val="s2"/>
          <w:rFonts w:eastAsiaTheme="majorEastAsia"/>
          <w:sz w:val="22"/>
          <w:szCs w:val="22"/>
        </w:rPr>
        <w:t>2.</w:t>
      </w:r>
      <w:r w:rsidR="005F17C1" w:rsidRPr="00E94A46">
        <w:rPr>
          <w:rStyle w:val="s2"/>
          <w:rFonts w:eastAsiaTheme="majorEastAsia"/>
          <w:sz w:val="22"/>
          <w:szCs w:val="22"/>
        </w:rPr>
        <w:t xml:space="preserve">Assistant </w:t>
      </w:r>
      <w:r w:rsidRPr="00E94A46">
        <w:rPr>
          <w:rStyle w:val="s2"/>
          <w:rFonts w:eastAsiaTheme="majorEastAsia"/>
          <w:sz w:val="22"/>
          <w:szCs w:val="22"/>
        </w:rPr>
        <w:t xml:space="preserve">Professor, </w:t>
      </w:r>
      <w:r w:rsidRPr="00E94A46">
        <w:rPr>
          <w:color w:val="000000"/>
          <w:sz w:val="22"/>
          <w:szCs w:val="22"/>
        </w:rPr>
        <w:t xml:space="preserve">Department of </w:t>
      </w:r>
      <w:r w:rsidRPr="00E94A46">
        <w:rPr>
          <w:color w:val="000000"/>
          <w:sz w:val="22"/>
          <w:szCs w:val="22"/>
        </w:rPr>
        <w:t>Psychology, CHRIST</w:t>
      </w:r>
      <w:r w:rsidRPr="005F17C1">
        <w:rPr>
          <w:color w:val="000000"/>
          <w:sz w:val="22"/>
          <w:szCs w:val="22"/>
        </w:rPr>
        <w:t xml:space="preserve"> (Deemed to be University), Bangalore</w:t>
      </w:r>
      <w:r w:rsidRPr="00E94A46">
        <w:rPr>
          <w:color w:val="000000"/>
          <w:sz w:val="22"/>
          <w:szCs w:val="22"/>
        </w:rPr>
        <w:t>, Karnataka, India.</w:t>
      </w:r>
    </w:p>
    <w:p w14:paraId="6DAD7CD4" w14:textId="77777777" w:rsidR="001B3D9C" w:rsidRPr="00752DA3" w:rsidRDefault="001B3D9C" w:rsidP="00B95EF2">
      <w:pPr>
        <w:pStyle w:val="p1"/>
        <w:spacing w:line="360" w:lineRule="auto"/>
        <w:jc w:val="center"/>
        <w:rPr>
          <w:sz w:val="24"/>
          <w:szCs w:val="24"/>
        </w:rPr>
      </w:pPr>
    </w:p>
    <w:p w14:paraId="58109713" w14:textId="01C9B41A" w:rsidR="001B3D9C" w:rsidRPr="00752DA3" w:rsidRDefault="001B3D9C" w:rsidP="00B95EF2">
      <w:pPr>
        <w:pStyle w:val="p1"/>
        <w:spacing w:line="360" w:lineRule="auto"/>
        <w:jc w:val="center"/>
        <w:rPr>
          <w:sz w:val="24"/>
          <w:szCs w:val="24"/>
        </w:rPr>
      </w:pPr>
      <w:r w:rsidRPr="00752DA3">
        <w:rPr>
          <w:b/>
          <w:bCs/>
          <w:sz w:val="24"/>
          <w:szCs w:val="24"/>
        </w:rPr>
        <w:t>A</w:t>
      </w:r>
      <w:r w:rsidR="005F17C1">
        <w:rPr>
          <w:b/>
          <w:bCs/>
          <w:sz w:val="24"/>
          <w:szCs w:val="24"/>
        </w:rPr>
        <w:t>BSTRACT</w:t>
      </w:r>
    </w:p>
    <w:p w14:paraId="7CEBF502" w14:textId="77777777" w:rsidR="005C55A7" w:rsidRPr="00752DA3" w:rsidRDefault="005C55A7" w:rsidP="00B95EF2">
      <w:pPr>
        <w:pStyle w:val="p1"/>
        <w:spacing w:line="360" w:lineRule="auto"/>
        <w:rPr>
          <w:color w:val="000000"/>
          <w:sz w:val="24"/>
          <w:szCs w:val="24"/>
        </w:rPr>
      </w:pPr>
      <w:r w:rsidRPr="00B95EF2">
        <w:rPr>
          <w:color w:val="000000"/>
          <w:sz w:val="20"/>
          <w:szCs w:val="20"/>
        </w:rPr>
        <w:t>This study investigates the mediating role of intrinsic motivation in the relationship between perceived organizational support (POS) and organizational citizenship behavior (OCB) among IT employees in India. With the aim of understanding how POS influences OCB via intrinsic motivation, a quantitative approach was adopted, involving 257 full-time employees across various sectors. Data were analyzed using descriptive statistics, correlation, regression, and mediation analyses. The results indicate that POS significantly enhances intrinsic motivation, which, in turn, positively impacts OCB, as evidenced by a substantial indirect effect in the mediation analysis. These findings emphasize the pivotal role of intrinsic motivation in fostering positive workplace behaviors, thereby underscoring the importance of a supportive organizational environment. Practical implications include strategies to enhance employee engagement, performance, and retention through policies that strengthen POS and intrinsic motivation. This research extends the literature on organizational behavior, highlighting future opportunities for longitudinal studies to explore causality and contextual factors</w:t>
      </w:r>
      <w:r w:rsidRPr="00752DA3">
        <w:rPr>
          <w:color w:val="000000"/>
          <w:sz w:val="24"/>
          <w:szCs w:val="24"/>
        </w:rPr>
        <w:t>.</w:t>
      </w:r>
    </w:p>
    <w:p w14:paraId="09576CF0" w14:textId="1C6F663C" w:rsidR="005C55A7" w:rsidRPr="005F17C1" w:rsidRDefault="001B3D9C" w:rsidP="00B95EF2">
      <w:pPr>
        <w:pStyle w:val="p1"/>
        <w:spacing w:line="360" w:lineRule="auto"/>
        <w:rPr>
          <w:sz w:val="20"/>
          <w:szCs w:val="20"/>
        </w:rPr>
      </w:pPr>
      <w:r w:rsidRPr="005F17C1">
        <w:rPr>
          <w:b/>
          <w:bCs/>
          <w:sz w:val="20"/>
          <w:szCs w:val="20"/>
        </w:rPr>
        <w:t>K</w:t>
      </w:r>
      <w:r w:rsidR="005F17C1" w:rsidRPr="005F17C1">
        <w:rPr>
          <w:b/>
          <w:bCs/>
          <w:sz w:val="20"/>
          <w:szCs w:val="20"/>
        </w:rPr>
        <w:t>eywords</w:t>
      </w:r>
      <w:r w:rsidR="005F17C1" w:rsidRPr="005F17C1">
        <w:rPr>
          <w:sz w:val="20"/>
          <w:szCs w:val="20"/>
        </w:rPr>
        <w:t xml:space="preserve">: </w:t>
      </w:r>
      <w:r w:rsidRPr="005F17C1">
        <w:rPr>
          <w:sz w:val="20"/>
          <w:szCs w:val="20"/>
        </w:rPr>
        <w:t xml:space="preserve">perceived organizational support, organizational citizenship behavior, intrinsic </w:t>
      </w:r>
      <w:r w:rsidR="00E94A46" w:rsidRPr="005F17C1">
        <w:rPr>
          <w:sz w:val="20"/>
          <w:szCs w:val="20"/>
        </w:rPr>
        <w:t>motivation, employee</w:t>
      </w:r>
      <w:r w:rsidRPr="005F17C1">
        <w:rPr>
          <w:sz w:val="20"/>
          <w:szCs w:val="20"/>
        </w:rPr>
        <w:t xml:space="preserve"> engagement, human resource management.</w:t>
      </w:r>
    </w:p>
    <w:p w14:paraId="5FABD504" w14:textId="77777777" w:rsidR="00E82E79" w:rsidRDefault="00E82E79" w:rsidP="00B95EF2">
      <w:pPr>
        <w:spacing w:after="0" w:line="360" w:lineRule="auto"/>
        <w:rPr>
          <w:rFonts w:ascii="Times New Roman" w:eastAsia="Times New Roman" w:hAnsi="Times New Roman" w:cs="Times New Roman"/>
          <w:b/>
          <w:bCs/>
          <w:color w:val="0E101A"/>
          <w:kern w:val="0"/>
          <w14:ligatures w14:val="none"/>
        </w:rPr>
      </w:pPr>
    </w:p>
    <w:p w14:paraId="1FEAC678"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2178E44A"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2249FAF2"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51EE9F36"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17C6FB7C"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715C257D"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4BCA3ACE"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0A87F0D1"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316B3994"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24CDD345" w14:textId="77777777" w:rsidR="00B95EF2" w:rsidRDefault="00B95EF2" w:rsidP="00B95EF2">
      <w:pPr>
        <w:spacing w:after="0" w:line="360" w:lineRule="auto"/>
        <w:rPr>
          <w:rFonts w:ascii="Times New Roman" w:eastAsia="Times New Roman" w:hAnsi="Times New Roman" w:cs="Times New Roman"/>
          <w:b/>
          <w:bCs/>
          <w:color w:val="0E101A"/>
          <w:kern w:val="0"/>
          <w14:ligatures w14:val="none"/>
        </w:rPr>
      </w:pPr>
    </w:p>
    <w:p w14:paraId="19DAF88D" w14:textId="266DDC5E" w:rsidR="00E42CBC" w:rsidRPr="00752DA3" w:rsidRDefault="00FE1D3E" w:rsidP="00B95EF2">
      <w:pPr>
        <w:spacing w:after="0" w:line="360" w:lineRule="auto"/>
        <w:rPr>
          <w:rFonts w:ascii="Times New Roman" w:eastAsia="Times New Roman" w:hAnsi="Times New Roman" w:cs="Times New Roman"/>
          <w:b/>
          <w:bCs/>
          <w:color w:val="0E101A"/>
          <w:kern w:val="0"/>
          <w14:ligatures w14:val="none"/>
        </w:rPr>
      </w:pPr>
      <w:r w:rsidRPr="00FE1D3E">
        <w:rPr>
          <w:rFonts w:ascii="Times New Roman" w:eastAsia="Times New Roman" w:hAnsi="Times New Roman" w:cs="Times New Roman"/>
          <w:b/>
          <w:bCs/>
          <w:color w:val="0E101A"/>
          <w:kern w:val="0"/>
          <w14:ligatures w14:val="none"/>
        </w:rPr>
        <w:lastRenderedPageBreak/>
        <w:t>INTRODUCTION</w:t>
      </w:r>
    </w:p>
    <w:p w14:paraId="11DF7A6A" w14:textId="046B0CE9" w:rsidR="00FE1D3E" w:rsidRPr="00E94A46"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94A46">
        <w:rPr>
          <w:rFonts w:ascii="Times New Roman" w:hAnsi="Times New Roman" w:cs="Times New Roman"/>
          <w:color w:val="000000"/>
          <w:sz w:val="20"/>
          <w:szCs w:val="20"/>
        </w:rPr>
        <w:t xml:space="preserve">In the evolving landscape of modern workplaces, fostering positive employee attitudes and behaviors is critical for achieving superior performance and maintaining a competitive advantage. Perceived Organizational Support (POS) emerges as a key construct, encapsulating employees' perceptions of their organization's appreciation and care. POS significantly influences employee attitudes, behaviors, and organizational outcomes, making it a cornerstone of effective workforce management (Morales-Sánchez &amp; </w:t>
      </w:r>
      <w:proofErr w:type="spellStart"/>
      <w:r w:rsidRPr="00E94A46">
        <w:rPr>
          <w:rFonts w:ascii="Times New Roman" w:hAnsi="Times New Roman" w:cs="Times New Roman"/>
          <w:color w:val="000000"/>
          <w:sz w:val="20"/>
          <w:szCs w:val="20"/>
        </w:rPr>
        <w:t>Pasamar</w:t>
      </w:r>
      <w:proofErr w:type="spellEnd"/>
      <w:r w:rsidRPr="00E94A46">
        <w:rPr>
          <w:rFonts w:ascii="Times New Roman" w:hAnsi="Times New Roman" w:cs="Times New Roman"/>
          <w:color w:val="000000"/>
          <w:sz w:val="20"/>
          <w:szCs w:val="20"/>
        </w:rPr>
        <w:t>, 2019).</w:t>
      </w:r>
    </w:p>
    <w:p w14:paraId="34C4792A" w14:textId="77777777" w:rsidR="008505CC" w:rsidRPr="00E94A46" w:rsidRDefault="00FE1D3E" w:rsidP="00B95EF2">
      <w:pPr>
        <w:pStyle w:val="NormalWeb"/>
        <w:spacing w:before="0" w:beforeAutospacing="0" w:line="360" w:lineRule="auto"/>
        <w:ind w:firstLine="720"/>
        <w:rPr>
          <w:color w:val="000000"/>
          <w:sz w:val="20"/>
          <w:szCs w:val="20"/>
        </w:rPr>
      </w:pPr>
      <w:r w:rsidRPr="00E94A46">
        <w:rPr>
          <w:color w:val="000000"/>
          <w:sz w:val="20"/>
          <w:szCs w:val="20"/>
        </w:rPr>
        <w:t>Organizational Citizenship Behavior (OCB), defined as voluntary actions that extend beyond formal job requirements, contributes substantially to organizational success. Such behaviors—ranging from assisting colleagues to advocating for the organization—enhance teamwork, commitment, and overall performance (Ali &amp; Anwar, 2021). Intrinsic motivation, driven by internal satisfaction and personal fulfillment, plays a vital role in sustaining these behaviors. POS fosters intrinsic motivation by making employees feel valued, which, in turn, propels OCB as employees willingly contribute beyond their prescribed roles (Eisenberger et al., 2020).</w:t>
      </w:r>
    </w:p>
    <w:p w14:paraId="41467D2C" w14:textId="234F5033" w:rsidR="00FE1D3E" w:rsidRPr="00E94A46" w:rsidRDefault="00FE1D3E" w:rsidP="00B95EF2">
      <w:pPr>
        <w:pStyle w:val="NormalWeb"/>
        <w:spacing w:before="0" w:beforeAutospacing="0" w:line="360" w:lineRule="auto"/>
        <w:ind w:firstLine="720"/>
        <w:rPr>
          <w:color w:val="000000"/>
          <w:sz w:val="20"/>
          <w:szCs w:val="20"/>
        </w:rPr>
      </w:pPr>
      <w:r w:rsidRPr="00E94A46">
        <w:rPr>
          <w:color w:val="000000"/>
          <w:sz w:val="20"/>
          <w:szCs w:val="20"/>
        </w:rPr>
        <w:t>As organizations navigate dynamic and competitive environments, understanding and leveraging these dynamics becomes imperative. Employee perceptions of organizational support and their intrinsic motivation are pivotal in shaping workplace behaviors, underscoring the need for well-supported and engaged workforces (James &amp; Jones, 1974).</w:t>
      </w:r>
    </w:p>
    <w:p w14:paraId="483CD61A" w14:textId="77777777" w:rsidR="00FE1D3E" w:rsidRPr="00E94A46" w:rsidRDefault="00FE1D3E" w:rsidP="00B95EF2">
      <w:pPr>
        <w:pStyle w:val="NormalWeb"/>
        <w:spacing w:before="0" w:beforeAutospacing="0" w:line="360" w:lineRule="auto"/>
        <w:ind w:firstLine="720"/>
        <w:rPr>
          <w:color w:val="000000"/>
          <w:sz w:val="20"/>
          <w:szCs w:val="20"/>
        </w:rPr>
      </w:pPr>
      <w:r w:rsidRPr="00E94A46">
        <w:rPr>
          <w:color w:val="000000"/>
          <w:sz w:val="20"/>
          <w:szCs w:val="20"/>
        </w:rPr>
        <w:t>In India's thriving yet volatile IT industry, characterized by high attrition rates, exploring how POS drives OCB through intrinsic motivation is particularly significant. This study addresses a critical research gap by examining these relationships, offering actionable insights to IT organizations striving to create supportive work environments, enhance employee engagement, and achieve sustained competitiveness.</w:t>
      </w:r>
    </w:p>
    <w:p w14:paraId="2476FE04" w14:textId="22634A2D" w:rsidR="00FE1D3E" w:rsidRPr="00FE1D3E" w:rsidRDefault="00FE1D3E" w:rsidP="00B95EF2">
      <w:pPr>
        <w:spacing w:after="0" w:line="360" w:lineRule="auto"/>
        <w:rPr>
          <w:rFonts w:ascii="Times New Roman" w:eastAsia="Times New Roman" w:hAnsi="Times New Roman" w:cs="Times New Roman"/>
          <w:color w:val="000000"/>
          <w:kern w:val="0"/>
          <w14:ligatures w14:val="none"/>
        </w:rPr>
      </w:pPr>
      <w:r w:rsidRPr="00FE1D3E">
        <w:rPr>
          <w:rFonts w:ascii="Times New Roman" w:eastAsia="Times New Roman" w:hAnsi="Times New Roman" w:cs="Times New Roman"/>
          <w:b/>
          <w:bCs/>
          <w:color w:val="0E101A"/>
          <w:kern w:val="0"/>
          <w14:ligatures w14:val="none"/>
        </w:rPr>
        <w:t>METHOD</w:t>
      </w:r>
      <w:r w:rsidR="00E94A46">
        <w:rPr>
          <w:rFonts w:ascii="Times New Roman" w:eastAsia="Times New Roman" w:hAnsi="Times New Roman" w:cs="Times New Roman"/>
          <w:b/>
          <w:bCs/>
          <w:color w:val="0E101A"/>
          <w:kern w:val="0"/>
          <w14:ligatures w14:val="none"/>
        </w:rPr>
        <w:t>OLOGY</w:t>
      </w:r>
    </w:p>
    <w:p w14:paraId="03FBAE35" w14:textId="77777777" w:rsidR="00FE1D3E" w:rsidRPr="00E94A46"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b/>
          <w:bCs/>
          <w:color w:val="0E101A"/>
          <w:kern w:val="0"/>
          <w:sz w:val="20"/>
          <w:szCs w:val="20"/>
          <w14:ligatures w14:val="none"/>
        </w:rPr>
        <w:t>Research Design</w:t>
      </w:r>
    </w:p>
    <w:p w14:paraId="6956D70E"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This study utilized a quantitative, cross-sectional design to examine the mediating role of intrinsic motivation in the relationship between perceived organizational support (POS) and organizational citizenship </w:t>
      </w:r>
      <w:proofErr w:type="spellStart"/>
      <w:r w:rsidRPr="00E94A46">
        <w:rPr>
          <w:rFonts w:ascii="Times New Roman" w:eastAsia="Times New Roman" w:hAnsi="Times New Roman" w:cs="Times New Roman"/>
          <w:color w:val="0E101A"/>
          <w:kern w:val="0"/>
          <w:sz w:val="20"/>
          <w:szCs w:val="20"/>
          <w14:ligatures w14:val="none"/>
        </w:rPr>
        <w:t>behaviour</w:t>
      </w:r>
      <w:proofErr w:type="spellEnd"/>
      <w:r w:rsidRPr="00E94A46">
        <w:rPr>
          <w:rFonts w:ascii="Times New Roman" w:eastAsia="Times New Roman" w:hAnsi="Times New Roman" w:cs="Times New Roman"/>
          <w:color w:val="0E101A"/>
          <w:kern w:val="0"/>
          <w:sz w:val="20"/>
          <w:szCs w:val="20"/>
          <w14:ligatures w14:val="none"/>
        </w:rPr>
        <w:t xml:space="preserve"> (OCB) among Indian IT professionals. The design allowed for data collection from IT professionals at a single point in time to explore the concurrent relationships between these variables. Standardized scales were used to measure POS, intrinsic motivation, and OCB, facilitating statistical analysis and hypothesis testing.</w:t>
      </w:r>
    </w:p>
    <w:p w14:paraId="4895B4F4" w14:textId="77777777" w:rsidR="00B95EF2" w:rsidRPr="00E94A46"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43852FF1" w14:textId="77777777" w:rsidR="00FE1D3E" w:rsidRPr="00E94A46"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b/>
          <w:bCs/>
          <w:color w:val="0E101A"/>
          <w:kern w:val="0"/>
          <w:sz w:val="20"/>
          <w:szCs w:val="20"/>
          <w14:ligatures w14:val="none"/>
        </w:rPr>
        <w:t>Sample</w:t>
      </w:r>
    </w:p>
    <w:p w14:paraId="678D140E"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94A46">
        <w:rPr>
          <w:rFonts w:ascii="Times New Roman" w:eastAsia="Times New Roman" w:hAnsi="Times New Roman" w:cs="Times New Roman"/>
          <w:color w:val="0E101A"/>
          <w:kern w:val="0"/>
          <w:sz w:val="20"/>
          <w:szCs w:val="20"/>
          <w14:ligatures w14:val="none"/>
        </w:rPr>
        <w:t>The study sample consisted of 250-300 full-time employees recruited from various IT companies across India. Purposive sampling was employed to select participants who met the inclusion criteria: individuals must have been employed full-time in the Indian IT industry for at least one year, with an age range of 22-59 years, ensuring diversity in gender and professional experience. Participants were excluded if they were freelancers, contractors, or had less than one year of experience in their current organization and had participated in similar research within the past six months.</w:t>
      </w:r>
    </w:p>
    <w:p w14:paraId="36C5DF6E" w14:textId="77777777" w:rsidR="00B95EF2" w:rsidRPr="00E94A46"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2A473F52" w14:textId="77777777" w:rsidR="00FE1D3E" w:rsidRPr="00E94A46"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b/>
          <w:bCs/>
          <w:color w:val="0E101A"/>
          <w:kern w:val="0"/>
          <w:sz w:val="20"/>
          <w:szCs w:val="20"/>
          <w14:ligatures w14:val="none"/>
        </w:rPr>
        <w:t>Method of Recruitment</w:t>
      </w:r>
    </w:p>
    <w:p w14:paraId="0A54E54A"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Purposive sampling targeted IT professionals with sufficient work experience to provide insights into organizational support systems and workplace </w:t>
      </w:r>
      <w:proofErr w:type="spellStart"/>
      <w:r w:rsidRPr="00E94A46">
        <w:rPr>
          <w:rFonts w:ascii="Times New Roman" w:eastAsia="Times New Roman" w:hAnsi="Times New Roman" w:cs="Times New Roman"/>
          <w:color w:val="0E101A"/>
          <w:kern w:val="0"/>
          <w:sz w:val="20"/>
          <w:szCs w:val="20"/>
          <w14:ligatures w14:val="none"/>
        </w:rPr>
        <w:t>behaviours</w:t>
      </w:r>
      <w:proofErr w:type="spellEnd"/>
      <w:r w:rsidRPr="00E94A46">
        <w:rPr>
          <w:rFonts w:ascii="Times New Roman" w:eastAsia="Times New Roman" w:hAnsi="Times New Roman" w:cs="Times New Roman"/>
          <w:color w:val="0E101A"/>
          <w:kern w:val="0"/>
          <w:sz w:val="20"/>
          <w:szCs w:val="20"/>
          <w14:ligatures w14:val="none"/>
        </w:rPr>
        <w:t>. Participants were approached via professional networks and IT company associations, with recruitment occurring through email invitations and offline channels, ensuring a broad reach across the industry. Informed consent was obtained before participation.</w:t>
      </w:r>
    </w:p>
    <w:p w14:paraId="216B144A" w14:textId="77777777" w:rsidR="00B95EF2" w:rsidRPr="00E94A46"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75ECF9B5" w14:textId="77777777" w:rsidR="00FE1D3E" w:rsidRPr="00E94A46"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b/>
          <w:bCs/>
          <w:color w:val="0E101A"/>
          <w:kern w:val="0"/>
          <w:sz w:val="20"/>
          <w:szCs w:val="20"/>
          <w14:ligatures w14:val="none"/>
        </w:rPr>
        <w:t>Materials</w:t>
      </w:r>
    </w:p>
    <w:p w14:paraId="1F348CF1" w14:textId="77777777" w:rsidR="00FE1D3E" w:rsidRPr="00E94A46"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color w:val="0E101A"/>
          <w:kern w:val="0"/>
          <w:sz w:val="20"/>
          <w:szCs w:val="20"/>
          <w14:ligatures w14:val="none"/>
        </w:rPr>
        <w:t>Three reliable and validated instruments were used to measure the study variables:</w:t>
      </w:r>
    </w:p>
    <w:p w14:paraId="3E0FBA84" w14:textId="77777777" w:rsidR="00FE1D3E" w:rsidRPr="00E94A46"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The </w:t>
      </w:r>
      <w:r w:rsidRPr="00E94A46">
        <w:rPr>
          <w:rFonts w:ascii="Times New Roman" w:eastAsia="Times New Roman" w:hAnsi="Times New Roman" w:cs="Times New Roman"/>
          <w:b/>
          <w:bCs/>
          <w:color w:val="0E101A"/>
          <w:kern w:val="0"/>
          <w:sz w:val="20"/>
          <w:szCs w:val="20"/>
          <w14:ligatures w14:val="none"/>
        </w:rPr>
        <w:t>Organizational Citizenship Behavior Checklist (OCB-C)</w:t>
      </w:r>
      <w:r w:rsidRPr="00E94A46">
        <w:rPr>
          <w:rFonts w:ascii="Times New Roman" w:eastAsia="Times New Roman" w:hAnsi="Times New Roman" w:cs="Times New Roman"/>
          <w:color w:val="0E101A"/>
          <w:kern w:val="0"/>
          <w:sz w:val="20"/>
          <w:szCs w:val="20"/>
          <w14:ligatures w14:val="none"/>
        </w:rPr>
        <w:t xml:space="preserve"> is a 10-item scale designed to assess the frequency of citizenship </w:t>
      </w:r>
      <w:proofErr w:type="spellStart"/>
      <w:r w:rsidRPr="00E94A46">
        <w:rPr>
          <w:rFonts w:ascii="Times New Roman" w:eastAsia="Times New Roman" w:hAnsi="Times New Roman" w:cs="Times New Roman"/>
          <w:color w:val="0E101A"/>
          <w:kern w:val="0"/>
          <w:sz w:val="20"/>
          <w:szCs w:val="20"/>
          <w14:ligatures w14:val="none"/>
        </w:rPr>
        <w:t>behaviours</w:t>
      </w:r>
      <w:proofErr w:type="spellEnd"/>
      <w:r w:rsidRPr="00E94A46">
        <w:rPr>
          <w:rFonts w:ascii="Times New Roman" w:eastAsia="Times New Roman" w:hAnsi="Times New Roman" w:cs="Times New Roman"/>
          <w:color w:val="0E101A"/>
          <w:kern w:val="0"/>
          <w:sz w:val="20"/>
          <w:szCs w:val="20"/>
          <w14:ligatures w14:val="none"/>
        </w:rPr>
        <w:t xml:space="preserve"> in the workplace. Items ask respondents to indicate how often each </w:t>
      </w:r>
      <w:proofErr w:type="spellStart"/>
      <w:r w:rsidRPr="00E94A46">
        <w:rPr>
          <w:rFonts w:ascii="Times New Roman" w:eastAsia="Times New Roman" w:hAnsi="Times New Roman" w:cs="Times New Roman"/>
          <w:color w:val="0E101A"/>
          <w:kern w:val="0"/>
          <w:sz w:val="20"/>
          <w:szCs w:val="20"/>
          <w14:ligatures w14:val="none"/>
        </w:rPr>
        <w:t>behaviour</w:t>
      </w:r>
      <w:proofErr w:type="spellEnd"/>
      <w:r w:rsidRPr="00E94A46">
        <w:rPr>
          <w:rFonts w:ascii="Times New Roman" w:eastAsia="Times New Roman" w:hAnsi="Times New Roman" w:cs="Times New Roman"/>
          <w:color w:val="0E101A"/>
          <w:kern w:val="0"/>
          <w:sz w:val="20"/>
          <w:szCs w:val="20"/>
          <w14:ligatures w14:val="none"/>
        </w:rPr>
        <w:t xml:space="preserve"> is performed by themselves or others (e.g., coworkers or </w:t>
      </w:r>
      <w:proofErr w:type="gramStart"/>
      <w:r w:rsidRPr="00E94A46">
        <w:rPr>
          <w:rFonts w:ascii="Times New Roman" w:eastAsia="Times New Roman" w:hAnsi="Times New Roman" w:cs="Times New Roman"/>
          <w:color w:val="0E101A"/>
          <w:kern w:val="0"/>
          <w:sz w:val="20"/>
          <w:szCs w:val="20"/>
          <w14:ligatures w14:val="none"/>
        </w:rPr>
        <w:t>subordinates)on</w:t>
      </w:r>
      <w:proofErr w:type="gramEnd"/>
      <w:r w:rsidRPr="00E94A46">
        <w:rPr>
          <w:rFonts w:ascii="Times New Roman" w:eastAsia="Times New Roman" w:hAnsi="Times New Roman" w:cs="Times New Roman"/>
          <w:color w:val="0E101A"/>
          <w:kern w:val="0"/>
          <w:sz w:val="20"/>
          <w:szCs w:val="20"/>
          <w14:ligatures w14:val="none"/>
        </w:rPr>
        <w:t xml:space="preserve"> a 5-point Likert Scale. Scores are computed by summing responses across items. A total score is the sum of responses to all items. The 10 ITEM Scale has a reliability of 0.90. (Martin et al., 2022). </w:t>
      </w:r>
    </w:p>
    <w:p w14:paraId="7C731FEF" w14:textId="77777777" w:rsidR="00FE1D3E" w:rsidRPr="00E94A46"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Eisenberger et al. (1997) used a shortened version of the </w:t>
      </w:r>
      <w:r w:rsidRPr="00E94A46">
        <w:rPr>
          <w:rFonts w:ascii="Times New Roman" w:eastAsia="Times New Roman" w:hAnsi="Times New Roman" w:cs="Times New Roman"/>
          <w:b/>
          <w:bCs/>
          <w:color w:val="0E101A"/>
          <w:kern w:val="0"/>
          <w:sz w:val="20"/>
          <w:szCs w:val="20"/>
          <w14:ligatures w14:val="none"/>
        </w:rPr>
        <w:t>Survey of Perceived Organizational Support (SPOS)</w:t>
      </w:r>
      <w:r w:rsidRPr="00E94A46">
        <w:rPr>
          <w:rFonts w:ascii="Times New Roman" w:eastAsia="Times New Roman" w:hAnsi="Times New Roman" w:cs="Times New Roman"/>
          <w:color w:val="0E101A"/>
          <w:kern w:val="0"/>
          <w:sz w:val="20"/>
          <w:szCs w:val="20"/>
          <w14:ligatures w14:val="none"/>
        </w:rPr>
        <w:t xml:space="preserve"> to measure employees' perceptions of their organization's support. The researchers chose a reliable subset of 8 items from the original 36-item SPOS. Participants indicated their level of agreement with each statement on a 7-point Likert scale. This scale demonstrated a high reliability of 0.90 in this study. Scoring - Adding the scores of all items. Items 6 and 7 reverse scored.</w:t>
      </w:r>
    </w:p>
    <w:p w14:paraId="679D06B0"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The </w:t>
      </w:r>
      <w:r w:rsidRPr="00E94A46">
        <w:rPr>
          <w:rFonts w:ascii="Times New Roman" w:eastAsia="Times New Roman" w:hAnsi="Times New Roman" w:cs="Times New Roman"/>
          <w:b/>
          <w:bCs/>
          <w:color w:val="0E101A"/>
          <w:kern w:val="0"/>
          <w:sz w:val="20"/>
          <w:szCs w:val="20"/>
          <w14:ligatures w14:val="none"/>
        </w:rPr>
        <w:t>Work Intrinsic and Extrinsic Motivation Scale (WEIMS)</w:t>
      </w:r>
      <w:r w:rsidRPr="00E94A46">
        <w:rPr>
          <w:rFonts w:ascii="Times New Roman" w:eastAsia="Times New Roman" w:hAnsi="Times New Roman" w:cs="Times New Roman"/>
          <w:color w:val="0E101A"/>
          <w:kern w:val="0"/>
          <w:sz w:val="20"/>
          <w:szCs w:val="20"/>
          <w14:ligatures w14:val="none"/>
        </w:rPr>
        <w:t xml:space="preserve"> utilizes three questions (4,8,</w:t>
      </w:r>
      <w:proofErr w:type="gramStart"/>
      <w:r w:rsidRPr="00E94A46">
        <w:rPr>
          <w:rFonts w:ascii="Times New Roman" w:eastAsia="Times New Roman" w:hAnsi="Times New Roman" w:cs="Times New Roman"/>
          <w:color w:val="0E101A"/>
          <w:kern w:val="0"/>
          <w:sz w:val="20"/>
          <w:szCs w:val="20"/>
          <w14:ligatures w14:val="none"/>
        </w:rPr>
        <w:t>15)to</w:t>
      </w:r>
      <w:proofErr w:type="gramEnd"/>
      <w:r w:rsidRPr="00E94A46">
        <w:rPr>
          <w:rFonts w:ascii="Times New Roman" w:eastAsia="Times New Roman" w:hAnsi="Times New Roman" w:cs="Times New Roman"/>
          <w:color w:val="0E101A"/>
          <w:kern w:val="0"/>
          <w:sz w:val="20"/>
          <w:szCs w:val="20"/>
          <w14:ligatures w14:val="none"/>
        </w:rPr>
        <w:t xml:space="preserve"> assess intrinsic motivation, focusing on internal drives, personal interests, and psychological needs. 7-point Likert </w:t>
      </w:r>
      <w:proofErr w:type="gramStart"/>
      <w:r w:rsidRPr="00E94A46">
        <w:rPr>
          <w:rFonts w:ascii="Times New Roman" w:eastAsia="Times New Roman" w:hAnsi="Times New Roman" w:cs="Times New Roman"/>
          <w:color w:val="0E101A"/>
          <w:kern w:val="0"/>
          <w:sz w:val="20"/>
          <w:szCs w:val="20"/>
          <w14:ligatures w14:val="none"/>
        </w:rPr>
        <w:t>scale .Reliability</w:t>
      </w:r>
      <w:proofErr w:type="gramEnd"/>
      <w:r w:rsidRPr="00E94A46">
        <w:rPr>
          <w:rFonts w:ascii="Times New Roman" w:eastAsia="Times New Roman" w:hAnsi="Times New Roman" w:cs="Times New Roman"/>
          <w:color w:val="0E101A"/>
          <w:kern w:val="0"/>
          <w:sz w:val="20"/>
          <w:szCs w:val="20"/>
          <w14:ligatures w14:val="none"/>
        </w:rPr>
        <w:t xml:space="preserve"> - 0.84. (</w:t>
      </w:r>
      <w:proofErr w:type="spellStart"/>
      <w:r w:rsidRPr="00E94A46">
        <w:rPr>
          <w:rFonts w:ascii="Times New Roman" w:eastAsia="Times New Roman" w:hAnsi="Times New Roman" w:cs="Times New Roman"/>
          <w:color w:val="0E101A"/>
          <w:kern w:val="0"/>
          <w:sz w:val="20"/>
          <w:szCs w:val="20"/>
          <w14:ligatures w14:val="none"/>
        </w:rPr>
        <w:t>Kotera</w:t>
      </w:r>
      <w:proofErr w:type="spellEnd"/>
      <w:r w:rsidRPr="00E94A46">
        <w:rPr>
          <w:rFonts w:ascii="Times New Roman" w:eastAsia="Times New Roman" w:hAnsi="Times New Roman" w:cs="Times New Roman"/>
          <w:color w:val="0E101A"/>
          <w:kern w:val="0"/>
          <w:sz w:val="20"/>
          <w:szCs w:val="20"/>
          <w14:ligatures w14:val="none"/>
        </w:rPr>
        <w:t xml:space="preserve"> et al., 2022</w:t>
      </w:r>
      <w:proofErr w:type="gramStart"/>
      <w:r w:rsidRPr="00E94A46">
        <w:rPr>
          <w:rFonts w:ascii="Times New Roman" w:eastAsia="Times New Roman" w:hAnsi="Times New Roman" w:cs="Times New Roman"/>
          <w:color w:val="0E101A"/>
          <w:kern w:val="0"/>
          <w:sz w:val="20"/>
          <w:szCs w:val="20"/>
          <w14:ligatures w14:val="none"/>
        </w:rPr>
        <w:t>) .Scoring</w:t>
      </w:r>
      <w:proofErr w:type="gramEnd"/>
      <w:r w:rsidRPr="00E94A46">
        <w:rPr>
          <w:rFonts w:ascii="Times New Roman" w:eastAsia="Times New Roman" w:hAnsi="Times New Roman" w:cs="Times New Roman"/>
          <w:color w:val="0E101A"/>
          <w:kern w:val="0"/>
          <w:sz w:val="20"/>
          <w:szCs w:val="20"/>
          <w14:ligatures w14:val="none"/>
        </w:rPr>
        <w:t xml:space="preserve"> - (total score of 3 items on the scale ) The higher the score, the better intrinsic motivation.</w:t>
      </w:r>
    </w:p>
    <w:p w14:paraId="331E5F3F" w14:textId="77777777" w:rsidR="00B95EF2" w:rsidRPr="00E94A46"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0E167950" w14:textId="77777777" w:rsidR="00FE1D3E" w:rsidRPr="00E94A46" w:rsidRDefault="00FE1D3E" w:rsidP="00B95EF2">
      <w:pPr>
        <w:spacing w:after="0" w:line="360" w:lineRule="auto"/>
        <w:outlineLvl w:val="3"/>
        <w:rPr>
          <w:rFonts w:ascii="Times New Roman" w:eastAsia="Times New Roman" w:hAnsi="Times New Roman" w:cs="Times New Roman"/>
          <w:b/>
          <w:bCs/>
          <w:color w:val="000000"/>
          <w:kern w:val="0"/>
          <w:sz w:val="20"/>
          <w:szCs w:val="20"/>
          <w14:ligatures w14:val="none"/>
        </w:rPr>
      </w:pPr>
      <w:r w:rsidRPr="00E94A46">
        <w:rPr>
          <w:rFonts w:ascii="Times New Roman" w:eastAsia="Times New Roman" w:hAnsi="Times New Roman" w:cs="Times New Roman"/>
          <w:b/>
          <w:bCs/>
          <w:color w:val="0E101A"/>
          <w:kern w:val="0"/>
          <w:sz w:val="20"/>
          <w:szCs w:val="20"/>
          <w14:ligatures w14:val="none"/>
        </w:rPr>
        <w:t>Procedure</w:t>
      </w:r>
    </w:p>
    <w:p w14:paraId="0F38B0B5"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The study commenced with obtaining ethical clearance from the respective institutional review board. Participants were then briefed about the study's objectives and procedures, followed by the distribution of consent forms. Data collection occurred via both online and offline formats, allowing flexibility. The three scales, as mentioned earlier, were administered to the participants. Upon completion, data were anonymized and securely stored. Subsequently, statistical analysis was conducted using </w:t>
      </w:r>
      <w:proofErr w:type="spellStart"/>
      <w:r w:rsidRPr="00E94A46">
        <w:rPr>
          <w:rFonts w:ascii="Times New Roman" w:eastAsia="Times New Roman" w:hAnsi="Times New Roman" w:cs="Times New Roman"/>
          <w:color w:val="0E101A"/>
          <w:kern w:val="0"/>
          <w:sz w:val="20"/>
          <w:szCs w:val="20"/>
          <w14:ligatures w14:val="none"/>
        </w:rPr>
        <w:t>Jamovi</w:t>
      </w:r>
      <w:proofErr w:type="spellEnd"/>
      <w:r w:rsidRPr="00E94A46">
        <w:rPr>
          <w:rFonts w:ascii="Times New Roman" w:eastAsia="Times New Roman" w:hAnsi="Times New Roman" w:cs="Times New Roman"/>
          <w:color w:val="0E101A"/>
          <w:kern w:val="0"/>
          <w:sz w:val="20"/>
          <w:szCs w:val="20"/>
          <w14:ligatures w14:val="none"/>
        </w:rPr>
        <w:t xml:space="preserve"> software, employing regression and mediation analyses to explore the relationships between POS, intrinsic motivation, and OCB.</w:t>
      </w:r>
    </w:p>
    <w:p w14:paraId="322A9F61" w14:textId="77777777" w:rsidR="00B95EF2" w:rsidRPr="00E94A46"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0CDFBD8A" w14:textId="77777777" w:rsidR="00FE1D3E" w:rsidRPr="00E94A46"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94A46">
        <w:rPr>
          <w:rFonts w:ascii="Times New Roman" w:eastAsia="Times New Roman" w:hAnsi="Times New Roman" w:cs="Times New Roman"/>
          <w:b/>
          <w:bCs/>
          <w:color w:val="0E101A"/>
          <w:kern w:val="0"/>
          <w:sz w:val="20"/>
          <w:szCs w:val="20"/>
          <w14:ligatures w14:val="none"/>
        </w:rPr>
        <w:t>Ethical Considerations</w:t>
      </w:r>
    </w:p>
    <w:p w14:paraId="3E27FC6E" w14:textId="2345B0E2" w:rsidR="008505CC"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94A46">
        <w:rPr>
          <w:rFonts w:ascii="Times New Roman" w:eastAsia="Times New Roman" w:hAnsi="Times New Roman" w:cs="Times New Roman"/>
          <w:color w:val="0E101A"/>
          <w:kern w:val="0"/>
          <w:sz w:val="20"/>
          <w:szCs w:val="20"/>
          <w14:ligatures w14:val="none"/>
        </w:rPr>
        <w:t xml:space="preserve">Ethical clearance was obtained before conducting the study, adhering to institutional guidelines. Informed consent was mandatory, with participants assured of the confidentiality and anonymity of their data. Data were securely stored, and participants were given the option to withdraw at any stage. A debriefing was provided after the </w:t>
      </w:r>
      <w:r w:rsidRPr="00E94A46">
        <w:rPr>
          <w:rFonts w:ascii="Times New Roman" w:eastAsia="Times New Roman" w:hAnsi="Times New Roman" w:cs="Times New Roman"/>
          <w:color w:val="0E101A"/>
          <w:kern w:val="0"/>
          <w:sz w:val="20"/>
          <w:szCs w:val="20"/>
          <w14:ligatures w14:val="none"/>
        </w:rPr>
        <w:lastRenderedPageBreak/>
        <w:t>study, addressing any questions and explaining the study's objectives. Participant rights were upheld throughout, ensuring privacy and protection.</w:t>
      </w:r>
    </w:p>
    <w:p w14:paraId="03DD73DD" w14:textId="77777777" w:rsid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7E0030A5" w14:textId="283124BB" w:rsidR="00E82E79" w:rsidRPr="00B95EF2" w:rsidRDefault="00E82E79" w:rsidP="00B95EF2">
      <w:pPr>
        <w:spacing w:before="54" w:after="0" w:line="360" w:lineRule="auto"/>
        <w:rPr>
          <w:rFonts w:ascii="Times New Roman" w:hAnsi="Times New Roman" w:cs="Times New Roman"/>
          <w:b/>
          <w:bCs/>
          <w:color w:val="000000" w:themeColor="text1"/>
        </w:rPr>
      </w:pPr>
      <w:r w:rsidRPr="00E82E79">
        <w:rPr>
          <w:rFonts w:ascii="Times New Roman" w:hAnsi="Times New Roman" w:cs="Times New Roman"/>
          <w:b/>
          <w:bCs/>
          <w:color w:val="000000" w:themeColor="text1"/>
        </w:rPr>
        <w:t>MODELING AND ANALYSIS</w:t>
      </w:r>
    </w:p>
    <w:p w14:paraId="68572C3D"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Perceived Organizational Support (POS) and Employee Behavior</w:t>
      </w:r>
    </w:p>
    <w:p w14:paraId="73491B90" w14:textId="77777777" w:rsidR="00E82E79" w:rsidRDefault="00E82E79"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Perceived Organizational Support (POS) is pivotal in shaping employees' perceptions of how their organization values their contributions and prioritizes their well-being (</w:t>
      </w:r>
      <w:proofErr w:type="spellStart"/>
      <w:r w:rsidRPr="00E82E79">
        <w:rPr>
          <w:rFonts w:ascii="Times New Roman" w:eastAsia="Times New Roman" w:hAnsi="Times New Roman" w:cs="Times New Roman"/>
          <w:color w:val="0E101A"/>
          <w:kern w:val="0"/>
          <w:sz w:val="20"/>
          <w:szCs w:val="20"/>
          <w14:ligatures w14:val="none"/>
        </w:rPr>
        <w:t>Côté</w:t>
      </w:r>
      <w:proofErr w:type="spellEnd"/>
      <w:r w:rsidRPr="00E82E79">
        <w:rPr>
          <w:rFonts w:ascii="Times New Roman" w:eastAsia="Times New Roman" w:hAnsi="Times New Roman" w:cs="Times New Roman"/>
          <w:color w:val="0E101A"/>
          <w:kern w:val="0"/>
          <w:sz w:val="20"/>
          <w:szCs w:val="20"/>
          <w14:ligatures w14:val="none"/>
        </w:rPr>
        <w:t xml:space="preserve"> et al., 2021). It influences work-related outcomes, including job satisfaction, commitment, and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(OCB) (Yang et al., 2018; Chen &amp; Shaffer, 2017). POS fosters positive work experiences and mutually beneficial relationships between employees and organizations (</w:t>
      </w:r>
      <w:proofErr w:type="spellStart"/>
      <w:r w:rsidRPr="00E82E79">
        <w:rPr>
          <w:rFonts w:ascii="Times New Roman" w:eastAsia="Times New Roman" w:hAnsi="Times New Roman" w:cs="Times New Roman"/>
          <w:color w:val="0E101A"/>
          <w:kern w:val="0"/>
          <w:sz w:val="20"/>
          <w:szCs w:val="20"/>
          <w14:ligatures w14:val="none"/>
        </w:rPr>
        <w:t>Côté</w:t>
      </w:r>
      <w:proofErr w:type="spellEnd"/>
      <w:r w:rsidRPr="00E82E79">
        <w:rPr>
          <w:rFonts w:ascii="Times New Roman" w:eastAsia="Times New Roman" w:hAnsi="Times New Roman" w:cs="Times New Roman"/>
          <w:color w:val="0E101A"/>
          <w:kern w:val="0"/>
          <w:sz w:val="20"/>
          <w:szCs w:val="20"/>
          <w14:ligatures w14:val="none"/>
        </w:rPr>
        <w:t xml:space="preserve"> et al., 2021). Organizational Citizenship Behavior (OCB), characterized by voluntary contributions beyond formal job requirements, embodies a psychological contract between individuals and organizations (Organ et al., 1988). Studies across industries demonstrate the positive impact of POS on OCB, with dimensions such as altruism, courtesy, and civic virtue positively affected (Gupta, 2022; Joy &amp; </w:t>
      </w:r>
      <w:proofErr w:type="spellStart"/>
      <w:r w:rsidRPr="00E82E79">
        <w:rPr>
          <w:rFonts w:ascii="Times New Roman" w:eastAsia="Times New Roman" w:hAnsi="Times New Roman" w:cs="Times New Roman"/>
          <w:color w:val="0E101A"/>
          <w:kern w:val="0"/>
          <w:sz w:val="20"/>
          <w:szCs w:val="20"/>
          <w14:ligatures w14:val="none"/>
        </w:rPr>
        <w:t>Sidhique</w:t>
      </w:r>
      <w:proofErr w:type="spellEnd"/>
      <w:r w:rsidRPr="00E82E79">
        <w:rPr>
          <w:rFonts w:ascii="Times New Roman" w:eastAsia="Times New Roman" w:hAnsi="Times New Roman" w:cs="Times New Roman"/>
          <w:color w:val="0E101A"/>
          <w:kern w:val="0"/>
          <w:sz w:val="20"/>
          <w:szCs w:val="20"/>
          <w14:ligatures w14:val="none"/>
        </w:rPr>
        <w:t xml:space="preserve">, 2016). Furthermore, POS triggers intrinsic motivation, enhancing employee satisfaction and engagement (Tran et al., 2020). The research underscores the interconnected dynamics of POS, OCB, and intrinsic motivation, highlighting their significance in fostering positive workplace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and contributing to organizational success (</w:t>
      </w:r>
      <w:proofErr w:type="spellStart"/>
      <w:r w:rsidRPr="00E82E79">
        <w:rPr>
          <w:rFonts w:ascii="Times New Roman" w:eastAsia="Times New Roman" w:hAnsi="Times New Roman" w:cs="Times New Roman"/>
          <w:color w:val="0E101A"/>
          <w:kern w:val="0"/>
          <w:sz w:val="20"/>
          <w:szCs w:val="20"/>
          <w14:ligatures w14:val="none"/>
        </w:rPr>
        <w:t>Karatepe</w:t>
      </w:r>
      <w:proofErr w:type="spellEnd"/>
      <w:r w:rsidRPr="00E82E79">
        <w:rPr>
          <w:rFonts w:ascii="Times New Roman" w:eastAsia="Times New Roman" w:hAnsi="Times New Roman" w:cs="Times New Roman"/>
          <w:color w:val="0E101A"/>
          <w:kern w:val="0"/>
          <w:sz w:val="20"/>
          <w:szCs w:val="20"/>
          <w14:ligatures w14:val="none"/>
        </w:rPr>
        <w:t xml:space="preserve"> &amp; </w:t>
      </w:r>
      <w:proofErr w:type="spellStart"/>
      <w:r w:rsidRPr="00E82E79">
        <w:rPr>
          <w:rFonts w:ascii="Times New Roman" w:eastAsia="Times New Roman" w:hAnsi="Times New Roman" w:cs="Times New Roman"/>
          <w:color w:val="0E101A"/>
          <w:kern w:val="0"/>
          <w:sz w:val="20"/>
          <w:szCs w:val="20"/>
          <w14:ligatures w14:val="none"/>
        </w:rPr>
        <w:t>Karadaş</w:t>
      </w:r>
      <w:proofErr w:type="spellEnd"/>
      <w:r w:rsidRPr="00E82E79">
        <w:rPr>
          <w:rFonts w:ascii="Times New Roman" w:eastAsia="Times New Roman" w:hAnsi="Times New Roman" w:cs="Times New Roman"/>
          <w:color w:val="0E101A"/>
          <w:kern w:val="0"/>
          <w:sz w:val="20"/>
          <w:szCs w:val="20"/>
          <w14:ligatures w14:val="none"/>
        </w:rPr>
        <w:t xml:space="preserve">, 2015; Ahmad &amp; Zafar, 2018). Overall, understanding the role of POS in influencing employee attitudes and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is essential for effective HR management and organizational performance improvement.</w:t>
      </w:r>
    </w:p>
    <w:p w14:paraId="11A959E4" w14:textId="77777777" w:rsidR="00B95EF2" w:rsidRPr="00E82E79"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56B369BC"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Organizational Citizenship Behavior (OCB) and its Determinants</w:t>
      </w:r>
    </w:p>
    <w:p w14:paraId="3BEC25E4" w14:textId="196591C5" w:rsidR="00E82E79" w:rsidRDefault="00E82E79"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Organizational Citizenship Behavior (OCB) refers to voluntary actions by employees that go beyond their formal job requirements and contribute to the organization's overall effectiveness. OCB is crucial in enhancing organizational performance by fostering teamwork, improving employee morale, and creating a positive work </w:t>
      </w:r>
      <w:proofErr w:type="gramStart"/>
      <w:r w:rsidRPr="00E82E79">
        <w:rPr>
          <w:rFonts w:ascii="Times New Roman" w:eastAsia="Times New Roman" w:hAnsi="Times New Roman" w:cs="Times New Roman"/>
          <w:color w:val="0E101A"/>
          <w:kern w:val="0"/>
          <w:sz w:val="20"/>
          <w:szCs w:val="20"/>
          <w14:ligatures w14:val="none"/>
        </w:rPr>
        <w:t>environment(</w:t>
      </w:r>
      <w:proofErr w:type="gramEnd"/>
      <w:r w:rsidRPr="00E82E79">
        <w:rPr>
          <w:rFonts w:ascii="Times New Roman" w:eastAsia="Times New Roman" w:hAnsi="Times New Roman" w:cs="Times New Roman"/>
          <w:color w:val="0E101A"/>
          <w:kern w:val="0"/>
          <w:sz w:val="20"/>
          <w:szCs w:val="20"/>
          <w14:ligatures w14:val="none"/>
        </w:rPr>
        <w:t xml:space="preserve">Organ et al., 1988). Several factors influence OCB, including organizational support, leadership </w:t>
      </w:r>
      <w:r w:rsidR="00B95EF2" w:rsidRPr="00E82E79">
        <w:rPr>
          <w:rFonts w:ascii="Times New Roman" w:eastAsia="Times New Roman" w:hAnsi="Times New Roman" w:cs="Times New Roman"/>
          <w:color w:val="0E101A"/>
          <w:kern w:val="0"/>
          <w:sz w:val="20"/>
          <w:szCs w:val="20"/>
          <w14:ligatures w14:val="none"/>
        </w:rPr>
        <w:t>behavior</w:t>
      </w:r>
      <w:r w:rsidRPr="00E82E79">
        <w:rPr>
          <w:rFonts w:ascii="Times New Roman" w:eastAsia="Times New Roman" w:hAnsi="Times New Roman" w:cs="Times New Roman"/>
          <w:color w:val="0E101A"/>
          <w:kern w:val="0"/>
          <w:sz w:val="20"/>
          <w:szCs w:val="20"/>
          <w14:ligatures w14:val="none"/>
        </w:rPr>
        <w:t xml:space="preserve">, and job characteristics. Social exchange theory posits that employees reciprocate </w:t>
      </w:r>
      <w:r w:rsidR="00B95EF2" w:rsidRPr="00E82E79">
        <w:rPr>
          <w:rFonts w:ascii="Times New Roman" w:eastAsia="Times New Roman" w:hAnsi="Times New Roman" w:cs="Times New Roman"/>
          <w:color w:val="0E101A"/>
          <w:kern w:val="0"/>
          <w:sz w:val="20"/>
          <w:szCs w:val="20"/>
          <w14:ligatures w14:val="none"/>
        </w:rPr>
        <w:t>favorable</w:t>
      </w:r>
      <w:r w:rsidRPr="00E82E79">
        <w:rPr>
          <w:rFonts w:ascii="Times New Roman" w:eastAsia="Times New Roman" w:hAnsi="Times New Roman" w:cs="Times New Roman"/>
          <w:color w:val="0E101A"/>
          <w:kern w:val="0"/>
          <w:sz w:val="20"/>
          <w:szCs w:val="20"/>
          <w14:ligatures w14:val="none"/>
        </w:rPr>
        <w:t xml:space="preserve"> treatment from their organization with increased OCB, highlighting the role of perceived organizational support as an antecedent. Moreover, studies suggest that job autonomy, task significance, and perceived fairness are also determinants of OCB. In the IT sector, factors such as the availability of resources, team dynamics, and the nature of tasks may influence employees' engagement in OCB. Understanding these determinants is essential for organizations to cultivate a supportive work environment and promote </w:t>
      </w:r>
      <w:r w:rsidR="00B95EF2" w:rsidRPr="00E82E79">
        <w:rPr>
          <w:rFonts w:ascii="Times New Roman" w:eastAsia="Times New Roman" w:hAnsi="Times New Roman" w:cs="Times New Roman"/>
          <w:color w:val="0E101A"/>
          <w:kern w:val="0"/>
          <w:sz w:val="20"/>
          <w:szCs w:val="20"/>
          <w14:ligatures w14:val="none"/>
        </w:rPr>
        <w:t>behaviors</w:t>
      </w:r>
      <w:r w:rsidRPr="00E82E79">
        <w:rPr>
          <w:rFonts w:ascii="Times New Roman" w:eastAsia="Times New Roman" w:hAnsi="Times New Roman" w:cs="Times New Roman"/>
          <w:color w:val="0E101A"/>
          <w:kern w:val="0"/>
          <w:sz w:val="20"/>
          <w:szCs w:val="20"/>
          <w14:ligatures w14:val="none"/>
        </w:rPr>
        <w:t xml:space="preserve"> that contribute to organizational </w:t>
      </w:r>
      <w:r w:rsidR="00B95EF2" w:rsidRPr="00E82E79">
        <w:rPr>
          <w:rFonts w:ascii="Times New Roman" w:eastAsia="Times New Roman" w:hAnsi="Times New Roman" w:cs="Times New Roman"/>
          <w:color w:val="0E101A"/>
          <w:kern w:val="0"/>
          <w:sz w:val="20"/>
          <w:szCs w:val="20"/>
          <w14:ligatures w14:val="none"/>
        </w:rPr>
        <w:t>success. (</w:t>
      </w:r>
      <w:proofErr w:type="spellStart"/>
      <w:r w:rsidRPr="00E82E79">
        <w:rPr>
          <w:rFonts w:ascii="Times New Roman" w:eastAsia="Times New Roman" w:hAnsi="Times New Roman" w:cs="Times New Roman"/>
          <w:color w:val="0E101A"/>
          <w:kern w:val="0"/>
          <w:sz w:val="20"/>
          <w:szCs w:val="20"/>
          <w14:ligatures w14:val="none"/>
        </w:rPr>
        <w:t>Hermawan</w:t>
      </w:r>
      <w:proofErr w:type="spellEnd"/>
      <w:r w:rsidRPr="00E82E79">
        <w:rPr>
          <w:rFonts w:ascii="Times New Roman" w:eastAsia="Times New Roman" w:hAnsi="Times New Roman" w:cs="Times New Roman"/>
          <w:color w:val="0E101A"/>
          <w:kern w:val="0"/>
          <w:sz w:val="20"/>
          <w:szCs w:val="20"/>
          <w14:ligatures w14:val="none"/>
        </w:rPr>
        <w:t xml:space="preserve"> et al., 2020)</w:t>
      </w:r>
    </w:p>
    <w:p w14:paraId="3D76D539" w14:textId="77777777" w:rsidR="00B95EF2" w:rsidRPr="00E82E79"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6D767870"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Intrinsic Motivation and Workplace Behaviors</w:t>
      </w:r>
    </w:p>
    <w:p w14:paraId="74F74E01"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Intrinsic motivation plays a vital role in driving employee engagement, performance, and satisfaction within the workplace. Rooted in individuals' inclination for challenging and gratifying tasks, intrinsic motivation fosters cognitive flexibility and heightened performance (Hon &amp; Leung, 2011). Employees with heightened intrinsic motivation exhibit enhanced performance, achieve targets more effectively and experience greater happiness and </w:t>
      </w:r>
      <w:r w:rsidRPr="00E82E79">
        <w:rPr>
          <w:rFonts w:ascii="Times New Roman" w:eastAsia="Times New Roman" w:hAnsi="Times New Roman" w:cs="Times New Roman"/>
          <w:color w:val="0E101A"/>
          <w:kern w:val="0"/>
          <w:sz w:val="20"/>
          <w:szCs w:val="20"/>
          <w14:ligatures w14:val="none"/>
        </w:rPr>
        <w:lastRenderedPageBreak/>
        <w:t>satisfaction. Factors influencing intrinsic motivation include autonomy, mastery, and purpose, which contribute to employees' willingness to seek new knowledge and utilize unconventional approaches in decision-making (Garg &amp; Dhar, 2016).</w:t>
      </w:r>
    </w:p>
    <w:p w14:paraId="4E787D2A"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Moreover, intrinsic motivation has been linked to discretionary workplace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including Organizational Citizenship Behavior (OCB). Studies have shown that employees driven by intrinsic motivation are more likely to engage in voluntary contributions that surpass formal job requirements (Organ et al., 1988). Intrinsic motivation enhances employees' commitment to organizational goals and fosters a heightened sense of reciprocity norms and organizational commitment (Kim et al., 2019). These findings suggest that intrinsic motivation is a critical determinant of employees' willingness to exceed formal job expectations and contribute positively to organizational success.</w:t>
      </w:r>
    </w:p>
    <w:p w14:paraId="7F669762" w14:textId="77777777" w:rsidR="00E82E79" w:rsidRDefault="00E82E79"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However, the relationship between intrinsic motivation and workplace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may be influenced by perceived organizational support (POS). POS, reflecting employees' beliefs about being cared for and appreciated by the organization, can trigger intrinsic motivation and enhance employee satisfaction (Tran et al., 2020). Moreover, POS has been found to positively influence Organizational Citizenship Behavior (OCB), highlighting its role in shaping discretionary workplace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(Gupta, 2022; Joy &amp; </w:t>
      </w:r>
      <w:proofErr w:type="spellStart"/>
      <w:r w:rsidRPr="00E82E79">
        <w:rPr>
          <w:rFonts w:ascii="Times New Roman" w:eastAsia="Times New Roman" w:hAnsi="Times New Roman" w:cs="Times New Roman"/>
          <w:color w:val="0E101A"/>
          <w:kern w:val="0"/>
          <w:sz w:val="20"/>
          <w:szCs w:val="20"/>
          <w14:ligatures w14:val="none"/>
        </w:rPr>
        <w:t>Sidhique</w:t>
      </w:r>
      <w:proofErr w:type="spellEnd"/>
      <w:r w:rsidRPr="00E82E79">
        <w:rPr>
          <w:rFonts w:ascii="Times New Roman" w:eastAsia="Times New Roman" w:hAnsi="Times New Roman" w:cs="Times New Roman"/>
          <w:color w:val="0E101A"/>
          <w:kern w:val="0"/>
          <w:sz w:val="20"/>
          <w:szCs w:val="20"/>
          <w14:ligatures w14:val="none"/>
        </w:rPr>
        <w:t xml:space="preserve">, 2016). Thus, while intrinsic motivation significantly drives positive workplace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its effectiveness may be contingent on the organization's perceived level of support and appreciation.</w:t>
      </w:r>
    </w:p>
    <w:p w14:paraId="5DB796DA" w14:textId="77777777" w:rsidR="00B95EF2" w:rsidRPr="00E82E79"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1DCA96B8"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The Reciprocal Relationship between POS, OCB and Intrinsic Motivation</w:t>
      </w:r>
    </w:p>
    <w:p w14:paraId="0004DDF3"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ab/>
        <w:t xml:space="preserve">The reciprocal relationship between Perceived Organizational Support (POS), Organizational Citizenship Behavior (OCB), and Intrinsic Motivation highlights a cyclical dynamic within organizational contexts. When employees perceive high levels of POS, they are more likely to be intrinsically motivated and exhibit OCBs (Tran et al., 2020). This positive feedback loop suggests that the perception of support from the organization fosters an environment where employees feel valued and motivated to go above and beyond their formal job requirements (Pepple &amp; Davies, 2019). Employees who engage in voluntary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that contribute to organizational goals, such as helping colleagues or participating in organizational initiatives, strengthen their sense of support and commitment to the organization (Piasecki, 2019).</w:t>
      </w:r>
    </w:p>
    <w:p w14:paraId="55C3633B"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Importantly, engaging in OCBs further reinforces employees' perception of support from the organization. When employees observe that their extra efforts are acknowledged and appreciated, it strengthens their belief in the organization's commitment to their well-being. This positive reinforcement creates a feedback loop wherein high levels of POS lead to increased intrinsic motivation and OCBs, which, in turn, reinforce perceptions of support from the organization. (Su et al., 2020)</w:t>
      </w:r>
    </w:p>
    <w:p w14:paraId="43C2B1DD" w14:textId="77777777" w:rsidR="00E82E79" w:rsidRDefault="00E82E79"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A supportive organizational environment can enhance employee motivation and encourage discretionary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increasing organizational effectiveness and employee satisfaction. Similarly, employees' engagement in OCBs can reinforce their perception of support, further contributing to a positive work environment and organizational </w:t>
      </w:r>
      <w:proofErr w:type="gramStart"/>
      <w:r w:rsidRPr="00E82E79">
        <w:rPr>
          <w:rFonts w:ascii="Times New Roman" w:eastAsia="Times New Roman" w:hAnsi="Times New Roman" w:cs="Times New Roman"/>
          <w:color w:val="0E101A"/>
          <w:kern w:val="0"/>
          <w:sz w:val="20"/>
          <w:szCs w:val="20"/>
          <w14:ligatures w14:val="none"/>
        </w:rPr>
        <w:t>success(</w:t>
      </w:r>
      <w:proofErr w:type="gramEnd"/>
      <w:r w:rsidRPr="00E82E79">
        <w:rPr>
          <w:rFonts w:ascii="Times New Roman" w:eastAsia="Times New Roman" w:hAnsi="Times New Roman" w:cs="Times New Roman"/>
          <w:color w:val="0E101A"/>
          <w:kern w:val="0"/>
          <w:sz w:val="20"/>
          <w:szCs w:val="20"/>
          <w14:ligatures w14:val="none"/>
        </w:rPr>
        <w:t>Armstrong,2016).</w:t>
      </w:r>
    </w:p>
    <w:p w14:paraId="45CDBB37" w14:textId="77777777" w:rsidR="00B95EF2" w:rsidRPr="00E82E79"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1F2E5469"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lastRenderedPageBreak/>
        <w:t>Research Question</w:t>
      </w:r>
    </w:p>
    <w:p w14:paraId="4F6913EA" w14:textId="77777777" w:rsidR="00E82E79" w:rsidRPr="00E82E79" w:rsidRDefault="00E82E79" w:rsidP="00B95EF2">
      <w:pPr>
        <w:numPr>
          <w:ilvl w:val="0"/>
          <w:numId w:val="1"/>
        </w:numPr>
        <w:spacing w:after="0" w:line="360" w:lineRule="auto"/>
        <w:textAlignment w:val="baseline"/>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Does Perceived Organizational Support (POS) influence Organizational Citizenship Behavior (OCB) among employees in the Information Technology (IT) industry in India?</w:t>
      </w:r>
    </w:p>
    <w:p w14:paraId="0D2DD4B3" w14:textId="77777777" w:rsidR="00E82E79" w:rsidRPr="00E82E79" w:rsidRDefault="00E82E79" w:rsidP="00B95EF2">
      <w:pPr>
        <w:numPr>
          <w:ilvl w:val="0"/>
          <w:numId w:val="1"/>
        </w:numPr>
        <w:spacing w:after="0" w:line="360" w:lineRule="auto"/>
        <w:textAlignment w:val="baseline"/>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Does Intrinsic Motivation significantly mediate the relationship between perceived organizational support (POS) and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(OCB) within the Indian IT context?</w:t>
      </w:r>
    </w:p>
    <w:p w14:paraId="32457E97"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Building on the literature, this research examines the direct impact of POS on OCB and the mediating role of intrinsic motivation in this relationship. Given the strong links between these constructs in previous research, the following hypotheses are proposed:</w:t>
      </w:r>
    </w:p>
    <w:p w14:paraId="2F163D19"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Hypothesis 1</w:t>
      </w:r>
      <w:r w:rsidRPr="00E82E79">
        <w:rPr>
          <w:rFonts w:ascii="Times New Roman" w:eastAsia="Times New Roman" w:hAnsi="Times New Roman" w:cs="Times New Roman"/>
          <w:color w:val="0E101A"/>
          <w:kern w:val="0"/>
          <w:sz w:val="20"/>
          <w:szCs w:val="20"/>
          <w14:ligatures w14:val="none"/>
        </w:rPr>
        <w:t xml:space="preserve">: Perceived organizational support (POS) positively affects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(OCB).</w:t>
      </w:r>
    </w:p>
    <w:p w14:paraId="0332C48C" w14:textId="77777777" w:rsidR="00E82E79" w:rsidRPr="00E82E79" w:rsidRDefault="00E82E79"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Hypothesis 2</w:t>
      </w:r>
      <w:r w:rsidRPr="00E82E79">
        <w:rPr>
          <w:rFonts w:ascii="Times New Roman" w:eastAsia="Times New Roman" w:hAnsi="Times New Roman" w:cs="Times New Roman"/>
          <w:color w:val="0E101A"/>
          <w:kern w:val="0"/>
          <w:sz w:val="20"/>
          <w:szCs w:val="20"/>
          <w14:ligatures w14:val="none"/>
        </w:rPr>
        <w:t xml:space="preserve">: Intrinsic motivation mediates the relationship between perceived organizational support (POS) and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(OCB).</w:t>
      </w:r>
    </w:p>
    <w:p w14:paraId="4DAAE7E1"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This study aims to bridge the gap in current literature, especially within the context of the Indian IT sector, where little research has focused on the interplay between POS, OCB, and intrinsic motivation.</w:t>
      </w:r>
    </w:p>
    <w:p w14:paraId="5C207B12" w14:textId="77777777" w:rsidR="00E82E79" w:rsidRPr="00E94A46" w:rsidRDefault="00E82E79" w:rsidP="00B95EF2">
      <w:pPr>
        <w:spacing w:after="0" w:line="360" w:lineRule="auto"/>
        <w:rPr>
          <w:rFonts w:ascii="Times New Roman" w:eastAsia="Times New Roman" w:hAnsi="Times New Roman" w:cs="Times New Roman"/>
          <w:color w:val="000000"/>
          <w:kern w:val="0"/>
          <w:sz w:val="20"/>
          <w:szCs w:val="20"/>
          <w14:ligatures w14:val="none"/>
        </w:rPr>
      </w:pPr>
    </w:p>
    <w:p w14:paraId="1A0B546B" w14:textId="77777777" w:rsidR="00FE1D3E" w:rsidRPr="00FE1D3E" w:rsidRDefault="00FE1D3E" w:rsidP="00B95EF2">
      <w:pPr>
        <w:spacing w:after="0" w:line="360" w:lineRule="auto"/>
        <w:rPr>
          <w:rFonts w:ascii="Times New Roman" w:eastAsia="Times New Roman" w:hAnsi="Times New Roman" w:cs="Times New Roman"/>
          <w:color w:val="000000"/>
          <w:kern w:val="0"/>
          <w14:ligatures w14:val="none"/>
        </w:rPr>
      </w:pPr>
      <w:r w:rsidRPr="00FE1D3E">
        <w:rPr>
          <w:rFonts w:ascii="Times New Roman" w:eastAsia="Times New Roman" w:hAnsi="Times New Roman" w:cs="Times New Roman"/>
          <w:b/>
          <w:bCs/>
          <w:color w:val="0E101A"/>
          <w:kern w:val="0"/>
          <w14:ligatures w14:val="none"/>
        </w:rPr>
        <w:t>RESULTS</w:t>
      </w:r>
    </w:p>
    <w:p w14:paraId="3FB25EB1" w14:textId="77777777"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TABLE 1.</w:t>
      </w:r>
      <w:r w:rsidRPr="00E82E79">
        <w:rPr>
          <w:rFonts w:ascii="Times New Roman" w:eastAsia="Times New Roman" w:hAnsi="Times New Roman" w:cs="Times New Roman"/>
          <w:color w:val="0E101A"/>
          <w:kern w:val="0"/>
          <w:sz w:val="20"/>
          <w:szCs w:val="20"/>
          <w14:ligatures w14:val="none"/>
        </w:rPr>
        <w:t xml:space="preserve"> Descriptive Statistics</w:t>
      </w:r>
    </w:p>
    <w:tbl>
      <w:tblPr>
        <w:tblW w:w="0" w:type="auto"/>
        <w:tblCellMar>
          <w:top w:w="15" w:type="dxa"/>
          <w:left w:w="15" w:type="dxa"/>
          <w:bottom w:w="15" w:type="dxa"/>
          <w:right w:w="15" w:type="dxa"/>
        </w:tblCellMar>
        <w:tblLook w:val="04A0" w:firstRow="1" w:lastRow="0" w:firstColumn="1" w:lastColumn="0" w:noHBand="0" w:noVBand="1"/>
      </w:tblPr>
      <w:tblGrid>
        <w:gridCol w:w="1626"/>
        <w:gridCol w:w="166"/>
        <w:gridCol w:w="1169"/>
        <w:gridCol w:w="311"/>
        <w:gridCol w:w="1072"/>
        <w:gridCol w:w="285"/>
        <w:gridCol w:w="1203"/>
        <w:gridCol w:w="321"/>
      </w:tblGrid>
      <w:tr w:rsidR="00FE1D3E" w:rsidRPr="00E82E79" w14:paraId="27174D79" w14:textId="77777777" w:rsidTr="00FE1D3E">
        <w:trPr>
          <w:trHeight w:val="345"/>
        </w:trPr>
        <w:tc>
          <w:tcPr>
            <w:tcW w:w="0" w:type="auto"/>
            <w:gridSpan w:val="8"/>
            <w:tcBorders>
              <w:bottom w:val="single" w:sz="6" w:space="0" w:color="333333"/>
            </w:tcBorders>
            <w:tcMar>
              <w:top w:w="60" w:type="dxa"/>
              <w:left w:w="0" w:type="dxa"/>
              <w:bottom w:w="60" w:type="dxa"/>
              <w:right w:w="120" w:type="dxa"/>
            </w:tcMar>
            <w:hideMark/>
          </w:tcPr>
          <w:p w14:paraId="38E793A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Descriptives</w:t>
            </w:r>
          </w:p>
        </w:tc>
      </w:tr>
      <w:tr w:rsidR="00FE1D3E" w:rsidRPr="00E82E79" w14:paraId="42B77D90" w14:textId="77777777" w:rsidTr="00FE1D3E">
        <w:trPr>
          <w:trHeight w:val="345"/>
        </w:trPr>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4403E775"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 </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64D35ECD"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POS SCORES</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1BE8BC83"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IM SCORES</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4A949F7E"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OCB SCORES</w:t>
            </w:r>
          </w:p>
        </w:tc>
      </w:tr>
      <w:tr w:rsidR="00FE1D3E" w:rsidRPr="00E82E79" w14:paraId="1A5E30AF" w14:textId="77777777" w:rsidTr="00FE1D3E">
        <w:trPr>
          <w:trHeight w:val="360"/>
        </w:trPr>
        <w:tc>
          <w:tcPr>
            <w:tcW w:w="0" w:type="auto"/>
            <w:tcBorders>
              <w:top w:val="single" w:sz="6" w:space="0" w:color="333333"/>
            </w:tcBorders>
            <w:tcMar>
              <w:top w:w="120" w:type="dxa"/>
              <w:left w:w="120" w:type="dxa"/>
              <w:bottom w:w="40" w:type="dxa"/>
              <w:right w:w="0" w:type="dxa"/>
            </w:tcMar>
            <w:hideMark/>
          </w:tcPr>
          <w:p w14:paraId="1458E08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N</w:t>
            </w:r>
          </w:p>
        </w:tc>
        <w:tc>
          <w:tcPr>
            <w:tcW w:w="0" w:type="auto"/>
            <w:tcBorders>
              <w:top w:val="single" w:sz="6" w:space="0" w:color="333333"/>
            </w:tcBorders>
            <w:tcMar>
              <w:top w:w="120" w:type="dxa"/>
              <w:left w:w="40" w:type="dxa"/>
              <w:bottom w:w="40" w:type="dxa"/>
              <w:right w:w="120" w:type="dxa"/>
            </w:tcMar>
            <w:hideMark/>
          </w:tcPr>
          <w:p w14:paraId="30AA14AD"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07E7F9D5"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257</w:t>
            </w:r>
          </w:p>
        </w:tc>
        <w:tc>
          <w:tcPr>
            <w:tcW w:w="0" w:type="auto"/>
            <w:tcBorders>
              <w:top w:val="single" w:sz="6" w:space="0" w:color="333333"/>
            </w:tcBorders>
            <w:tcMar>
              <w:top w:w="120" w:type="dxa"/>
              <w:left w:w="40" w:type="dxa"/>
              <w:bottom w:w="40" w:type="dxa"/>
              <w:right w:w="120" w:type="dxa"/>
            </w:tcMar>
            <w:hideMark/>
          </w:tcPr>
          <w:p w14:paraId="696810B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5855CFA9"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257</w:t>
            </w:r>
          </w:p>
        </w:tc>
        <w:tc>
          <w:tcPr>
            <w:tcW w:w="0" w:type="auto"/>
            <w:tcBorders>
              <w:top w:val="single" w:sz="6" w:space="0" w:color="333333"/>
            </w:tcBorders>
            <w:tcMar>
              <w:top w:w="120" w:type="dxa"/>
              <w:left w:w="40" w:type="dxa"/>
              <w:bottom w:w="40" w:type="dxa"/>
              <w:right w:w="120" w:type="dxa"/>
            </w:tcMar>
            <w:hideMark/>
          </w:tcPr>
          <w:p w14:paraId="6F0C736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4BB48E5C"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257</w:t>
            </w:r>
          </w:p>
        </w:tc>
        <w:tc>
          <w:tcPr>
            <w:tcW w:w="0" w:type="auto"/>
            <w:tcBorders>
              <w:top w:val="single" w:sz="6" w:space="0" w:color="333333"/>
            </w:tcBorders>
            <w:tcMar>
              <w:top w:w="120" w:type="dxa"/>
              <w:left w:w="40" w:type="dxa"/>
              <w:bottom w:w="40" w:type="dxa"/>
              <w:right w:w="120" w:type="dxa"/>
            </w:tcMar>
            <w:hideMark/>
          </w:tcPr>
          <w:p w14:paraId="68C64BF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B384BDB" w14:textId="77777777" w:rsidTr="00FE1D3E">
        <w:trPr>
          <w:trHeight w:val="270"/>
        </w:trPr>
        <w:tc>
          <w:tcPr>
            <w:tcW w:w="0" w:type="auto"/>
            <w:tcMar>
              <w:top w:w="40" w:type="dxa"/>
              <w:left w:w="120" w:type="dxa"/>
              <w:bottom w:w="40" w:type="dxa"/>
              <w:right w:w="0" w:type="dxa"/>
            </w:tcMar>
            <w:hideMark/>
          </w:tcPr>
          <w:p w14:paraId="2A7E622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Missing</w:t>
            </w:r>
          </w:p>
        </w:tc>
        <w:tc>
          <w:tcPr>
            <w:tcW w:w="0" w:type="auto"/>
            <w:tcMar>
              <w:top w:w="40" w:type="dxa"/>
              <w:left w:w="40" w:type="dxa"/>
              <w:bottom w:w="40" w:type="dxa"/>
              <w:right w:w="120" w:type="dxa"/>
            </w:tcMar>
            <w:hideMark/>
          </w:tcPr>
          <w:p w14:paraId="4D88049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762555A5"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w:t>
            </w:r>
          </w:p>
        </w:tc>
        <w:tc>
          <w:tcPr>
            <w:tcW w:w="0" w:type="auto"/>
            <w:tcMar>
              <w:top w:w="40" w:type="dxa"/>
              <w:left w:w="40" w:type="dxa"/>
              <w:bottom w:w="40" w:type="dxa"/>
              <w:right w:w="120" w:type="dxa"/>
            </w:tcMar>
            <w:hideMark/>
          </w:tcPr>
          <w:p w14:paraId="115382A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4BC7B667"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w:t>
            </w:r>
          </w:p>
        </w:tc>
        <w:tc>
          <w:tcPr>
            <w:tcW w:w="0" w:type="auto"/>
            <w:tcMar>
              <w:top w:w="40" w:type="dxa"/>
              <w:left w:w="40" w:type="dxa"/>
              <w:bottom w:w="40" w:type="dxa"/>
              <w:right w:w="120" w:type="dxa"/>
            </w:tcMar>
            <w:hideMark/>
          </w:tcPr>
          <w:p w14:paraId="47AD6BAD"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6308B90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w:t>
            </w:r>
          </w:p>
        </w:tc>
        <w:tc>
          <w:tcPr>
            <w:tcW w:w="0" w:type="auto"/>
            <w:tcMar>
              <w:top w:w="40" w:type="dxa"/>
              <w:left w:w="40" w:type="dxa"/>
              <w:bottom w:w="40" w:type="dxa"/>
              <w:right w:w="120" w:type="dxa"/>
            </w:tcMar>
            <w:hideMark/>
          </w:tcPr>
          <w:p w14:paraId="60AEC13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555849A4" w14:textId="77777777" w:rsidTr="00FE1D3E">
        <w:trPr>
          <w:trHeight w:val="270"/>
        </w:trPr>
        <w:tc>
          <w:tcPr>
            <w:tcW w:w="0" w:type="auto"/>
            <w:tcMar>
              <w:top w:w="40" w:type="dxa"/>
              <w:left w:w="120" w:type="dxa"/>
              <w:bottom w:w="40" w:type="dxa"/>
              <w:right w:w="0" w:type="dxa"/>
            </w:tcMar>
            <w:hideMark/>
          </w:tcPr>
          <w:p w14:paraId="29C2CC5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Mean</w:t>
            </w:r>
          </w:p>
        </w:tc>
        <w:tc>
          <w:tcPr>
            <w:tcW w:w="0" w:type="auto"/>
            <w:tcMar>
              <w:top w:w="40" w:type="dxa"/>
              <w:left w:w="40" w:type="dxa"/>
              <w:bottom w:w="40" w:type="dxa"/>
              <w:right w:w="120" w:type="dxa"/>
            </w:tcMar>
            <w:hideMark/>
          </w:tcPr>
          <w:p w14:paraId="3126709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ABA06CE"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45.4</w:t>
            </w:r>
          </w:p>
        </w:tc>
        <w:tc>
          <w:tcPr>
            <w:tcW w:w="0" w:type="auto"/>
            <w:tcMar>
              <w:top w:w="40" w:type="dxa"/>
              <w:left w:w="40" w:type="dxa"/>
              <w:bottom w:w="40" w:type="dxa"/>
              <w:right w:w="120" w:type="dxa"/>
            </w:tcMar>
            <w:hideMark/>
          </w:tcPr>
          <w:p w14:paraId="3DA3DE49"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2935B01"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16.7</w:t>
            </w:r>
          </w:p>
        </w:tc>
        <w:tc>
          <w:tcPr>
            <w:tcW w:w="0" w:type="auto"/>
            <w:tcMar>
              <w:top w:w="40" w:type="dxa"/>
              <w:left w:w="40" w:type="dxa"/>
              <w:bottom w:w="40" w:type="dxa"/>
              <w:right w:w="120" w:type="dxa"/>
            </w:tcMar>
            <w:hideMark/>
          </w:tcPr>
          <w:p w14:paraId="7A170FF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61CBCE4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34.5</w:t>
            </w:r>
          </w:p>
        </w:tc>
        <w:tc>
          <w:tcPr>
            <w:tcW w:w="0" w:type="auto"/>
            <w:tcMar>
              <w:top w:w="40" w:type="dxa"/>
              <w:left w:w="40" w:type="dxa"/>
              <w:bottom w:w="40" w:type="dxa"/>
              <w:right w:w="120" w:type="dxa"/>
            </w:tcMar>
            <w:hideMark/>
          </w:tcPr>
          <w:p w14:paraId="62B5039B"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635E0BB9" w14:textId="77777777" w:rsidTr="00FE1D3E">
        <w:trPr>
          <w:trHeight w:val="270"/>
        </w:trPr>
        <w:tc>
          <w:tcPr>
            <w:tcW w:w="0" w:type="auto"/>
            <w:tcMar>
              <w:top w:w="40" w:type="dxa"/>
              <w:left w:w="120" w:type="dxa"/>
              <w:bottom w:w="40" w:type="dxa"/>
              <w:right w:w="0" w:type="dxa"/>
            </w:tcMar>
            <w:hideMark/>
          </w:tcPr>
          <w:p w14:paraId="370E0DD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Std. error mean</w:t>
            </w:r>
          </w:p>
        </w:tc>
        <w:tc>
          <w:tcPr>
            <w:tcW w:w="0" w:type="auto"/>
            <w:tcMar>
              <w:top w:w="40" w:type="dxa"/>
              <w:left w:w="40" w:type="dxa"/>
              <w:bottom w:w="40" w:type="dxa"/>
              <w:right w:w="120" w:type="dxa"/>
            </w:tcMar>
            <w:hideMark/>
          </w:tcPr>
          <w:p w14:paraId="3135D53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794145DD"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0.263</w:t>
            </w:r>
          </w:p>
        </w:tc>
        <w:tc>
          <w:tcPr>
            <w:tcW w:w="0" w:type="auto"/>
            <w:tcMar>
              <w:top w:w="40" w:type="dxa"/>
              <w:left w:w="40" w:type="dxa"/>
              <w:bottom w:w="40" w:type="dxa"/>
              <w:right w:w="120" w:type="dxa"/>
            </w:tcMar>
            <w:hideMark/>
          </w:tcPr>
          <w:p w14:paraId="582239E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34142E1B"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0.134</w:t>
            </w:r>
          </w:p>
        </w:tc>
        <w:tc>
          <w:tcPr>
            <w:tcW w:w="0" w:type="auto"/>
            <w:tcMar>
              <w:top w:w="40" w:type="dxa"/>
              <w:left w:w="40" w:type="dxa"/>
              <w:bottom w:w="40" w:type="dxa"/>
              <w:right w:w="120" w:type="dxa"/>
            </w:tcMar>
            <w:hideMark/>
          </w:tcPr>
          <w:p w14:paraId="05399DD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0E685D3B"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0.350</w:t>
            </w:r>
          </w:p>
        </w:tc>
        <w:tc>
          <w:tcPr>
            <w:tcW w:w="0" w:type="auto"/>
            <w:tcMar>
              <w:top w:w="40" w:type="dxa"/>
              <w:left w:w="40" w:type="dxa"/>
              <w:bottom w:w="40" w:type="dxa"/>
              <w:right w:w="120" w:type="dxa"/>
            </w:tcMar>
            <w:hideMark/>
          </w:tcPr>
          <w:p w14:paraId="54CD4F0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78CF4700" w14:textId="77777777" w:rsidTr="00FE1D3E">
        <w:trPr>
          <w:trHeight w:val="270"/>
        </w:trPr>
        <w:tc>
          <w:tcPr>
            <w:tcW w:w="0" w:type="auto"/>
            <w:tcMar>
              <w:top w:w="40" w:type="dxa"/>
              <w:left w:w="120" w:type="dxa"/>
              <w:bottom w:w="40" w:type="dxa"/>
              <w:right w:w="0" w:type="dxa"/>
            </w:tcMar>
            <w:hideMark/>
          </w:tcPr>
          <w:p w14:paraId="29F490E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Median</w:t>
            </w:r>
          </w:p>
        </w:tc>
        <w:tc>
          <w:tcPr>
            <w:tcW w:w="0" w:type="auto"/>
            <w:tcMar>
              <w:top w:w="40" w:type="dxa"/>
              <w:left w:w="40" w:type="dxa"/>
              <w:bottom w:w="40" w:type="dxa"/>
              <w:right w:w="120" w:type="dxa"/>
            </w:tcMar>
            <w:hideMark/>
          </w:tcPr>
          <w:p w14:paraId="266889F9"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1381DFF0"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46.0</w:t>
            </w:r>
          </w:p>
        </w:tc>
        <w:tc>
          <w:tcPr>
            <w:tcW w:w="0" w:type="auto"/>
            <w:tcMar>
              <w:top w:w="40" w:type="dxa"/>
              <w:left w:w="40" w:type="dxa"/>
              <w:bottom w:w="40" w:type="dxa"/>
              <w:right w:w="120" w:type="dxa"/>
            </w:tcMar>
            <w:hideMark/>
          </w:tcPr>
          <w:p w14:paraId="7878C2C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4BD5BFF6"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17.0</w:t>
            </w:r>
          </w:p>
        </w:tc>
        <w:tc>
          <w:tcPr>
            <w:tcW w:w="0" w:type="auto"/>
            <w:tcMar>
              <w:top w:w="40" w:type="dxa"/>
              <w:left w:w="40" w:type="dxa"/>
              <w:bottom w:w="40" w:type="dxa"/>
              <w:right w:w="120" w:type="dxa"/>
            </w:tcMar>
            <w:hideMark/>
          </w:tcPr>
          <w:p w14:paraId="62320E8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3563C91A"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35.0</w:t>
            </w:r>
          </w:p>
        </w:tc>
        <w:tc>
          <w:tcPr>
            <w:tcW w:w="0" w:type="auto"/>
            <w:tcMar>
              <w:top w:w="40" w:type="dxa"/>
              <w:left w:w="40" w:type="dxa"/>
              <w:bottom w:w="40" w:type="dxa"/>
              <w:right w:w="120" w:type="dxa"/>
            </w:tcMar>
            <w:hideMark/>
          </w:tcPr>
          <w:p w14:paraId="5026BA8B"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62F91E8" w14:textId="77777777" w:rsidTr="00FE1D3E">
        <w:trPr>
          <w:trHeight w:val="270"/>
        </w:trPr>
        <w:tc>
          <w:tcPr>
            <w:tcW w:w="0" w:type="auto"/>
            <w:tcMar>
              <w:top w:w="40" w:type="dxa"/>
              <w:left w:w="120" w:type="dxa"/>
              <w:bottom w:w="40" w:type="dxa"/>
              <w:right w:w="0" w:type="dxa"/>
            </w:tcMar>
            <w:hideMark/>
          </w:tcPr>
          <w:p w14:paraId="42E3C96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Mode</w:t>
            </w:r>
          </w:p>
        </w:tc>
        <w:tc>
          <w:tcPr>
            <w:tcW w:w="0" w:type="auto"/>
            <w:tcMar>
              <w:top w:w="40" w:type="dxa"/>
              <w:left w:w="40" w:type="dxa"/>
              <w:bottom w:w="40" w:type="dxa"/>
              <w:right w:w="120" w:type="dxa"/>
            </w:tcMar>
            <w:hideMark/>
          </w:tcPr>
          <w:p w14:paraId="37B25EB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0E96F32"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46.0</w:t>
            </w:r>
          </w:p>
        </w:tc>
        <w:tc>
          <w:tcPr>
            <w:tcW w:w="0" w:type="auto"/>
            <w:tcMar>
              <w:top w:w="40" w:type="dxa"/>
              <w:left w:w="40" w:type="dxa"/>
              <w:bottom w:w="40" w:type="dxa"/>
              <w:right w:w="120" w:type="dxa"/>
            </w:tcMar>
            <w:hideMark/>
          </w:tcPr>
          <w:p w14:paraId="265BB8A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7C73F80"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17.0</w:t>
            </w:r>
          </w:p>
        </w:tc>
        <w:tc>
          <w:tcPr>
            <w:tcW w:w="0" w:type="auto"/>
            <w:tcMar>
              <w:top w:w="40" w:type="dxa"/>
              <w:left w:w="40" w:type="dxa"/>
              <w:bottom w:w="40" w:type="dxa"/>
              <w:right w:w="120" w:type="dxa"/>
            </w:tcMar>
            <w:hideMark/>
          </w:tcPr>
          <w:p w14:paraId="21DBD5C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09A45F87"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38.0</w:t>
            </w:r>
          </w:p>
        </w:tc>
        <w:tc>
          <w:tcPr>
            <w:tcW w:w="0" w:type="auto"/>
            <w:tcMar>
              <w:top w:w="40" w:type="dxa"/>
              <w:left w:w="40" w:type="dxa"/>
              <w:bottom w:w="40" w:type="dxa"/>
              <w:right w:w="120" w:type="dxa"/>
            </w:tcMar>
            <w:hideMark/>
          </w:tcPr>
          <w:p w14:paraId="01F16EAD"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0391428D" w14:textId="77777777" w:rsidTr="00FE1D3E">
        <w:trPr>
          <w:trHeight w:val="270"/>
        </w:trPr>
        <w:tc>
          <w:tcPr>
            <w:tcW w:w="0" w:type="auto"/>
            <w:tcMar>
              <w:top w:w="40" w:type="dxa"/>
              <w:left w:w="120" w:type="dxa"/>
              <w:bottom w:w="40" w:type="dxa"/>
              <w:right w:w="0" w:type="dxa"/>
            </w:tcMar>
            <w:hideMark/>
          </w:tcPr>
          <w:p w14:paraId="09FD277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Standard deviation</w:t>
            </w:r>
          </w:p>
        </w:tc>
        <w:tc>
          <w:tcPr>
            <w:tcW w:w="0" w:type="auto"/>
            <w:tcMar>
              <w:top w:w="40" w:type="dxa"/>
              <w:left w:w="40" w:type="dxa"/>
              <w:bottom w:w="40" w:type="dxa"/>
              <w:right w:w="120" w:type="dxa"/>
            </w:tcMar>
            <w:hideMark/>
          </w:tcPr>
          <w:p w14:paraId="4FDF8A7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4DD0FF8E"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4.21</w:t>
            </w:r>
          </w:p>
        </w:tc>
        <w:tc>
          <w:tcPr>
            <w:tcW w:w="0" w:type="auto"/>
            <w:tcMar>
              <w:top w:w="40" w:type="dxa"/>
              <w:left w:w="40" w:type="dxa"/>
              <w:bottom w:w="40" w:type="dxa"/>
              <w:right w:w="120" w:type="dxa"/>
            </w:tcMar>
            <w:hideMark/>
          </w:tcPr>
          <w:p w14:paraId="65E8C71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E2BD69D"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2.14</w:t>
            </w:r>
          </w:p>
        </w:tc>
        <w:tc>
          <w:tcPr>
            <w:tcW w:w="0" w:type="auto"/>
            <w:tcMar>
              <w:top w:w="40" w:type="dxa"/>
              <w:left w:w="40" w:type="dxa"/>
              <w:bottom w:w="40" w:type="dxa"/>
              <w:right w:w="120" w:type="dxa"/>
            </w:tcMar>
            <w:hideMark/>
          </w:tcPr>
          <w:p w14:paraId="62D5238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5C08108"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5.61</w:t>
            </w:r>
          </w:p>
        </w:tc>
        <w:tc>
          <w:tcPr>
            <w:tcW w:w="0" w:type="auto"/>
            <w:tcMar>
              <w:top w:w="40" w:type="dxa"/>
              <w:left w:w="40" w:type="dxa"/>
              <w:bottom w:w="40" w:type="dxa"/>
              <w:right w:w="120" w:type="dxa"/>
            </w:tcMar>
            <w:hideMark/>
          </w:tcPr>
          <w:p w14:paraId="6522CFF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13DDD11" w14:textId="77777777" w:rsidTr="00FE1D3E">
        <w:trPr>
          <w:trHeight w:val="270"/>
        </w:trPr>
        <w:tc>
          <w:tcPr>
            <w:tcW w:w="0" w:type="auto"/>
            <w:tcMar>
              <w:top w:w="40" w:type="dxa"/>
              <w:left w:w="120" w:type="dxa"/>
              <w:bottom w:w="40" w:type="dxa"/>
              <w:right w:w="0" w:type="dxa"/>
            </w:tcMar>
            <w:hideMark/>
          </w:tcPr>
          <w:p w14:paraId="76B2CC7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Minimum</w:t>
            </w:r>
          </w:p>
        </w:tc>
        <w:tc>
          <w:tcPr>
            <w:tcW w:w="0" w:type="auto"/>
            <w:tcMar>
              <w:top w:w="40" w:type="dxa"/>
              <w:left w:w="40" w:type="dxa"/>
              <w:bottom w:w="40" w:type="dxa"/>
              <w:right w:w="120" w:type="dxa"/>
            </w:tcMar>
            <w:hideMark/>
          </w:tcPr>
          <w:p w14:paraId="445A3E9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51F95B2"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30.0</w:t>
            </w:r>
          </w:p>
        </w:tc>
        <w:tc>
          <w:tcPr>
            <w:tcW w:w="0" w:type="auto"/>
            <w:tcMar>
              <w:top w:w="40" w:type="dxa"/>
              <w:left w:w="40" w:type="dxa"/>
              <w:bottom w:w="40" w:type="dxa"/>
              <w:right w:w="120" w:type="dxa"/>
            </w:tcMar>
            <w:hideMark/>
          </w:tcPr>
          <w:p w14:paraId="37BEB70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A7FD6C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10.0</w:t>
            </w:r>
          </w:p>
        </w:tc>
        <w:tc>
          <w:tcPr>
            <w:tcW w:w="0" w:type="auto"/>
            <w:tcMar>
              <w:top w:w="40" w:type="dxa"/>
              <w:left w:w="40" w:type="dxa"/>
              <w:bottom w:w="40" w:type="dxa"/>
              <w:right w:w="120" w:type="dxa"/>
            </w:tcMar>
            <w:hideMark/>
          </w:tcPr>
          <w:p w14:paraId="055EED8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5CB2318"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16.0</w:t>
            </w:r>
          </w:p>
        </w:tc>
        <w:tc>
          <w:tcPr>
            <w:tcW w:w="0" w:type="auto"/>
            <w:tcMar>
              <w:top w:w="40" w:type="dxa"/>
              <w:left w:w="40" w:type="dxa"/>
              <w:bottom w:w="40" w:type="dxa"/>
              <w:right w:w="120" w:type="dxa"/>
            </w:tcMar>
            <w:hideMark/>
          </w:tcPr>
          <w:p w14:paraId="7D0E1B6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6414321" w14:textId="77777777" w:rsidTr="00FE1D3E">
        <w:trPr>
          <w:trHeight w:val="270"/>
        </w:trPr>
        <w:tc>
          <w:tcPr>
            <w:tcW w:w="0" w:type="auto"/>
            <w:tcMar>
              <w:top w:w="40" w:type="dxa"/>
              <w:left w:w="120" w:type="dxa"/>
              <w:bottom w:w="40" w:type="dxa"/>
              <w:right w:w="0" w:type="dxa"/>
            </w:tcMar>
            <w:hideMark/>
          </w:tcPr>
          <w:p w14:paraId="5D5693E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Maximum</w:t>
            </w:r>
          </w:p>
        </w:tc>
        <w:tc>
          <w:tcPr>
            <w:tcW w:w="0" w:type="auto"/>
            <w:tcMar>
              <w:top w:w="40" w:type="dxa"/>
              <w:left w:w="40" w:type="dxa"/>
              <w:bottom w:w="40" w:type="dxa"/>
              <w:right w:w="120" w:type="dxa"/>
            </w:tcMar>
            <w:hideMark/>
          </w:tcPr>
          <w:p w14:paraId="5D746CF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6842E98"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55.0</w:t>
            </w:r>
          </w:p>
        </w:tc>
        <w:tc>
          <w:tcPr>
            <w:tcW w:w="0" w:type="auto"/>
            <w:tcMar>
              <w:top w:w="40" w:type="dxa"/>
              <w:left w:w="40" w:type="dxa"/>
              <w:bottom w:w="40" w:type="dxa"/>
              <w:right w:w="120" w:type="dxa"/>
            </w:tcMar>
            <w:hideMark/>
          </w:tcPr>
          <w:p w14:paraId="27FC5D4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1793416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21.0</w:t>
            </w:r>
          </w:p>
        </w:tc>
        <w:tc>
          <w:tcPr>
            <w:tcW w:w="0" w:type="auto"/>
            <w:tcMar>
              <w:top w:w="40" w:type="dxa"/>
              <w:left w:w="40" w:type="dxa"/>
              <w:bottom w:w="40" w:type="dxa"/>
              <w:right w:w="120" w:type="dxa"/>
            </w:tcMar>
            <w:hideMark/>
          </w:tcPr>
          <w:p w14:paraId="07404F9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4939A7B9"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45.0</w:t>
            </w:r>
          </w:p>
        </w:tc>
        <w:tc>
          <w:tcPr>
            <w:tcW w:w="0" w:type="auto"/>
            <w:tcMar>
              <w:top w:w="40" w:type="dxa"/>
              <w:left w:w="40" w:type="dxa"/>
              <w:bottom w:w="40" w:type="dxa"/>
              <w:right w:w="120" w:type="dxa"/>
            </w:tcMar>
            <w:hideMark/>
          </w:tcPr>
          <w:p w14:paraId="43E43E92"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604E682B" w14:textId="77777777" w:rsidTr="00FE1D3E">
        <w:trPr>
          <w:trHeight w:val="270"/>
        </w:trPr>
        <w:tc>
          <w:tcPr>
            <w:tcW w:w="0" w:type="auto"/>
            <w:tcMar>
              <w:top w:w="40" w:type="dxa"/>
              <w:left w:w="120" w:type="dxa"/>
              <w:bottom w:w="40" w:type="dxa"/>
              <w:right w:w="0" w:type="dxa"/>
            </w:tcMar>
            <w:hideMark/>
          </w:tcPr>
          <w:p w14:paraId="30B9058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Shapiro-Wilk W</w:t>
            </w:r>
          </w:p>
        </w:tc>
        <w:tc>
          <w:tcPr>
            <w:tcW w:w="0" w:type="auto"/>
            <w:tcMar>
              <w:top w:w="40" w:type="dxa"/>
              <w:left w:w="40" w:type="dxa"/>
              <w:bottom w:w="40" w:type="dxa"/>
              <w:right w:w="120" w:type="dxa"/>
            </w:tcMar>
            <w:hideMark/>
          </w:tcPr>
          <w:p w14:paraId="4516034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7887AE13"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0.946</w:t>
            </w:r>
          </w:p>
        </w:tc>
        <w:tc>
          <w:tcPr>
            <w:tcW w:w="0" w:type="auto"/>
            <w:tcMar>
              <w:top w:w="40" w:type="dxa"/>
              <w:left w:w="40" w:type="dxa"/>
              <w:bottom w:w="40" w:type="dxa"/>
              <w:right w:w="120" w:type="dxa"/>
            </w:tcMar>
            <w:hideMark/>
          </w:tcPr>
          <w:p w14:paraId="082E0A7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69541892"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0.952</w:t>
            </w:r>
          </w:p>
        </w:tc>
        <w:tc>
          <w:tcPr>
            <w:tcW w:w="0" w:type="auto"/>
            <w:tcMar>
              <w:top w:w="40" w:type="dxa"/>
              <w:left w:w="40" w:type="dxa"/>
              <w:bottom w:w="40" w:type="dxa"/>
              <w:right w:w="120" w:type="dxa"/>
            </w:tcMar>
            <w:hideMark/>
          </w:tcPr>
          <w:p w14:paraId="5A3F92B9"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3EC9C72"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0.967</w:t>
            </w:r>
          </w:p>
        </w:tc>
        <w:tc>
          <w:tcPr>
            <w:tcW w:w="0" w:type="auto"/>
            <w:tcMar>
              <w:top w:w="40" w:type="dxa"/>
              <w:left w:w="40" w:type="dxa"/>
              <w:bottom w:w="40" w:type="dxa"/>
              <w:right w:w="120" w:type="dxa"/>
            </w:tcMar>
            <w:hideMark/>
          </w:tcPr>
          <w:p w14:paraId="373AA81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79F01F8B" w14:textId="77777777" w:rsidTr="00FE1D3E">
        <w:trPr>
          <w:trHeight w:val="390"/>
        </w:trPr>
        <w:tc>
          <w:tcPr>
            <w:tcW w:w="0" w:type="auto"/>
            <w:tcBorders>
              <w:bottom w:val="single" w:sz="12" w:space="0" w:color="333333"/>
            </w:tcBorders>
            <w:tcMar>
              <w:top w:w="40" w:type="dxa"/>
              <w:left w:w="120" w:type="dxa"/>
              <w:bottom w:w="120" w:type="dxa"/>
              <w:right w:w="0" w:type="dxa"/>
            </w:tcMar>
            <w:hideMark/>
          </w:tcPr>
          <w:p w14:paraId="3AFF2B3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Shapiro-Wilk p</w:t>
            </w:r>
          </w:p>
        </w:tc>
        <w:tc>
          <w:tcPr>
            <w:tcW w:w="0" w:type="auto"/>
            <w:tcBorders>
              <w:bottom w:val="single" w:sz="12" w:space="0" w:color="333333"/>
            </w:tcBorders>
            <w:tcMar>
              <w:top w:w="40" w:type="dxa"/>
              <w:left w:w="40" w:type="dxa"/>
              <w:bottom w:w="120" w:type="dxa"/>
              <w:right w:w="120" w:type="dxa"/>
            </w:tcMar>
            <w:hideMark/>
          </w:tcPr>
          <w:p w14:paraId="6A299E8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59B411DC"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bottom w:val="single" w:sz="12" w:space="0" w:color="333333"/>
            </w:tcBorders>
            <w:tcMar>
              <w:top w:w="40" w:type="dxa"/>
              <w:left w:w="40" w:type="dxa"/>
              <w:bottom w:w="120" w:type="dxa"/>
              <w:right w:w="120" w:type="dxa"/>
            </w:tcMar>
            <w:hideMark/>
          </w:tcPr>
          <w:p w14:paraId="6C1E1D2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5A525C01"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bottom w:val="single" w:sz="12" w:space="0" w:color="333333"/>
            </w:tcBorders>
            <w:tcMar>
              <w:top w:w="40" w:type="dxa"/>
              <w:left w:w="40" w:type="dxa"/>
              <w:bottom w:w="120" w:type="dxa"/>
              <w:right w:w="120" w:type="dxa"/>
            </w:tcMar>
            <w:hideMark/>
          </w:tcPr>
          <w:p w14:paraId="24A07A9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3B8BBFBC"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bottom w:val="single" w:sz="12" w:space="0" w:color="333333"/>
            </w:tcBorders>
            <w:tcMar>
              <w:top w:w="40" w:type="dxa"/>
              <w:left w:w="40" w:type="dxa"/>
              <w:bottom w:w="120" w:type="dxa"/>
              <w:right w:w="120" w:type="dxa"/>
            </w:tcMar>
            <w:hideMark/>
          </w:tcPr>
          <w:p w14:paraId="7B4750B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1607F42" w14:textId="77777777" w:rsidTr="00FE1D3E">
        <w:trPr>
          <w:trHeight w:val="120"/>
        </w:trPr>
        <w:tc>
          <w:tcPr>
            <w:tcW w:w="0" w:type="auto"/>
            <w:gridSpan w:val="8"/>
            <w:tcBorders>
              <w:top w:val="single" w:sz="12" w:space="0" w:color="333333"/>
            </w:tcBorders>
            <w:tcMar>
              <w:top w:w="100" w:type="dxa"/>
              <w:left w:w="120" w:type="dxa"/>
              <w:bottom w:w="40" w:type="dxa"/>
              <w:right w:w="120" w:type="dxa"/>
            </w:tcMar>
            <w:hideMark/>
          </w:tcPr>
          <w:p w14:paraId="0BF71800"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bl>
    <w:p w14:paraId="0DFED6DA" w14:textId="77777777"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p>
    <w:p w14:paraId="0A9DC2AE" w14:textId="614232F9" w:rsidR="00E82E79"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lastRenderedPageBreak/>
        <w:t>Table 1 presents the descriptive statistics for Perceived Organizational Support (POS), Intrinsic Motivation (IM), and Organizational Citizenship Behavior (OCB). The mean scores are 45.4 for POS, 16.7 for IM, and 34.5 for OCB, with standard deviations of 4.21, 2.14, and 5.61, respectively. The Shapiro-Wilk test results reveal significant deviations from normality for all variables (p &lt; .001), suggesting that the data is not normally distributed. This non-normality will guide the use of non-parametric methods for further analysis. The Shapiro-Wilk test results reveal significant deviations from normality for all variables (p &lt; .001), suggesting that the data is not normally distributed. This non-normality will guide the use of non-parametric methods for further analysis.</w:t>
      </w:r>
    </w:p>
    <w:p w14:paraId="7B959511" w14:textId="77777777" w:rsidR="00E82E79" w:rsidRPr="00E82E79" w:rsidRDefault="00E82E79"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1D683CB7" w14:textId="1BC60D60"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 xml:space="preserve">TABLE </w:t>
      </w:r>
      <w:proofErr w:type="gramStart"/>
      <w:r w:rsidRPr="00E82E79">
        <w:rPr>
          <w:rFonts w:ascii="Times New Roman" w:eastAsia="Times New Roman" w:hAnsi="Times New Roman" w:cs="Times New Roman"/>
          <w:b/>
          <w:bCs/>
          <w:color w:val="0E101A"/>
          <w:kern w:val="0"/>
          <w:sz w:val="20"/>
          <w:szCs w:val="20"/>
          <w14:ligatures w14:val="none"/>
        </w:rPr>
        <w:t>2.</w:t>
      </w:r>
      <w:r w:rsidRPr="00E82E79">
        <w:rPr>
          <w:rFonts w:ascii="Times New Roman" w:eastAsia="Times New Roman" w:hAnsi="Times New Roman" w:cs="Times New Roman"/>
          <w:color w:val="0E101A"/>
          <w:kern w:val="0"/>
          <w:sz w:val="20"/>
          <w:szCs w:val="20"/>
          <w14:ligatures w14:val="none"/>
        </w:rPr>
        <w:t>Correlation</w:t>
      </w:r>
      <w:proofErr w:type="gramEnd"/>
      <w:r w:rsidRPr="00E82E79">
        <w:rPr>
          <w:rFonts w:ascii="Times New Roman" w:eastAsia="Times New Roman" w:hAnsi="Times New Roman" w:cs="Times New Roman"/>
          <w:color w:val="0E101A"/>
          <w:kern w:val="0"/>
          <w:sz w:val="20"/>
          <w:szCs w:val="20"/>
          <w14:ligatures w14:val="none"/>
        </w:rPr>
        <w:t xml:space="preserve"> Matrix</w:t>
      </w:r>
    </w:p>
    <w:tbl>
      <w:tblPr>
        <w:tblW w:w="0" w:type="auto"/>
        <w:tblCellMar>
          <w:top w:w="15" w:type="dxa"/>
          <w:left w:w="15" w:type="dxa"/>
          <w:bottom w:w="15" w:type="dxa"/>
          <w:right w:w="15" w:type="dxa"/>
        </w:tblCellMar>
        <w:tblLook w:val="04A0" w:firstRow="1" w:lastRow="0" w:firstColumn="1" w:lastColumn="0" w:noHBand="0" w:noVBand="1"/>
      </w:tblPr>
      <w:tblGrid>
        <w:gridCol w:w="1338"/>
        <w:gridCol w:w="166"/>
        <w:gridCol w:w="1351"/>
        <w:gridCol w:w="166"/>
        <w:gridCol w:w="851"/>
        <w:gridCol w:w="629"/>
        <w:gridCol w:w="781"/>
        <w:gridCol w:w="576"/>
        <w:gridCol w:w="1003"/>
        <w:gridCol w:w="521"/>
      </w:tblGrid>
      <w:tr w:rsidR="00FE1D3E" w:rsidRPr="00E82E79" w14:paraId="4158CFF0" w14:textId="77777777" w:rsidTr="00FE1D3E">
        <w:trPr>
          <w:trHeight w:val="345"/>
        </w:trPr>
        <w:tc>
          <w:tcPr>
            <w:tcW w:w="0" w:type="auto"/>
            <w:gridSpan w:val="10"/>
            <w:tcBorders>
              <w:bottom w:val="single" w:sz="6" w:space="0" w:color="333333"/>
            </w:tcBorders>
            <w:tcMar>
              <w:top w:w="60" w:type="dxa"/>
              <w:left w:w="0" w:type="dxa"/>
              <w:bottom w:w="60" w:type="dxa"/>
              <w:right w:w="120" w:type="dxa"/>
            </w:tcMar>
            <w:hideMark/>
          </w:tcPr>
          <w:p w14:paraId="42EE0C40"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Correlation Matrix</w:t>
            </w:r>
          </w:p>
        </w:tc>
      </w:tr>
      <w:tr w:rsidR="00FE1D3E" w:rsidRPr="00E82E79" w14:paraId="5A29455C" w14:textId="77777777" w:rsidTr="00FE1D3E">
        <w:trPr>
          <w:trHeight w:val="345"/>
        </w:trPr>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072DF81E"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 </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099446C8"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 </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186C1CC2"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POS SCORES</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0697F780"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IM SCORES</w:t>
            </w:r>
          </w:p>
        </w:tc>
        <w:tc>
          <w:tcPr>
            <w:tcW w:w="0" w:type="auto"/>
            <w:gridSpan w:val="2"/>
            <w:tcBorders>
              <w:top w:val="single" w:sz="6" w:space="0" w:color="333333"/>
              <w:bottom w:val="single" w:sz="6" w:space="0" w:color="333333"/>
            </w:tcBorders>
            <w:tcMar>
              <w:top w:w="60" w:type="dxa"/>
              <w:left w:w="120" w:type="dxa"/>
              <w:bottom w:w="60" w:type="dxa"/>
              <w:right w:w="120" w:type="dxa"/>
            </w:tcMar>
            <w:hideMark/>
          </w:tcPr>
          <w:p w14:paraId="0EFEA5BF" w14:textId="77777777" w:rsidR="00FE1D3E" w:rsidRPr="00E82E79" w:rsidRDefault="00FE1D3E" w:rsidP="00B95EF2">
            <w:pPr>
              <w:spacing w:after="0" w:line="360" w:lineRule="auto"/>
              <w:jc w:val="center"/>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OCB SCORES</w:t>
            </w:r>
          </w:p>
        </w:tc>
      </w:tr>
      <w:tr w:rsidR="00FE1D3E" w:rsidRPr="00E82E79" w14:paraId="6CE6E3FC" w14:textId="77777777" w:rsidTr="00FE1D3E">
        <w:trPr>
          <w:trHeight w:val="360"/>
        </w:trPr>
        <w:tc>
          <w:tcPr>
            <w:tcW w:w="0" w:type="auto"/>
            <w:tcBorders>
              <w:top w:val="single" w:sz="6" w:space="0" w:color="333333"/>
            </w:tcBorders>
            <w:tcMar>
              <w:top w:w="120" w:type="dxa"/>
              <w:left w:w="120" w:type="dxa"/>
              <w:bottom w:w="40" w:type="dxa"/>
              <w:right w:w="0" w:type="dxa"/>
            </w:tcMar>
            <w:hideMark/>
          </w:tcPr>
          <w:p w14:paraId="7C56C45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POS SCORES</w:t>
            </w:r>
          </w:p>
        </w:tc>
        <w:tc>
          <w:tcPr>
            <w:tcW w:w="0" w:type="auto"/>
            <w:tcBorders>
              <w:top w:val="single" w:sz="6" w:space="0" w:color="333333"/>
            </w:tcBorders>
            <w:tcMar>
              <w:top w:w="120" w:type="dxa"/>
              <w:left w:w="40" w:type="dxa"/>
              <w:bottom w:w="40" w:type="dxa"/>
              <w:right w:w="120" w:type="dxa"/>
            </w:tcMar>
            <w:hideMark/>
          </w:tcPr>
          <w:p w14:paraId="27B8443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631D7B0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Spearman's rho</w:t>
            </w:r>
          </w:p>
        </w:tc>
        <w:tc>
          <w:tcPr>
            <w:tcW w:w="0" w:type="auto"/>
            <w:tcBorders>
              <w:top w:val="single" w:sz="6" w:space="0" w:color="333333"/>
            </w:tcBorders>
            <w:tcMar>
              <w:top w:w="120" w:type="dxa"/>
              <w:left w:w="40" w:type="dxa"/>
              <w:bottom w:w="40" w:type="dxa"/>
              <w:right w:w="120" w:type="dxa"/>
            </w:tcMar>
            <w:hideMark/>
          </w:tcPr>
          <w:p w14:paraId="7D06545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76DFB89E"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Borders>
              <w:top w:val="single" w:sz="6" w:space="0" w:color="333333"/>
            </w:tcBorders>
            <w:tcMar>
              <w:top w:w="120" w:type="dxa"/>
              <w:left w:w="40" w:type="dxa"/>
              <w:bottom w:w="40" w:type="dxa"/>
              <w:right w:w="120" w:type="dxa"/>
            </w:tcMar>
            <w:hideMark/>
          </w:tcPr>
          <w:p w14:paraId="7FBA8C3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32A12B50"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Borders>
              <w:top w:val="single" w:sz="6" w:space="0" w:color="333333"/>
            </w:tcBorders>
            <w:tcMar>
              <w:top w:w="120" w:type="dxa"/>
              <w:left w:w="40" w:type="dxa"/>
              <w:bottom w:w="40" w:type="dxa"/>
              <w:right w:w="120" w:type="dxa"/>
            </w:tcMar>
            <w:hideMark/>
          </w:tcPr>
          <w:p w14:paraId="6C076B1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top w:val="single" w:sz="6" w:space="0" w:color="333333"/>
            </w:tcBorders>
            <w:tcMar>
              <w:top w:w="120" w:type="dxa"/>
              <w:left w:w="120" w:type="dxa"/>
              <w:bottom w:w="40" w:type="dxa"/>
              <w:right w:w="0" w:type="dxa"/>
            </w:tcMar>
            <w:hideMark/>
          </w:tcPr>
          <w:p w14:paraId="73A50336"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Borders>
              <w:top w:val="single" w:sz="6" w:space="0" w:color="333333"/>
            </w:tcBorders>
            <w:tcMar>
              <w:top w:w="120" w:type="dxa"/>
              <w:left w:w="40" w:type="dxa"/>
              <w:bottom w:w="40" w:type="dxa"/>
              <w:right w:w="120" w:type="dxa"/>
            </w:tcMar>
            <w:hideMark/>
          </w:tcPr>
          <w:p w14:paraId="1C7919F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912727E" w14:textId="77777777" w:rsidTr="00FE1D3E">
        <w:trPr>
          <w:trHeight w:val="270"/>
        </w:trPr>
        <w:tc>
          <w:tcPr>
            <w:tcW w:w="0" w:type="auto"/>
            <w:tcMar>
              <w:top w:w="40" w:type="dxa"/>
              <w:left w:w="120" w:type="dxa"/>
              <w:bottom w:w="40" w:type="dxa"/>
              <w:right w:w="0" w:type="dxa"/>
            </w:tcMar>
            <w:hideMark/>
          </w:tcPr>
          <w:p w14:paraId="70C53C0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599C8739"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64FC75D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roofErr w:type="spellStart"/>
            <w:r w:rsidRPr="00E82E79">
              <w:rPr>
                <w:rFonts w:ascii="Times New Roman" w:eastAsia="Times New Roman" w:hAnsi="Times New Roman" w:cs="Times New Roman"/>
                <w:color w:val="333333"/>
                <w:kern w:val="0"/>
                <w:sz w:val="20"/>
                <w:szCs w:val="20"/>
                <w14:ligatures w14:val="none"/>
              </w:rPr>
              <w:t>df</w:t>
            </w:r>
            <w:proofErr w:type="spellEnd"/>
          </w:p>
        </w:tc>
        <w:tc>
          <w:tcPr>
            <w:tcW w:w="0" w:type="auto"/>
            <w:tcMar>
              <w:top w:w="40" w:type="dxa"/>
              <w:left w:w="40" w:type="dxa"/>
              <w:bottom w:w="40" w:type="dxa"/>
              <w:right w:w="120" w:type="dxa"/>
            </w:tcMar>
            <w:hideMark/>
          </w:tcPr>
          <w:p w14:paraId="444194AB"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2F13C9D"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1BAF1A5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7935EFE"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5BAFFDC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09A6B9E5"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5C36456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6C877AD7" w14:textId="77777777" w:rsidTr="00FE1D3E">
        <w:trPr>
          <w:trHeight w:val="270"/>
        </w:trPr>
        <w:tc>
          <w:tcPr>
            <w:tcW w:w="0" w:type="auto"/>
            <w:tcMar>
              <w:top w:w="40" w:type="dxa"/>
              <w:left w:w="120" w:type="dxa"/>
              <w:bottom w:w="40" w:type="dxa"/>
              <w:right w:w="0" w:type="dxa"/>
            </w:tcMar>
            <w:hideMark/>
          </w:tcPr>
          <w:p w14:paraId="43BF03F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120823C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D51453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p-value</w:t>
            </w:r>
          </w:p>
        </w:tc>
        <w:tc>
          <w:tcPr>
            <w:tcW w:w="0" w:type="auto"/>
            <w:tcMar>
              <w:top w:w="40" w:type="dxa"/>
              <w:left w:w="40" w:type="dxa"/>
              <w:bottom w:w="40" w:type="dxa"/>
              <w:right w:w="120" w:type="dxa"/>
            </w:tcMar>
            <w:hideMark/>
          </w:tcPr>
          <w:p w14:paraId="11D9F4A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718A7231"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674BBA5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F393F4D"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323E4BA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1AEA42D5"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2812991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04BB9141" w14:textId="77777777" w:rsidTr="00FE1D3E">
        <w:trPr>
          <w:trHeight w:val="360"/>
        </w:trPr>
        <w:tc>
          <w:tcPr>
            <w:tcW w:w="0" w:type="auto"/>
            <w:tcMar>
              <w:top w:w="120" w:type="dxa"/>
              <w:left w:w="120" w:type="dxa"/>
              <w:bottom w:w="40" w:type="dxa"/>
              <w:right w:w="0" w:type="dxa"/>
            </w:tcMar>
            <w:hideMark/>
          </w:tcPr>
          <w:p w14:paraId="24807D7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IM SCORES</w:t>
            </w:r>
          </w:p>
        </w:tc>
        <w:tc>
          <w:tcPr>
            <w:tcW w:w="0" w:type="auto"/>
            <w:tcMar>
              <w:top w:w="40" w:type="dxa"/>
              <w:left w:w="40" w:type="dxa"/>
              <w:bottom w:w="40" w:type="dxa"/>
              <w:right w:w="120" w:type="dxa"/>
            </w:tcMar>
            <w:hideMark/>
          </w:tcPr>
          <w:p w14:paraId="705B407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120" w:type="dxa"/>
              <w:left w:w="120" w:type="dxa"/>
              <w:bottom w:w="40" w:type="dxa"/>
              <w:right w:w="0" w:type="dxa"/>
            </w:tcMar>
            <w:hideMark/>
          </w:tcPr>
          <w:p w14:paraId="77C5BC9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Spearman's rho</w:t>
            </w:r>
          </w:p>
        </w:tc>
        <w:tc>
          <w:tcPr>
            <w:tcW w:w="0" w:type="auto"/>
            <w:tcMar>
              <w:top w:w="40" w:type="dxa"/>
              <w:left w:w="40" w:type="dxa"/>
              <w:bottom w:w="40" w:type="dxa"/>
              <w:right w:w="120" w:type="dxa"/>
            </w:tcMar>
            <w:hideMark/>
          </w:tcPr>
          <w:p w14:paraId="77E1147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120" w:type="dxa"/>
              <w:left w:w="120" w:type="dxa"/>
              <w:bottom w:w="40" w:type="dxa"/>
              <w:right w:w="0" w:type="dxa"/>
            </w:tcMar>
            <w:hideMark/>
          </w:tcPr>
          <w:p w14:paraId="10DB262C"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0.528</w:t>
            </w:r>
          </w:p>
        </w:tc>
        <w:tc>
          <w:tcPr>
            <w:tcW w:w="0" w:type="auto"/>
            <w:tcMar>
              <w:top w:w="40" w:type="dxa"/>
              <w:left w:w="40" w:type="dxa"/>
              <w:bottom w:w="40" w:type="dxa"/>
              <w:right w:w="120" w:type="dxa"/>
            </w:tcMar>
            <w:hideMark/>
          </w:tcPr>
          <w:p w14:paraId="4254331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120" w:type="dxa"/>
              <w:left w:w="120" w:type="dxa"/>
              <w:bottom w:w="40" w:type="dxa"/>
              <w:right w:w="0" w:type="dxa"/>
            </w:tcMar>
            <w:hideMark/>
          </w:tcPr>
          <w:p w14:paraId="3338A950"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1FC41F22"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120" w:type="dxa"/>
              <w:left w:w="120" w:type="dxa"/>
              <w:bottom w:w="40" w:type="dxa"/>
              <w:right w:w="0" w:type="dxa"/>
            </w:tcMar>
            <w:hideMark/>
          </w:tcPr>
          <w:p w14:paraId="41EB1040"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71DB4A3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609E9AE6" w14:textId="77777777" w:rsidTr="00FE1D3E">
        <w:trPr>
          <w:trHeight w:val="270"/>
        </w:trPr>
        <w:tc>
          <w:tcPr>
            <w:tcW w:w="0" w:type="auto"/>
            <w:tcMar>
              <w:top w:w="40" w:type="dxa"/>
              <w:left w:w="120" w:type="dxa"/>
              <w:bottom w:w="40" w:type="dxa"/>
              <w:right w:w="0" w:type="dxa"/>
            </w:tcMar>
            <w:hideMark/>
          </w:tcPr>
          <w:p w14:paraId="2AC0199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26A2B1C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4A8B567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roofErr w:type="spellStart"/>
            <w:r w:rsidRPr="00E82E79">
              <w:rPr>
                <w:rFonts w:ascii="Times New Roman" w:eastAsia="Times New Roman" w:hAnsi="Times New Roman" w:cs="Times New Roman"/>
                <w:color w:val="333333"/>
                <w:kern w:val="0"/>
                <w:sz w:val="20"/>
                <w:szCs w:val="20"/>
                <w14:ligatures w14:val="none"/>
              </w:rPr>
              <w:t>df</w:t>
            </w:r>
            <w:proofErr w:type="spellEnd"/>
          </w:p>
        </w:tc>
        <w:tc>
          <w:tcPr>
            <w:tcW w:w="0" w:type="auto"/>
            <w:tcMar>
              <w:top w:w="40" w:type="dxa"/>
              <w:left w:w="40" w:type="dxa"/>
              <w:bottom w:w="40" w:type="dxa"/>
              <w:right w:w="120" w:type="dxa"/>
            </w:tcMar>
            <w:hideMark/>
          </w:tcPr>
          <w:p w14:paraId="5E81FDE2"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3BF5A656"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255</w:t>
            </w:r>
          </w:p>
        </w:tc>
        <w:tc>
          <w:tcPr>
            <w:tcW w:w="0" w:type="auto"/>
            <w:tcMar>
              <w:top w:w="40" w:type="dxa"/>
              <w:left w:w="40" w:type="dxa"/>
              <w:bottom w:w="40" w:type="dxa"/>
              <w:right w:w="120" w:type="dxa"/>
            </w:tcMar>
            <w:hideMark/>
          </w:tcPr>
          <w:p w14:paraId="59FB05E9"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0E1E9F3A"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47CF36E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737A3D0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3383C162"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35A4C9D3" w14:textId="77777777" w:rsidTr="00FE1D3E">
        <w:trPr>
          <w:trHeight w:val="270"/>
        </w:trPr>
        <w:tc>
          <w:tcPr>
            <w:tcW w:w="0" w:type="auto"/>
            <w:tcMar>
              <w:top w:w="40" w:type="dxa"/>
              <w:left w:w="120" w:type="dxa"/>
              <w:bottom w:w="40" w:type="dxa"/>
              <w:right w:w="0" w:type="dxa"/>
            </w:tcMar>
            <w:hideMark/>
          </w:tcPr>
          <w:p w14:paraId="3FA962A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6039F56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A898495"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p-value</w:t>
            </w:r>
          </w:p>
        </w:tc>
        <w:tc>
          <w:tcPr>
            <w:tcW w:w="0" w:type="auto"/>
            <w:tcMar>
              <w:top w:w="40" w:type="dxa"/>
              <w:left w:w="40" w:type="dxa"/>
              <w:bottom w:w="40" w:type="dxa"/>
              <w:right w:w="120" w:type="dxa"/>
            </w:tcMar>
            <w:hideMark/>
          </w:tcPr>
          <w:p w14:paraId="78B01920"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16C0C807"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Mar>
              <w:top w:w="40" w:type="dxa"/>
              <w:left w:w="40" w:type="dxa"/>
              <w:bottom w:w="40" w:type="dxa"/>
              <w:right w:w="120" w:type="dxa"/>
            </w:tcMar>
            <w:hideMark/>
          </w:tcPr>
          <w:p w14:paraId="7CC6817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6662AD8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72A78C9F"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20CAB0A4"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1AE7473E"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2C9D1B47" w14:textId="77777777" w:rsidTr="00FE1D3E">
        <w:trPr>
          <w:trHeight w:val="360"/>
        </w:trPr>
        <w:tc>
          <w:tcPr>
            <w:tcW w:w="0" w:type="auto"/>
            <w:tcMar>
              <w:top w:w="120" w:type="dxa"/>
              <w:left w:w="120" w:type="dxa"/>
              <w:bottom w:w="40" w:type="dxa"/>
              <w:right w:w="0" w:type="dxa"/>
            </w:tcMar>
            <w:hideMark/>
          </w:tcPr>
          <w:p w14:paraId="0DDF7541"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OCB SCORES</w:t>
            </w:r>
          </w:p>
        </w:tc>
        <w:tc>
          <w:tcPr>
            <w:tcW w:w="0" w:type="auto"/>
            <w:tcMar>
              <w:top w:w="40" w:type="dxa"/>
              <w:left w:w="40" w:type="dxa"/>
              <w:bottom w:w="40" w:type="dxa"/>
              <w:right w:w="120" w:type="dxa"/>
            </w:tcMar>
            <w:hideMark/>
          </w:tcPr>
          <w:p w14:paraId="50A1EAA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120" w:type="dxa"/>
              <w:left w:w="120" w:type="dxa"/>
              <w:bottom w:w="40" w:type="dxa"/>
              <w:right w:w="0" w:type="dxa"/>
            </w:tcMar>
            <w:hideMark/>
          </w:tcPr>
          <w:p w14:paraId="6EB49AD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Spearman's rho</w:t>
            </w:r>
          </w:p>
        </w:tc>
        <w:tc>
          <w:tcPr>
            <w:tcW w:w="0" w:type="auto"/>
            <w:tcMar>
              <w:top w:w="40" w:type="dxa"/>
              <w:left w:w="40" w:type="dxa"/>
              <w:bottom w:w="40" w:type="dxa"/>
              <w:right w:w="120" w:type="dxa"/>
            </w:tcMar>
            <w:hideMark/>
          </w:tcPr>
          <w:p w14:paraId="21A4A8C2"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120" w:type="dxa"/>
              <w:left w:w="120" w:type="dxa"/>
              <w:bottom w:w="40" w:type="dxa"/>
              <w:right w:w="0" w:type="dxa"/>
            </w:tcMar>
            <w:hideMark/>
          </w:tcPr>
          <w:p w14:paraId="44EAE9FA"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0.556</w:t>
            </w:r>
          </w:p>
        </w:tc>
        <w:tc>
          <w:tcPr>
            <w:tcW w:w="0" w:type="auto"/>
            <w:tcMar>
              <w:top w:w="40" w:type="dxa"/>
              <w:left w:w="40" w:type="dxa"/>
              <w:bottom w:w="40" w:type="dxa"/>
              <w:right w:w="120" w:type="dxa"/>
            </w:tcMar>
            <w:hideMark/>
          </w:tcPr>
          <w:p w14:paraId="031EEAF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120" w:type="dxa"/>
              <w:left w:w="120" w:type="dxa"/>
              <w:bottom w:w="40" w:type="dxa"/>
              <w:right w:w="0" w:type="dxa"/>
            </w:tcMar>
            <w:hideMark/>
          </w:tcPr>
          <w:p w14:paraId="5428188F"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0.600</w:t>
            </w:r>
          </w:p>
        </w:tc>
        <w:tc>
          <w:tcPr>
            <w:tcW w:w="0" w:type="auto"/>
            <w:tcMar>
              <w:top w:w="40" w:type="dxa"/>
              <w:left w:w="40" w:type="dxa"/>
              <w:bottom w:w="40" w:type="dxa"/>
              <w:right w:w="120" w:type="dxa"/>
            </w:tcMar>
            <w:hideMark/>
          </w:tcPr>
          <w:p w14:paraId="21430D34"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120" w:type="dxa"/>
              <w:left w:w="120" w:type="dxa"/>
              <w:bottom w:w="40" w:type="dxa"/>
              <w:right w:w="0" w:type="dxa"/>
            </w:tcMar>
            <w:hideMark/>
          </w:tcPr>
          <w:p w14:paraId="245E59E9"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52AC073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737FF2C3" w14:textId="77777777" w:rsidTr="00FE1D3E">
        <w:trPr>
          <w:trHeight w:val="270"/>
        </w:trPr>
        <w:tc>
          <w:tcPr>
            <w:tcW w:w="0" w:type="auto"/>
            <w:tcMar>
              <w:top w:w="40" w:type="dxa"/>
              <w:left w:w="120" w:type="dxa"/>
              <w:bottom w:w="40" w:type="dxa"/>
              <w:right w:w="0" w:type="dxa"/>
            </w:tcMar>
            <w:hideMark/>
          </w:tcPr>
          <w:p w14:paraId="222C2DE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Mar>
              <w:top w:w="40" w:type="dxa"/>
              <w:left w:w="40" w:type="dxa"/>
              <w:bottom w:w="40" w:type="dxa"/>
              <w:right w:w="120" w:type="dxa"/>
            </w:tcMar>
            <w:hideMark/>
          </w:tcPr>
          <w:p w14:paraId="13EA298D"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1948BAE6"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roofErr w:type="spellStart"/>
            <w:r w:rsidRPr="00E82E79">
              <w:rPr>
                <w:rFonts w:ascii="Times New Roman" w:eastAsia="Times New Roman" w:hAnsi="Times New Roman" w:cs="Times New Roman"/>
                <w:color w:val="333333"/>
                <w:kern w:val="0"/>
                <w:sz w:val="20"/>
                <w:szCs w:val="20"/>
                <w14:ligatures w14:val="none"/>
              </w:rPr>
              <w:t>df</w:t>
            </w:r>
            <w:proofErr w:type="spellEnd"/>
          </w:p>
        </w:tc>
        <w:tc>
          <w:tcPr>
            <w:tcW w:w="0" w:type="auto"/>
            <w:tcMar>
              <w:top w:w="40" w:type="dxa"/>
              <w:left w:w="40" w:type="dxa"/>
              <w:bottom w:w="40" w:type="dxa"/>
              <w:right w:w="120" w:type="dxa"/>
            </w:tcMar>
            <w:hideMark/>
          </w:tcPr>
          <w:p w14:paraId="1636D7A2"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50FB1FAB"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255</w:t>
            </w:r>
          </w:p>
        </w:tc>
        <w:tc>
          <w:tcPr>
            <w:tcW w:w="0" w:type="auto"/>
            <w:tcMar>
              <w:top w:w="40" w:type="dxa"/>
              <w:left w:w="40" w:type="dxa"/>
              <w:bottom w:w="40" w:type="dxa"/>
              <w:right w:w="120" w:type="dxa"/>
            </w:tcMar>
            <w:hideMark/>
          </w:tcPr>
          <w:p w14:paraId="4CFAB757"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495864BD"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255</w:t>
            </w:r>
          </w:p>
        </w:tc>
        <w:tc>
          <w:tcPr>
            <w:tcW w:w="0" w:type="auto"/>
            <w:tcMar>
              <w:top w:w="40" w:type="dxa"/>
              <w:left w:w="40" w:type="dxa"/>
              <w:bottom w:w="40" w:type="dxa"/>
              <w:right w:w="120" w:type="dxa"/>
            </w:tcMar>
            <w:hideMark/>
          </w:tcPr>
          <w:p w14:paraId="5F1D8239"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Mar>
              <w:top w:w="40" w:type="dxa"/>
              <w:left w:w="120" w:type="dxa"/>
              <w:bottom w:w="40" w:type="dxa"/>
              <w:right w:w="0" w:type="dxa"/>
            </w:tcMar>
            <w:hideMark/>
          </w:tcPr>
          <w:p w14:paraId="0A199D33"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Mar>
              <w:top w:w="40" w:type="dxa"/>
              <w:left w:w="40" w:type="dxa"/>
              <w:bottom w:w="40" w:type="dxa"/>
              <w:right w:w="120" w:type="dxa"/>
            </w:tcMar>
            <w:hideMark/>
          </w:tcPr>
          <w:p w14:paraId="13B074DD"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3A6DDBDE" w14:textId="77777777" w:rsidTr="00FE1D3E">
        <w:trPr>
          <w:trHeight w:val="390"/>
        </w:trPr>
        <w:tc>
          <w:tcPr>
            <w:tcW w:w="0" w:type="auto"/>
            <w:tcBorders>
              <w:bottom w:val="single" w:sz="12" w:space="0" w:color="333333"/>
            </w:tcBorders>
            <w:tcMar>
              <w:top w:w="40" w:type="dxa"/>
              <w:left w:w="120" w:type="dxa"/>
              <w:bottom w:w="120" w:type="dxa"/>
              <w:right w:w="0" w:type="dxa"/>
            </w:tcMar>
            <w:hideMark/>
          </w:tcPr>
          <w:p w14:paraId="0E9110B0"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 </w:t>
            </w:r>
          </w:p>
        </w:tc>
        <w:tc>
          <w:tcPr>
            <w:tcW w:w="0" w:type="auto"/>
            <w:tcBorders>
              <w:bottom w:val="single" w:sz="12" w:space="0" w:color="333333"/>
            </w:tcBorders>
            <w:tcMar>
              <w:top w:w="40" w:type="dxa"/>
              <w:left w:w="40" w:type="dxa"/>
              <w:bottom w:w="120" w:type="dxa"/>
              <w:right w:w="120" w:type="dxa"/>
            </w:tcMar>
            <w:hideMark/>
          </w:tcPr>
          <w:p w14:paraId="6E39EE5A"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3F79D84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p-value</w:t>
            </w:r>
          </w:p>
        </w:tc>
        <w:tc>
          <w:tcPr>
            <w:tcW w:w="0" w:type="auto"/>
            <w:tcBorders>
              <w:bottom w:val="single" w:sz="12" w:space="0" w:color="333333"/>
            </w:tcBorders>
            <w:tcMar>
              <w:top w:w="40" w:type="dxa"/>
              <w:left w:w="40" w:type="dxa"/>
              <w:bottom w:w="120" w:type="dxa"/>
              <w:right w:w="120" w:type="dxa"/>
            </w:tcMar>
            <w:hideMark/>
          </w:tcPr>
          <w:p w14:paraId="406BC123"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00DD3A47"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bottom w:val="single" w:sz="12" w:space="0" w:color="333333"/>
            </w:tcBorders>
            <w:tcMar>
              <w:top w:w="40" w:type="dxa"/>
              <w:left w:w="40" w:type="dxa"/>
              <w:bottom w:w="120" w:type="dxa"/>
              <w:right w:w="120" w:type="dxa"/>
            </w:tcMar>
            <w:hideMark/>
          </w:tcPr>
          <w:p w14:paraId="4211721C"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32537E7B"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bottom w:val="single" w:sz="12" w:space="0" w:color="333333"/>
            </w:tcBorders>
            <w:tcMar>
              <w:top w:w="40" w:type="dxa"/>
              <w:left w:w="40" w:type="dxa"/>
              <w:bottom w:w="120" w:type="dxa"/>
              <w:right w:w="120" w:type="dxa"/>
            </w:tcMar>
            <w:hideMark/>
          </w:tcPr>
          <w:p w14:paraId="4827FF9D"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c>
          <w:tcPr>
            <w:tcW w:w="0" w:type="auto"/>
            <w:tcBorders>
              <w:bottom w:val="single" w:sz="12" w:space="0" w:color="333333"/>
            </w:tcBorders>
            <w:tcMar>
              <w:top w:w="40" w:type="dxa"/>
              <w:left w:w="120" w:type="dxa"/>
              <w:bottom w:w="120" w:type="dxa"/>
              <w:right w:w="0" w:type="dxa"/>
            </w:tcMar>
            <w:hideMark/>
          </w:tcPr>
          <w:p w14:paraId="4185F616" w14:textId="77777777" w:rsidR="00FE1D3E" w:rsidRPr="00E82E79" w:rsidRDefault="00FE1D3E" w:rsidP="00B95EF2">
            <w:pPr>
              <w:spacing w:after="0" w:line="360" w:lineRule="auto"/>
              <w:jc w:val="right"/>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color w:val="333333"/>
                <w:kern w:val="0"/>
                <w:sz w:val="20"/>
                <w:szCs w:val="20"/>
                <w14:ligatures w14:val="none"/>
              </w:rPr>
              <w:t>—</w:t>
            </w:r>
          </w:p>
        </w:tc>
        <w:tc>
          <w:tcPr>
            <w:tcW w:w="0" w:type="auto"/>
            <w:tcBorders>
              <w:bottom w:val="single" w:sz="12" w:space="0" w:color="333333"/>
            </w:tcBorders>
            <w:tcMar>
              <w:top w:w="40" w:type="dxa"/>
              <w:left w:w="40" w:type="dxa"/>
              <w:bottom w:w="120" w:type="dxa"/>
              <w:right w:w="120" w:type="dxa"/>
            </w:tcMar>
            <w:hideMark/>
          </w:tcPr>
          <w:p w14:paraId="4B3E91D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r w:rsidR="00FE1D3E" w:rsidRPr="00E82E79" w14:paraId="32B1CCAE" w14:textId="77777777" w:rsidTr="00FE1D3E">
        <w:trPr>
          <w:trHeight w:val="330"/>
        </w:trPr>
        <w:tc>
          <w:tcPr>
            <w:tcW w:w="0" w:type="auto"/>
            <w:gridSpan w:val="10"/>
            <w:tcBorders>
              <w:top w:val="single" w:sz="12" w:space="0" w:color="333333"/>
            </w:tcBorders>
            <w:tcMar>
              <w:top w:w="100" w:type="dxa"/>
              <w:left w:w="120" w:type="dxa"/>
              <w:bottom w:w="40" w:type="dxa"/>
              <w:right w:w="120" w:type="dxa"/>
            </w:tcMar>
            <w:hideMark/>
          </w:tcPr>
          <w:p w14:paraId="2398A9AB"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r w:rsidRPr="00E82E79">
              <w:rPr>
                <w:rFonts w:ascii="Times New Roman" w:eastAsia="Times New Roman" w:hAnsi="Times New Roman" w:cs="Times New Roman"/>
                <w:i/>
                <w:iCs/>
                <w:color w:val="333333"/>
                <w:kern w:val="0"/>
                <w:sz w:val="20"/>
                <w:szCs w:val="20"/>
                <w14:ligatures w14:val="none"/>
              </w:rPr>
              <w:t>Note.</w:t>
            </w:r>
            <w:r w:rsidRPr="00E82E79">
              <w:rPr>
                <w:rFonts w:ascii="Times New Roman" w:eastAsia="Times New Roman" w:hAnsi="Times New Roman" w:cs="Times New Roman"/>
                <w:color w:val="333333"/>
                <w:kern w:val="0"/>
                <w:sz w:val="20"/>
                <w:szCs w:val="20"/>
                <w14:ligatures w14:val="none"/>
              </w:rPr>
              <w:t xml:space="preserve"> * p &lt; .05, ** p &lt; .01, *** p &lt; .001</w:t>
            </w:r>
          </w:p>
        </w:tc>
      </w:tr>
      <w:tr w:rsidR="00FE1D3E" w:rsidRPr="00E82E79" w14:paraId="01854CB4" w14:textId="77777777" w:rsidTr="00FE1D3E">
        <w:trPr>
          <w:trHeight w:val="60"/>
        </w:trPr>
        <w:tc>
          <w:tcPr>
            <w:tcW w:w="0" w:type="auto"/>
            <w:gridSpan w:val="10"/>
            <w:tcMar>
              <w:top w:w="40" w:type="dxa"/>
              <w:left w:w="120" w:type="dxa"/>
              <w:bottom w:w="40" w:type="dxa"/>
              <w:right w:w="120" w:type="dxa"/>
            </w:tcMar>
            <w:hideMark/>
          </w:tcPr>
          <w:p w14:paraId="6A05F498" w14:textId="77777777" w:rsidR="00FE1D3E" w:rsidRPr="00E82E79" w:rsidRDefault="00FE1D3E" w:rsidP="00B95EF2">
            <w:pPr>
              <w:spacing w:after="0" w:line="360" w:lineRule="auto"/>
              <w:rPr>
                <w:rFonts w:ascii="Times New Roman" w:eastAsia="Times New Roman" w:hAnsi="Times New Roman" w:cs="Times New Roman"/>
                <w:kern w:val="0"/>
                <w:sz w:val="20"/>
                <w:szCs w:val="20"/>
                <w14:ligatures w14:val="none"/>
              </w:rPr>
            </w:pPr>
          </w:p>
        </w:tc>
      </w:tr>
    </w:tbl>
    <w:p w14:paraId="71DC54ED" w14:textId="77777777"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p>
    <w:p w14:paraId="2CB30980"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Table 2 displays Spearman's rho correlation coefficients between Perceived Organizational Support (POS) scores, Intrinsic Motivation (IM) scores, and Organizational Citizenship Behavior (OCB) scores.</w:t>
      </w:r>
    </w:p>
    <w:p w14:paraId="2646125A" w14:textId="678C5B38" w:rsidR="00E42CBC"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Significant positive correlations were observed between all variables. POS scores were positively correlated with IM scores (ρ=0.</w:t>
      </w:r>
      <w:proofErr w:type="gramStart"/>
      <w:r w:rsidRPr="00E82E79">
        <w:rPr>
          <w:rFonts w:ascii="Times New Roman" w:eastAsia="Times New Roman" w:hAnsi="Times New Roman" w:cs="Times New Roman"/>
          <w:color w:val="0E101A"/>
          <w:kern w:val="0"/>
          <w:sz w:val="20"/>
          <w:szCs w:val="20"/>
          <w14:ligatures w14:val="none"/>
        </w:rPr>
        <w:t>528,p</w:t>
      </w:r>
      <w:proofErr w:type="gramEnd"/>
      <w:r w:rsidRPr="00E82E79">
        <w:rPr>
          <w:rFonts w:ascii="Times New Roman" w:eastAsia="Times New Roman" w:hAnsi="Times New Roman" w:cs="Times New Roman"/>
          <w:color w:val="0E101A"/>
          <w:kern w:val="0"/>
          <w:sz w:val="20"/>
          <w:szCs w:val="20"/>
          <w14:ligatures w14:val="none"/>
        </w:rPr>
        <w:t>&lt;.001) and OCB scores (ρ=0.556,p&lt;.001). Additionally, IM scores were positively correlated with OCB scores (ρ=0.</w:t>
      </w:r>
      <w:proofErr w:type="gramStart"/>
      <w:r w:rsidRPr="00E82E79">
        <w:rPr>
          <w:rFonts w:ascii="Times New Roman" w:eastAsia="Times New Roman" w:hAnsi="Times New Roman" w:cs="Times New Roman"/>
          <w:color w:val="0E101A"/>
          <w:kern w:val="0"/>
          <w:sz w:val="20"/>
          <w:szCs w:val="20"/>
          <w14:ligatures w14:val="none"/>
        </w:rPr>
        <w:t>600,p</w:t>
      </w:r>
      <w:proofErr w:type="gramEnd"/>
      <w:r w:rsidRPr="00E82E79">
        <w:rPr>
          <w:rFonts w:ascii="Times New Roman" w:eastAsia="Times New Roman" w:hAnsi="Times New Roman" w:cs="Times New Roman"/>
          <w:color w:val="0E101A"/>
          <w:kern w:val="0"/>
          <w:sz w:val="20"/>
          <w:szCs w:val="20"/>
          <w14:ligatures w14:val="none"/>
        </w:rPr>
        <w:t xml:space="preserve">&lt;.001). These findings suggest that higher perceived organizational support and intrinsic motivation are associated with higher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indicating that enhancing POS and IM may lead to increased OCB among employees.</w:t>
      </w:r>
    </w:p>
    <w:p w14:paraId="4C269D52" w14:textId="77777777" w:rsidR="00B95EF2" w:rsidRDefault="00B95EF2"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1CE402F0" w14:textId="77777777" w:rsidR="00B95EF2" w:rsidRDefault="00B95EF2"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6077F9EF"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2479D99F" w14:textId="77777777" w:rsidR="00FE1D3E" w:rsidRPr="00E82E79" w:rsidRDefault="00FE1D3E" w:rsidP="00B95EF2">
      <w:pPr>
        <w:spacing w:after="0" w:line="360" w:lineRule="auto"/>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lastRenderedPageBreak/>
        <w:t xml:space="preserve">TABLE 3. </w:t>
      </w:r>
      <w:r w:rsidRPr="00E82E79">
        <w:rPr>
          <w:rFonts w:ascii="Times New Roman" w:eastAsia="Times New Roman" w:hAnsi="Times New Roman" w:cs="Times New Roman"/>
          <w:color w:val="0E101A"/>
          <w:kern w:val="0"/>
          <w:sz w:val="20"/>
          <w:szCs w:val="20"/>
          <w14:ligatures w14:val="none"/>
        </w:rPr>
        <w:t>Regression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87"/>
        <w:gridCol w:w="343"/>
        <w:gridCol w:w="600"/>
        <w:gridCol w:w="186"/>
        <w:gridCol w:w="600"/>
        <w:gridCol w:w="186"/>
        <w:gridCol w:w="1006"/>
        <w:gridCol w:w="297"/>
        <w:gridCol w:w="450"/>
        <w:gridCol w:w="186"/>
        <w:gridCol w:w="316"/>
        <w:gridCol w:w="232"/>
        <w:gridCol w:w="450"/>
        <w:gridCol w:w="186"/>
        <w:gridCol w:w="653"/>
        <w:gridCol w:w="201"/>
      </w:tblGrid>
      <w:tr w:rsidR="008505CC" w:rsidRPr="00E82E79" w14:paraId="1B46506D" w14:textId="77777777" w:rsidTr="008505CC">
        <w:trPr>
          <w:cantSplit/>
          <w:tblHeader/>
          <w:tblCellSpacing w:w="15" w:type="dxa"/>
        </w:trPr>
        <w:tc>
          <w:tcPr>
            <w:tcW w:w="0" w:type="auto"/>
            <w:gridSpan w:val="16"/>
            <w:tcBorders>
              <w:top w:val="nil"/>
              <w:left w:val="nil"/>
              <w:bottom w:val="single" w:sz="6" w:space="0" w:color="333333"/>
              <w:right w:val="nil"/>
            </w:tcBorders>
            <w:tcMar>
              <w:top w:w="60" w:type="dxa"/>
              <w:left w:w="0" w:type="dxa"/>
              <w:bottom w:w="60" w:type="dxa"/>
              <w:right w:w="120" w:type="dxa"/>
            </w:tcMar>
            <w:vAlign w:val="center"/>
            <w:hideMark/>
          </w:tcPr>
          <w:p w14:paraId="3ADBBF4A" w14:textId="77777777" w:rsidR="008505CC" w:rsidRPr="00E82E79" w:rsidRDefault="008505CC" w:rsidP="00B95EF2">
            <w:pPr>
              <w:spacing w:after="0" w:line="360" w:lineRule="auto"/>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Model Fit Measures</w:t>
            </w:r>
          </w:p>
        </w:tc>
      </w:tr>
      <w:tr w:rsidR="008505CC" w:rsidRPr="00E82E79" w14:paraId="6C529D5D" w14:textId="77777777" w:rsidTr="008505CC">
        <w:trPr>
          <w:cantSplit/>
          <w:tblHeader/>
          <w:tblCellSpacing w:w="15" w:type="dxa"/>
        </w:trPr>
        <w:tc>
          <w:tcPr>
            <w:tcW w:w="0" w:type="auto"/>
            <w:gridSpan w:val="8"/>
            <w:tcBorders>
              <w:top w:val="nil"/>
              <w:left w:val="nil"/>
              <w:bottom w:val="nil"/>
              <w:right w:val="nil"/>
            </w:tcBorders>
            <w:tcMar>
              <w:top w:w="60" w:type="dxa"/>
              <w:left w:w="120" w:type="dxa"/>
              <w:bottom w:w="60" w:type="dxa"/>
              <w:right w:w="120" w:type="dxa"/>
            </w:tcMar>
            <w:vAlign w:val="center"/>
            <w:hideMark/>
          </w:tcPr>
          <w:p w14:paraId="73883791" w14:textId="77777777" w:rsidR="008505CC" w:rsidRPr="00E82E79" w:rsidRDefault="008505CC" w:rsidP="00B95EF2">
            <w:pPr>
              <w:spacing w:after="0" w:line="360" w:lineRule="auto"/>
              <w:rPr>
                <w:rFonts w:ascii="Times New Roman" w:eastAsia="Times New Roman" w:hAnsi="Times New Roman" w:cs="Times New Roman"/>
                <w:b/>
                <w:bCs/>
                <w:color w:val="333333"/>
                <w:kern w:val="0"/>
                <w:sz w:val="20"/>
                <w:szCs w:val="20"/>
                <w14:ligatures w14:val="none"/>
              </w:rPr>
            </w:pPr>
          </w:p>
        </w:tc>
        <w:tc>
          <w:tcPr>
            <w:tcW w:w="0" w:type="auto"/>
            <w:gridSpan w:val="8"/>
            <w:tcBorders>
              <w:top w:val="nil"/>
              <w:left w:val="nil"/>
              <w:bottom w:val="single" w:sz="6" w:space="0" w:color="333333"/>
              <w:right w:val="nil"/>
            </w:tcBorders>
            <w:tcMar>
              <w:top w:w="60" w:type="dxa"/>
              <w:left w:w="120" w:type="dxa"/>
              <w:bottom w:w="60" w:type="dxa"/>
              <w:right w:w="120" w:type="dxa"/>
            </w:tcMar>
            <w:vAlign w:val="center"/>
            <w:hideMark/>
          </w:tcPr>
          <w:p w14:paraId="4BC8AAF0"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Overall Model Test</w:t>
            </w:r>
          </w:p>
        </w:tc>
      </w:tr>
      <w:tr w:rsidR="008505CC" w:rsidRPr="00E82E79" w14:paraId="13C580B4" w14:textId="77777777" w:rsidTr="008505CC">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86BF35E"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Model</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0643D49"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08FCEB8"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R²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7FA4155"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Adjusted R²</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06A94794"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F</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72BA93F"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df1</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1089D5E"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df2</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28A03ED"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p</w:t>
            </w:r>
          </w:p>
        </w:tc>
      </w:tr>
      <w:tr w:rsidR="008505CC" w:rsidRPr="00E82E79" w14:paraId="3453B5BC" w14:textId="77777777" w:rsidTr="008505CC">
        <w:trPr>
          <w:cantSplit/>
          <w:tblCellSpacing w:w="15" w:type="dxa"/>
        </w:trPr>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1AE7388F"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33717E26"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24013420"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0.703</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D396B91"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EE07F80"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0.495</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05884BF0"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58D5E205"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0.491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204CBDA0"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3B135481"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124</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6F9DA73C"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0E25A8DA"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2</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55CB7701"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79A149F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254</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3B9F521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120" w:type="dxa"/>
              <w:left w:w="120" w:type="dxa"/>
              <w:bottom w:w="120" w:type="dxa"/>
              <w:right w:w="0" w:type="dxa"/>
            </w:tcMar>
            <w:vAlign w:val="center"/>
            <w:hideMark/>
          </w:tcPr>
          <w:p w14:paraId="6A1CE93C"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top w:val="nil"/>
              <w:left w:val="nil"/>
              <w:bottom w:val="single" w:sz="12" w:space="0" w:color="333333"/>
              <w:right w:val="nil"/>
            </w:tcBorders>
            <w:tcMar>
              <w:top w:w="120" w:type="dxa"/>
              <w:left w:w="30" w:type="dxa"/>
              <w:bottom w:w="120" w:type="dxa"/>
              <w:right w:w="120" w:type="dxa"/>
            </w:tcMar>
            <w:vAlign w:val="center"/>
            <w:hideMark/>
          </w:tcPr>
          <w:p w14:paraId="722C9B6E"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7C4BA5FD" w14:textId="77777777" w:rsidTr="008505CC">
        <w:trPr>
          <w:cantSplit/>
          <w:tblCellSpacing w:w="15" w:type="dxa"/>
        </w:trPr>
        <w:tc>
          <w:tcPr>
            <w:tcW w:w="0" w:type="auto"/>
            <w:gridSpan w:val="16"/>
            <w:tcBorders>
              <w:top w:val="nil"/>
              <w:left w:val="nil"/>
              <w:bottom w:val="nil"/>
              <w:right w:val="nil"/>
            </w:tcBorders>
            <w:tcMar>
              <w:top w:w="90" w:type="dxa"/>
              <w:left w:w="120" w:type="dxa"/>
              <w:bottom w:w="30" w:type="dxa"/>
              <w:right w:w="120" w:type="dxa"/>
            </w:tcMar>
            <w:vAlign w:val="center"/>
            <w:hideMark/>
          </w:tcPr>
          <w:p w14:paraId="0A6FC0FF" w14:textId="77777777" w:rsidR="008505CC" w:rsidRPr="00E82E79" w:rsidRDefault="008505CC" w:rsidP="00B95EF2">
            <w:pPr>
              <w:spacing w:after="0" w:line="360" w:lineRule="auto"/>
              <w:rPr>
                <w:rFonts w:ascii="Times New Roman" w:eastAsia="Times New Roman" w:hAnsi="Times New Roman" w:cs="Times New Roman"/>
                <w:kern w:val="0"/>
                <w:sz w:val="20"/>
                <w:szCs w:val="20"/>
                <w14:ligatures w14:val="none"/>
              </w:rPr>
            </w:pPr>
          </w:p>
        </w:tc>
      </w:tr>
    </w:tbl>
    <w:p w14:paraId="7D2BD351" w14:textId="7D468025" w:rsidR="008505CC" w:rsidRPr="00E82E79" w:rsidRDefault="008505CC" w:rsidP="00B95EF2">
      <w:pPr>
        <w:spacing w:before="100" w:beforeAutospacing="1" w:after="100" w:afterAutospacing="1" w:line="360" w:lineRule="auto"/>
        <w:rPr>
          <w:rFonts w:ascii="Times New Roman" w:eastAsia="Times New Roman" w:hAnsi="Times New Roman" w:cs="Times New Roman"/>
          <w:color w:val="333333"/>
          <w:kern w:val="0"/>
          <w:sz w:val="20"/>
          <w:szCs w:val="20"/>
          <w14:ligatures w14:val="none"/>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38"/>
        <w:gridCol w:w="186"/>
        <w:gridCol w:w="798"/>
        <w:gridCol w:w="228"/>
        <w:gridCol w:w="700"/>
        <w:gridCol w:w="186"/>
        <w:gridCol w:w="567"/>
        <w:gridCol w:w="186"/>
        <w:gridCol w:w="653"/>
        <w:gridCol w:w="201"/>
      </w:tblGrid>
      <w:tr w:rsidR="008505CC" w:rsidRPr="00E82E79" w14:paraId="1FAA8F5E" w14:textId="77777777" w:rsidTr="008505CC">
        <w:trPr>
          <w:cantSplit/>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7DAE3816" w14:textId="77777777" w:rsidR="008505CC" w:rsidRPr="00E82E79" w:rsidRDefault="008505CC" w:rsidP="00B95EF2">
            <w:pPr>
              <w:spacing w:after="0" w:line="360" w:lineRule="auto"/>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Model Coefficients - OCB SCORES</w:t>
            </w:r>
          </w:p>
        </w:tc>
      </w:tr>
      <w:tr w:rsidR="008505CC" w:rsidRPr="00E82E79" w14:paraId="2EBD4919" w14:textId="77777777" w:rsidTr="008505CC">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D4AC7DC"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Predictor</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68E24465"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Estimate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B66D219"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SE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4296E924"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t</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327ADEAC"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p</w:t>
            </w:r>
          </w:p>
        </w:tc>
      </w:tr>
      <w:tr w:rsidR="008505CC" w:rsidRPr="00E82E79" w14:paraId="5FB14749" w14:textId="77777777" w:rsidTr="008505CC">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2EAA0B0A"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Intercept</w:t>
            </w:r>
          </w:p>
        </w:tc>
        <w:tc>
          <w:tcPr>
            <w:tcW w:w="0" w:type="auto"/>
            <w:tcBorders>
              <w:top w:val="nil"/>
              <w:left w:val="nil"/>
              <w:bottom w:val="nil"/>
              <w:right w:val="nil"/>
            </w:tcBorders>
            <w:tcMar>
              <w:top w:w="120" w:type="dxa"/>
              <w:left w:w="30" w:type="dxa"/>
              <w:bottom w:w="30" w:type="dxa"/>
              <w:right w:w="120" w:type="dxa"/>
            </w:tcMar>
            <w:vAlign w:val="center"/>
            <w:hideMark/>
          </w:tcPr>
          <w:p w14:paraId="4C7658FF"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73410AB9"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-5.412</w:t>
            </w:r>
          </w:p>
        </w:tc>
        <w:tc>
          <w:tcPr>
            <w:tcW w:w="0" w:type="auto"/>
            <w:tcBorders>
              <w:top w:val="nil"/>
              <w:left w:val="nil"/>
              <w:bottom w:val="nil"/>
              <w:right w:val="nil"/>
            </w:tcBorders>
            <w:tcMar>
              <w:top w:w="120" w:type="dxa"/>
              <w:left w:w="30" w:type="dxa"/>
              <w:bottom w:w="30" w:type="dxa"/>
              <w:right w:w="120" w:type="dxa"/>
            </w:tcMar>
            <w:vAlign w:val="center"/>
            <w:hideMark/>
          </w:tcPr>
          <w:p w14:paraId="21453E1D"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786CAF61"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2.7353</w:t>
            </w:r>
          </w:p>
        </w:tc>
        <w:tc>
          <w:tcPr>
            <w:tcW w:w="0" w:type="auto"/>
            <w:tcBorders>
              <w:top w:val="nil"/>
              <w:left w:val="nil"/>
              <w:bottom w:val="nil"/>
              <w:right w:val="nil"/>
            </w:tcBorders>
            <w:tcMar>
              <w:top w:w="120" w:type="dxa"/>
              <w:left w:w="30" w:type="dxa"/>
              <w:bottom w:w="30" w:type="dxa"/>
              <w:right w:w="120" w:type="dxa"/>
            </w:tcMar>
            <w:vAlign w:val="center"/>
            <w:hideMark/>
          </w:tcPr>
          <w:p w14:paraId="7C911C10"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65EE8D5E"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-1.98</w:t>
            </w:r>
          </w:p>
        </w:tc>
        <w:tc>
          <w:tcPr>
            <w:tcW w:w="0" w:type="auto"/>
            <w:tcBorders>
              <w:top w:val="nil"/>
              <w:left w:val="nil"/>
              <w:bottom w:val="nil"/>
              <w:right w:val="nil"/>
            </w:tcBorders>
            <w:tcMar>
              <w:top w:w="120" w:type="dxa"/>
              <w:left w:w="30" w:type="dxa"/>
              <w:bottom w:w="30" w:type="dxa"/>
              <w:right w:w="120" w:type="dxa"/>
            </w:tcMar>
            <w:vAlign w:val="center"/>
            <w:hideMark/>
          </w:tcPr>
          <w:p w14:paraId="0BB23D39"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4FE360AA"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0.049</w:t>
            </w:r>
          </w:p>
        </w:tc>
        <w:tc>
          <w:tcPr>
            <w:tcW w:w="0" w:type="auto"/>
            <w:tcBorders>
              <w:top w:val="nil"/>
              <w:left w:val="nil"/>
              <w:bottom w:val="nil"/>
              <w:right w:val="nil"/>
            </w:tcBorders>
            <w:tcMar>
              <w:top w:w="120" w:type="dxa"/>
              <w:left w:w="30" w:type="dxa"/>
              <w:bottom w:w="30" w:type="dxa"/>
              <w:right w:w="120" w:type="dxa"/>
            </w:tcMar>
            <w:vAlign w:val="center"/>
            <w:hideMark/>
          </w:tcPr>
          <w:p w14:paraId="610032FF"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7FAB7328" w14:textId="77777777" w:rsidTr="008505CC">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2F08B5E1"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POS SCORES</w:t>
            </w:r>
          </w:p>
        </w:tc>
        <w:tc>
          <w:tcPr>
            <w:tcW w:w="0" w:type="auto"/>
            <w:tcBorders>
              <w:top w:val="nil"/>
              <w:left w:val="nil"/>
              <w:bottom w:val="nil"/>
              <w:right w:val="nil"/>
            </w:tcBorders>
            <w:tcMar>
              <w:top w:w="30" w:type="dxa"/>
              <w:left w:w="30" w:type="dxa"/>
              <w:bottom w:w="30" w:type="dxa"/>
              <w:right w:w="120" w:type="dxa"/>
            </w:tcMar>
            <w:vAlign w:val="center"/>
            <w:hideMark/>
          </w:tcPr>
          <w:p w14:paraId="7C3643F7"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48DA42A8"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0.454</w:t>
            </w:r>
          </w:p>
        </w:tc>
        <w:tc>
          <w:tcPr>
            <w:tcW w:w="0" w:type="auto"/>
            <w:tcBorders>
              <w:top w:val="nil"/>
              <w:left w:val="nil"/>
              <w:bottom w:val="nil"/>
              <w:right w:val="nil"/>
            </w:tcBorders>
            <w:tcMar>
              <w:top w:w="30" w:type="dxa"/>
              <w:left w:w="30" w:type="dxa"/>
              <w:bottom w:w="30" w:type="dxa"/>
              <w:right w:w="120" w:type="dxa"/>
            </w:tcMar>
            <w:vAlign w:val="center"/>
            <w:hideMark/>
          </w:tcPr>
          <w:p w14:paraId="783BFE78"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309E40D3"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0.0744</w:t>
            </w:r>
          </w:p>
        </w:tc>
        <w:tc>
          <w:tcPr>
            <w:tcW w:w="0" w:type="auto"/>
            <w:tcBorders>
              <w:top w:val="nil"/>
              <w:left w:val="nil"/>
              <w:bottom w:val="nil"/>
              <w:right w:val="nil"/>
            </w:tcBorders>
            <w:tcMar>
              <w:top w:w="30" w:type="dxa"/>
              <w:left w:w="30" w:type="dxa"/>
              <w:bottom w:w="30" w:type="dxa"/>
              <w:right w:w="120" w:type="dxa"/>
            </w:tcMar>
            <w:vAlign w:val="center"/>
            <w:hideMark/>
          </w:tcPr>
          <w:p w14:paraId="4229A27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524A7177"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6.10</w:t>
            </w:r>
          </w:p>
        </w:tc>
        <w:tc>
          <w:tcPr>
            <w:tcW w:w="0" w:type="auto"/>
            <w:tcBorders>
              <w:top w:val="nil"/>
              <w:left w:val="nil"/>
              <w:bottom w:val="nil"/>
              <w:right w:val="nil"/>
            </w:tcBorders>
            <w:tcMar>
              <w:top w:w="30" w:type="dxa"/>
              <w:left w:w="30" w:type="dxa"/>
              <w:bottom w:w="30" w:type="dxa"/>
              <w:right w:w="120" w:type="dxa"/>
            </w:tcMar>
            <w:vAlign w:val="center"/>
            <w:hideMark/>
          </w:tcPr>
          <w:p w14:paraId="0CEFD1F4"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67562A72"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6FA74914"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54D942E1" w14:textId="77777777" w:rsidTr="008505CC">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6F6DBF23"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IM SCORES</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04A9A6C"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913130D"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1.160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5BCEB030"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234A12CE"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0.1461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BC03BDB"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8C5244A"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7.94</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4E0DFBBB"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097F0E67"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6A58343F"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2A9CD381" w14:textId="77777777" w:rsidTr="008505CC">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2DE7A474" w14:textId="77777777" w:rsidR="008505CC" w:rsidRPr="00E82E79" w:rsidRDefault="008505CC" w:rsidP="00B95EF2">
            <w:pPr>
              <w:spacing w:after="0" w:line="360" w:lineRule="auto"/>
              <w:rPr>
                <w:rFonts w:ascii="Times New Roman" w:eastAsia="Times New Roman" w:hAnsi="Times New Roman" w:cs="Times New Roman"/>
                <w:kern w:val="0"/>
                <w:sz w:val="20"/>
                <w:szCs w:val="20"/>
                <w14:ligatures w14:val="none"/>
              </w:rPr>
            </w:pPr>
          </w:p>
        </w:tc>
      </w:tr>
    </w:tbl>
    <w:p w14:paraId="4E4D7943" w14:textId="72B27B12" w:rsidR="008F4625" w:rsidRPr="00E82E79" w:rsidRDefault="008F4625" w:rsidP="00B95EF2">
      <w:pPr>
        <w:spacing w:before="100" w:beforeAutospacing="1" w:after="100" w:afterAutospacing="1" w:line="360" w:lineRule="auto"/>
        <w:rPr>
          <w:rFonts w:ascii="Times New Roman" w:eastAsia="Times New Roman" w:hAnsi="Times New Roman" w:cs="Times New Roman"/>
          <w:color w:val="333333"/>
          <w:kern w:val="0"/>
          <w:sz w:val="20"/>
          <w:szCs w:val="20"/>
          <w14:ligatures w14:val="none"/>
        </w:rPr>
      </w:pPr>
    </w:p>
    <w:p w14:paraId="719E757C"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Table 3 presents the model fit measures and coefficients for the relationship between Perceived Organizational Support (POS) and Intrinsic Motivation (IM) with Organizational Citizenship Behavior (OCB). The model demonstrates a strong fit, with an R square of 0.495 and an adjusted R square of 0.491, indicating that POS and IM scores explain approximately 49.1% of the variance in OCB. The overall F-value is 124 (df1 = 2, df2 = 254), with a p-value &lt; .001, signifying that the model is statistically significant.</w:t>
      </w:r>
    </w:p>
    <w:p w14:paraId="670E163F"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The coefficients show that both POS (β = 0.454, p &lt; .001) and IM (β = 1.160, p &lt; .001) significantly predict OCB, highlighting their substantial impact on employee engagement in citizenship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w:t>
      </w:r>
    </w:p>
    <w:p w14:paraId="22786700" w14:textId="77777777"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Hypothesis Testing</w:t>
      </w:r>
    </w:p>
    <w:p w14:paraId="1B576004" w14:textId="75BC23EE" w:rsidR="008505CC"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Based on Table 3, Hypothesis 1, which posits that perceived organizational support (POS) positively affects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(OCB), is confirmed. The regression analysis reveals that POS significantly predicts OCB with a standardized coefficient (β) of 0.454 and a p-value less than .001, indicating strong statistical significance. The model demonstrates a good fit, with an R square of 0.495 and an adjusted R square of 0.491, suggesting that POS and intrinsic motivation (IM) explain approximately 49.1% of the variance in OCB. The overall F-value of 124 (df1 = 2, df2 = 254) and p-value &lt; .001 confirm the model's significance. Therefore, POS has a significant positive effect on OCB.</w:t>
      </w:r>
    </w:p>
    <w:p w14:paraId="14BA472B"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3A8BD0FA" w14:textId="020B4B34" w:rsidR="008505CC" w:rsidRPr="00E82E79" w:rsidRDefault="00FE1D3E" w:rsidP="00B95EF2">
      <w:pPr>
        <w:spacing w:after="0" w:line="360" w:lineRule="auto"/>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lastRenderedPageBreak/>
        <w:t xml:space="preserve">TABLE 4. </w:t>
      </w:r>
      <w:r w:rsidRPr="00E82E79">
        <w:rPr>
          <w:rFonts w:ascii="Times New Roman" w:eastAsia="Times New Roman" w:hAnsi="Times New Roman" w:cs="Times New Roman"/>
          <w:color w:val="0E101A"/>
          <w:kern w:val="0"/>
          <w:sz w:val="20"/>
          <w:szCs w:val="20"/>
          <w14:ligatures w14:val="none"/>
        </w:rPr>
        <w:t>Mediation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87"/>
        <w:gridCol w:w="186"/>
        <w:gridCol w:w="788"/>
        <w:gridCol w:w="238"/>
        <w:gridCol w:w="700"/>
        <w:gridCol w:w="186"/>
        <w:gridCol w:w="600"/>
        <w:gridCol w:w="186"/>
        <w:gridCol w:w="653"/>
        <w:gridCol w:w="201"/>
      </w:tblGrid>
      <w:tr w:rsidR="008505CC" w:rsidRPr="00E82E79" w14:paraId="64762189" w14:textId="77777777" w:rsidTr="008505CC">
        <w:trPr>
          <w:cantSplit/>
          <w:tblHeader/>
          <w:tblCellSpacing w:w="15" w:type="dxa"/>
        </w:trPr>
        <w:tc>
          <w:tcPr>
            <w:tcW w:w="0" w:type="auto"/>
            <w:gridSpan w:val="10"/>
            <w:tcBorders>
              <w:top w:val="nil"/>
              <w:left w:val="nil"/>
              <w:bottom w:val="single" w:sz="6" w:space="0" w:color="333333"/>
              <w:right w:val="nil"/>
            </w:tcBorders>
            <w:tcMar>
              <w:top w:w="60" w:type="dxa"/>
              <w:left w:w="0" w:type="dxa"/>
              <w:bottom w:w="60" w:type="dxa"/>
              <w:right w:w="120" w:type="dxa"/>
            </w:tcMar>
            <w:vAlign w:val="center"/>
            <w:hideMark/>
          </w:tcPr>
          <w:p w14:paraId="15F49EA0" w14:textId="77777777" w:rsidR="008505CC" w:rsidRPr="00E82E79" w:rsidRDefault="008505CC" w:rsidP="00B95EF2">
            <w:pPr>
              <w:spacing w:after="0" w:line="360" w:lineRule="auto"/>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Mediation Estimates</w:t>
            </w:r>
          </w:p>
        </w:tc>
      </w:tr>
      <w:tr w:rsidR="008505CC" w:rsidRPr="00E82E79" w14:paraId="3F5DAF04" w14:textId="77777777" w:rsidTr="008505CC">
        <w:trPr>
          <w:cantSplit/>
          <w:tblHeader/>
          <w:tblCellSpacing w:w="15" w:type="dxa"/>
        </w:trPr>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2F17491"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Effect</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4119274"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Estimate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512C3352"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SE</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27B9C00F"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Z</w:t>
            </w:r>
          </w:p>
        </w:tc>
        <w:tc>
          <w:tcPr>
            <w:tcW w:w="0" w:type="auto"/>
            <w:gridSpan w:val="2"/>
            <w:tcBorders>
              <w:top w:val="nil"/>
              <w:left w:val="nil"/>
              <w:bottom w:val="single" w:sz="6" w:space="0" w:color="333333"/>
              <w:right w:val="nil"/>
            </w:tcBorders>
            <w:tcMar>
              <w:top w:w="60" w:type="dxa"/>
              <w:left w:w="120" w:type="dxa"/>
              <w:bottom w:w="60" w:type="dxa"/>
              <w:right w:w="120" w:type="dxa"/>
            </w:tcMar>
            <w:vAlign w:val="center"/>
            <w:hideMark/>
          </w:tcPr>
          <w:p w14:paraId="1C09CF2D" w14:textId="77777777" w:rsidR="008505CC" w:rsidRPr="00E82E79" w:rsidRDefault="008505CC" w:rsidP="00B95EF2">
            <w:pPr>
              <w:spacing w:after="0" w:line="360" w:lineRule="auto"/>
              <w:jc w:val="center"/>
              <w:rPr>
                <w:rFonts w:ascii="Times New Roman" w:eastAsia="Times New Roman" w:hAnsi="Times New Roman" w:cs="Times New Roman"/>
                <w:b/>
                <w:bCs/>
                <w:color w:val="333333"/>
                <w:kern w:val="0"/>
                <w:sz w:val="20"/>
                <w:szCs w:val="20"/>
                <w14:ligatures w14:val="none"/>
              </w:rPr>
            </w:pPr>
            <w:r w:rsidRPr="00E82E79">
              <w:rPr>
                <w:rFonts w:ascii="Times New Roman" w:eastAsia="Times New Roman" w:hAnsi="Times New Roman" w:cs="Times New Roman"/>
                <w:b/>
                <w:bCs/>
                <w:color w:val="333333"/>
                <w:kern w:val="0"/>
                <w:sz w:val="20"/>
                <w:szCs w:val="20"/>
                <w14:ligatures w14:val="none"/>
              </w:rPr>
              <w:t>p</w:t>
            </w:r>
          </w:p>
        </w:tc>
      </w:tr>
      <w:tr w:rsidR="008505CC" w:rsidRPr="00E82E79" w14:paraId="435D5212" w14:textId="77777777" w:rsidTr="008505CC">
        <w:trPr>
          <w:cantSplit/>
          <w:tblCellSpacing w:w="15" w:type="dxa"/>
        </w:trPr>
        <w:tc>
          <w:tcPr>
            <w:tcW w:w="0" w:type="auto"/>
            <w:tcBorders>
              <w:top w:val="nil"/>
              <w:left w:val="nil"/>
              <w:bottom w:val="nil"/>
              <w:right w:val="nil"/>
            </w:tcBorders>
            <w:tcMar>
              <w:top w:w="120" w:type="dxa"/>
              <w:left w:w="120" w:type="dxa"/>
              <w:bottom w:w="30" w:type="dxa"/>
              <w:right w:w="0" w:type="dxa"/>
            </w:tcMar>
            <w:vAlign w:val="center"/>
            <w:hideMark/>
          </w:tcPr>
          <w:p w14:paraId="080FF2BD"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Indirect</w:t>
            </w:r>
          </w:p>
        </w:tc>
        <w:tc>
          <w:tcPr>
            <w:tcW w:w="0" w:type="auto"/>
            <w:tcBorders>
              <w:top w:val="nil"/>
              <w:left w:val="nil"/>
              <w:bottom w:val="nil"/>
              <w:right w:val="nil"/>
            </w:tcBorders>
            <w:tcMar>
              <w:top w:w="120" w:type="dxa"/>
              <w:left w:w="30" w:type="dxa"/>
              <w:bottom w:w="30" w:type="dxa"/>
              <w:right w:w="120" w:type="dxa"/>
            </w:tcMar>
            <w:vAlign w:val="center"/>
            <w:hideMark/>
          </w:tcPr>
          <w:p w14:paraId="66DFFEAC"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3A39E74C"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0.356</w:t>
            </w:r>
          </w:p>
        </w:tc>
        <w:tc>
          <w:tcPr>
            <w:tcW w:w="0" w:type="auto"/>
            <w:tcBorders>
              <w:top w:val="nil"/>
              <w:left w:val="nil"/>
              <w:bottom w:val="nil"/>
              <w:right w:val="nil"/>
            </w:tcBorders>
            <w:tcMar>
              <w:top w:w="120" w:type="dxa"/>
              <w:left w:w="30" w:type="dxa"/>
              <w:bottom w:w="30" w:type="dxa"/>
              <w:right w:w="120" w:type="dxa"/>
            </w:tcMar>
            <w:vAlign w:val="center"/>
            <w:hideMark/>
          </w:tcPr>
          <w:p w14:paraId="5A6B2E24"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5CD60B9E"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0.0534</w:t>
            </w:r>
          </w:p>
        </w:tc>
        <w:tc>
          <w:tcPr>
            <w:tcW w:w="0" w:type="auto"/>
            <w:tcBorders>
              <w:top w:val="nil"/>
              <w:left w:val="nil"/>
              <w:bottom w:val="nil"/>
              <w:right w:val="nil"/>
            </w:tcBorders>
            <w:tcMar>
              <w:top w:w="120" w:type="dxa"/>
              <w:left w:w="30" w:type="dxa"/>
              <w:bottom w:w="30" w:type="dxa"/>
              <w:right w:w="120" w:type="dxa"/>
            </w:tcMar>
            <w:vAlign w:val="center"/>
            <w:hideMark/>
          </w:tcPr>
          <w:p w14:paraId="1A88A5DC"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074FAD43"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6.67</w:t>
            </w:r>
          </w:p>
        </w:tc>
        <w:tc>
          <w:tcPr>
            <w:tcW w:w="0" w:type="auto"/>
            <w:tcBorders>
              <w:top w:val="nil"/>
              <w:left w:val="nil"/>
              <w:bottom w:val="nil"/>
              <w:right w:val="nil"/>
            </w:tcBorders>
            <w:tcMar>
              <w:top w:w="120" w:type="dxa"/>
              <w:left w:w="30" w:type="dxa"/>
              <w:bottom w:w="30" w:type="dxa"/>
              <w:right w:w="120" w:type="dxa"/>
            </w:tcMar>
            <w:vAlign w:val="center"/>
            <w:hideMark/>
          </w:tcPr>
          <w:p w14:paraId="16B689A2"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120" w:type="dxa"/>
              <w:left w:w="120" w:type="dxa"/>
              <w:bottom w:w="30" w:type="dxa"/>
              <w:right w:w="0" w:type="dxa"/>
            </w:tcMar>
            <w:vAlign w:val="center"/>
            <w:hideMark/>
          </w:tcPr>
          <w:p w14:paraId="73CAB85B"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top w:val="nil"/>
              <w:left w:val="nil"/>
              <w:bottom w:val="nil"/>
              <w:right w:val="nil"/>
            </w:tcBorders>
            <w:tcMar>
              <w:top w:w="120" w:type="dxa"/>
              <w:left w:w="30" w:type="dxa"/>
              <w:bottom w:w="30" w:type="dxa"/>
              <w:right w:w="120" w:type="dxa"/>
            </w:tcMar>
            <w:vAlign w:val="center"/>
            <w:hideMark/>
          </w:tcPr>
          <w:p w14:paraId="430F7737"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0DA97A55" w14:textId="77777777" w:rsidTr="008505CC">
        <w:trPr>
          <w:cantSplit/>
          <w:tblCellSpacing w:w="15" w:type="dxa"/>
        </w:trPr>
        <w:tc>
          <w:tcPr>
            <w:tcW w:w="0" w:type="auto"/>
            <w:tcBorders>
              <w:top w:val="nil"/>
              <w:left w:val="nil"/>
              <w:bottom w:val="nil"/>
              <w:right w:val="nil"/>
            </w:tcBorders>
            <w:tcMar>
              <w:top w:w="30" w:type="dxa"/>
              <w:left w:w="120" w:type="dxa"/>
              <w:bottom w:w="30" w:type="dxa"/>
              <w:right w:w="0" w:type="dxa"/>
            </w:tcMar>
            <w:vAlign w:val="center"/>
            <w:hideMark/>
          </w:tcPr>
          <w:p w14:paraId="6E225540"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Direct</w:t>
            </w:r>
          </w:p>
        </w:tc>
        <w:tc>
          <w:tcPr>
            <w:tcW w:w="0" w:type="auto"/>
            <w:tcBorders>
              <w:top w:val="nil"/>
              <w:left w:val="nil"/>
              <w:bottom w:val="nil"/>
              <w:right w:val="nil"/>
            </w:tcBorders>
            <w:tcMar>
              <w:top w:w="30" w:type="dxa"/>
              <w:left w:w="30" w:type="dxa"/>
              <w:bottom w:w="30" w:type="dxa"/>
              <w:right w:w="120" w:type="dxa"/>
            </w:tcMar>
            <w:vAlign w:val="center"/>
            <w:hideMark/>
          </w:tcPr>
          <w:p w14:paraId="362D7ADA"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09CEC7C1"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0.454</w:t>
            </w:r>
          </w:p>
        </w:tc>
        <w:tc>
          <w:tcPr>
            <w:tcW w:w="0" w:type="auto"/>
            <w:tcBorders>
              <w:top w:val="nil"/>
              <w:left w:val="nil"/>
              <w:bottom w:val="nil"/>
              <w:right w:val="nil"/>
            </w:tcBorders>
            <w:tcMar>
              <w:top w:w="30" w:type="dxa"/>
              <w:left w:w="30" w:type="dxa"/>
              <w:bottom w:w="30" w:type="dxa"/>
              <w:right w:w="120" w:type="dxa"/>
            </w:tcMar>
            <w:vAlign w:val="center"/>
            <w:hideMark/>
          </w:tcPr>
          <w:p w14:paraId="5CD1E053"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7A97A63E"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0.0740</w:t>
            </w:r>
          </w:p>
        </w:tc>
        <w:tc>
          <w:tcPr>
            <w:tcW w:w="0" w:type="auto"/>
            <w:tcBorders>
              <w:top w:val="nil"/>
              <w:left w:val="nil"/>
              <w:bottom w:val="nil"/>
              <w:right w:val="nil"/>
            </w:tcBorders>
            <w:tcMar>
              <w:top w:w="30" w:type="dxa"/>
              <w:left w:w="30" w:type="dxa"/>
              <w:bottom w:w="30" w:type="dxa"/>
              <w:right w:w="120" w:type="dxa"/>
            </w:tcMar>
            <w:vAlign w:val="center"/>
            <w:hideMark/>
          </w:tcPr>
          <w:p w14:paraId="26D18D6A"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502ADCC5"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6.13</w:t>
            </w:r>
          </w:p>
        </w:tc>
        <w:tc>
          <w:tcPr>
            <w:tcW w:w="0" w:type="auto"/>
            <w:tcBorders>
              <w:top w:val="nil"/>
              <w:left w:val="nil"/>
              <w:bottom w:val="nil"/>
              <w:right w:val="nil"/>
            </w:tcBorders>
            <w:tcMar>
              <w:top w:w="30" w:type="dxa"/>
              <w:left w:w="30" w:type="dxa"/>
              <w:bottom w:w="30" w:type="dxa"/>
              <w:right w:w="120" w:type="dxa"/>
            </w:tcMar>
            <w:vAlign w:val="center"/>
            <w:hideMark/>
          </w:tcPr>
          <w:p w14:paraId="1764536D"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nil"/>
              <w:right w:val="nil"/>
            </w:tcBorders>
            <w:tcMar>
              <w:top w:w="30" w:type="dxa"/>
              <w:left w:w="120" w:type="dxa"/>
              <w:bottom w:w="30" w:type="dxa"/>
              <w:right w:w="0" w:type="dxa"/>
            </w:tcMar>
            <w:vAlign w:val="center"/>
            <w:hideMark/>
          </w:tcPr>
          <w:p w14:paraId="7EE1389D"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top w:val="nil"/>
              <w:left w:val="nil"/>
              <w:bottom w:val="nil"/>
              <w:right w:val="nil"/>
            </w:tcBorders>
            <w:tcMar>
              <w:top w:w="30" w:type="dxa"/>
              <w:left w:w="30" w:type="dxa"/>
              <w:bottom w:w="30" w:type="dxa"/>
              <w:right w:w="120" w:type="dxa"/>
            </w:tcMar>
            <w:vAlign w:val="center"/>
            <w:hideMark/>
          </w:tcPr>
          <w:p w14:paraId="2145CBD5"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15B3ACA1" w14:textId="77777777" w:rsidTr="008505CC">
        <w:trPr>
          <w:cantSplit/>
          <w:tblCellSpacing w:w="15" w:type="dxa"/>
        </w:trPr>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39C6BB16"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Total</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8041B47" w14:textId="77777777" w:rsidR="008505CC" w:rsidRPr="00E82E79" w:rsidRDefault="008505CC" w:rsidP="00B95EF2">
            <w:pPr>
              <w:spacing w:after="0" w:line="360" w:lineRule="auto"/>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709735ED"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0.809</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73FCBBB5"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41B9FD4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0.0660</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17363D4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16D96DEA"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12.27</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2E5A686D"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c>
          <w:tcPr>
            <w:tcW w:w="0" w:type="auto"/>
            <w:tcBorders>
              <w:top w:val="nil"/>
              <w:left w:val="nil"/>
              <w:bottom w:val="single" w:sz="12" w:space="0" w:color="333333"/>
              <w:right w:val="nil"/>
            </w:tcBorders>
            <w:tcMar>
              <w:top w:w="30" w:type="dxa"/>
              <w:left w:w="120" w:type="dxa"/>
              <w:bottom w:w="120" w:type="dxa"/>
              <w:right w:w="0" w:type="dxa"/>
            </w:tcMar>
            <w:vAlign w:val="center"/>
            <w:hideMark/>
          </w:tcPr>
          <w:p w14:paraId="5D64DCD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r w:rsidRPr="00E82E79">
              <w:rPr>
                <w:rFonts w:ascii="Times New Roman" w:eastAsia="Times New Roman" w:hAnsi="Times New Roman" w:cs="Times New Roman"/>
                <w:color w:val="333333"/>
                <w:kern w:val="0"/>
                <w:sz w:val="20"/>
                <w:szCs w:val="20"/>
                <w14:ligatures w14:val="none"/>
              </w:rPr>
              <w:t>&lt; .001</w:t>
            </w:r>
          </w:p>
        </w:tc>
        <w:tc>
          <w:tcPr>
            <w:tcW w:w="0" w:type="auto"/>
            <w:tcBorders>
              <w:top w:val="nil"/>
              <w:left w:val="nil"/>
              <w:bottom w:val="single" w:sz="12" w:space="0" w:color="333333"/>
              <w:right w:val="nil"/>
            </w:tcBorders>
            <w:tcMar>
              <w:top w:w="30" w:type="dxa"/>
              <w:left w:w="30" w:type="dxa"/>
              <w:bottom w:w="120" w:type="dxa"/>
              <w:right w:w="120" w:type="dxa"/>
            </w:tcMar>
            <w:vAlign w:val="center"/>
            <w:hideMark/>
          </w:tcPr>
          <w:p w14:paraId="0178E346" w14:textId="77777777" w:rsidR="008505CC" w:rsidRPr="00E82E79" w:rsidRDefault="008505CC" w:rsidP="00B95EF2">
            <w:pPr>
              <w:spacing w:after="0" w:line="360" w:lineRule="auto"/>
              <w:jc w:val="right"/>
              <w:rPr>
                <w:rFonts w:ascii="Times New Roman" w:eastAsia="Times New Roman" w:hAnsi="Times New Roman" w:cs="Times New Roman"/>
                <w:color w:val="333333"/>
                <w:kern w:val="0"/>
                <w:sz w:val="20"/>
                <w:szCs w:val="20"/>
                <w14:ligatures w14:val="none"/>
              </w:rPr>
            </w:pPr>
          </w:p>
        </w:tc>
      </w:tr>
      <w:tr w:rsidR="008505CC" w:rsidRPr="00E82E79" w14:paraId="7445C4A4" w14:textId="77777777" w:rsidTr="008505CC">
        <w:trPr>
          <w:cantSplit/>
          <w:tblCellSpacing w:w="15" w:type="dxa"/>
        </w:trPr>
        <w:tc>
          <w:tcPr>
            <w:tcW w:w="0" w:type="auto"/>
            <w:gridSpan w:val="10"/>
            <w:tcBorders>
              <w:top w:val="nil"/>
              <w:left w:val="nil"/>
              <w:bottom w:val="nil"/>
              <w:right w:val="nil"/>
            </w:tcBorders>
            <w:tcMar>
              <w:top w:w="90" w:type="dxa"/>
              <w:left w:w="120" w:type="dxa"/>
              <w:bottom w:w="30" w:type="dxa"/>
              <w:right w:w="120" w:type="dxa"/>
            </w:tcMar>
            <w:vAlign w:val="center"/>
            <w:hideMark/>
          </w:tcPr>
          <w:p w14:paraId="28F258CF" w14:textId="77777777" w:rsidR="008505CC" w:rsidRPr="00E82E79" w:rsidRDefault="008505CC" w:rsidP="00B95EF2">
            <w:pPr>
              <w:spacing w:after="0" w:line="360" w:lineRule="auto"/>
              <w:rPr>
                <w:rFonts w:ascii="Times New Roman" w:eastAsia="Times New Roman" w:hAnsi="Times New Roman" w:cs="Times New Roman"/>
                <w:kern w:val="0"/>
                <w:sz w:val="20"/>
                <w:szCs w:val="20"/>
                <w14:ligatures w14:val="none"/>
              </w:rPr>
            </w:pPr>
          </w:p>
        </w:tc>
      </w:tr>
    </w:tbl>
    <w:p w14:paraId="4B9E9B0D" w14:textId="7D5AF5B2" w:rsidR="008F4625" w:rsidRPr="00E82E79" w:rsidRDefault="008F4625" w:rsidP="00B95EF2">
      <w:pPr>
        <w:spacing w:before="100" w:beforeAutospacing="1" w:after="100" w:afterAutospacing="1" w:line="360" w:lineRule="auto"/>
        <w:rPr>
          <w:rFonts w:ascii="Times New Roman" w:eastAsia="Times New Roman" w:hAnsi="Times New Roman" w:cs="Times New Roman"/>
          <w:color w:val="333333"/>
          <w:kern w:val="0"/>
          <w:sz w:val="20"/>
          <w:szCs w:val="20"/>
          <w14:ligatures w14:val="none"/>
        </w:rPr>
      </w:pPr>
    </w:p>
    <w:p w14:paraId="59148927"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Table 4 shows the mediation estimates for the relationship between Perceived Organizational Support (POS) and Organizational Citizenship Behavior (OCB) through Intrinsic Motivation (IM). The indirect effect, representing the mediation of IM, is 0.356 (SE = 0.0534, Z = 6.67, p &lt; .001), indicating a significant mediation effect. The direct effect of POS on OCB is 0.454 (SE = 0.0740, Z = 6.13, p &lt; .001), and the total effect, combining both direct and indirect pathways, is 0.809 (SE = 0.0660, Z = 12.27, p &lt; .001). These results confirm significant mediation and highlight the crucial role of IM in the POS-OCB relationship.</w:t>
      </w:r>
    </w:p>
    <w:p w14:paraId="03DE7344" w14:textId="77777777"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Hypothesis Testing</w:t>
      </w:r>
    </w:p>
    <w:p w14:paraId="07F89FDE"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Based on Table 4, Hypothesis 2, which states that intrinsic motivation (IM) mediates the relationship between perceived organizational support (POS) and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(OCB), is supported. The indirect effect of POS on OCB through IM is 0.356, with a standard error (SE) of 0.0534 and a Z-score of 6.67. This result is statistically significant, with a p-value less than .001. The direct effect of POS on OCB is 0.454 (SE = 0.0740, Z = 6.13, p &lt; .001), and the total effect, including both direct and indirect effects, is 0.809 (SE = 0.0660, Z = 12.27, p &lt; .001). These findings confirm that IM significantly mediates the relationship between POS and OCB.</w:t>
      </w:r>
    </w:p>
    <w:p w14:paraId="1134FDF8"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6819C8E9" w14:textId="77777777" w:rsidR="00FE1D3E" w:rsidRPr="00E82E79" w:rsidRDefault="00FE1D3E" w:rsidP="00B95EF2">
      <w:pPr>
        <w:spacing w:after="0" w:line="360" w:lineRule="auto"/>
        <w:rPr>
          <w:rFonts w:ascii="Times New Roman" w:eastAsia="Times New Roman" w:hAnsi="Times New Roman" w:cs="Times New Roman"/>
          <w:color w:val="000000"/>
          <w:kern w:val="0"/>
          <w14:ligatures w14:val="none"/>
        </w:rPr>
      </w:pPr>
      <w:r w:rsidRPr="00E82E79">
        <w:rPr>
          <w:rFonts w:ascii="Times New Roman" w:eastAsia="Times New Roman" w:hAnsi="Times New Roman" w:cs="Times New Roman"/>
          <w:b/>
          <w:bCs/>
          <w:color w:val="0E101A"/>
          <w:kern w:val="0"/>
          <w14:ligatures w14:val="none"/>
        </w:rPr>
        <w:t>DISCUSSION</w:t>
      </w:r>
    </w:p>
    <w:p w14:paraId="403D7480"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Table 1 provides a summary of the descriptive statistics for Perceived Organizational Support (POS), Intrinsic Motivation (IM), and Organizational Citizenship Behavior (OCB). The means for POS, IM, and OCB are 45.4, 16.7, and 34.5, respectively, indicating moderate levels of these constructs within the sample. The standard deviations are 4.21 for POS, 2.14 for IM, and 5.61 for OCB, reflecting variability in the data. The median and mode values are consistent with the means, suggesting that the data distribution is approximately symmetric. However, the Shapiro-Wilk test results (p &lt; .001 for all variables) indicate significant deviations from normality, necessitating the use of non-parametric methods for further analysis (Ghasemi &amp; </w:t>
      </w:r>
      <w:proofErr w:type="spellStart"/>
      <w:r w:rsidRPr="00E82E79">
        <w:rPr>
          <w:rFonts w:ascii="Times New Roman" w:eastAsia="Times New Roman" w:hAnsi="Times New Roman" w:cs="Times New Roman"/>
          <w:color w:val="0E101A"/>
          <w:kern w:val="0"/>
          <w:sz w:val="20"/>
          <w:szCs w:val="20"/>
          <w14:ligatures w14:val="none"/>
        </w:rPr>
        <w:t>Zahediasl</w:t>
      </w:r>
      <w:proofErr w:type="spellEnd"/>
      <w:r w:rsidRPr="00E82E79">
        <w:rPr>
          <w:rFonts w:ascii="Times New Roman" w:eastAsia="Times New Roman" w:hAnsi="Times New Roman" w:cs="Times New Roman"/>
          <w:color w:val="0E101A"/>
          <w:kern w:val="0"/>
          <w:sz w:val="20"/>
          <w:szCs w:val="20"/>
          <w14:ligatures w14:val="none"/>
        </w:rPr>
        <w:t>, 2012).</w:t>
      </w:r>
    </w:p>
    <w:p w14:paraId="10AB34E2"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Table 2 presents the Spearman's rho correlation coefficients among POS, IM, and OCB scores. The results reveal significant positive correlations between all variables. POS scores are positively correlated with IM scores (ρ=0.</w:t>
      </w:r>
      <w:proofErr w:type="gramStart"/>
      <w:r w:rsidRPr="00E82E79">
        <w:rPr>
          <w:rFonts w:ascii="Times New Roman" w:eastAsia="Times New Roman" w:hAnsi="Times New Roman" w:cs="Times New Roman"/>
          <w:color w:val="0E101A"/>
          <w:kern w:val="0"/>
          <w:sz w:val="20"/>
          <w:szCs w:val="20"/>
          <w14:ligatures w14:val="none"/>
        </w:rPr>
        <w:t>528,p</w:t>
      </w:r>
      <w:proofErr w:type="gramEnd"/>
      <w:r w:rsidRPr="00E82E79">
        <w:rPr>
          <w:rFonts w:ascii="Times New Roman" w:eastAsia="Times New Roman" w:hAnsi="Times New Roman" w:cs="Times New Roman"/>
          <w:color w:val="0E101A"/>
          <w:kern w:val="0"/>
          <w:sz w:val="20"/>
          <w:szCs w:val="20"/>
          <w14:ligatures w14:val="none"/>
        </w:rPr>
        <w:t>&lt;.001) and OCB scores (ρ=0.556,p&lt;.001). Similarly, IM scores correlate positively with OCB scores (ρ=0.</w:t>
      </w:r>
      <w:proofErr w:type="gramStart"/>
      <w:r w:rsidRPr="00E82E79">
        <w:rPr>
          <w:rFonts w:ascii="Times New Roman" w:eastAsia="Times New Roman" w:hAnsi="Times New Roman" w:cs="Times New Roman"/>
          <w:color w:val="0E101A"/>
          <w:kern w:val="0"/>
          <w:sz w:val="20"/>
          <w:szCs w:val="20"/>
          <w14:ligatures w14:val="none"/>
        </w:rPr>
        <w:t>600,p</w:t>
      </w:r>
      <w:proofErr w:type="gramEnd"/>
      <w:r w:rsidRPr="00E82E79">
        <w:rPr>
          <w:rFonts w:ascii="Times New Roman" w:eastAsia="Times New Roman" w:hAnsi="Times New Roman" w:cs="Times New Roman"/>
          <w:color w:val="0E101A"/>
          <w:kern w:val="0"/>
          <w:sz w:val="20"/>
          <w:szCs w:val="20"/>
          <w14:ligatures w14:val="none"/>
        </w:rPr>
        <w:t xml:space="preserve">&lt;.001). These correlations suggest that higher levels of perceived organizational support and intrinsic </w:t>
      </w:r>
      <w:r w:rsidRPr="00E82E79">
        <w:rPr>
          <w:rFonts w:ascii="Times New Roman" w:eastAsia="Times New Roman" w:hAnsi="Times New Roman" w:cs="Times New Roman"/>
          <w:color w:val="0E101A"/>
          <w:kern w:val="0"/>
          <w:sz w:val="20"/>
          <w:szCs w:val="20"/>
          <w14:ligatures w14:val="none"/>
        </w:rPr>
        <w:lastRenderedPageBreak/>
        <w:t xml:space="preserve">motivation are associated with increased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This finding supports previous research highlighting the positive role of organizational support in fostering employee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beyond job requirements (</w:t>
      </w:r>
      <w:proofErr w:type="spellStart"/>
      <w:r w:rsidRPr="00E82E79">
        <w:rPr>
          <w:rFonts w:ascii="Times New Roman" w:eastAsia="Times New Roman" w:hAnsi="Times New Roman" w:cs="Times New Roman"/>
          <w:color w:val="0E101A"/>
          <w:kern w:val="0"/>
          <w:sz w:val="20"/>
          <w:szCs w:val="20"/>
          <w14:ligatures w14:val="none"/>
        </w:rPr>
        <w:t>Kurtessis</w:t>
      </w:r>
      <w:proofErr w:type="spellEnd"/>
      <w:r w:rsidRPr="00E82E79">
        <w:rPr>
          <w:rFonts w:ascii="Times New Roman" w:eastAsia="Times New Roman" w:hAnsi="Times New Roman" w:cs="Times New Roman"/>
          <w:color w:val="0E101A"/>
          <w:kern w:val="0"/>
          <w:sz w:val="20"/>
          <w:szCs w:val="20"/>
          <w14:ligatures w14:val="none"/>
        </w:rPr>
        <w:t xml:space="preserve"> et al., 2015).</w:t>
      </w:r>
    </w:p>
    <w:p w14:paraId="1318888A"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The linear regression analysis, detailed in Table 3, assesses the impact of POS and IM on OCB. The model shows a substantial R² value of 0.495, indicating that POS and IM can explain approximately 50% of the variance in OCB scores. The F-test is significant (p &lt; .001), confirming the model's validity. In Model 1, both POS and IM are significant predictors of OCB. The coefficient for POS scores is 0.454 (SE = 0.0744, t = 6.10, p &lt; .001), indicating a positive effect on OCB. Similarly, the coefficient for IM scores is 1.160 (SE = 0.1461, t = 7.94, p &lt; .001), also showing a positive effect. These results underscore the importance of perceived organizational support and intrinsic motivation in enhancing organizational citizenship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The intercept of -5.412 (SE = 2.7353, t = -1.98, p = 0.049) is statistically significant but not practically meaningful in this context. These findings align with theories suggesting that organizational support and intrinsic motivation contribute significantly to positive employee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Eisenberger et al. (1997) state that perceived organizational support increases employees' motivation and discretionary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Similarly, Hon (2011) asserts that intrinsic motivation is critical for fostering positive work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in supportive environments.</w:t>
      </w:r>
    </w:p>
    <w:p w14:paraId="768EA9D1" w14:textId="0650C3E4" w:rsidR="008505CC"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As outlined in Table 4, the mediation analysis provides insights into the indirect effects of POS on OCB through IM. The indirect effect is estimated at 0.356 (SE = 0.0534, Z = 6.67, p &lt; .001), indicating that IM significantly mediates the relationship between POS and OCB. This suggests that the positive effect of POS on OCB is partially explained through its impact on IM. The direct effect of POS on OCB is 0.454 (SE = 0.0740, Z = 6.13, p &lt; .001), which remains significant even when accounting for IM. The total effect is 0.809 (SE = 0.0660, Z = 12.27, p &lt; .001), reflecting the combined influence of both direct and indirect pathways. The mediation findings highlight the critical role of intrinsic motivation in the relationship between perceived organizational support and organizational citizenship </w:t>
      </w:r>
      <w:proofErr w:type="spellStart"/>
      <w:r w:rsidRPr="00E82E79">
        <w:rPr>
          <w:rFonts w:ascii="Times New Roman" w:eastAsia="Times New Roman" w:hAnsi="Times New Roman" w:cs="Times New Roman"/>
          <w:color w:val="0E101A"/>
          <w:kern w:val="0"/>
          <w:sz w:val="20"/>
          <w:szCs w:val="20"/>
          <w14:ligatures w14:val="none"/>
        </w:rPr>
        <w:t>behaviour</w:t>
      </w:r>
      <w:proofErr w:type="spellEnd"/>
      <w:r w:rsidRPr="00E82E79">
        <w:rPr>
          <w:rFonts w:ascii="Times New Roman" w:eastAsia="Times New Roman" w:hAnsi="Times New Roman" w:cs="Times New Roman"/>
          <w:color w:val="0E101A"/>
          <w:kern w:val="0"/>
          <w:sz w:val="20"/>
          <w:szCs w:val="20"/>
          <w14:ligatures w14:val="none"/>
        </w:rPr>
        <w:t xml:space="preserve">. This result supports the theoretical framework that perceived organizational support enhances employees' intrinsic motivation, boosting organizational citizenship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The significance of the indirect effect underscores the value of fostering an environment that supports employees and motivates them intrinsically to improve their engagement and </w:t>
      </w:r>
      <w:proofErr w:type="gramStart"/>
      <w:r w:rsidRPr="00E82E79">
        <w:rPr>
          <w:rFonts w:ascii="Times New Roman" w:eastAsia="Times New Roman" w:hAnsi="Times New Roman" w:cs="Times New Roman"/>
          <w:color w:val="0E101A"/>
          <w:kern w:val="0"/>
          <w:sz w:val="20"/>
          <w:szCs w:val="20"/>
          <w14:ligatures w14:val="none"/>
        </w:rPr>
        <w:t>performance.(</w:t>
      </w:r>
      <w:proofErr w:type="gramEnd"/>
      <w:r w:rsidRPr="00E82E79">
        <w:rPr>
          <w:rFonts w:ascii="Times New Roman" w:eastAsia="Times New Roman" w:hAnsi="Times New Roman" w:cs="Times New Roman"/>
          <w:color w:val="0E101A"/>
          <w:kern w:val="0"/>
          <w:sz w:val="20"/>
          <w:szCs w:val="20"/>
          <w14:ligatures w14:val="none"/>
        </w:rPr>
        <w:t>Hon, 2011;Gagné &amp; Deci, 2005).</w:t>
      </w:r>
    </w:p>
    <w:p w14:paraId="3A83A8EB" w14:textId="77777777" w:rsidR="00B95EF2" w:rsidRPr="00E82E79" w:rsidRDefault="00B95EF2"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7BD9C869" w14:textId="77777777" w:rsidR="00FE1D3E" w:rsidRPr="00E82E79" w:rsidRDefault="00FE1D3E" w:rsidP="00B95EF2">
      <w:p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Practical Implications</w:t>
      </w:r>
    </w:p>
    <w:p w14:paraId="6CEA6ACA"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The findings of this study carry significant practical implications for organizations seeking to enhance employee engagement and foster positive workplace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particularly Organizational Citizenship Behavior (OCB).</w:t>
      </w:r>
    </w:p>
    <w:p w14:paraId="780FB0F4"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First and foremost, enhancing Perceived Organizational Support (POS) is vital for improving both Intrinsic Motivation (IM) and OCB among employees. Organizations should actively invest in practices designed to increase employees' perceptions of support. This can be achieved through a variety of initiatives. For example, recognizing and rewarding employee contributions acknowledges their hard work and reinforces their organizational value. Implementing recognition programs, such as employee of the month awards or performance-based bonuses, can enhance POS. Furthermore, providing adequate resources, whether in training, tools, or personnel, signals </w:t>
      </w:r>
      <w:r w:rsidRPr="00E82E79">
        <w:rPr>
          <w:rFonts w:ascii="Times New Roman" w:eastAsia="Times New Roman" w:hAnsi="Times New Roman" w:cs="Times New Roman"/>
          <w:color w:val="0E101A"/>
          <w:kern w:val="0"/>
          <w:sz w:val="20"/>
          <w:szCs w:val="20"/>
          <w14:ligatures w14:val="none"/>
        </w:rPr>
        <w:lastRenderedPageBreak/>
        <w:t>employees that the organization is invested in their success. Cultivating a supportive work environment—where open communication is encouraged and employees feel comfortable expressing their concerns and suggestions—can significantly enhance employees' sense of support, thereby improving their motivation and commitment to the organization.</w:t>
      </w:r>
    </w:p>
    <w:p w14:paraId="0D047E4C"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Secondly, given the significant mediation effect of IM, organizations should focus on strategies that enhance intrinsic motivation among their employees. Providing meaningful work that aligns with employees' interests and values is crucial for fostering IM. Organizations should consider conducting regular assessments to understand employees' personal and professional goals, ensuring that job roles and responsibilities resonate with these aspirations. Opportunities for growth and development, such as professional training, mentorship programs, and clear career advancement pathways, can further bolster IM. Employees who see a direct link between their work and personal growth are more likely to be intrinsically motivated, promoting OCB.</w:t>
      </w:r>
    </w:p>
    <w:p w14:paraId="006DF49E"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Moreover, organizations must understand that fostering POS and IM is not merely a one-time effort but requires ongoing commitment and assessment. Regular feedback mechanisms can help organizations gauge employee perceptions of support and motivation levels, allowing for timely adjustments to strategies and initiatives.</w:t>
      </w:r>
    </w:p>
    <w:p w14:paraId="1B247688" w14:textId="77777777" w:rsidR="00B95EF2" w:rsidRPr="00E82E79" w:rsidRDefault="00B95EF2"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154DFE0F" w14:textId="77777777" w:rsidR="00FE1D3E" w:rsidRPr="00E82E79" w:rsidRDefault="00FE1D3E" w:rsidP="00B95EF2">
      <w:pPr>
        <w:spacing w:after="0" w:line="360" w:lineRule="auto"/>
        <w:outlineLvl w:val="2"/>
        <w:rPr>
          <w:rFonts w:ascii="Times New Roman" w:eastAsia="Times New Roman" w:hAnsi="Times New Roman" w:cs="Times New Roman"/>
          <w:b/>
          <w:bCs/>
          <w:color w:val="000000"/>
          <w:kern w:val="0"/>
          <w:sz w:val="20"/>
          <w:szCs w:val="20"/>
          <w14:ligatures w14:val="none"/>
        </w:rPr>
      </w:pPr>
      <w:r w:rsidRPr="00E82E79">
        <w:rPr>
          <w:rFonts w:ascii="Times New Roman" w:eastAsia="Times New Roman" w:hAnsi="Times New Roman" w:cs="Times New Roman"/>
          <w:b/>
          <w:bCs/>
          <w:color w:val="0E101A"/>
          <w:kern w:val="0"/>
          <w:sz w:val="20"/>
          <w:szCs w:val="20"/>
          <w14:ligatures w14:val="none"/>
        </w:rPr>
        <w:t>Limitations and Future Directions</w:t>
      </w:r>
    </w:p>
    <w:p w14:paraId="6C1842D0"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This study faced several limitations that warrant consideration. A primary challenge was the non-normal distribution of the data. Non-parametric methods were employed to address this issue, as Ghasemi and </w:t>
      </w:r>
      <w:proofErr w:type="spellStart"/>
      <w:r w:rsidRPr="00E82E79">
        <w:rPr>
          <w:rFonts w:ascii="Times New Roman" w:eastAsia="Times New Roman" w:hAnsi="Times New Roman" w:cs="Times New Roman"/>
          <w:color w:val="0E101A"/>
          <w:kern w:val="0"/>
          <w:sz w:val="20"/>
          <w:szCs w:val="20"/>
          <w14:ligatures w14:val="none"/>
        </w:rPr>
        <w:t>Zahediasl</w:t>
      </w:r>
      <w:proofErr w:type="spellEnd"/>
      <w:r w:rsidRPr="00E82E79">
        <w:rPr>
          <w:rFonts w:ascii="Times New Roman" w:eastAsia="Times New Roman" w:hAnsi="Times New Roman" w:cs="Times New Roman"/>
          <w:color w:val="0E101A"/>
          <w:kern w:val="0"/>
          <w:sz w:val="20"/>
          <w:szCs w:val="20"/>
          <w14:ligatures w14:val="none"/>
        </w:rPr>
        <w:t xml:space="preserve"> (2012) recommended for managing skewed data. While these methods offer robustness, they inherently lack the statistical power of parametric tests, potentially impacting the precision of the estimates obtained.</w:t>
      </w:r>
    </w:p>
    <w:p w14:paraId="79C82832"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Another limitation involved reliance on self-reported measures, which can introduce biases such as social desirability, as Podsakoff et al. (2003) highlighted. This reliance may compromise the accuracy of the data. Future research should consider adopting a multi-source approach, integrating supervisor ratings and peer assessments alongside self-reports to mitigate these biases and enhance the validity of the findings.</w:t>
      </w:r>
    </w:p>
    <w:p w14:paraId="0EBB0DB6" w14:textId="77777777" w:rsidR="00FE1D3E" w:rsidRPr="00E82E79" w:rsidRDefault="00FE1D3E" w:rsidP="00B95EF2">
      <w:pPr>
        <w:spacing w:after="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E101A"/>
          <w:kern w:val="0"/>
          <w:sz w:val="20"/>
          <w:szCs w:val="20"/>
          <w14:ligatures w14:val="none"/>
        </w:rPr>
        <w:t>Moreover, the cross-sectional design of this study limits the ability to infer causal relationships between Perceived Organizational Support (POS), Intrinsic Motivation (IM), and Organizational Citizenship Behavior (OCB). Establishing causality requires longitudinal studies that can assess changes over time and elucidate the directionality of these relationships.</w:t>
      </w:r>
    </w:p>
    <w:p w14:paraId="3909C939" w14:textId="77777777" w:rsidR="00FE1D3E" w:rsidRDefault="00FE1D3E" w:rsidP="00B95EF2">
      <w:pPr>
        <w:spacing w:after="0" w:line="360" w:lineRule="auto"/>
        <w:ind w:firstLine="720"/>
        <w:rPr>
          <w:rFonts w:ascii="Times New Roman" w:eastAsia="Times New Roman" w:hAnsi="Times New Roman" w:cs="Times New Roman"/>
          <w:color w:val="0E101A"/>
          <w:kern w:val="0"/>
          <w:sz w:val="20"/>
          <w:szCs w:val="20"/>
          <w14:ligatures w14:val="none"/>
        </w:rPr>
      </w:pPr>
      <w:r w:rsidRPr="00E82E79">
        <w:rPr>
          <w:rFonts w:ascii="Times New Roman" w:eastAsia="Times New Roman" w:hAnsi="Times New Roman" w:cs="Times New Roman"/>
          <w:color w:val="0E101A"/>
          <w:kern w:val="0"/>
          <w:sz w:val="20"/>
          <w:szCs w:val="20"/>
          <w14:ligatures w14:val="none"/>
        </w:rPr>
        <w:t xml:space="preserve">Future research should also explore diverse organizational contexts and industries to enhance the generalizability of findings. Additionally, examining the potential moderating variables, such as employee demographics or organizational culture, could provide a more nuanced understanding of the dynamics between POS, IM, and OCB. Such </w:t>
      </w:r>
      <w:proofErr w:type="spellStart"/>
      <w:r w:rsidRPr="00E82E79">
        <w:rPr>
          <w:rFonts w:ascii="Times New Roman" w:eastAsia="Times New Roman" w:hAnsi="Times New Roman" w:cs="Times New Roman"/>
          <w:color w:val="0E101A"/>
          <w:kern w:val="0"/>
          <w:sz w:val="20"/>
          <w:szCs w:val="20"/>
          <w14:ligatures w14:val="none"/>
        </w:rPr>
        <w:t>endeavours</w:t>
      </w:r>
      <w:proofErr w:type="spellEnd"/>
      <w:r w:rsidRPr="00E82E79">
        <w:rPr>
          <w:rFonts w:ascii="Times New Roman" w:eastAsia="Times New Roman" w:hAnsi="Times New Roman" w:cs="Times New Roman"/>
          <w:color w:val="0E101A"/>
          <w:kern w:val="0"/>
          <w:sz w:val="20"/>
          <w:szCs w:val="20"/>
          <w14:ligatures w14:val="none"/>
        </w:rPr>
        <w:t xml:space="preserve"> will contribute to a more comprehensive framework for understanding the mechanisms that drive positive employee </w:t>
      </w:r>
      <w:proofErr w:type="spellStart"/>
      <w:r w:rsidRPr="00E82E79">
        <w:rPr>
          <w:rFonts w:ascii="Times New Roman" w:eastAsia="Times New Roman" w:hAnsi="Times New Roman" w:cs="Times New Roman"/>
          <w:color w:val="0E101A"/>
          <w:kern w:val="0"/>
          <w:sz w:val="20"/>
          <w:szCs w:val="20"/>
          <w14:ligatures w14:val="none"/>
        </w:rPr>
        <w:t>behaviours</w:t>
      </w:r>
      <w:proofErr w:type="spellEnd"/>
      <w:r w:rsidRPr="00E82E79">
        <w:rPr>
          <w:rFonts w:ascii="Times New Roman" w:eastAsia="Times New Roman" w:hAnsi="Times New Roman" w:cs="Times New Roman"/>
          <w:color w:val="0E101A"/>
          <w:kern w:val="0"/>
          <w:sz w:val="20"/>
          <w:szCs w:val="20"/>
          <w14:ligatures w14:val="none"/>
        </w:rPr>
        <w:t xml:space="preserve"> in various organizational settings.</w:t>
      </w:r>
    </w:p>
    <w:p w14:paraId="2708B5D3" w14:textId="77777777" w:rsidR="00B95EF2" w:rsidRDefault="00B95EF2"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2D86A262" w14:textId="77777777" w:rsidR="00B95EF2" w:rsidRDefault="00B95EF2"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0D6A703A" w14:textId="77777777" w:rsidR="00B95EF2" w:rsidRDefault="00B95EF2" w:rsidP="00B95EF2">
      <w:pPr>
        <w:spacing w:after="0" w:line="360" w:lineRule="auto"/>
        <w:ind w:firstLine="720"/>
        <w:rPr>
          <w:rFonts w:ascii="Times New Roman" w:eastAsia="Times New Roman" w:hAnsi="Times New Roman" w:cs="Times New Roman"/>
          <w:color w:val="0E101A"/>
          <w:kern w:val="0"/>
          <w:sz w:val="20"/>
          <w:szCs w:val="20"/>
          <w14:ligatures w14:val="none"/>
        </w:rPr>
      </w:pPr>
    </w:p>
    <w:p w14:paraId="47F8BAA2" w14:textId="77777777" w:rsidR="00E82E79" w:rsidRPr="00E82E79" w:rsidRDefault="00E82E79" w:rsidP="00B95EF2">
      <w:pPr>
        <w:spacing w:after="0" w:line="360" w:lineRule="auto"/>
        <w:ind w:firstLine="720"/>
        <w:rPr>
          <w:rFonts w:ascii="Times New Roman" w:eastAsia="Times New Roman" w:hAnsi="Times New Roman" w:cs="Times New Roman"/>
          <w:color w:val="000000"/>
          <w:kern w:val="0"/>
          <w:sz w:val="20"/>
          <w:szCs w:val="20"/>
          <w14:ligatures w14:val="none"/>
        </w:rPr>
      </w:pPr>
    </w:p>
    <w:p w14:paraId="47795BD6" w14:textId="77777777" w:rsidR="00FE1D3E" w:rsidRPr="00FE1D3E" w:rsidRDefault="00FE1D3E" w:rsidP="00B95EF2">
      <w:pPr>
        <w:spacing w:after="0" w:line="360" w:lineRule="auto"/>
        <w:outlineLvl w:val="2"/>
        <w:rPr>
          <w:rFonts w:ascii="Times New Roman" w:eastAsia="Times New Roman" w:hAnsi="Times New Roman" w:cs="Times New Roman"/>
          <w:b/>
          <w:bCs/>
          <w:color w:val="000000"/>
          <w:kern w:val="0"/>
          <w14:ligatures w14:val="none"/>
        </w:rPr>
      </w:pPr>
      <w:r w:rsidRPr="00FE1D3E">
        <w:rPr>
          <w:rFonts w:ascii="Times New Roman" w:eastAsia="Times New Roman" w:hAnsi="Times New Roman" w:cs="Times New Roman"/>
          <w:b/>
          <w:bCs/>
          <w:color w:val="0E101A"/>
          <w:kern w:val="0"/>
          <w14:ligatures w14:val="none"/>
        </w:rPr>
        <w:lastRenderedPageBreak/>
        <w:t>CONCLUSION</w:t>
      </w:r>
    </w:p>
    <w:p w14:paraId="2E70D978" w14:textId="3F9415DE" w:rsidR="00FE1D3E" w:rsidRDefault="00E42CBC" w:rsidP="00B95EF2">
      <w:pPr>
        <w:spacing w:after="240" w:line="360" w:lineRule="auto"/>
        <w:ind w:firstLine="720"/>
        <w:rPr>
          <w:rFonts w:ascii="Times New Roman" w:eastAsia="Times New Roman" w:hAnsi="Times New Roman" w:cs="Times New Roman"/>
          <w:color w:val="000000"/>
          <w:kern w:val="0"/>
          <w:sz w:val="20"/>
          <w:szCs w:val="20"/>
          <w14:ligatures w14:val="none"/>
        </w:rPr>
      </w:pPr>
      <w:r w:rsidRPr="00E82E79">
        <w:rPr>
          <w:rFonts w:ascii="Times New Roman" w:hAnsi="Times New Roman" w:cs="Times New Roman"/>
          <w:color w:val="000000"/>
          <w:sz w:val="20"/>
          <w:szCs w:val="20"/>
        </w:rPr>
        <w:t>This study highlights the pivotal relationships among Perceived Organizational Support (POS), Intrinsic Motivation (IM), and Organizational Citizenship Behavior (OCB), demonstrating that POS and IM significantly enhance OCB, with IM serving as a key mediator in this dynamic. These findings underscore the critical role of fostering a supportive organizational environment that nurtures intrinsic motivation, driving higher employee engagement and voluntary contributions beyond prescribed roles. By adopting targeted strategies to enhance perceived support and intrinsic motivation, organizations can encourage citizenship behaviors, ultimately strengthening overall performance. While this research offers valuable insights, limitations such as non-normal data distribution and its cross-sectional design warrant consideration, as they constrain the generalizability and causal interpretations of the findings. Future studies should address these limitations by employing longitudinal designs and exploring the impact of contextual factors to deepen the understanding of these interrelationships and provide more robust guidance for organizational practices</w:t>
      </w:r>
      <w:r w:rsidR="00FE1D3E" w:rsidRPr="00E82E79">
        <w:rPr>
          <w:rFonts w:ascii="Times New Roman" w:eastAsia="Times New Roman" w:hAnsi="Times New Roman" w:cs="Times New Roman"/>
          <w:color w:val="000000"/>
          <w:kern w:val="0"/>
          <w:sz w:val="20"/>
          <w:szCs w:val="20"/>
          <w14:ligatures w14:val="none"/>
        </w:rPr>
        <w:br/>
      </w:r>
      <w:r w:rsidR="00FE1D3E" w:rsidRPr="00E82E79">
        <w:rPr>
          <w:rFonts w:ascii="Times New Roman" w:eastAsia="Times New Roman" w:hAnsi="Times New Roman" w:cs="Times New Roman"/>
          <w:color w:val="000000"/>
          <w:kern w:val="0"/>
          <w:sz w:val="20"/>
          <w:szCs w:val="20"/>
          <w14:ligatures w14:val="none"/>
        </w:rPr>
        <w:br/>
      </w:r>
    </w:p>
    <w:p w14:paraId="70FAB067" w14:textId="77777777" w:rsidR="00E82E79" w:rsidRDefault="00E82E79"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42F40853" w14:textId="77777777" w:rsidR="00E82E79" w:rsidRDefault="00E82E79"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4A9CA091"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31882931"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72056236"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31914E80"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1B0EDBFA"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0D41E39E"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4736E6B6"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7A587563" w14:textId="77777777" w:rsidR="00B95EF2"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47388EE4" w14:textId="77777777" w:rsidR="00E82E79" w:rsidRDefault="00E82E79"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585D9E78" w14:textId="77777777" w:rsidR="00B95EF2" w:rsidRPr="00E82E79" w:rsidRDefault="00B95EF2" w:rsidP="00B95EF2">
      <w:pPr>
        <w:spacing w:after="240" w:line="360" w:lineRule="auto"/>
        <w:ind w:firstLine="720"/>
        <w:rPr>
          <w:rFonts w:ascii="Times New Roman" w:eastAsia="Times New Roman" w:hAnsi="Times New Roman" w:cs="Times New Roman"/>
          <w:color w:val="000000"/>
          <w:kern w:val="0"/>
          <w:sz w:val="20"/>
          <w:szCs w:val="20"/>
          <w14:ligatures w14:val="none"/>
        </w:rPr>
      </w:pPr>
    </w:p>
    <w:p w14:paraId="3DA3E9E0" w14:textId="77777777" w:rsidR="008E4C1D" w:rsidRPr="00FE1D3E" w:rsidRDefault="008E4C1D" w:rsidP="00B95EF2">
      <w:pPr>
        <w:spacing w:after="240" w:line="360" w:lineRule="auto"/>
        <w:ind w:firstLine="720"/>
        <w:rPr>
          <w:rFonts w:ascii="Times New Roman" w:eastAsia="Times New Roman" w:hAnsi="Times New Roman" w:cs="Times New Roman"/>
          <w:color w:val="000000"/>
          <w:kern w:val="0"/>
          <w14:ligatures w14:val="none"/>
        </w:rPr>
      </w:pPr>
    </w:p>
    <w:p w14:paraId="3A53A7BC" w14:textId="77777777" w:rsidR="00FE1D3E" w:rsidRPr="00FE1D3E" w:rsidRDefault="00FE1D3E" w:rsidP="00B95EF2">
      <w:pPr>
        <w:spacing w:after="0" w:line="360" w:lineRule="auto"/>
        <w:jc w:val="center"/>
        <w:rPr>
          <w:rFonts w:ascii="Times New Roman" w:eastAsia="Times New Roman" w:hAnsi="Times New Roman" w:cs="Times New Roman"/>
          <w:color w:val="000000"/>
          <w:kern w:val="0"/>
          <w14:ligatures w14:val="none"/>
        </w:rPr>
      </w:pPr>
      <w:r w:rsidRPr="00FE1D3E">
        <w:rPr>
          <w:rFonts w:ascii="Times New Roman" w:eastAsia="Times New Roman" w:hAnsi="Times New Roman" w:cs="Times New Roman"/>
          <w:b/>
          <w:bCs/>
          <w:color w:val="0E101A"/>
          <w:kern w:val="0"/>
          <w14:ligatures w14:val="none"/>
        </w:rPr>
        <w:lastRenderedPageBreak/>
        <w:t>REFERENCES</w:t>
      </w:r>
    </w:p>
    <w:p w14:paraId="3656BAA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Ahmad, I., &amp; Zafar, M. A. (2018). Impact of psychological contract fulfillment on organizational citizenship behavior. </w:t>
      </w:r>
      <w:r w:rsidRPr="00E82E79">
        <w:rPr>
          <w:rFonts w:ascii="Times New Roman" w:eastAsia="Times New Roman" w:hAnsi="Times New Roman" w:cs="Times New Roman"/>
          <w:i/>
          <w:iCs/>
          <w:color w:val="000000"/>
          <w:kern w:val="0"/>
          <w:sz w:val="20"/>
          <w:szCs w:val="20"/>
          <w14:ligatures w14:val="none"/>
        </w:rPr>
        <w:t>International Journal of Contemporary Hospitality Management</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30</w:t>
      </w:r>
      <w:r w:rsidRPr="00E82E79">
        <w:rPr>
          <w:rFonts w:ascii="Times New Roman" w:eastAsia="Times New Roman" w:hAnsi="Times New Roman" w:cs="Times New Roman"/>
          <w:color w:val="000000"/>
          <w:kern w:val="0"/>
          <w:sz w:val="20"/>
          <w:szCs w:val="20"/>
          <w14:ligatures w14:val="none"/>
        </w:rPr>
        <w:t xml:space="preserve">(2), 1001–1015. </w:t>
      </w:r>
      <w:hyperlink r:id="rId7" w:history="1">
        <w:r w:rsidRPr="00E82E79">
          <w:rPr>
            <w:rFonts w:ascii="Times New Roman" w:eastAsia="Times New Roman" w:hAnsi="Times New Roman" w:cs="Times New Roman"/>
            <w:color w:val="1155CC"/>
            <w:kern w:val="0"/>
            <w:sz w:val="20"/>
            <w:szCs w:val="20"/>
            <w:u w:val="single"/>
            <w14:ligatures w14:val="none"/>
          </w:rPr>
          <w:t>https://doi.org/10.1108/ijchm-12-2016-0659</w:t>
        </w:r>
      </w:hyperlink>
    </w:p>
    <w:p w14:paraId="38436CF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Ali, B. J., &amp; Anwar, G. (2021, April 30). </w:t>
      </w:r>
      <w:r w:rsidRPr="00E82E79">
        <w:rPr>
          <w:rFonts w:ascii="Times New Roman" w:eastAsia="Times New Roman" w:hAnsi="Times New Roman" w:cs="Times New Roman"/>
          <w:i/>
          <w:iCs/>
          <w:color w:val="000000"/>
          <w:kern w:val="0"/>
          <w:sz w:val="20"/>
          <w:szCs w:val="20"/>
          <w14:ligatures w14:val="none"/>
        </w:rPr>
        <w:t xml:space="preserve">Organization citizenship </w:t>
      </w:r>
      <w:proofErr w:type="spellStart"/>
      <w:r w:rsidRPr="00E82E79">
        <w:rPr>
          <w:rFonts w:ascii="Times New Roman" w:eastAsia="Times New Roman" w:hAnsi="Times New Roman" w:cs="Times New Roman"/>
          <w:i/>
          <w:iCs/>
          <w:color w:val="000000"/>
          <w:kern w:val="0"/>
          <w:sz w:val="20"/>
          <w:szCs w:val="20"/>
          <w14:ligatures w14:val="none"/>
        </w:rPr>
        <w:t>behaviour</w:t>
      </w:r>
      <w:proofErr w:type="spellEnd"/>
      <w:r w:rsidRPr="00E82E79">
        <w:rPr>
          <w:rFonts w:ascii="Times New Roman" w:eastAsia="Times New Roman" w:hAnsi="Times New Roman" w:cs="Times New Roman"/>
          <w:i/>
          <w:iCs/>
          <w:color w:val="000000"/>
          <w:kern w:val="0"/>
          <w:sz w:val="20"/>
          <w:szCs w:val="20"/>
          <w14:ligatures w14:val="none"/>
        </w:rPr>
        <w:t xml:space="preserve"> as a determining factor in business outcome</w:t>
      </w:r>
      <w:r w:rsidRPr="00E82E79">
        <w:rPr>
          <w:rFonts w:ascii="Times New Roman" w:eastAsia="Times New Roman" w:hAnsi="Times New Roman" w:cs="Times New Roman"/>
          <w:color w:val="000000"/>
          <w:kern w:val="0"/>
          <w:sz w:val="20"/>
          <w:szCs w:val="20"/>
          <w14:ligatures w14:val="none"/>
        </w:rPr>
        <w:t xml:space="preserve">. </w:t>
      </w:r>
      <w:hyperlink r:id="rId8" w:history="1">
        <w:r w:rsidRPr="00E82E79">
          <w:rPr>
            <w:rFonts w:ascii="Times New Roman" w:eastAsia="Times New Roman" w:hAnsi="Times New Roman" w:cs="Times New Roman"/>
            <w:color w:val="1155CC"/>
            <w:kern w:val="0"/>
            <w:sz w:val="20"/>
            <w:szCs w:val="20"/>
            <w:u w:val="single"/>
            <w14:ligatures w14:val="none"/>
          </w:rPr>
          <w:t>https://papers.ssrn.com/sol3/papers.cfm?abstract_id=3837580</w:t>
        </w:r>
      </w:hyperlink>
    </w:p>
    <w:p w14:paraId="0DB80079"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222222"/>
          <w:kern w:val="0"/>
          <w:sz w:val="20"/>
          <w:szCs w:val="20"/>
          <w14:ligatures w14:val="none"/>
        </w:rPr>
        <w:t xml:space="preserve">Armstrong, M. (2016). </w:t>
      </w:r>
      <w:r w:rsidRPr="00E82E79">
        <w:rPr>
          <w:rFonts w:ascii="Times New Roman" w:eastAsia="Times New Roman" w:hAnsi="Times New Roman" w:cs="Times New Roman"/>
          <w:i/>
          <w:iCs/>
          <w:color w:val="222222"/>
          <w:kern w:val="0"/>
          <w:sz w:val="20"/>
          <w:szCs w:val="20"/>
          <w14:ligatures w14:val="none"/>
        </w:rPr>
        <w:t>Armstrong's handbook of management and leadership for HR: Developing effective people skills for better leadership and management</w:t>
      </w:r>
      <w:r w:rsidRPr="00E82E79">
        <w:rPr>
          <w:rFonts w:ascii="Times New Roman" w:eastAsia="Times New Roman" w:hAnsi="Times New Roman" w:cs="Times New Roman"/>
          <w:color w:val="222222"/>
          <w:kern w:val="0"/>
          <w:sz w:val="20"/>
          <w:szCs w:val="20"/>
          <w14:ligatures w14:val="none"/>
        </w:rPr>
        <w:t>. Kogan Page Publishers.</w:t>
      </w:r>
    </w:p>
    <w:p w14:paraId="66F6D308"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Chen, Y., &amp; Shaffer, M. A. (2017). The influences of perceived organizational support and motivation on self-initiated expatriates’ organizational and community embeddedness. </w:t>
      </w:r>
      <w:r w:rsidRPr="00E82E79">
        <w:rPr>
          <w:rFonts w:ascii="Times New Roman" w:eastAsia="Times New Roman" w:hAnsi="Times New Roman" w:cs="Times New Roman"/>
          <w:i/>
          <w:iCs/>
          <w:color w:val="000000"/>
          <w:kern w:val="0"/>
          <w:sz w:val="20"/>
          <w:szCs w:val="20"/>
          <w14:ligatures w14:val="none"/>
        </w:rPr>
        <w:t>Journal of World Business</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52</w:t>
      </w:r>
      <w:r w:rsidRPr="00E82E79">
        <w:rPr>
          <w:rFonts w:ascii="Times New Roman" w:eastAsia="Times New Roman" w:hAnsi="Times New Roman" w:cs="Times New Roman"/>
          <w:color w:val="000000"/>
          <w:kern w:val="0"/>
          <w:sz w:val="20"/>
          <w:szCs w:val="20"/>
          <w14:ligatures w14:val="none"/>
        </w:rPr>
        <w:t xml:space="preserve">(2), 197–208. </w:t>
      </w:r>
      <w:hyperlink r:id="rId9" w:history="1">
        <w:r w:rsidRPr="00E82E79">
          <w:rPr>
            <w:rFonts w:ascii="Times New Roman" w:eastAsia="Times New Roman" w:hAnsi="Times New Roman" w:cs="Times New Roman"/>
            <w:color w:val="1155CC"/>
            <w:kern w:val="0"/>
            <w:sz w:val="20"/>
            <w:szCs w:val="20"/>
            <w:u w:val="single"/>
            <w14:ligatures w14:val="none"/>
          </w:rPr>
          <w:t>https://doi.org/10.1016/j.jwb.2016.12.001</w:t>
        </w:r>
      </w:hyperlink>
    </w:p>
    <w:p w14:paraId="260AD923"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proofErr w:type="spellStart"/>
      <w:r w:rsidRPr="00E82E79">
        <w:rPr>
          <w:rFonts w:ascii="Times New Roman" w:eastAsia="Times New Roman" w:hAnsi="Times New Roman" w:cs="Times New Roman"/>
          <w:color w:val="000000"/>
          <w:kern w:val="0"/>
          <w:sz w:val="20"/>
          <w:szCs w:val="20"/>
          <w14:ligatures w14:val="none"/>
        </w:rPr>
        <w:t>Côté</w:t>
      </w:r>
      <w:proofErr w:type="spellEnd"/>
      <w:r w:rsidRPr="00E82E79">
        <w:rPr>
          <w:rFonts w:ascii="Times New Roman" w:eastAsia="Times New Roman" w:hAnsi="Times New Roman" w:cs="Times New Roman"/>
          <w:color w:val="000000"/>
          <w:kern w:val="0"/>
          <w:sz w:val="20"/>
          <w:szCs w:val="20"/>
          <w14:ligatures w14:val="none"/>
        </w:rPr>
        <w:t xml:space="preserve">, K., </w:t>
      </w:r>
      <w:proofErr w:type="spellStart"/>
      <w:r w:rsidRPr="00E82E79">
        <w:rPr>
          <w:rFonts w:ascii="Times New Roman" w:eastAsia="Times New Roman" w:hAnsi="Times New Roman" w:cs="Times New Roman"/>
          <w:color w:val="000000"/>
          <w:kern w:val="0"/>
          <w:sz w:val="20"/>
          <w:szCs w:val="20"/>
          <w14:ligatures w14:val="none"/>
        </w:rPr>
        <w:t>Lauzier</w:t>
      </w:r>
      <w:proofErr w:type="spellEnd"/>
      <w:r w:rsidRPr="00E82E79">
        <w:rPr>
          <w:rFonts w:ascii="Times New Roman" w:eastAsia="Times New Roman" w:hAnsi="Times New Roman" w:cs="Times New Roman"/>
          <w:color w:val="000000"/>
          <w:kern w:val="0"/>
          <w:sz w:val="20"/>
          <w:szCs w:val="20"/>
          <w14:ligatures w14:val="none"/>
        </w:rPr>
        <w:t xml:space="preserve">, M., &amp; </w:t>
      </w:r>
      <w:proofErr w:type="spellStart"/>
      <w:r w:rsidRPr="00E82E79">
        <w:rPr>
          <w:rFonts w:ascii="Times New Roman" w:eastAsia="Times New Roman" w:hAnsi="Times New Roman" w:cs="Times New Roman"/>
          <w:color w:val="000000"/>
          <w:kern w:val="0"/>
          <w:sz w:val="20"/>
          <w:szCs w:val="20"/>
          <w14:ligatures w14:val="none"/>
        </w:rPr>
        <w:t>Stinglhamber</w:t>
      </w:r>
      <w:proofErr w:type="spellEnd"/>
      <w:r w:rsidRPr="00E82E79">
        <w:rPr>
          <w:rFonts w:ascii="Times New Roman" w:eastAsia="Times New Roman" w:hAnsi="Times New Roman" w:cs="Times New Roman"/>
          <w:color w:val="000000"/>
          <w:kern w:val="0"/>
          <w:sz w:val="20"/>
          <w:szCs w:val="20"/>
          <w14:ligatures w14:val="none"/>
        </w:rPr>
        <w:t xml:space="preserve">, F. (2021). The relationship between presenteeism and job satisfaction: A mediated moderation model using work engagement and perceived organizational support. </w:t>
      </w:r>
      <w:r w:rsidRPr="00E82E79">
        <w:rPr>
          <w:rFonts w:ascii="Times New Roman" w:eastAsia="Times New Roman" w:hAnsi="Times New Roman" w:cs="Times New Roman"/>
          <w:i/>
          <w:iCs/>
          <w:color w:val="000000"/>
          <w:kern w:val="0"/>
          <w:sz w:val="20"/>
          <w:szCs w:val="20"/>
          <w14:ligatures w14:val="none"/>
        </w:rPr>
        <w:t>European Management Journal</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39</w:t>
      </w:r>
      <w:r w:rsidRPr="00E82E79">
        <w:rPr>
          <w:rFonts w:ascii="Times New Roman" w:eastAsia="Times New Roman" w:hAnsi="Times New Roman" w:cs="Times New Roman"/>
          <w:color w:val="000000"/>
          <w:kern w:val="0"/>
          <w:sz w:val="20"/>
          <w:szCs w:val="20"/>
          <w14:ligatures w14:val="none"/>
        </w:rPr>
        <w:t xml:space="preserve">(2), 270–278. </w:t>
      </w:r>
      <w:hyperlink r:id="rId10" w:history="1">
        <w:r w:rsidRPr="00E82E79">
          <w:rPr>
            <w:rFonts w:ascii="Times New Roman" w:eastAsia="Times New Roman" w:hAnsi="Times New Roman" w:cs="Times New Roman"/>
            <w:color w:val="1155CC"/>
            <w:kern w:val="0"/>
            <w:sz w:val="20"/>
            <w:szCs w:val="20"/>
            <w:u w:val="single"/>
            <w14:ligatures w14:val="none"/>
          </w:rPr>
          <w:t>https://doi.org/10.1016/j.emj.2020.09.001</w:t>
        </w:r>
      </w:hyperlink>
    </w:p>
    <w:p w14:paraId="0938D78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Eisenberger, R., Cummings, J., </w:t>
      </w:r>
      <w:proofErr w:type="spellStart"/>
      <w:r w:rsidRPr="00E82E79">
        <w:rPr>
          <w:rFonts w:ascii="Times New Roman" w:eastAsia="Times New Roman" w:hAnsi="Times New Roman" w:cs="Times New Roman"/>
          <w:color w:val="000000"/>
          <w:kern w:val="0"/>
          <w:sz w:val="20"/>
          <w:szCs w:val="20"/>
          <w14:ligatures w14:val="none"/>
        </w:rPr>
        <w:t>Armeli</w:t>
      </w:r>
      <w:proofErr w:type="spellEnd"/>
      <w:r w:rsidRPr="00E82E79">
        <w:rPr>
          <w:rFonts w:ascii="Times New Roman" w:eastAsia="Times New Roman" w:hAnsi="Times New Roman" w:cs="Times New Roman"/>
          <w:color w:val="000000"/>
          <w:kern w:val="0"/>
          <w:sz w:val="20"/>
          <w:szCs w:val="20"/>
          <w14:ligatures w14:val="none"/>
        </w:rPr>
        <w:t xml:space="preserve">, S., &amp; Lynch, P. D. (1997). Perceived organizational support, discretionary treatment, and job satisfaction. </w:t>
      </w:r>
      <w:r w:rsidRPr="00E82E79">
        <w:rPr>
          <w:rFonts w:ascii="Times New Roman" w:eastAsia="Times New Roman" w:hAnsi="Times New Roman" w:cs="Times New Roman"/>
          <w:i/>
          <w:iCs/>
          <w:color w:val="000000"/>
          <w:kern w:val="0"/>
          <w:sz w:val="20"/>
          <w:szCs w:val="20"/>
          <w14:ligatures w14:val="none"/>
        </w:rPr>
        <w:t>Journal of Applied Psychology</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82</w:t>
      </w:r>
      <w:r w:rsidRPr="00E82E79">
        <w:rPr>
          <w:rFonts w:ascii="Times New Roman" w:eastAsia="Times New Roman" w:hAnsi="Times New Roman" w:cs="Times New Roman"/>
          <w:color w:val="000000"/>
          <w:kern w:val="0"/>
          <w:sz w:val="20"/>
          <w:szCs w:val="20"/>
          <w14:ligatures w14:val="none"/>
        </w:rPr>
        <w:t xml:space="preserve">(5), 812–820. </w:t>
      </w:r>
      <w:hyperlink r:id="rId11" w:history="1">
        <w:r w:rsidRPr="00E82E79">
          <w:rPr>
            <w:rFonts w:ascii="Times New Roman" w:eastAsia="Times New Roman" w:hAnsi="Times New Roman" w:cs="Times New Roman"/>
            <w:color w:val="1155CC"/>
            <w:kern w:val="0"/>
            <w:sz w:val="20"/>
            <w:szCs w:val="20"/>
            <w:u w:val="single"/>
            <w14:ligatures w14:val="none"/>
          </w:rPr>
          <w:t>https://doi.org/10.1037/0021-9010.82.5.812</w:t>
        </w:r>
      </w:hyperlink>
    </w:p>
    <w:p w14:paraId="64B1184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Eisenberger, R., </w:t>
      </w:r>
      <w:proofErr w:type="spellStart"/>
      <w:r w:rsidRPr="00E82E79">
        <w:rPr>
          <w:rFonts w:ascii="Times New Roman" w:eastAsia="Times New Roman" w:hAnsi="Times New Roman" w:cs="Times New Roman"/>
          <w:color w:val="000000"/>
          <w:kern w:val="0"/>
          <w:sz w:val="20"/>
          <w:szCs w:val="20"/>
          <w14:ligatures w14:val="none"/>
        </w:rPr>
        <w:t>Shanock</w:t>
      </w:r>
      <w:proofErr w:type="spellEnd"/>
      <w:r w:rsidRPr="00E82E79">
        <w:rPr>
          <w:rFonts w:ascii="Times New Roman" w:eastAsia="Times New Roman" w:hAnsi="Times New Roman" w:cs="Times New Roman"/>
          <w:color w:val="000000"/>
          <w:kern w:val="0"/>
          <w:sz w:val="20"/>
          <w:szCs w:val="20"/>
          <w14:ligatures w14:val="none"/>
        </w:rPr>
        <w:t xml:space="preserve">, L. R., &amp; Wen, X. (2020). Perceived organizational support: Why caring about employees counts. </w:t>
      </w:r>
      <w:r w:rsidRPr="00E82E79">
        <w:rPr>
          <w:rFonts w:ascii="Times New Roman" w:eastAsia="Times New Roman" w:hAnsi="Times New Roman" w:cs="Times New Roman"/>
          <w:i/>
          <w:iCs/>
          <w:color w:val="000000"/>
          <w:kern w:val="0"/>
          <w:sz w:val="20"/>
          <w:szCs w:val="20"/>
          <w14:ligatures w14:val="none"/>
        </w:rPr>
        <w:t>Annual Review of Organizational Psychology and Organizational Behavior</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7</w:t>
      </w:r>
      <w:r w:rsidRPr="00E82E79">
        <w:rPr>
          <w:rFonts w:ascii="Times New Roman" w:eastAsia="Times New Roman" w:hAnsi="Times New Roman" w:cs="Times New Roman"/>
          <w:color w:val="000000"/>
          <w:kern w:val="0"/>
          <w:sz w:val="20"/>
          <w:szCs w:val="20"/>
          <w14:ligatures w14:val="none"/>
        </w:rPr>
        <w:t xml:space="preserve">(1), 101–124. </w:t>
      </w:r>
      <w:hyperlink r:id="rId12" w:history="1">
        <w:r w:rsidRPr="00E82E79">
          <w:rPr>
            <w:rFonts w:ascii="Times New Roman" w:eastAsia="Times New Roman" w:hAnsi="Times New Roman" w:cs="Times New Roman"/>
            <w:color w:val="1155CC"/>
            <w:kern w:val="0"/>
            <w:sz w:val="20"/>
            <w:szCs w:val="20"/>
            <w:u w:val="single"/>
            <w14:ligatures w14:val="none"/>
          </w:rPr>
          <w:t>https://doi.org/10.1146/annurev-orgpsych-012119-044917</w:t>
        </w:r>
      </w:hyperlink>
    </w:p>
    <w:p w14:paraId="78FD4B82"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proofErr w:type="spellStart"/>
      <w:r w:rsidRPr="00E82E79">
        <w:rPr>
          <w:rFonts w:ascii="Times New Roman" w:eastAsia="Times New Roman" w:hAnsi="Times New Roman" w:cs="Times New Roman"/>
          <w:color w:val="000000"/>
          <w:kern w:val="0"/>
          <w:sz w:val="20"/>
          <w:szCs w:val="20"/>
          <w14:ligatures w14:val="none"/>
        </w:rPr>
        <w:t>Hermawan</w:t>
      </w:r>
      <w:proofErr w:type="spellEnd"/>
      <w:r w:rsidRPr="00E82E79">
        <w:rPr>
          <w:rFonts w:ascii="Times New Roman" w:eastAsia="Times New Roman" w:hAnsi="Times New Roman" w:cs="Times New Roman"/>
          <w:color w:val="000000"/>
          <w:kern w:val="0"/>
          <w:sz w:val="20"/>
          <w:szCs w:val="20"/>
          <w14:ligatures w14:val="none"/>
        </w:rPr>
        <w:t xml:space="preserve">, H., Thamrin, H., &amp; Susilo, P. (2020). Organizational Citizenship Behavior and Performance: The role of employee engagement. </w:t>
      </w:r>
      <w:r w:rsidRPr="00E82E79">
        <w:rPr>
          <w:rFonts w:ascii="Times New Roman" w:eastAsia="Times New Roman" w:hAnsi="Times New Roman" w:cs="Times New Roman"/>
          <w:i/>
          <w:iCs/>
          <w:color w:val="000000"/>
          <w:kern w:val="0"/>
          <w:sz w:val="20"/>
          <w:szCs w:val="20"/>
          <w14:ligatures w14:val="none"/>
        </w:rPr>
        <w:t>The Journal of Asian Finance, Economics and Business</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7</w:t>
      </w:r>
      <w:r w:rsidRPr="00E82E79">
        <w:rPr>
          <w:rFonts w:ascii="Times New Roman" w:eastAsia="Times New Roman" w:hAnsi="Times New Roman" w:cs="Times New Roman"/>
          <w:color w:val="000000"/>
          <w:kern w:val="0"/>
          <w:sz w:val="20"/>
          <w:szCs w:val="20"/>
          <w14:ligatures w14:val="none"/>
        </w:rPr>
        <w:t xml:space="preserve">(12), 1089–1097. </w:t>
      </w:r>
      <w:hyperlink r:id="rId13" w:history="1">
        <w:r w:rsidRPr="00E82E79">
          <w:rPr>
            <w:rFonts w:ascii="Times New Roman" w:eastAsia="Times New Roman" w:hAnsi="Times New Roman" w:cs="Times New Roman"/>
            <w:color w:val="1155CC"/>
            <w:kern w:val="0"/>
            <w:sz w:val="20"/>
            <w:szCs w:val="20"/>
            <w:u w:val="single"/>
            <w14:ligatures w14:val="none"/>
          </w:rPr>
          <w:t>https://doi.org/10.13106/jafeb.2020.vol7.no12.1089</w:t>
        </w:r>
      </w:hyperlink>
    </w:p>
    <w:p w14:paraId="2846B3C3"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Hon, A. H., &amp; Leung, A. S. (2011). Employee Creativity and Motivation in the Chinese context: The moderating role of organizational culture. </w:t>
      </w:r>
      <w:r w:rsidRPr="00E82E79">
        <w:rPr>
          <w:rFonts w:ascii="Times New Roman" w:eastAsia="Times New Roman" w:hAnsi="Times New Roman" w:cs="Times New Roman"/>
          <w:i/>
          <w:iCs/>
          <w:color w:val="000000"/>
          <w:kern w:val="0"/>
          <w:sz w:val="20"/>
          <w:szCs w:val="20"/>
          <w14:ligatures w14:val="none"/>
        </w:rPr>
        <w:t>Cornell Hospitality Quarterly</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52</w:t>
      </w:r>
      <w:r w:rsidRPr="00E82E79">
        <w:rPr>
          <w:rFonts w:ascii="Times New Roman" w:eastAsia="Times New Roman" w:hAnsi="Times New Roman" w:cs="Times New Roman"/>
          <w:color w:val="000000"/>
          <w:kern w:val="0"/>
          <w:sz w:val="20"/>
          <w:szCs w:val="20"/>
          <w14:ligatures w14:val="none"/>
        </w:rPr>
        <w:t xml:space="preserve">(2), 125–134. </w:t>
      </w:r>
      <w:hyperlink r:id="rId14" w:history="1">
        <w:r w:rsidRPr="00E82E79">
          <w:rPr>
            <w:rFonts w:ascii="Times New Roman" w:eastAsia="Times New Roman" w:hAnsi="Times New Roman" w:cs="Times New Roman"/>
            <w:color w:val="1155CC"/>
            <w:kern w:val="0"/>
            <w:sz w:val="20"/>
            <w:szCs w:val="20"/>
            <w:u w:val="single"/>
            <w14:ligatures w14:val="none"/>
          </w:rPr>
          <w:t>https://doi.org/10.1177/1938965511403921</w:t>
        </w:r>
      </w:hyperlink>
    </w:p>
    <w:p w14:paraId="3B6B0B25"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proofErr w:type="spellStart"/>
      <w:r w:rsidRPr="00E82E79">
        <w:rPr>
          <w:rFonts w:ascii="Times New Roman" w:eastAsia="Times New Roman" w:hAnsi="Times New Roman" w:cs="Times New Roman"/>
          <w:color w:val="000000"/>
          <w:kern w:val="0"/>
          <w:sz w:val="20"/>
          <w:szCs w:val="20"/>
          <w14:ligatures w14:val="none"/>
        </w:rPr>
        <w:t>Gagné</w:t>
      </w:r>
      <w:proofErr w:type="spellEnd"/>
      <w:r w:rsidRPr="00E82E79">
        <w:rPr>
          <w:rFonts w:ascii="Times New Roman" w:eastAsia="Times New Roman" w:hAnsi="Times New Roman" w:cs="Times New Roman"/>
          <w:color w:val="000000"/>
          <w:kern w:val="0"/>
          <w:sz w:val="20"/>
          <w:szCs w:val="20"/>
          <w14:ligatures w14:val="none"/>
        </w:rPr>
        <w:t xml:space="preserve">, M., &amp; Deci, E. L. (2005). Self‐determination theory and work motivation. </w:t>
      </w:r>
      <w:r w:rsidRPr="00E82E79">
        <w:rPr>
          <w:rFonts w:ascii="Times New Roman" w:eastAsia="Times New Roman" w:hAnsi="Times New Roman" w:cs="Times New Roman"/>
          <w:i/>
          <w:iCs/>
          <w:color w:val="000000"/>
          <w:kern w:val="0"/>
          <w:sz w:val="20"/>
          <w:szCs w:val="20"/>
          <w14:ligatures w14:val="none"/>
        </w:rPr>
        <w:t>Journal of Organizational Behavior</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26</w:t>
      </w:r>
      <w:r w:rsidRPr="00E82E79">
        <w:rPr>
          <w:rFonts w:ascii="Times New Roman" w:eastAsia="Times New Roman" w:hAnsi="Times New Roman" w:cs="Times New Roman"/>
          <w:color w:val="000000"/>
          <w:kern w:val="0"/>
          <w:sz w:val="20"/>
          <w:szCs w:val="20"/>
          <w14:ligatures w14:val="none"/>
        </w:rPr>
        <w:t xml:space="preserve">(4), 331–362. </w:t>
      </w:r>
      <w:hyperlink r:id="rId15" w:history="1">
        <w:r w:rsidRPr="00E82E79">
          <w:rPr>
            <w:rFonts w:ascii="Times New Roman" w:eastAsia="Times New Roman" w:hAnsi="Times New Roman" w:cs="Times New Roman"/>
            <w:color w:val="1155CC"/>
            <w:kern w:val="0"/>
            <w:sz w:val="20"/>
            <w:szCs w:val="20"/>
            <w:u w:val="single"/>
            <w14:ligatures w14:val="none"/>
          </w:rPr>
          <w:t>https://doi.org/10.1002/job.322</w:t>
        </w:r>
      </w:hyperlink>
    </w:p>
    <w:p w14:paraId="149752FA"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Garg, S., &amp; Dhar, R. L. (2016). Extra-Role customer service: the roles of Leader–Member Exchange (LMX), affective commitment, and psychological empowerment. </w:t>
      </w:r>
      <w:r w:rsidRPr="00E82E79">
        <w:rPr>
          <w:rFonts w:ascii="Times New Roman" w:eastAsia="Times New Roman" w:hAnsi="Times New Roman" w:cs="Times New Roman"/>
          <w:i/>
          <w:iCs/>
          <w:color w:val="000000"/>
          <w:kern w:val="0"/>
          <w:sz w:val="20"/>
          <w:szCs w:val="20"/>
          <w14:ligatures w14:val="none"/>
        </w:rPr>
        <w:t>International Journal of Hospitality &amp; Tourism Administration</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17</w:t>
      </w:r>
      <w:r w:rsidRPr="00E82E79">
        <w:rPr>
          <w:rFonts w:ascii="Times New Roman" w:eastAsia="Times New Roman" w:hAnsi="Times New Roman" w:cs="Times New Roman"/>
          <w:color w:val="000000"/>
          <w:kern w:val="0"/>
          <w:sz w:val="20"/>
          <w:szCs w:val="20"/>
          <w14:ligatures w14:val="none"/>
        </w:rPr>
        <w:t xml:space="preserve">(4), 373–396. </w:t>
      </w:r>
      <w:hyperlink r:id="rId16" w:history="1">
        <w:r w:rsidRPr="00E82E79">
          <w:rPr>
            <w:rFonts w:ascii="Times New Roman" w:eastAsia="Times New Roman" w:hAnsi="Times New Roman" w:cs="Times New Roman"/>
            <w:color w:val="1155CC"/>
            <w:kern w:val="0"/>
            <w:sz w:val="20"/>
            <w:szCs w:val="20"/>
            <w:u w:val="single"/>
            <w14:ligatures w14:val="none"/>
          </w:rPr>
          <w:t>https://doi.org/10.1080/15256480.2016.1226151</w:t>
        </w:r>
      </w:hyperlink>
    </w:p>
    <w:p w14:paraId="0C56EDB5"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Ghasemi, A., &amp; </w:t>
      </w:r>
      <w:proofErr w:type="spellStart"/>
      <w:r w:rsidRPr="00E82E79">
        <w:rPr>
          <w:rFonts w:ascii="Times New Roman" w:eastAsia="Times New Roman" w:hAnsi="Times New Roman" w:cs="Times New Roman"/>
          <w:color w:val="000000"/>
          <w:kern w:val="0"/>
          <w:sz w:val="20"/>
          <w:szCs w:val="20"/>
          <w14:ligatures w14:val="none"/>
        </w:rPr>
        <w:t>Zahediasl</w:t>
      </w:r>
      <w:proofErr w:type="spellEnd"/>
      <w:r w:rsidRPr="00E82E79">
        <w:rPr>
          <w:rFonts w:ascii="Times New Roman" w:eastAsia="Times New Roman" w:hAnsi="Times New Roman" w:cs="Times New Roman"/>
          <w:color w:val="000000"/>
          <w:kern w:val="0"/>
          <w:sz w:val="20"/>
          <w:szCs w:val="20"/>
          <w14:ligatures w14:val="none"/>
        </w:rPr>
        <w:t xml:space="preserve">, S. (2012). Normality Tests for Statistical Analysis: A Guide for Non-Statisticians. </w:t>
      </w:r>
      <w:r w:rsidRPr="00E82E79">
        <w:rPr>
          <w:rFonts w:ascii="Times New Roman" w:eastAsia="Times New Roman" w:hAnsi="Times New Roman" w:cs="Times New Roman"/>
          <w:i/>
          <w:iCs/>
          <w:color w:val="000000"/>
          <w:kern w:val="0"/>
          <w:sz w:val="20"/>
          <w:szCs w:val="20"/>
          <w14:ligatures w14:val="none"/>
        </w:rPr>
        <w:t>International Journal of Endocrinology and Metabolism</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10</w:t>
      </w:r>
      <w:r w:rsidRPr="00E82E79">
        <w:rPr>
          <w:rFonts w:ascii="Times New Roman" w:eastAsia="Times New Roman" w:hAnsi="Times New Roman" w:cs="Times New Roman"/>
          <w:color w:val="000000"/>
          <w:kern w:val="0"/>
          <w:sz w:val="20"/>
          <w:szCs w:val="20"/>
          <w14:ligatures w14:val="none"/>
        </w:rPr>
        <w:t xml:space="preserve">(2), 486–489. </w:t>
      </w:r>
      <w:hyperlink r:id="rId17" w:history="1">
        <w:r w:rsidRPr="00E82E79">
          <w:rPr>
            <w:rFonts w:ascii="Times New Roman" w:eastAsia="Times New Roman" w:hAnsi="Times New Roman" w:cs="Times New Roman"/>
            <w:color w:val="1155CC"/>
            <w:kern w:val="0"/>
            <w:sz w:val="20"/>
            <w:szCs w:val="20"/>
            <w:u w:val="single"/>
            <w14:ligatures w14:val="none"/>
          </w:rPr>
          <w:t>https://doi.org/10.5812/ijem.3505</w:t>
        </w:r>
      </w:hyperlink>
    </w:p>
    <w:p w14:paraId="7DE9E4A9"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Gupta, V. (2022). Impact of perceived </w:t>
      </w:r>
      <w:proofErr w:type="spellStart"/>
      <w:r w:rsidRPr="00E82E79">
        <w:rPr>
          <w:rFonts w:ascii="Times New Roman" w:eastAsia="Times New Roman" w:hAnsi="Times New Roman" w:cs="Times New Roman"/>
          <w:color w:val="000000"/>
          <w:kern w:val="0"/>
          <w:sz w:val="20"/>
          <w:szCs w:val="20"/>
          <w14:ligatures w14:val="none"/>
        </w:rPr>
        <w:t>organisational</w:t>
      </w:r>
      <w:proofErr w:type="spellEnd"/>
      <w:r w:rsidRPr="00E82E79">
        <w:rPr>
          <w:rFonts w:ascii="Times New Roman" w:eastAsia="Times New Roman" w:hAnsi="Times New Roman" w:cs="Times New Roman"/>
          <w:color w:val="000000"/>
          <w:kern w:val="0"/>
          <w:sz w:val="20"/>
          <w:szCs w:val="20"/>
          <w14:ligatures w14:val="none"/>
        </w:rPr>
        <w:t xml:space="preserve"> support on </w:t>
      </w:r>
      <w:proofErr w:type="spellStart"/>
      <w:r w:rsidRPr="00E82E79">
        <w:rPr>
          <w:rFonts w:ascii="Times New Roman" w:eastAsia="Times New Roman" w:hAnsi="Times New Roman" w:cs="Times New Roman"/>
          <w:color w:val="000000"/>
          <w:kern w:val="0"/>
          <w:sz w:val="20"/>
          <w:szCs w:val="20"/>
          <w14:ligatures w14:val="none"/>
        </w:rPr>
        <w:t>organisational</w:t>
      </w:r>
      <w:proofErr w:type="spellEnd"/>
      <w:r w:rsidRPr="00E82E79">
        <w:rPr>
          <w:rFonts w:ascii="Times New Roman" w:eastAsia="Times New Roman" w:hAnsi="Times New Roman" w:cs="Times New Roman"/>
          <w:color w:val="000000"/>
          <w:kern w:val="0"/>
          <w:sz w:val="20"/>
          <w:szCs w:val="20"/>
          <w14:ligatures w14:val="none"/>
        </w:rPr>
        <w:t xml:space="preserve"> citizenship </w:t>
      </w:r>
      <w:proofErr w:type="spellStart"/>
      <w:r w:rsidRPr="00E82E79">
        <w:rPr>
          <w:rFonts w:ascii="Times New Roman" w:eastAsia="Times New Roman" w:hAnsi="Times New Roman" w:cs="Times New Roman"/>
          <w:color w:val="000000"/>
          <w:kern w:val="0"/>
          <w:sz w:val="20"/>
          <w:szCs w:val="20"/>
          <w14:ligatures w14:val="none"/>
        </w:rPr>
        <w:t>behaviour</w:t>
      </w:r>
      <w:proofErr w:type="spellEnd"/>
      <w:r w:rsidRPr="00E82E79">
        <w:rPr>
          <w:rFonts w:ascii="Times New Roman" w:eastAsia="Times New Roman" w:hAnsi="Times New Roman" w:cs="Times New Roman"/>
          <w:color w:val="000000"/>
          <w:kern w:val="0"/>
          <w:sz w:val="20"/>
          <w:szCs w:val="20"/>
          <w14:ligatures w14:val="none"/>
        </w:rPr>
        <w:t xml:space="preserve"> on health care and cure professionals. </w:t>
      </w:r>
      <w:r w:rsidRPr="00E82E79">
        <w:rPr>
          <w:rFonts w:ascii="Times New Roman" w:eastAsia="Times New Roman" w:hAnsi="Times New Roman" w:cs="Times New Roman"/>
          <w:i/>
          <w:iCs/>
          <w:color w:val="000000"/>
          <w:kern w:val="0"/>
          <w:sz w:val="20"/>
          <w:szCs w:val="20"/>
          <w14:ligatures w14:val="none"/>
        </w:rPr>
        <w:t>Management Dynamics</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19</w:t>
      </w:r>
      <w:r w:rsidRPr="00E82E79">
        <w:rPr>
          <w:rFonts w:ascii="Times New Roman" w:eastAsia="Times New Roman" w:hAnsi="Times New Roman" w:cs="Times New Roman"/>
          <w:color w:val="000000"/>
          <w:kern w:val="0"/>
          <w:sz w:val="20"/>
          <w:szCs w:val="20"/>
          <w14:ligatures w14:val="none"/>
        </w:rPr>
        <w:t xml:space="preserve">(1), 35–44. </w:t>
      </w:r>
      <w:hyperlink r:id="rId18" w:history="1">
        <w:r w:rsidRPr="00E82E79">
          <w:rPr>
            <w:rFonts w:ascii="Times New Roman" w:eastAsia="Times New Roman" w:hAnsi="Times New Roman" w:cs="Times New Roman"/>
            <w:color w:val="1155CC"/>
            <w:kern w:val="0"/>
            <w:sz w:val="20"/>
            <w:szCs w:val="20"/>
            <w:u w:val="single"/>
            <w14:ligatures w14:val="none"/>
          </w:rPr>
          <w:t>https://doi.org/10.57198/2583-4932.1027</w:t>
        </w:r>
      </w:hyperlink>
    </w:p>
    <w:p w14:paraId="10F6122C"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lastRenderedPageBreak/>
        <w:t xml:space="preserve">Hon, A. H. Y. (2011). Shaping environments conductive to creativity. </w:t>
      </w:r>
      <w:r w:rsidRPr="00E82E79">
        <w:rPr>
          <w:rFonts w:ascii="Times New Roman" w:eastAsia="Times New Roman" w:hAnsi="Times New Roman" w:cs="Times New Roman"/>
          <w:i/>
          <w:iCs/>
          <w:color w:val="000000"/>
          <w:kern w:val="0"/>
          <w:sz w:val="20"/>
          <w:szCs w:val="20"/>
          <w14:ligatures w14:val="none"/>
        </w:rPr>
        <w:t>Cornell Hospitality Quarterly</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53</w:t>
      </w:r>
      <w:r w:rsidRPr="00E82E79">
        <w:rPr>
          <w:rFonts w:ascii="Times New Roman" w:eastAsia="Times New Roman" w:hAnsi="Times New Roman" w:cs="Times New Roman"/>
          <w:color w:val="000000"/>
          <w:kern w:val="0"/>
          <w:sz w:val="20"/>
          <w:szCs w:val="20"/>
          <w14:ligatures w14:val="none"/>
        </w:rPr>
        <w:t xml:space="preserve">(1), 53–64. </w:t>
      </w:r>
      <w:hyperlink r:id="rId19" w:history="1">
        <w:r w:rsidRPr="00E82E79">
          <w:rPr>
            <w:rFonts w:ascii="Times New Roman" w:eastAsia="Times New Roman" w:hAnsi="Times New Roman" w:cs="Times New Roman"/>
            <w:color w:val="1155CC"/>
            <w:kern w:val="0"/>
            <w:sz w:val="20"/>
            <w:szCs w:val="20"/>
            <w:u w:val="single"/>
            <w14:ligatures w14:val="none"/>
          </w:rPr>
          <w:t>https://doi.org/10.1177/1938965511424725</w:t>
        </w:r>
      </w:hyperlink>
    </w:p>
    <w:p w14:paraId="4B23CF51"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James, L. R., &amp; Jones, A. P. (1974). Organizational climate: A review of theory and research. </w:t>
      </w:r>
      <w:r w:rsidRPr="00E82E79">
        <w:rPr>
          <w:rFonts w:ascii="Times New Roman" w:eastAsia="Times New Roman" w:hAnsi="Times New Roman" w:cs="Times New Roman"/>
          <w:i/>
          <w:iCs/>
          <w:color w:val="000000"/>
          <w:kern w:val="0"/>
          <w:sz w:val="20"/>
          <w:szCs w:val="20"/>
          <w14:ligatures w14:val="none"/>
        </w:rPr>
        <w:t>Psychological Bulletin</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81</w:t>
      </w:r>
      <w:r w:rsidRPr="00E82E79">
        <w:rPr>
          <w:rFonts w:ascii="Times New Roman" w:eastAsia="Times New Roman" w:hAnsi="Times New Roman" w:cs="Times New Roman"/>
          <w:color w:val="000000"/>
          <w:kern w:val="0"/>
          <w:sz w:val="20"/>
          <w:szCs w:val="20"/>
          <w14:ligatures w14:val="none"/>
        </w:rPr>
        <w:t xml:space="preserve">(12), 1096–1112. </w:t>
      </w:r>
      <w:hyperlink r:id="rId20" w:history="1">
        <w:r w:rsidRPr="00E82E79">
          <w:rPr>
            <w:rFonts w:ascii="Times New Roman" w:eastAsia="Times New Roman" w:hAnsi="Times New Roman" w:cs="Times New Roman"/>
            <w:color w:val="1155CC"/>
            <w:kern w:val="0"/>
            <w:sz w:val="20"/>
            <w:szCs w:val="20"/>
            <w:u w:val="single"/>
            <w14:ligatures w14:val="none"/>
          </w:rPr>
          <w:t>https://doi.org/10.1037/h0037511</w:t>
        </w:r>
      </w:hyperlink>
    </w:p>
    <w:p w14:paraId="37D52C25"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222222"/>
          <w:kern w:val="0"/>
          <w:sz w:val="20"/>
          <w:szCs w:val="20"/>
          <w14:ligatures w14:val="none"/>
        </w:rPr>
        <w:t xml:space="preserve">Joy, M. M., &amp; </w:t>
      </w:r>
      <w:proofErr w:type="spellStart"/>
      <w:r w:rsidRPr="00E82E79">
        <w:rPr>
          <w:rFonts w:ascii="Times New Roman" w:eastAsia="Times New Roman" w:hAnsi="Times New Roman" w:cs="Times New Roman"/>
          <w:color w:val="222222"/>
          <w:kern w:val="0"/>
          <w:sz w:val="20"/>
          <w:szCs w:val="20"/>
          <w14:ligatures w14:val="none"/>
        </w:rPr>
        <w:t>Sidhique</w:t>
      </w:r>
      <w:proofErr w:type="spellEnd"/>
      <w:r w:rsidRPr="00E82E79">
        <w:rPr>
          <w:rFonts w:ascii="Times New Roman" w:eastAsia="Times New Roman" w:hAnsi="Times New Roman" w:cs="Times New Roman"/>
          <w:color w:val="222222"/>
          <w:kern w:val="0"/>
          <w:sz w:val="20"/>
          <w:szCs w:val="20"/>
          <w14:ligatures w14:val="none"/>
        </w:rPr>
        <w:t xml:space="preserve">, F. (2016). A study on the impact of perceived organizational support on organizational citizenship behaviors in software industry. </w:t>
      </w:r>
      <w:r w:rsidRPr="00E82E79">
        <w:rPr>
          <w:rFonts w:ascii="Times New Roman" w:eastAsia="Times New Roman" w:hAnsi="Times New Roman" w:cs="Times New Roman"/>
          <w:i/>
          <w:iCs/>
          <w:color w:val="222222"/>
          <w:kern w:val="0"/>
          <w:sz w:val="20"/>
          <w:szCs w:val="20"/>
          <w14:ligatures w14:val="none"/>
        </w:rPr>
        <w:t>International Journal of Science Technology and Management</w:t>
      </w:r>
      <w:r w:rsidRPr="00E82E79">
        <w:rPr>
          <w:rFonts w:ascii="Times New Roman" w:eastAsia="Times New Roman" w:hAnsi="Times New Roman" w:cs="Times New Roman"/>
          <w:color w:val="222222"/>
          <w:kern w:val="0"/>
          <w:sz w:val="20"/>
          <w:szCs w:val="20"/>
          <w14:ligatures w14:val="none"/>
        </w:rPr>
        <w:t xml:space="preserve">, </w:t>
      </w:r>
      <w:r w:rsidRPr="00E82E79">
        <w:rPr>
          <w:rFonts w:ascii="Times New Roman" w:eastAsia="Times New Roman" w:hAnsi="Times New Roman" w:cs="Times New Roman"/>
          <w:i/>
          <w:iCs/>
          <w:color w:val="222222"/>
          <w:kern w:val="0"/>
          <w:sz w:val="20"/>
          <w:szCs w:val="20"/>
          <w14:ligatures w14:val="none"/>
        </w:rPr>
        <w:t>5</w:t>
      </w:r>
      <w:r w:rsidRPr="00E82E79">
        <w:rPr>
          <w:rFonts w:ascii="Times New Roman" w:eastAsia="Times New Roman" w:hAnsi="Times New Roman" w:cs="Times New Roman"/>
          <w:color w:val="222222"/>
          <w:kern w:val="0"/>
          <w:sz w:val="20"/>
          <w:szCs w:val="20"/>
          <w14:ligatures w14:val="none"/>
        </w:rPr>
        <w:t>(08), 243-250.</w:t>
      </w:r>
    </w:p>
    <w:p w14:paraId="080B597E"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proofErr w:type="spellStart"/>
      <w:r w:rsidRPr="00E82E79">
        <w:rPr>
          <w:rFonts w:ascii="Times New Roman" w:eastAsia="Times New Roman" w:hAnsi="Times New Roman" w:cs="Times New Roman"/>
          <w:color w:val="000000"/>
          <w:kern w:val="0"/>
          <w:sz w:val="20"/>
          <w:szCs w:val="20"/>
          <w14:ligatures w14:val="none"/>
        </w:rPr>
        <w:t>Karatepe</w:t>
      </w:r>
      <w:proofErr w:type="spellEnd"/>
      <w:r w:rsidRPr="00E82E79">
        <w:rPr>
          <w:rFonts w:ascii="Times New Roman" w:eastAsia="Times New Roman" w:hAnsi="Times New Roman" w:cs="Times New Roman"/>
          <w:color w:val="000000"/>
          <w:kern w:val="0"/>
          <w:sz w:val="20"/>
          <w:szCs w:val="20"/>
          <w14:ligatures w14:val="none"/>
        </w:rPr>
        <w:t xml:space="preserve">, O. M., &amp; </w:t>
      </w:r>
      <w:proofErr w:type="spellStart"/>
      <w:r w:rsidRPr="00E82E79">
        <w:rPr>
          <w:rFonts w:ascii="Times New Roman" w:eastAsia="Times New Roman" w:hAnsi="Times New Roman" w:cs="Times New Roman"/>
          <w:color w:val="000000"/>
          <w:kern w:val="0"/>
          <w:sz w:val="20"/>
          <w:szCs w:val="20"/>
          <w14:ligatures w14:val="none"/>
        </w:rPr>
        <w:t>Karadaş</w:t>
      </w:r>
      <w:proofErr w:type="spellEnd"/>
      <w:r w:rsidRPr="00E82E79">
        <w:rPr>
          <w:rFonts w:ascii="Times New Roman" w:eastAsia="Times New Roman" w:hAnsi="Times New Roman" w:cs="Times New Roman"/>
          <w:color w:val="000000"/>
          <w:kern w:val="0"/>
          <w:sz w:val="20"/>
          <w:szCs w:val="20"/>
          <w14:ligatures w14:val="none"/>
        </w:rPr>
        <w:t xml:space="preserve">, G. (2015). Do psychological capital and work engagement foster frontline employees’ satisfaction? </w:t>
      </w:r>
      <w:r w:rsidRPr="00E82E79">
        <w:rPr>
          <w:rFonts w:ascii="Times New Roman" w:eastAsia="Times New Roman" w:hAnsi="Times New Roman" w:cs="Times New Roman"/>
          <w:i/>
          <w:iCs/>
          <w:color w:val="000000"/>
          <w:kern w:val="0"/>
          <w:sz w:val="20"/>
          <w:szCs w:val="20"/>
          <w14:ligatures w14:val="none"/>
        </w:rPr>
        <w:t>International Journal of Contemporary Hospitality Management</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27</w:t>
      </w:r>
      <w:r w:rsidRPr="00E82E79">
        <w:rPr>
          <w:rFonts w:ascii="Times New Roman" w:eastAsia="Times New Roman" w:hAnsi="Times New Roman" w:cs="Times New Roman"/>
          <w:color w:val="000000"/>
          <w:kern w:val="0"/>
          <w:sz w:val="20"/>
          <w:szCs w:val="20"/>
          <w14:ligatures w14:val="none"/>
        </w:rPr>
        <w:t xml:space="preserve">(6), 1254–1278. </w:t>
      </w:r>
      <w:hyperlink r:id="rId21" w:history="1">
        <w:r w:rsidRPr="00E82E79">
          <w:rPr>
            <w:rFonts w:ascii="Times New Roman" w:eastAsia="Times New Roman" w:hAnsi="Times New Roman" w:cs="Times New Roman"/>
            <w:color w:val="1155CC"/>
            <w:kern w:val="0"/>
            <w:sz w:val="20"/>
            <w:szCs w:val="20"/>
            <w:u w:val="single"/>
            <w14:ligatures w14:val="none"/>
          </w:rPr>
          <w:t>https://doi.org/10.1108/ijchm-01-2014-0028</w:t>
        </w:r>
      </w:hyperlink>
    </w:p>
    <w:p w14:paraId="3674E64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Kim, S., Kim, M., &amp; Holland, S. M. (2019). Effects of intrinsic motivation on organizational citizenship behaviors of hospitality employees: The mediating roles of reciprocity and organizational commitment. </w:t>
      </w:r>
      <w:r w:rsidRPr="00E82E79">
        <w:rPr>
          <w:rFonts w:ascii="Times New Roman" w:eastAsia="Times New Roman" w:hAnsi="Times New Roman" w:cs="Times New Roman"/>
          <w:i/>
          <w:iCs/>
          <w:color w:val="000000"/>
          <w:kern w:val="0"/>
          <w:sz w:val="20"/>
          <w:szCs w:val="20"/>
          <w14:ligatures w14:val="none"/>
        </w:rPr>
        <w:t>Journal of Human Resources in Hospitality &amp; Tourism</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19</w:t>
      </w:r>
      <w:r w:rsidRPr="00E82E79">
        <w:rPr>
          <w:rFonts w:ascii="Times New Roman" w:eastAsia="Times New Roman" w:hAnsi="Times New Roman" w:cs="Times New Roman"/>
          <w:color w:val="000000"/>
          <w:kern w:val="0"/>
          <w:sz w:val="20"/>
          <w:szCs w:val="20"/>
          <w14:ligatures w14:val="none"/>
        </w:rPr>
        <w:t xml:space="preserve">(2), 168–195. </w:t>
      </w:r>
      <w:hyperlink r:id="rId22" w:history="1">
        <w:r w:rsidRPr="00E82E79">
          <w:rPr>
            <w:rFonts w:ascii="Times New Roman" w:eastAsia="Times New Roman" w:hAnsi="Times New Roman" w:cs="Times New Roman"/>
            <w:color w:val="1155CC"/>
            <w:kern w:val="0"/>
            <w:sz w:val="20"/>
            <w:szCs w:val="20"/>
            <w:u w:val="single"/>
            <w14:ligatures w14:val="none"/>
          </w:rPr>
          <w:t>https://doi.org/10.1080/15332845.2020.1702866</w:t>
        </w:r>
      </w:hyperlink>
    </w:p>
    <w:p w14:paraId="3DB311C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proofErr w:type="spellStart"/>
      <w:r w:rsidRPr="00E82E79">
        <w:rPr>
          <w:rFonts w:ascii="Times New Roman" w:eastAsia="Times New Roman" w:hAnsi="Times New Roman" w:cs="Times New Roman"/>
          <w:color w:val="000000"/>
          <w:kern w:val="0"/>
          <w:sz w:val="20"/>
          <w:szCs w:val="20"/>
          <w14:ligatures w14:val="none"/>
        </w:rPr>
        <w:t>Kotera</w:t>
      </w:r>
      <w:proofErr w:type="spellEnd"/>
      <w:r w:rsidRPr="00E82E79">
        <w:rPr>
          <w:rFonts w:ascii="Times New Roman" w:eastAsia="Times New Roman" w:hAnsi="Times New Roman" w:cs="Times New Roman"/>
          <w:color w:val="000000"/>
          <w:kern w:val="0"/>
          <w:sz w:val="20"/>
          <w:szCs w:val="20"/>
          <w14:ligatures w14:val="none"/>
        </w:rPr>
        <w:t xml:space="preserve">, Y., </w:t>
      </w:r>
      <w:proofErr w:type="spellStart"/>
      <w:r w:rsidRPr="00E82E79">
        <w:rPr>
          <w:rFonts w:ascii="Times New Roman" w:eastAsia="Times New Roman" w:hAnsi="Times New Roman" w:cs="Times New Roman"/>
          <w:color w:val="000000"/>
          <w:kern w:val="0"/>
          <w:sz w:val="20"/>
          <w:szCs w:val="20"/>
          <w14:ligatures w14:val="none"/>
        </w:rPr>
        <w:t>Aledeh</w:t>
      </w:r>
      <w:proofErr w:type="spellEnd"/>
      <w:r w:rsidRPr="00E82E79">
        <w:rPr>
          <w:rFonts w:ascii="Times New Roman" w:eastAsia="Times New Roman" w:hAnsi="Times New Roman" w:cs="Times New Roman"/>
          <w:color w:val="000000"/>
          <w:kern w:val="0"/>
          <w:sz w:val="20"/>
          <w:szCs w:val="20"/>
          <w14:ligatures w14:val="none"/>
        </w:rPr>
        <w:t xml:space="preserve">, M., </w:t>
      </w:r>
      <w:proofErr w:type="spellStart"/>
      <w:r w:rsidRPr="00E82E79">
        <w:rPr>
          <w:rFonts w:ascii="Times New Roman" w:eastAsia="Times New Roman" w:hAnsi="Times New Roman" w:cs="Times New Roman"/>
          <w:color w:val="000000"/>
          <w:kern w:val="0"/>
          <w:sz w:val="20"/>
          <w:szCs w:val="20"/>
          <w14:ligatures w14:val="none"/>
        </w:rPr>
        <w:t>Rushforth</w:t>
      </w:r>
      <w:proofErr w:type="spellEnd"/>
      <w:r w:rsidRPr="00E82E79">
        <w:rPr>
          <w:rFonts w:ascii="Times New Roman" w:eastAsia="Times New Roman" w:hAnsi="Times New Roman" w:cs="Times New Roman"/>
          <w:color w:val="000000"/>
          <w:kern w:val="0"/>
          <w:sz w:val="20"/>
          <w:szCs w:val="20"/>
          <w14:ligatures w14:val="none"/>
        </w:rPr>
        <w:t xml:space="preserve">, A., </w:t>
      </w:r>
      <w:proofErr w:type="spellStart"/>
      <w:r w:rsidRPr="00E82E79">
        <w:rPr>
          <w:rFonts w:ascii="Times New Roman" w:eastAsia="Times New Roman" w:hAnsi="Times New Roman" w:cs="Times New Roman"/>
          <w:color w:val="000000"/>
          <w:kern w:val="0"/>
          <w:sz w:val="20"/>
          <w:szCs w:val="20"/>
          <w14:ligatures w14:val="none"/>
        </w:rPr>
        <w:t>Otoo</w:t>
      </w:r>
      <w:proofErr w:type="spellEnd"/>
      <w:r w:rsidRPr="00E82E79">
        <w:rPr>
          <w:rFonts w:ascii="Times New Roman" w:eastAsia="Times New Roman" w:hAnsi="Times New Roman" w:cs="Times New Roman"/>
          <w:color w:val="000000"/>
          <w:kern w:val="0"/>
          <w:sz w:val="20"/>
          <w:szCs w:val="20"/>
          <w14:ligatures w14:val="none"/>
        </w:rPr>
        <w:t xml:space="preserve">, N., Colman, R., &amp; Taylor, E. (2022b). A shorter form of the work extrinsic and intrinsic motivation scale: construction and factorial validation. </w:t>
      </w:r>
      <w:r w:rsidRPr="00E82E79">
        <w:rPr>
          <w:rFonts w:ascii="Times New Roman" w:eastAsia="Times New Roman" w:hAnsi="Times New Roman" w:cs="Times New Roman"/>
          <w:i/>
          <w:iCs/>
          <w:color w:val="000000"/>
          <w:kern w:val="0"/>
          <w:sz w:val="20"/>
          <w:szCs w:val="20"/>
          <w14:ligatures w14:val="none"/>
        </w:rPr>
        <w:t>International Journal of Environmental Research and Public Health</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19</w:t>
      </w:r>
      <w:r w:rsidRPr="00E82E79">
        <w:rPr>
          <w:rFonts w:ascii="Times New Roman" w:eastAsia="Times New Roman" w:hAnsi="Times New Roman" w:cs="Times New Roman"/>
          <w:color w:val="000000"/>
          <w:kern w:val="0"/>
          <w:sz w:val="20"/>
          <w:szCs w:val="20"/>
          <w14:ligatures w14:val="none"/>
        </w:rPr>
        <w:t xml:space="preserve">(21), 13864. </w:t>
      </w:r>
      <w:hyperlink r:id="rId23" w:history="1">
        <w:r w:rsidRPr="00E82E79">
          <w:rPr>
            <w:rFonts w:ascii="Times New Roman" w:eastAsia="Times New Roman" w:hAnsi="Times New Roman" w:cs="Times New Roman"/>
            <w:color w:val="1155CC"/>
            <w:kern w:val="0"/>
            <w:sz w:val="20"/>
            <w:szCs w:val="20"/>
            <w:u w:val="single"/>
            <w14:ligatures w14:val="none"/>
          </w:rPr>
          <w:t>https://doi.org/10.3390/ijerph192113864</w:t>
        </w:r>
      </w:hyperlink>
    </w:p>
    <w:p w14:paraId="19BDCCEC"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proofErr w:type="spellStart"/>
      <w:r w:rsidRPr="00E82E79">
        <w:rPr>
          <w:rFonts w:ascii="Times New Roman" w:eastAsia="Times New Roman" w:hAnsi="Times New Roman" w:cs="Times New Roman"/>
          <w:color w:val="000000"/>
          <w:kern w:val="0"/>
          <w:sz w:val="20"/>
          <w:szCs w:val="20"/>
          <w14:ligatures w14:val="none"/>
        </w:rPr>
        <w:t>Kurtessis</w:t>
      </w:r>
      <w:proofErr w:type="spellEnd"/>
      <w:r w:rsidRPr="00E82E79">
        <w:rPr>
          <w:rFonts w:ascii="Times New Roman" w:eastAsia="Times New Roman" w:hAnsi="Times New Roman" w:cs="Times New Roman"/>
          <w:color w:val="000000"/>
          <w:kern w:val="0"/>
          <w:sz w:val="20"/>
          <w:szCs w:val="20"/>
          <w14:ligatures w14:val="none"/>
        </w:rPr>
        <w:t xml:space="preserve">, J. N., Eisenberger, R., Ford, M. T., </w:t>
      </w:r>
      <w:proofErr w:type="spellStart"/>
      <w:r w:rsidRPr="00E82E79">
        <w:rPr>
          <w:rFonts w:ascii="Times New Roman" w:eastAsia="Times New Roman" w:hAnsi="Times New Roman" w:cs="Times New Roman"/>
          <w:color w:val="000000"/>
          <w:kern w:val="0"/>
          <w:sz w:val="20"/>
          <w:szCs w:val="20"/>
          <w14:ligatures w14:val="none"/>
        </w:rPr>
        <w:t>Buffardi</w:t>
      </w:r>
      <w:proofErr w:type="spellEnd"/>
      <w:r w:rsidRPr="00E82E79">
        <w:rPr>
          <w:rFonts w:ascii="Times New Roman" w:eastAsia="Times New Roman" w:hAnsi="Times New Roman" w:cs="Times New Roman"/>
          <w:color w:val="000000"/>
          <w:kern w:val="0"/>
          <w:sz w:val="20"/>
          <w:szCs w:val="20"/>
          <w14:ligatures w14:val="none"/>
        </w:rPr>
        <w:t xml:space="preserve">, L. C., Stewart, K. A., &amp; </w:t>
      </w:r>
      <w:proofErr w:type="spellStart"/>
      <w:r w:rsidRPr="00E82E79">
        <w:rPr>
          <w:rFonts w:ascii="Times New Roman" w:eastAsia="Times New Roman" w:hAnsi="Times New Roman" w:cs="Times New Roman"/>
          <w:color w:val="000000"/>
          <w:kern w:val="0"/>
          <w:sz w:val="20"/>
          <w:szCs w:val="20"/>
          <w14:ligatures w14:val="none"/>
        </w:rPr>
        <w:t>Adis</w:t>
      </w:r>
      <w:proofErr w:type="spellEnd"/>
      <w:r w:rsidRPr="00E82E79">
        <w:rPr>
          <w:rFonts w:ascii="Times New Roman" w:eastAsia="Times New Roman" w:hAnsi="Times New Roman" w:cs="Times New Roman"/>
          <w:color w:val="000000"/>
          <w:kern w:val="0"/>
          <w:sz w:val="20"/>
          <w:szCs w:val="20"/>
          <w14:ligatures w14:val="none"/>
        </w:rPr>
        <w:t xml:space="preserve">, C. S. (2015). Perceived Organizational Support: A Meta-Analytic Evaluation of Organizational Support Theory. </w:t>
      </w:r>
      <w:r w:rsidRPr="00E82E79">
        <w:rPr>
          <w:rFonts w:ascii="Times New Roman" w:eastAsia="Times New Roman" w:hAnsi="Times New Roman" w:cs="Times New Roman"/>
          <w:i/>
          <w:iCs/>
          <w:color w:val="000000"/>
          <w:kern w:val="0"/>
          <w:sz w:val="20"/>
          <w:szCs w:val="20"/>
          <w14:ligatures w14:val="none"/>
        </w:rPr>
        <w:t>Journal of Management</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43</w:t>
      </w:r>
      <w:r w:rsidRPr="00E82E79">
        <w:rPr>
          <w:rFonts w:ascii="Times New Roman" w:eastAsia="Times New Roman" w:hAnsi="Times New Roman" w:cs="Times New Roman"/>
          <w:color w:val="000000"/>
          <w:kern w:val="0"/>
          <w:sz w:val="20"/>
          <w:szCs w:val="20"/>
          <w14:ligatures w14:val="none"/>
        </w:rPr>
        <w:t xml:space="preserve">(6), 1854–1884. </w:t>
      </w:r>
      <w:hyperlink r:id="rId24" w:history="1">
        <w:r w:rsidRPr="00E82E79">
          <w:rPr>
            <w:rFonts w:ascii="Times New Roman" w:eastAsia="Times New Roman" w:hAnsi="Times New Roman" w:cs="Times New Roman"/>
            <w:color w:val="1155CC"/>
            <w:kern w:val="0"/>
            <w:sz w:val="20"/>
            <w:szCs w:val="20"/>
            <w:u w:val="single"/>
            <w14:ligatures w14:val="none"/>
          </w:rPr>
          <w:t>https://doi.org/10.1177/0149206315575554</w:t>
        </w:r>
      </w:hyperlink>
    </w:p>
    <w:p w14:paraId="216B341B"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Martin, J., Horgen, K. E., Byrd, C., </w:t>
      </w:r>
      <w:proofErr w:type="spellStart"/>
      <w:r w:rsidRPr="00E82E79">
        <w:rPr>
          <w:rFonts w:ascii="Times New Roman" w:eastAsia="Times New Roman" w:hAnsi="Times New Roman" w:cs="Times New Roman"/>
          <w:color w:val="000000"/>
          <w:kern w:val="0"/>
          <w:sz w:val="20"/>
          <w:szCs w:val="20"/>
          <w14:ligatures w14:val="none"/>
        </w:rPr>
        <w:t>Adis</w:t>
      </w:r>
      <w:proofErr w:type="spellEnd"/>
      <w:r w:rsidRPr="00E82E79">
        <w:rPr>
          <w:rFonts w:ascii="Times New Roman" w:eastAsia="Times New Roman" w:hAnsi="Times New Roman" w:cs="Times New Roman"/>
          <w:color w:val="000000"/>
          <w:kern w:val="0"/>
          <w:sz w:val="20"/>
          <w:szCs w:val="20"/>
          <w14:ligatures w14:val="none"/>
        </w:rPr>
        <w:t xml:space="preserve">, C., Personnel Decisions Research Institutes, LLC, Jessica Badger Darrow, U.S. Army Research Institute, Consortium of Universities of Washington, Personnel Decisions Research Institutes, LLC, &amp; </w:t>
      </w:r>
      <w:proofErr w:type="spellStart"/>
      <w:r w:rsidRPr="00E82E79">
        <w:rPr>
          <w:rFonts w:ascii="Times New Roman" w:eastAsia="Times New Roman" w:hAnsi="Times New Roman" w:cs="Times New Roman"/>
          <w:color w:val="000000"/>
          <w:kern w:val="0"/>
          <w:sz w:val="20"/>
          <w:szCs w:val="20"/>
          <w14:ligatures w14:val="none"/>
        </w:rPr>
        <w:t>Bliese</w:t>
      </w:r>
      <w:proofErr w:type="spellEnd"/>
      <w:r w:rsidRPr="00E82E79">
        <w:rPr>
          <w:rFonts w:ascii="Times New Roman" w:eastAsia="Times New Roman" w:hAnsi="Times New Roman" w:cs="Times New Roman"/>
          <w:color w:val="000000"/>
          <w:kern w:val="0"/>
          <w:sz w:val="20"/>
          <w:szCs w:val="20"/>
          <w14:ligatures w14:val="none"/>
        </w:rPr>
        <w:t xml:space="preserve">, P. (2022b). </w:t>
      </w:r>
      <w:r w:rsidRPr="00E82E79">
        <w:rPr>
          <w:rFonts w:ascii="Times New Roman" w:eastAsia="Times New Roman" w:hAnsi="Times New Roman" w:cs="Times New Roman"/>
          <w:i/>
          <w:iCs/>
          <w:color w:val="000000"/>
          <w:kern w:val="0"/>
          <w:sz w:val="20"/>
          <w:szCs w:val="20"/>
          <w14:ligatures w14:val="none"/>
        </w:rPr>
        <w:t>Army Command Climate: Phase II Investigation of the viability of Single-Item Measures</w:t>
      </w:r>
      <w:r w:rsidRPr="00E82E79">
        <w:rPr>
          <w:rFonts w:ascii="Times New Roman" w:eastAsia="Times New Roman" w:hAnsi="Times New Roman" w:cs="Times New Roman"/>
          <w:color w:val="000000"/>
          <w:kern w:val="0"/>
          <w:sz w:val="20"/>
          <w:szCs w:val="20"/>
          <w14:ligatures w14:val="none"/>
        </w:rPr>
        <w:t xml:space="preserve">. U.S. Army Research Institute for the Behavioral and Social Sciences. </w:t>
      </w:r>
      <w:hyperlink r:id="rId25" w:history="1">
        <w:r w:rsidRPr="00E82E79">
          <w:rPr>
            <w:rFonts w:ascii="Times New Roman" w:eastAsia="Times New Roman" w:hAnsi="Times New Roman" w:cs="Times New Roman"/>
            <w:color w:val="1155CC"/>
            <w:kern w:val="0"/>
            <w:sz w:val="20"/>
            <w:szCs w:val="20"/>
            <w:u w:val="single"/>
            <w14:ligatures w14:val="none"/>
          </w:rPr>
          <w:t>https://apps.dtic.mil/sti/pdfs/AD1184164.pdf</w:t>
        </w:r>
      </w:hyperlink>
    </w:p>
    <w:p w14:paraId="28BAB665"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t xml:space="preserve">Morales-Sánchez, R., &amp; </w:t>
      </w:r>
      <w:proofErr w:type="spellStart"/>
      <w:r w:rsidRPr="00E82E79">
        <w:rPr>
          <w:rFonts w:ascii="Times New Roman" w:eastAsia="Times New Roman" w:hAnsi="Times New Roman" w:cs="Times New Roman"/>
          <w:color w:val="000000"/>
          <w:kern w:val="0"/>
          <w:sz w:val="20"/>
          <w:szCs w:val="20"/>
          <w14:ligatures w14:val="none"/>
        </w:rPr>
        <w:t>Pasamar</w:t>
      </w:r>
      <w:proofErr w:type="spellEnd"/>
      <w:r w:rsidRPr="00E82E79">
        <w:rPr>
          <w:rFonts w:ascii="Times New Roman" w:eastAsia="Times New Roman" w:hAnsi="Times New Roman" w:cs="Times New Roman"/>
          <w:color w:val="000000"/>
          <w:kern w:val="0"/>
          <w:sz w:val="20"/>
          <w:szCs w:val="20"/>
          <w14:ligatures w14:val="none"/>
        </w:rPr>
        <w:t xml:space="preserve">, S. (2019b). How to improve </w:t>
      </w:r>
      <w:proofErr w:type="spellStart"/>
      <w:r w:rsidRPr="00E82E79">
        <w:rPr>
          <w:rFonts w:ascii="Times New Roman" w:eastAsia="Times New Roman" w:hAnsi="Times New Roman" w:cs="Times New Roman"/>
          <w:color w:val="000000"/>
          <w:kern w:val="0"/>
          <w:sz w:val="20"/>
          <w:szCs w:val="20"/>
          <w14:ligatures w14:val="none"/>
        </w:rPr>
        <w:t>organisational</w:t>
      </w:r>
      <w:proofErr w:type="spellEnd"/>
      <w:r w:rsidRPr="00E82E79">
        <w:rPr>
          <w:rFonts w:ascii="Times New Roman" w:eastAsia="Times New Roman" w:hAnsi="Times New Roman" w:cs="Times New Roman"/>
          <w:color w:val="000000"/>
          <w:kern w:val="0"/>
          <w:sz w:val="20"/>
          <w:szCs w:val="20"/>
          <w14:ligatures w14:val="none"/>
        </w:rPr>
        <w:t xml:space="preserve"> citizenship </w:t>
      </w:r>
      <w:proofErr w:type="spellStart"/>
      <w:r w:rsidRPr="00E82E79">
        <w:rPr>
          <w:rFonts w:ascii="Times New Roman" w:eastAsia="Times New Roman" w:hAnsi="Times New Roman" w:cs="Times New Roman"/>
          <w:color w:val="000000"/>
          <w:kern w:val="0"/>
          <w:sz w:val="20"/>
          <w:szCs w:val="20"/>
          <w14:ligatures w14:val="none"/>
        </w:rPr>
        <w:t>behaviour</w:t>
      </w:r>
      <w:proofErr w:type="spellEnd"/>
      <w:r w:rsidRPr="00E82E79">
        <w:rPr>
          <w:rFonts w:ascii="Times New Roman" w:eastAsia="Times New Roman" w:hAnsi="Times New Roman" w:cs="Times New Roman"/>
          <w:color w:val="000000"/>
          <w:kern w:val="0"/>
          <w:sz w:val="20"/>
          <w:szCs w:val="20"/>
          <w14:ligatures w14:val="none"/>
        </w:rPr>
        <w:t xml:space="preserve"> by combining ability, motivation and opportunity. </w:t>
      </w:r>
      <w:r w:rsidRPr="00E82E79">
        <w:rPr>
          <w:rFonts w:ascii="Times New Roman" w:eastAsia="Times New Roman" w:hAnsi="Times New Roman" w:cs="Times New Roman"/>
          <w:i/>
          <w:iCs/>
          <w:color w:val="000000"/>
          <w:kern w:val="0"/>
          <w:sz w:val="20"/>
          <w:szCs w:val="20"/>
          <w14:ligatures w14:val="none"/>
        </w:rPr>
        <w:t>Employee Relations</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42</w:t>
      </w:r>
      <w:r w:rsidRPr="00E82E79">
        <w:rPr>
          <w:rFonts w:ascii="Times New Roman" w:eastAsia="Times New Roman" w:hAnsi="Times New Roman" w:cs="Times New Roman"/>
          <w:color w:val="000000"/>
          <w:kern w:val="0"/>
          <w:sz w:val="20"/>
          <w:szCs w:val="20"/>
          <w14:ligatures w14:val="none"/>
        </w:rPr>
        <w:t xml:space="preserve">(2), 398–416. </w:t>
      </w:r>
      <w:hyperlink r:id="rId26" w:history="1">
        <w:r w:rsidRPr="00E82E79">
          <w:rPr>
            <w:rFonts w:ascii="Times New Roman" w:eastAsia="Times New Roman" w:hAnsi="Times New Roman" w:cs="Times New Roman"/>
            <w:color w:val="1155CC"/>
            <w:kern w:val="0"/>
            <w:sz w:val="20"/>
            <w:szCs w:val="20"/>
            <w:u w:val="single"/>
            <w14:ligatures w14:val="none"/>
          </w:rPr>
          <w:t>https://doi.org/10.1108/er-04-2019-0169</w:t>
        </w:r>
      </w:hyperlink>
    </w:p>
    <w:p w14:paraId="1DF3F837"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333333"/>
          <w:kern w:val="0"/>
          <w:sz w:val="20"/>
          <w:szCs w:val="20"/>
          <w14:ligatures w14:val="none"/>
        </w:rPr>
        <w:t xml:space="preserve">Organ, D. W. (1988). </w:t>
      </w:r>
      <w:r w:rsidRPr="00E82E79">
        <w:rPr>
          <w:rFonts w:ascii="Times New Roman" w:eastAsia="Times New Roman" w:hAnsi="Times New Roman" w:cs="Times New Roman"/>
          <w:i/>
          <w:iCs/>
          <w:color w:val="333333"/>
          <w:kern w:val="0"/>
          <w:sz w:val="20"/>
          <w:szCs w:val="20"/>
          <w14:ligatures w14:val="none"/>
        </w:rPr>
        <w:t xml:space="preserve">Organizational citizenship behavior: The good soldier syndrome. </w:t>
      </w:r>
      <w:r w:rsidRPr="00E82E79">
        <w:rPr>
          <w:rFonts w:ascii="Times New Roman" w:eastAsia="Times New Roman" w:hAnsi="Times New Roman" w:cs="Times New Roman"/>
          <w:color w:val="333333"/>
          <w:kern w:val="0"/>
          <w:sz w:val="20"/>
          <w:szCs w:val="20"/>
          <w14:ligatures w14:val="none"/>
        </w:rPr>
        <w:t>Lexington Books/D. C. Heath and Com.</w:t>
      </w:r>
    </w:p>
    <w:p w14:paraId="3386204F" w14:textId="77777777" w:rsidR="00FE1D3E" w:rsidRPr="00E82E79" w:rsidRDefault="00FE1D3E" w:rsidP="00B95EF2">
      <w:pPr>
        <w:pStyle w:val="ListParagraph"/>
        <w:numPr>
          <w:ilvl w:val="0"/>
          <w:numId w:val="6"/>
        </w:numPr>
        <w:shd w:val="clear" w:color="auto" w:fill="FFFFFF"/>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333333"/>
          <w:kern w:val="0"/>
          <w:sz w:val="20"/>
          <w:szCs w:val="20"/>
          <w14:ligatures w14:val="none"/>
        </w:rPr>
        <w:t xml:space="preserve">Pepple, D. G., &amp; Davies, E. M. (2019). Co-worker social support and </w:t>
      </w:r>
      <w:proofErr w:type="spellStart"/>
      <w:r w:rsidRPr="00E82E79">
        <w:rPr>
          <w:rFonts w:ascii="Times New Roman" w:eastAsia="Times New Roman" w:hAnsi="Times New Roman" w:cs="Times New Roman"/>
          <w:color w:val="333333"/>
          <w:kern w:val="0"/>
          <w:sz w:val="20"/>
          <w:szCs w:val="20"/>
          <w14:ligatures w14:val="none"/>
        </w:rPr>
        <w:t>organisational</w:t>
      </w:r>
      <w:proofErr w:type="spellEnd"/>
      <w:r w:rsidRPr="00E82E79">
        <w:rPr>
          <w:rFonts w:ascii="Times New Roman" w:eastAsia="Times New Roman" w:hAnsi="Times New Roman" w:cs="Times New Roman"/>
          <w:color w:val="333333"/>
          <w:kern w:val="0"/>
          <w:sz w:val="20"/>
          <w:szCs w:val="20"/>
          <w14:ligatures w14:val="none"/>
        </w:rPr>
        <w:t xml:space="preserve"> identification: does ethnic self-identification matter? </w:t>
      </w:r>
      <w:r w:rsidRPr="00E82E79">
        <w:rPr>
          <w:rFonts w:ascii="Times New Roman" w:eastAsia="Times New Roman" w:hAnsi="Times New Roman" w:cs="Times New Roman"/>
          <w:i/>
          <w:iCs/>
          <w:color w:val="333333"/>
          <w:kern w:val="0"/>
          <w:sz w:val="20"/>
          <w:szCs w:val="20"/>
          <w14:ligatures w14:val="none"/>
        </w:rPr>
        <w:t>Journal of Managerial Psychology</w:t>
      </w:r>
      <w:r w:rsidRPr="00E82E79">
        <w:rPr>
          <w:rFonts w:ascii="Times New Roman" w:eastAsia="Times New Roman" w:hAnsi="Times New Roman" w:cs="Times New Roman"/>
          <w:color w:val="333333"/>
          <w:kern w:val="0"/>
          <w:sz w:val="20"/>
          <w:szCs w:val="20"/>
          <w14:ligatures w14:val="none"/>
        </w:rPr>
        <w:t xml:space="preserve">, </w:t>
      </w:r>
      <w:r w:rsidRPr="00E82E79">
        <w:rPr>
          <w:rFonts w:ascii="Times New Roman" w:eastAsia="Times New Roman" w:hAnsi="Times New Roman" w:cs="Times New Roman"/>
          <w:i/>
          <w:iCs/>
          <w:color w:val="333333"/>
          <w:kern w:val="0"/>
          <w:sz w:val="20"/>
          <w:szCs w:val="20"/>
          <w14:ligatures w14:val="none"/>
        </w:rPr>
        <w:t>34</w:t>
      </w:r>
      <w:r w:rsidRPr="00E82E79">
        <w:rPr>
          <w:rFonts w:ascii="Times New Roman" w:eastAsia="Times New Roman" w:hAnsi="Times New Roman" w:cs="Times New Roman"/>
          <w:color w:val="333333"/>
          <w:kern w:val="0"/>
          <w:sz w:val="20"/>
          <w:szCs w:val="20"/>
          <w14:ligatures w14:val="none"/>
        </w:rPr>
        <w:t xml:space="preserve">(8), 573–586. </w:t>
      </w:r>
      <w:hyperlink r:id="rId27" w:history="1">
        <w:r w:rsidRPr="00E82E79">
          <w:rPr>
            <w:rFonts w:ascii="Times New Roman" w:eastAsia="Times New Roman" w:hAnsi="Times New Roman" w:cs="Times New Roman"/>
            <w:color w:val="1155CC"/>
            <w:kern w:val="0"/>
            <w:sz w:val="20"/>
            <w:szCs w:val="20"/>
            <w:u w:val="single"/>
            <w14:ligatures w14:val="none"/>
          </w:rPr>
          <w:t>https://doi.org/10.1108/jmp-04-2019-0232</w:t>
        </w:r>
      </w:hyperlink>
    </w:p>
    <w:p w14:paraId="3B9257BB" w14:textId="77777777" w:rsidR="00FE1D3E" w:rsidRPr="00E82E79" w:rsidRDefault="00FE1D3E" w:rsidP="00B95EF2">
      <w:pPr>
        <w:pStyle w:val="ListParagraph"/>
        <w:numPr>
          <w:ilvl w:val="0"/>
          <w:numId w:val="6"/>
        </w:numPr>
        <w:shd w:val="clear" w:color="auto" w:fill="FFFFFF"/>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333333"/>
          <w:kern w:val="0"/>
          <w:sz w:val="20"/>
          <w:szCs w:val="20"/>
          <w14:ligatures w14:val="none"/>
        </w:rPr>
        <w:t xml:space="preserve">Piasecki, P. (2019). Dimensions of HR </w:t>
      </w:r>
      <w:proofErr w:type="spellStart"/>
      <w:proofErr w:type="gramStart"/>
      <w:r w:rsidRPr="00E82E79">
        <w:rPr>
          <w:rFonts w:ascii="Times New Roman" w:eastAsia="Times New Roman" w:hAnsi="Times New Roman" w:cs="Times New Roman"/>
          <w:color w:val="333333"/>
          <w:kern w:val="0"/>
          <w:sz w:val="20"/>
          <w:szCs w:val="20"/>
          <w14:ligatures w14:val="none"/>
        </w:rPr>
        <w:t>differentiation</w:t>
      </w:r>
      <w:r w:rsidRPr="00E82E79">
        <w:rPr>
          <w:rFonts w:ascii="Times New Roman" w:eastAsia="Times New Roman" w:hAnsi="Times New Roman" w:cs="Times New Roman"/>
          <w:color w:val="333333"/>
          <w:kern w:val="0"/>
          <w:sz w:val="20"/>
          <w:szCs w:val="20"/>
          <w:shd w:val="clear" w:color="auto" w:fill="FFFFFF"/>
          <w14:ligatures w14:val="none"/>
        </w:rPr>
        <w:t>:The</w:t>
      </w:r>
      <w:proofErr w:type="spellEnd"/>
      <w:proofErr w:type="gramEnd"/>
      <w:r w:rsidRPr="00E82E79">
        <w:rPr>
          <w:rFonts w:ascii="Times New Roman" w:eastAsia="Times New Roman" w:hAnsi="Times New Roman" w:cs="Times New Roman"/>
          <w:color w:val="333333"/>
          <w:kern w:val="0"/>
          <w:sz w:val="20"/>
          <w:szCs w:val="20"/>
          <w:shd w:val="clear" w:color="auto" w:fill="FFFFFF"/>
          <w14:ligatures w14:val="none"/>
        </w:rPr>
        <w:t xml:space="preserve"> effect on job satisfaction, affective commitment and turnover intentions</w:t>
      </w:r>
      <w:r w:rsidRPr="00E82E79">
        <w:rPr>
          <w:rFonts w:ascii="Times New Roman" w:eastAsia="Times New Roman" w:hAnsi="Times New Roman" w:cs="Times New Roman"/>
          <w:color w:val="333333"/>
          <w:kern w:val="0"/>
          <w:sz w:val="20"/>
          <w:szCs w:val="20"/>
          <w14:ligatures w14:val="none"/>
        </w:rPr>
        <w:t xml:space="preserve">. </w:t>
      </w:r>
      <w:r w:rsidRPr="00E82E79">
        <w:rPr>
          <w:rFonts w:ascii="Times New Roman" w:eastAsia="Times New Roman" w:hAnsi="Times New Roman" w:cs="Times New Roman"/>
          <w:i/>
          <w:iCs/>
          <w:color w:val="333333"/>
          <w:kern w:val="0"/>
          <w:sz w:val="20"/>
          <w:szCs w:val="20"/>
          <w14:ligatures w14:val="none"/>
        </w:rPr>
        <w:t>Baltic Journal of Management</w:t>
      </w:r>
      <w:r w:rsidRPr="00E82E79">
        <w:rPr>
          <w:rFonts w:ascii="Times New Roman" w:eastAsia="Times New Roman" w:hAnsi="Times New Roman" w:cs="Times New Roman"/>
          <w:color w:val="333333"/>
          <w:kern w:val="0"/>
          <w:sz w:val="20"/>
          <w:szCs w:val="20"/>
          <w14:ligatures w14:val="none"/>
        </w:rPr>
        <w:t xml:space="preserve">, </w:t>
      </w:r>
      <w:r w:rsidRPr="00E82E79">
        <w:rPr>
          <w:rFonts w:ascii="Times New Roman" w:eastAsia="Times New Roman" w:hAnsi="Times New Roman" w:cs="Times New Roman"/>
          <w:i/>
          <w:iCs/>
          <w:color w:val="333333"/>
          <w:kern w:val="0"/>
          <w:sz w:val="20"/>
          <w:szCs w:val="20"/>
          <w14:ligatures w14:val="none"/>
        </w:rPr>
        <w:t>15</w:t>
      </w:r>
      <w:r w:rsidRPr="00E82E79">
        <w:rPr>
          <w:rFonts w:ascii="Times New Roman" w:eastAsia="Times New Roman" w:hAnsi="Times New Roman" w:cs="Times New Roman"/>
          <w:color w:val="333333"/>
          <w:kern w:val="0"/>
          <w:sz w:val="20"/>
          <w:szCs w:val="20"/>
          <w14:ligatures w14:val="none"/>
        </w:rPr>
        <w:t xml:space="preserve">(1), 21–41. </w:t>
      </w:r>
      <w:hyperlink r:id="rId28" w:history="1">
        <w:r w:rsidRPr="00E82E79">
          <w:rPr>
            <w:rFonts w:ascii="Times New Roman" w:eastAsia="Times New Roman" w:hAnsi="Times New Roman" w:cs="Times New Roman"/>
            <w:color w:val="1155CC"/>
            <w:kern w:val="0"/>
            <w:sz w:val="20"/>
            <w:szCs w:val="20"/>
            <w:u w:val="single"/>
            <w14:ligatures w14:val="none"/>
          </w:rPr>
          <w:t>https://doi.org/10.1108/bjm-05-2019-0178</w:t>
        </w:r>
      </w:hyperlink>
    </w:p>
    <w:p w14:paraId="783C8363" w14:textId="77777777" w:rsidR="00FE1D3E" w:rsidRPr="00E82E79" w:rsidRDefault="00FE1D3E" w:rsidP="00B95EF2">
      <w:pPr>
        <w:pStyle w:val="ListParagraph"/>
        <w:numPr>
          <w:ilvl w:val="0"/>
          <w:numId w:val="6"/>
        </w:numPr>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000000"/>
          <w:kern w:val="0"/>
          <w:sz w:val="20"/>
          <w:szCs w:val="20"/>
          <w14:ligatures w14:val="none"/>
        </w:rPr>
        <w:lastRenderedPageBreak/>
        <w:t xml:space="preserve">Podsakoff, P. M., </w:t>
      </w:r>
      <w:proofErr w:type="spellStart"/>
      <w:r w:rsidRPr="00E82E79">
        <w:rPr>
          <w:rFonts w:ascii="Times New Roman" w:eastAsia="Times New Roman" w:hAnsi="Times New Roman" w:cs="Times New Roman"/>
          <w:color w:val="000000"/>
          <w:kern w:val="0"/>
          <w:sz w:val="20"/>
          <w:szCs w:val="20"/>
          <w14:ligatures w14:val="none"/>
        </w:rPr>
        <w:t>MacKenzie</w:t>
      </w:r>
      <w:proofErr w:type="spellEnd"/>
      <w:r w:rsidRPr="00E82E79">
        <w:rPr>
          <w:rFonts w:ascii="Times New Roman" w:eastAsia="Times New Roman" w:hAnsi="Times New Roman" w:cs="Times New Roman"/>
          <w:color w:val="000000"/>
          <w:kern w:val="0"/>
          <w:sz w:val="20"/>
          <w:szCs w:val="20"/>
          <w14:ligatures w14:val="none"/>
        </w:rPr>
        <w:t xml:space="preserve">, S. B., Lee, J., &amp; Podsakoff, N. P. (2003). Common method biases in behavioral research: A critical review of the literature and recommended remedies. </w:t>
      </w:r>
      <w:r w:rsidRPr="00E82E79">
        <w:rPr>
          <w:rFonts w:ascii="Times New Roman" w:eastAsia="Times New Roman" w:hAnsi="Times New Roman" w:cs="Times New Roman"/>
          <w:i/>
          <w:iCs/>
          <w:color w:val="000000"/>
          <w:kern w:val="0"/>
          <w:sz w:val="20"/>
          <w:szCs w:val="20"/>
          <w14:ligatures w14:val="none"/>
        </w:rPr>
        <w:t>Journal of Applied Psychology</w:t>
      </w:r>
      <w:r w:rsidRPr="00E82E79">
        <w:rPr>
          <w:rFonts w:ascii="Times New Roman" w:eastAsia="Times New Roman" w:hAnsi="Times New Roman" w:cs="Times New Roman"/>
          <w:color w:val="000000"/>
          <w:kern w:val="0"/>
          <w:sz w:val="20"/>
          <w:szCs w:val="20"/>
          <w14:ligatures w14:val="none"/>
        </w:rPr>
        <w:t xml:space="preserve">, </w:t>
      </w:r>
      <w:r w:rsidRPr="00E82E79">
        <w:rPr>
          <w:rFonts w:ascii="Times New Roman" w:eastAsia="Times New Roman" w:hAnsi="Times New Roman" w:cs="Times New Roman"/>
          <w:i/>
          <w:iCs/>
          <w:color w:val="000000"/>
          <w:kern w:val="0"/>
          <w:sz w:val="20"/>
          <w:szCs w:val="20"/>
          <w14:ligatures w14:val="none"/>
        </w:rPr>
        <w:t>88</w:t>
      </w:r>
      <w:r w:rsidRPr="00E82E79">
        <w:rPr>
          <w:rFonts w:ascii="Times New Roman" w:eastAsia="Times New Roman" w:hAnsi="Times New Roman" w:cs="Times New Roman"/>
          <w:color w:val="000000"/>
          <w:kern w:val="0"/>
          <w:sz w:val="20"/>
          <w:szCs w:val="20"/>
          <w14:ligatures w14:val="none"/>
        </w:rPr>
        <w:t xml:space="preserve">(5), 879–903. </w:t>
      </w:r>
      <w:hyperlink r:id="rId29" w:history="1">
        <w:r w:rsidRPr="00E82E79">
          <w:rPr>
            <w:rFonts w:ascii="Times New Roman" w:eastAsia="Times New Roman" w:hAnsi="Times New Roman" w:cs="Times New Roman"/>
            <w:color w:val="1155CC"/>
            <w:kern w:val="0"/>
            <w:sz w:val="20"/>
            <w:szCs w:val="20"/>
            <w:u w:val="single"/>
            <w14:ligatures w14:val="none"/>
          </w:rPr>
          <w:t>https://doi.org/10.1037/0021-9010.88.5.879</w:t>
        </w:r>
      </w:hyperlink>
    </w:p>
    <w:p w14:paraId="448960BB" w14:textId="77777777" w:rsidR="00FE1D3E" w:rsidRPr="00E82E79" w:rsidRDefault="00FE1D3E" w:rsidP="00B95EF2">
      <w:pPr>
        <w:pStyle w:val="ListParagraph"/>
        <w:numPr>
          <w:ilvl w:val="0"/>
          <w:numId w:val="6"/>
        </w:numPr>
        <w:shd w:val="clear" w:color="auto" w:fill="FFFFFF"/>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333333"/>
          <w:kern w:val="0"/>
          <w:sz w:val="20"/>
          <w:szCs w:val="20"/>
          <w14:ligatures w14:val="none"/>
        </w:rPr>
        <w:t xml:space="preserve">Su, W., Lyu, B., Chen, H., &amp; Yan-Zi, Z. (2020). How does servant leadership influence employees’ service innovative behavior? The roles of intrinsic motivation and identification with the leader. </w:t>
      </w:r>
      <w:r w:rsidRPr="00E82E79">
        <w:rPr>
          <w:rFonts w:ascii="Times New Roman" w:eastAsia="Times New Roman" w:hAnsi="Times New Roman" w:cs="Times New Roman"/>
          <w:i/>
          <w:iCs/>
          <w:color w:val="333333"/>
          <w:kern w:val="0"/>
          <w:sz w:val="20"/>
          <w:szCs w:val="20"/>
          <w14:ligatures w14:val="none"/>
        </w:rPr>
        <w:t>Baltic Journal of Management</w:t>
      </w:r>
      <w:r w:rsidRPr="00E82E79">
        <w:rPr>
          <w:rFonts w:ascii="Times New Roman" w:eastAsia="Times New Roman" w:hAnsi="Times New Roman" w:cs="Times New Roman"/>
          <w:color w:val="333333"/>
          <w:kern w:val="0"/>
          <w:sz w:val="20"/>
          <w:szCs w:val="20"/>
          <w14:ligatures w14:val="none"/>
        </w:rPr>
        <w:t xml:space="preserve">, </w:t>
      </w:r>
      <w:r w:rsidRPr="00E82E79">
        <w:rPr>
          <w:rFonts w:ascii="Times New Roman" w:eastAsia="Times New Roman" w:hAnsi="Times New Roman" w:cs="Times New Roman"/>
          <w:i/>
          <w:iCs/>
          <w:color w:val="333333"/>
          <w:kern w:val="0"/>
          <w:sz w:val="20"/>
          <w:szCs w:val="20"/>
          <w14:ligatures w14:val="none"/>
        </w:rPr>
        <w:t>15</w:t>
      </w:r>
      <w:r w:rsidRPr="00E82E79">
        <w:rPr>
          <w:rFonts w:ascii="Times New Roman" w:eastAsia="Times New Roman" w:hAnsi="Times New Roman" w:cs="Times New Roman"/>
          <w:color w:val="333333"/>
          <w:kern w:val="0"/>
          <w:sz w:val="20"/>
          <w:szCs w:val="20"/>
          <w14:ligatures w14:val="none"/>
        </w:rPr>
        <w:t xml:space="preserve">(4), 571–586. </w:t>
      </w:r>
      <w:hyperlink r:id="rId30" w:history="1">
        <w:r w:rsidRPr="00E82E79">
          <w:rPr>
            <w:rFonts w:ascii="Times New Roman" w:eastAsia="Times New Roman" w:hAnsi="Times New Roman" w:cs="Times New Roman"/>
            <w:color w:val="1155CC"/>
            <w:kern w:val="0"/>
            <w:sz w:val="20"/>
            <w:szCs w:val="20"/>
            <w:u w:val="single"/>
            <w14:ligatures w14:val="none"/>
          </w:rPr>
          <w:t>https://doi.org/10.1108/bjm-09-2019-0335</w:t>
        </w:r>
      </w:hyperlink>
    </w:p>
    <w:p w14:paraId="6550B1D6" w14:textId="77777777" w:rsidR="00FE1D3E" w:rsidRPr="00E82E79" w:rsidRDefault="00FE1D3E" w:rsidP="00B95EF2">
      <w:pPr>
        <w:pStyle w:val="ListParagraph"/>
        <w:numPr>
          <w:ilvl w:val="0"/>
          <w:numId w:val="6"/>
        </w:numPr>
        <w:shd w:val="clear" w:color="auto" w:fill="FFFFFF"/>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333333"/>
          <w:kern w:val="0"/>
          <w:sz w:val="20"/>
          <w:szCs w:val="20"/>
          <w14:ligatures w14:val="none"/>
        </w:rPr>
        <w:t xml:space="preserve">Tran, L. T. T., Hien, H. T. V., &amp; Baker, J. (2020). When supportive workplaces positively help work performance. </w:t>
      </w:r>
      <w:r w:rsidRPr="00E82E79">
        <w:rPr>
          <w:rFonts w:ascii="Times New Roman" w:eastAsia="Times New Roman" w:hAnsi="Times New Roman" w:cs="Times New Roman"/>
          <w:i/>
          <w:iCs/>
          <w:color w:val="333333"/>
          <w:kern w:val="0"/>
          <w:sz w:val="20"/>
          <w:szCs w:val="20"/>
          <w14:ligatures w14:val="none"/>
        </w:rPr>
        <w:t>Baltic Journal of Management</w:t>
      </w:r>
      <w:r w:rsidRPr="00E82E79">
        <w:rPr>
          <w:rFonts w:ascii="Times New Roman" w:eastAsia="Times New Roman" w:hAnsi="Times New Roman" w:cs="Times New Roman"/>
          <w:color w:val="333333"/>
          <w:kern w:val="0"/>
          <w:sz w:val="20"/>
          <w:szCs w:val="20"/>
          <w14:ligatures w14:val="none"/>
        </w:rPr>
        <w:t xml:space="preserve">, </w:t>
      </w:r>
      <w:r w:rsidRPr="00E82E79">
        <w:rPr>
          <w:rFonts w:ascii="Times New Roman" w:eastAsia="Times New Roman" w:hAnsi="Times New Roman" w:cs="Times New Roman"/>
          <w:i/>
          <w:iCs/>
          <w:color w:val="333333"/>
          <w:kern w:val="0"/>
          <w:sz w:val="20"/>
          <w:szCs w:val="20"/>
          <w14:ligatures w14:val="none"/>
        </w:rPr>
        <w:t>16</w:t>
      </w:r>
      <w:r w:rsidRPr="00E82E79">
        <w:rPr>
          <w:rFonts w:ascii="Times New Roman" w:eastAsia="Times New Roman" w:hAnsi="Times New Roman" w:cs="Times New Roman"/>
          <w:color w:val="333333"/>
          <w:kern w:val="0"/>
          <w:sz w:val="20"/>
          <w:szCs w:val="20"/>
          <w14:ligatures w14:val="none"/>
        </w:rPr>
        <w:t xml:space="preserve">(2), 208–227. </w:t>
      </w:r>
      <w:hyperlink r:id="rId31" w:history="1">
        <w:r w:rsidRPr="00E82E79">
          <w:rPr>
            <w:rFonts w:ascii="Times New Roman" w:eastAsia="Times New Roman" w:hAnsi="Times New Roman" w:cs="Times New Roman"/>
            <w:color w:val="1155CC"/>
            <w:kern w:val="0"/>
            <w:sz w:val="20"/>
            <w:szCs w:val="20"/>
            <w:u w:val="single"/>
            <w14:ligatures w14:val="none"/>
          </w:rPr>
          <w:t>https://doi.org/10.1108/bjm-06-2020-0220</w:t>
        </w:r>
      </w:hyperlink>
    </w:p>
    <w:p w14:paraId="364CECDB" w14:textId="014D19BB" w:rsidR="00FE1D3E" w:rsidRPr="00E82E79" w:rsidRDefault="00FE1D3E" w:rsidP="00B95EF2">
      <w:pPr>
        <w:pStyle w:val="ListParagraph"/>
        <w:numPr>
          <w:ilvl w:val="0"/>
          <w:numId w:val="6"/>
        </w:numPr>
        <w:shd w:val="clear" w:color="auto" w:fill="FFFFFF"/>
        <w:spacing w:after="0" w:line="360" w:lineRule="auto"/>
        <w:rPr>
          <w:rFonts w:ascii="Times New Roman" w:eastAsia="Times New Roman" w:hAnsi="Times New Roman" w:cs="Times New Roman"/>
          <w:color w:val="000000"/>
          <w:kern w:val="0"/>
          <w:sz w:val="20"/>
          <w:szCs w:val="20"/>
          <w14:ligatures w14:val="none"/>
        </w:rPr>
      </w:pPr>
      <w:r w:rsidRPr="00E82E79">
        <w:rPr>
          <w:rFonts w:ascii="Times New Roman" w:eastAsia="Times New Roman" w:hAnsi="Times New Roman" w:cs="Times New Roman"/>
          <w:color w:val="333333"/>
          <w:kern w:val="0"/>
          <w:sz w:val="20"/>
          <w:szCs w:val="20"/>
          <w14:ligatures w14:val="none"/>
        </w:rPr>
        <w:t xml:space="preserve">Yang, H., Van Rijn, M. B., &amp; Sanders, K. (2018). Perceived organizational support and knowledge sharing: employees’ self-construal matters. </w:t>
      </w:r>
      <w:r w:rsidRPr="00E82E79">
        <w:rPr>
          <w:rFonts w:ascii="Times New Roman" w:eastAsia="Times New Roman" w:hAnsi="Times New Roman" w:cs="Times New Roman"/>
          <w:i/>
          <w:iCs/>
          <w:color w:val="333333"/>
          <w:kern w:val="0"/>
          <w:sz w:val="20"/>
          <w:szCs w:val="20"/>
          <w14:ligatures w14:val="none"/>
        </w:rPr>
        <w:t>International Journal of Human Resource Management</w:t>
      </w:r>
      <w:r w:rsidRPr="00E82E79">
        <w:rPr>
          <w:rFonts w:ascii="Times New Roman" w:eastAsia="Times New Roman" w:hAnsi="Times New Roman" w:cs="Times New Roman"/>
          <w:color w:val="333333"/>
          <w:kern w:val="0"/>
          <w:sz w:val="20"/>
          <w:szCs w:val="20"/>
          <w14:ligatures w14:val="none"/>
        </w:rPr>
        <w:t xml:space="preserve">, </w:t>
      </w:r>
      <w:r w:rsidRPr="00E82E79">
        <w:rPr>
          <w:rFonts w:ascii="Times New Roman" w:eastAsia="Times New Roman" w:hAnsi="Times New Roman" w:cs="Times New Roman"/>
          <w:i/>
          <w:iCs/>
          <w:color w:val="333333"/>
          <w:kern w:val="0"/>
          <w:sz w:val="20"/>
          <w:szCs w:val="20"/>
          <w14:ligatures w14:val="none"/>
        </w:rPr>
        <w:t>31</w:t>
      </w:r>
      <w:r w:rsidRPr="00E82E79">
        <w:rPr>
          <w:rFonts w:ascii="Times New Roman" w:eastAsia="Times New Roman" w:hAnsi="Times New Roman" w:cs="Times New Roman"/>
          <w:color w:val="333333"/>
          <w:kern w:val="0"/>
          <w:sz w:val="20"/>
          <w:szCs w:val="20"/>
          <w14:ligatures w14:val="none"/>
        </w:rPr>
        <w:t xml:space="preserve">(17), 2217–2237. </w:t>
      </w:r>
      <w:hyperlink r:id="rId32" w:history="1">
        <w:r w:rsidRPr="00E82E79">
          <w:rPr>
            <w:rFonts w:ascii="Times New Roman" w:eastAsia="Times New Roman" w:hAnsi="Times New Roman" w:cs="Times New Roman"/>
            <w:color w:val="1155CC"/>
            <w:kern w:val="0"/>
            <w:sz w:val="20"/>
            <w:szCs w:val="20"/>
            <w:u w:val="single"/>
            <w14:ligatures w14:val="none"/>
          </w:rPr>
          <w:t>https://doi.org/10.1080/09585192.2018.1443956</w:t>
        </w:r>
      </w:hyperlink>
    </w:p>
    <w:p w14:paraId="264C4050" w14:textId="77777777" w:rsidR="00FE1D3E" w:rsidRPr="00752DA3" w:rsidRDefault="00FE1D3E" w:rsidP="00B95EF2">
      <w:pPr>
        <w:spacing w:line="360" w:lineRule="auto"/>
        <w:jc w:val="both"/>
        <w:rPr>
          <w:rFonts w:ascii="Times New Roman" w:hAnsi="Times New Roman" w:cs="Times New Roman"/>
        </w:rPr>
      </w:pPr>
    </w:p>
    <w:sectPr w:rsidR="00FE1D3E" w:rsidRPr="00752DA3" w:rsidSect="00FE1D3E">
      <w:headerReference w:type="even" r:id="rId33"/>
      <w:headerReference w:type="default" r:id="rId3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DCF7D5" w14:textId="77777777" w:rsidR="00BF757B" w:rsidRDefault="00BF757B" w:rsidP="00FE1D3E">
      <w:pPr>
        <w:spacing w:after="0" w:line="240" w:lineRule="auto"/>
      </w:pPr>
      <w:r>
        <w:separator/>
      </w:r>
    </w:p>
  </w:endnote>
  <w:endnote w:type="continuationSeparator" w:id="0">
    <w:p w14:paraId="77E2B0D7" w14:textId="77777777" w:rsidR="00BF757B" w:rsidRDefault="00BF757B" w:rsidP="00FE1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0416B0" w14:textId="77777777" w:rsidR="00BF757B" w:rsidRDefault="00BF757B" w:rsidP="00FE1D3E">
      <w:pPr>
        <w:spacing w:after="0" w:line="240" w:lineRule="auto"/>
      </w:pPr>
      <w:r>
        <w:separator/>
      </w:r>
    </w:p>
  </w:footnote>
  <w:footnote w:type="continuationSeparator" w:id="0">
    <w:p w14:paraId="0C4B2ADE" w14:textId="77777777" w:rsidR="00BF757B" w:rsidRDefault="00BF757B" w:rsidP="00FE1D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9502615"/>
      <w:docPartObj>
        <w:docPartGallery w:val="Page Numbers (Top of Page)"/>
        <w:docPartUnique/>
      </w:docPartObj>
    </w:sdtPr>
    <w:sdtContent>
      <w:p w14:paraId="2ED358C7" w14:textId="3FD5029F" w:rsidR="00FE1D3E" w:rsidRDefault="00FE1D3E" w:rsidP="002264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2FAE942" w14:textId="77777777" w:rsidR="00FE1D3E" w:rsidRDefault="00FE1D3E" w:rsidP="00FE1D3E">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40603507"/>
      <w:docPartObj>
        <w:docPartGallery w:val="Page Numbers (Top of Page)"/>
        <w:docPartUnique/>
      </w:docPartObj>
    </w:sdtPr>
    <w:sdtContent>
      <w:p w14:paraId="304C787B" w14:textId="79A9AAEC" w:rsidR="00FE1D3E" w:rsidRDefault="00FE1D3E" w:rsidP="0022648B">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2AADF7C" w14:textId="77777777" w:rsidR="00FE1D3E" w:rsidRDefault="00FE1D3E" w:rsidP="00FE1D3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81802"/>
    <w:multiLevelType w:val="hybridMultilevel"/>
    <w:tmpl w:val="0D12B430"/>
    <w:lvl w:ilvl="0" w:tplc="7CF2B08A">
      <w:start w:val="1"/>
      <w:numFmt w:val="decimal"/>
      <w:lvlText w:val="%1."/>
      <w:lvlJc w:val="left"/>
      <w:pPr>
        <w:ind w:left="720" w:hanging="360"/>
      </w:pPr>
      <w:rPr>
        <w:rFonts w:eastAsia="Times New Roman" w:hint="default"/>
        <w:color w:val="0D0D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22C4C"/>
    <w:multiLevelType w:val="hybridMultilevel"/>
    <w:tmpl w:val="FD3EEC62"/>
    <w:lvl w:ilvl="0" w:tplc="80887EE0">
      <w:start w:val="1"/>
      <w:numFmt w:val="decimal"/>
      <w:lvlText w:val="%1."/>
      <w:lvlJc w:val="left"/>
      <w:pPr>
        <w:ind w:left="1080" w:hanging="360"/>
      </w:pPr>
      <w:rPr>
        <w:rFonts w:eastAsia="Times New Roman" w:hint="default"/>
        <w:color w:val="0D0D1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9A416E6"/>
    <w:multiLevelType w:val="hybridMultilevel"/>
    <w:tmpl w:val="12BC14E0"/>
    <w:lvl w:ilvl="0" w:tplc="D42086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773A3399"/>
    <w:multiLevelType w:val="hybridMultilevel"/>
    <w:tmpl w:val="57ACE714"/>
    <w:lvl w:ilvl="0" w:tplc="80887EE0">
      <w:start w:val="1"/>
      <w:numFmt w:val="decimal"/>
      <w:lvlText w:val="%1."/>
      <w:lvlJc w:val="left"/>
      <w:pPr>
        <w:ind w:left="1080" w:hanging="360"/>
      </w:pPr>
      <w:rPr>
        <w:rFonts w:eastAsia="Times New Roman" w:hint="default"/>
        <w:color w:val="0D0D1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CF19F3"/>
    <w:multiLevelType w:val="multilevel"/>
    <w:tmpl w:val="76401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47388007">
    <w:abstractNumId w:val="5"/>
  </w:num>
  <w:num w:numId="2" w16cid:durableId="1798721687">
    <w:abstractNumId w:val="3"/>
  </w:num>
  <w:num w:numId="3" w16cid:durableId="1171212691">
    <w:abstractNumId w:val="0"/>
  </w:num>
  <w:num w:numId="4" w16cid:durableId="1017080994">
    <w:abstractNumId w:val="1"/>
  </w:num>
  <w:num w:numId="5" w16cid:durableId="164125617">
    <w:abstractNumId w:val="2"/>
  </w:num>
  <w:num w:numId="6" w16cid:durableId="19425629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6BC"/>
    <w:rsid w:val="000A71DB"/>
    <w:rsid w:val="0016511C"/>
    <w:rsid w:val="001B3D9C"/>
    <w:rsid w:val="002426ED"/>
    <w:rsid w:val="00254B8A"/>
    <w:rsid w:val="002969E4"/>
    <w:rsid w:val="002B06BC"/>
    <w:rsid w:val="00484461"/>
    <w:rsid w:val="005C55A7"/>
    <w:rsid w:val="005F17C1"/>
    <w:rsid w:val="006F23E1"/>
    <w:rsid w:val="00752DA3"/>
    <w:rsid w:val="007A0FB5"/>
    <w:rsid w:val="008505CC"/>
    <w:rsid w:val="008E4C1D"/>
    <w:rsid w:val="008F4625"/>
    <w:rsid w:val="00B95EF2"/>
    <w:rsid w:val="00BF757B"/>
    <w:rsid w:val="00E42CBC"/>
    <w:rsid w:val="00E82E79"/>
    <w:rsid w:val="00E94A46"/>
    <w:rsid w:val="00FE1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65429E"/>
  <w15:chartTrackingRefBased/>
  <w15:docId w15:val="{124AE176-B264-DD46-A9AA-7501CEA5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06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B06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2B06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2B06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06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06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06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06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06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06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B06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2B06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2B06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06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06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06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06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06BC"/>
    <w:rPr>
      <w:rFonts w:eastAsiaTheme="majorEastAsia" w:cstheme="majorBidi"/>
      <w:color w:val="272727" w:themeColor="text1" w:themeTint="D8"/>
    </w:rPr>
  </w:style>
  <w:style w:type="paragraph" w:styleId="Title">
    <w:name w:val="Title"/>
    <w:basedOn w:val="Normal"/>
    <w:next w:val="Normal"/>
    <w:link w:val="TitleChar"/>
    <w:uiPriority w:val="10"/>
    <w:qFormat/>
    <w:rsid w:val="002B06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06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06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06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06BC"/>
    <w:pPr>
      <w:spacing w:before="160"/>
      <w:jc w:val="center"/>
    </w:pPr>
    <w:rPr>
      <w:i/>
      <w:iCs/>
      <w:color w:val="404040" w:themeColor="text1" w:themeTint="BF"/>
    </w:rPr>
  </w:style>
  <w:style w:type="character" w:customStyle="1" w:styleId="QuoteChar">
    <w:name w:val="Quote Char"/>
    <w:basedOn w:val="DefaultParagraphFont"/>
    <w:link w:val="Quote"/>
    <w:uiPriority w:val="29"/>
    <w:rsid w:val="002B06BC"/>
    <w:rPr>
      <w:i/>
      <w:iCs/>
      <w:color w:val="404040" w:themeColor="text1" w:themeTint="BF"/>
    </w:rPr>
  </w:style>
  <w:style w:type="paragraph" w:styleId="ListParagraph">
    <w:name w:val="List Paragraph"/>
    <w:basedOn w:val="Normal"/>
    <w:uiPriority w:val="34"/>
    <w:qFormat/>
    <w:rsid w:val="002B06BC"/>
    <w:pPr>
      <w:ind w:left="720"/>
      <w:contextualSpacing/>
    </w:pPr>
  </w:style>
  <w:style w:type="character" w:styleId="IntenseEmphasis">
    <w:name w:val="Intense Emphasis"/>
    <w:basedOn w:val="DefaultParagraphFont"/>
    <w:uiPriority w:val="21"/>
    <w:qFormat/>
    <w:rsid w:val="002B06BC"/>
    <w:rPr>
      <w:i/>
      <w:iCs/>
      <w:color w:val="0F4761" w:themeColor="accent1" w:themeShade="BF"/>
    </w:rPr>
  </w:style>
  <w:style w:type="paragraph" w:styleId="IntenseQuote">
    <w:name w:val="Intense Quote"/>
    <w:basedOn w:val="Normal"/>
    <w:next w:val="Normal"/>
    <w:link w:val="IntenseQuoteChar"/>
    <w:uiPriority w:val="30"/>
    <w:qFormat/>
    <w:rsid w:val="002B06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06BC"/>
    <w:rPr>
      <w:i/>
      <w:iCs/>
      <w:color w:val="0F4761" w:themeColor="accent1" w:themeShade="BF"/>
    </w:rPr>
  </w:style>
  <w:style w:type="character" w:styleId="IntenseReference">
    <w:name w:val="Intense Reference"/>
    <w:basedOn w:val="DefaultParagraphFont"/>
    <w:uiPriority w:val="32"/>
    <w:qFormat/>
    <w:rsid w:val="002B06BC"/>
    <w:rPr>
      <w:b/>
      <w:bCs/>
      <w:smallCaps/>
      <w:color w:val="0F4761" w:themeColor="accent1" w:themeShade="BF"/>
      <w:spacing w:val="5"/>
    </w:rPr>
  </w:style>
  <w:style w:type="paragraph" w:customStyle="1" w:styleId="p1">
    <w:name w:val="p1"/>
    <w:basedOn w:val="Normal"/>
    <w:rsid w:val="002B06BC"/>
    <w:pPr>
      <w:spacing w:after="0" w:line="240" w:lineRule="auto"/>
    </w:pPr>
    <w:rPr>
      <w:rFonts w:ascii="Times New Roman" w:eastAsia="Times New Roman" w:hAnsi="Times New Roman" w:cs="Times New Roman"/>
      <w:color w:val="0D0D14"/>
      <w:kern w:val="0"/>
      <w:sz w:val="18"/>
      <w:szCs w:val="18"/>
      <w14:ligatures w14:val="none"/>
    </w:rPr>
  </w:style>
  <w:style w:type="paragraph" w:customStyle="1" w:styleId="p2">
    <w:name w:val="p2"/>
    <w:basedOn w:val="Normal"/>
    <w:rsid w:val="002B06BC"/>
    <w:pPr>
      <w:spacing w:after="0" w:line="240" w:lineRule="auto"/>
    </w:pPr>
    <w:rPr>
      <w:rFonts w:ascii="Times New Roman" w:eastAsia="Times New Roman" w:hAnsi="Times New Roman" w:cs="Times New Roman"/>
      <w:color w:val="000000"/>
      <w:kern w:val="0"/>
      <w:sz w:val="18"/>
      <w:szCs w:val="18"/>
      <w14:ligatures w14:val="none"/>
    </w:rPr>
  </w:style>
  <w:style w:type="character" w:customStyle="1" w:styleId="s1">
    <w:name w:val="s1"/>
    <w:basedOn w:val="DefaultParagraphFont"/>
    <w:rsid w:val="001B3D9C"/>
    <w:rPr>
      <w:color w:val="101010"/>
    </w:rPr>
  </w:style>
  <w:style w:type="character" w:customStyle="1" w:styleId="s2">
    <w:name w:val="s2"/>
    <w:basedOn w:val="DefaultParagraphFont"/>
    <w:rsid w:val="001B3D9C"/>
    <w:rPr>
      <w:color w:val="000000"/>
    </w:rPr>
  </w:style>
  <w:style w:type="paragraph" w:styleId="NormalWeb">
    <w:name w:val="Normal (Web)"/>
    <w:basedOn w:val="Normal"/>
    <w:uiPriority w:val="99"/>
    <w:semiHidden/>
    <w:unhideWhenUsed/>
    <w:rsid w:val="00FE1D3E"/>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FE1D3E"/>
  </w:style>
  <w:style w:type="character" w:styleId="Hyperlink">
    <w:name w:val="Hyperlink"/>
    <w:basedOn w:val="DefaultParagraphFont"/>
    <w:uiPriority w:val="99"/>
    <w:unhideWhenUsed/>
    <w:rsid w:val="00FE1D3E"/>
    <w:rPr>
      <w:color w:val="0000FF"/>
      <w:u w:val="single"/>
    </w:rPr>
  </w:style>
  <w:style w:type="character" w:styleId="UnresolvedMention">
    <w:name w:val="Unresolved Mention"/>
    <w:basedOn w:val="DefaultParagraphFont"/>
    <w:uiPriority w:val="99"/>
    <w:semiHidden/>
    <w:unhideWhenUsed/>
    <w:rsid w:val="00FE1D3E"/>
    <w:rPr>
      <w:color w:val="605E5C"/>
      <w:shd w:val="clear" w:color="auto" w:fill="E1DFDD"/>
    </w:rPr>
  </w:style>
  <w:style w:type="character" w:styleId="FollowedHyperlink">
    <w:name w:val="FollowedHyperlink"/>
    <w:basedOn w:val="DefaultParagraphFont"/>
    <w:uiPriority w:val="99"/>
    <w:semiHidden/>
    <w:unhideWhenUsed/>
    <w:rsid w:val="00FE1D3E"/>
    <w:rPr>
      <w:color w:val="96607D" w:themeColor="followedHyperlink"/>
      <w:u w:val="single"/>
    </w:rPr>
  </w:style>
  <w:style w:type="paragraph" w:styleId="Header">
    <w:name w:val="header"/>
    <w:basedOn w:val="Normal"/>
    <w:link w:val="HeaderChar"/>
    <w:uiPriority w:val="99"/>
    <w:unhideWhenUsed/>
    <w:rsid w:val="00FE1D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1D3E"/>
  </w:style>
  <w:style w:type="character" w:styleId="PageNumber">
    <w:name w:val="page number"/>
    <w:basedOn w:val="DefaultParagraphFont"/>
    <w:uiPriority w:val="99"/>
    <w:semiHidden/>
    <w:unhideWhenUsed/>
    <w:rsid w:val="00FE1D3E"/>
  </w:style>
  <w:style w:type="paragraph" w:styleId="BodyText">
    <w:name w:val="Body Text"/>
    <w:basedOn w:val="Normal"/>
    <w:link w:val="BodyTextChar"/>
    <w:uiPriority w:val="1"/>
    <w:qFormat/>
    <w:rsid w:val="00484461"/>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484461"/>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9657617">
      <w:bodyDiv w:val="1"/>
      <w:marLeft w:val="0"/>
      <w:marRight w:val="0"/>
      <w:marTop w:val="0"/>
      <w:marBottom w:val="0"/>
      <w:divBdr>
        <w:top w:val="none" w:sz="0" w:space="0" w:color="auto"/>
        <w:left w:val="none" w:sz="0" w:space="0" w:color="auto"/>
        <w:bottom w:val="none" w:sz="0" w:space="0" w:color="auto"/>
        <w:right w:val="none" w:sz="0" w:space="0" w:color="auto"/>
      </w:divBdr>
      <w:divsChild>
        <w:div w:id="1220436519">
          <w:marLeft w:val="107"/>
          <w:marRight w:val="0"/>
          <w:marTop w:val="0"/>
          <w:marBottom w:val="0"/>
          <w:divBdr>
            <w:top w:val="none" w:sz="0" w:space="0" w:color="auto"/>
            <w:left w:val="none" w:sz="0" w:space="0" w:color="auto"/>
            <w:bottom w:val="none" w:sz="0" w:space="0" w:color="auto"/>
            <w:right w:val="none" w:sz="0" w:space="0" w:color="auto"/>
          </w:divBdr>
        </w:div>
        <w:div w:id="1993945635">
          <w:marLeft w:val="107"/>
          <w:marRight w:val="0"/>
          <w:marTop w:val="0"/>
          <w:marBottom w:val="0"/>
          <w:divBdr>
            <w:top w:val="none" w:sz="0" w:space="0" w:color="auto"/>
            <w:left w:val="none" w:sz="0" w:space="0" w:color="auto"/>
            <w:bottom w:val="none" w:sz="0" w:space="0" w:color="auto"/>
            <w:right w:val="none" w:sz="0" w:space="0" w:color="auto"/>
          </w:divBdr>
        </w:div>
      </w:divsChild>
    </w:div>
    <w:div w:id="396054721">
      <w:bodyDiv w:val="1"/>
      <w:marLeft w:val="360"/>
      <w:marRight w:val="360"/>
      <w:marTop w:val="360"/>
      <w:marBottom w:val="360"/>
      <w:divBdr>
        <w:top w:val="none" w:sz="0" w:space="0" w:color="auto"/>
        <w:left w:val="none" w:sz="0" w:space="0" w:color="auto"/>
        <w:bottom w:val="none" w:sz="0" w:space="0" w:color="auto"/>
        <w:right w:val="none" w:sz="0" w:space="0" w:color="auto"/>
      </w:divBdr>
    </w:div>
    <w:div w:id="574317129">
      <w:bodyDiv w:val="1"/>
      <w:marLeft w:val="0"/>
      <w:marRight w:val="0"/>
      <w:marTop w:val="0"/>
      <w:marBottom w:val="0"/>
      <w:divBdr>
        <w:top w:val="none" w:sz="0" w:space="0" w:color="auto"/>
        <w:left w:val="none" w:sz="0" w:space="0" w:color="auto"/>
        <w:bottom w:val="none" w:sz="0" w:space="0" w:color="auto"/>
        <w:right w:val="none" w:sz="0" w:space="0" w:color="auto"/>
      </w:divBdr>
    </w:div>
    <w:div w:id="1070158918">
      <w:bodyDiv w:val="1"/>
      <w:marLeft w:val="0"/>
      <w:marRight w:val="0"/>
      <w:marTop w:val="0"/>
      <w:marBottom w:val="0"/>
      <w:divBdr>
        <w:top w:val="none" w:sz="0" w:space="0" w:color="auto"/>
        <w:left w:val="none" w:sz="0" w:space="0" w:color="auto"/>
        <w:bottom w:val="none" w:sz="0" w:space="0" w:color="auto"/>
        <w:right w:val="none" w:sz="0" w:space="0" w:color="auto"/>
      </w:divBdr>
    </w:div>
    <w:div w:id="1081217949">
      <w:bodyDiv w:val="1"/>
      <w:marLeft w:val="0"/>
      <w:marRight w:val="0"/>
      <w:marTop w:val="0"/>
      <w:marBottom w:val="0"/>
      <w:divBdr>
        <w:top w:val="none" w:sz="0" w:space="0" w:color="auto"/>
        <w:left w:val="none" w:sz="0" w:space="0" w:color="auto"/>
        <w:bottom w:val="none" w:sz="0" w:space="0" w:color="auto"/>
        <w:right w:val="none" w:sz="0" w:space="0" w:color="auto"/>
      </w:divBdr>
    </w:div>
    <w:div w:id="1107232792">
      <w:bodyDiv w:val="1"/>
      <w:marLeft w:val="0"/>
      <w:marRight w:val="0"/>
      <w:marTop w:val="0"/>
      <w:marBottom w:val="0"/>
      <w:divBdr>
        <w:top w:val="none" w:sz="0" w:space="0" w:color="auto"/>
        <w:left w:val="none" w:sz="0" w:space="0" w:color="auto"/>
        <w:bottom w:val="none" w:sz="0" w:space="0" w:color="auto"/>
        <w:right w:val="none" w:sz="0" w:space="0" w:color="auto"/>
      </w:divBdr>
    </w:div>
    <w:div w:id="1219980112">
      <w:bodyDiv w:val="1"/>
      <w:marLeft w:val="360"/>
      <w:marRight w:val="360"/>
      <w:marTop w:val="360"/>
      <w:marBottom w:val="360"/>
      <w:divBdr>
        <w:top w:val="none" w:sz="0" w:space="0" w:color="auto"/>
        <w:left w:val="none" w:sz="0" w:space="0" w:color="auto"/>
        <w:bottom w:val="none" w:sz="0" w:space="0" w:color="auto"/>
        <w:right w:val="none" w:sz="0" w:space="0" w:color="auto"/>
      </w:divBdr>
    </w:div>
    <w:div w:id="1259101365">
      <w:bodyDiv w:val="1"/>
      <w:marLeft w:val="0"/>
      <w:marRight w:val="0"/>
      <w:marTop w:val="0"/>
      <w:marBottom w:val="0"/>
      <w:divBdr>
        <w:top w:val="none" w:sz="0" w:space="0" w:color="auto"/>
        <w:left w:val="none" w:sz="0" w:space="0" w:color="auto"/>
        <w:bottom w:val="none" w:sz="0" w:space="0" w:color="auto"/>
        <w:right w:val="none" w:sz="0" w:space="0" w:color="auto"/>
      </w:divBdr>
    </w:div>
    <w:div w:id="1459956400">
      <w:bodyDiv w:val="1"/>
      <w:marLeft w:val="0"/>
      <w:marRight w:val="0"/>
      <w:marTop w:val="0"/>
      <w:marBottom w:val="0"/>
      <w:divBdr>
        <w:top w:val="none" w:sz="0" w:space="0" w:color="auto"/>
        <w:left w:val="none" w:sz="0" w:space="0" w:color="auto"/>
        <w:bottom w:val="none" w:sz="0" w:space="0" w:color="auto"/>
        <w:right w:val="none" w:sz="0" w:space="0" w:color="auto"/>
      </w:divBdr>
    </w:div>
    <w:div w:id="1589192807">
      <w:bodyDiv w:val="1"/>
      <w:marLeft w:val="360"/>
      <w:marRight w:val="360"/>
      <w:marTop w:val="360"/>
      <w:marBottom w:val="360"/>
      <w:divBdr>
        <w:top w:val="none" w:sz="0" w:space="0" w:color="auto"/>
        <w:left w:val="none" w:sz="0" w:space="0" w:color="auto"/>
        <w:bottom w:val="none" w:sz="0" w:space="0" w:color="auto"/>
        <w:right w:val="none" w:sz="0" w:space="0" w:color="auto"/>
      </w:divBdr>
    </w:div>
    <w:div w:id="1712992035">
      <w:bodyDiv w:val="1"/>
      <w:marLeft w:val="0"/>
      <w:marRight w:val="0"/>
      <w:marTop w:val="0"/>
      <w:marBottom w:val="0"/>
      <w:divBdr>
        <w:top w:val="none" w:sz="0" w:space="0" w:color="auto"/>
        <w:left w:val="none" w:sz="0" w:space="0" w:color="auto"/>
        <w:bottom w:val="none" w:sz="0" w:space="0" w:color="auto"/>
        <w:right w:val="none" w:sz="0" w:space="0" w:color="auto"/>
      </w:divBdr>
      <w:divsChild>
        <w:div w:id="527916998">
          <w:marLeft w:val="10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3106/jafeb.2020.vol7.no12.1089" TargetMode="External"/><Relationship Id="rId18" Type="http://schemas.openxmlformats.org/officeDocument/2006/relationships/hyperlink" Target="https://doi.org/10.57198/2583-4932.1027" TargetMode="External"/><Relationship Id="rId26" Type="http://schemas.openxmlformats.org/officeDocument/2006/relationships/hyperlink" Target="https://doi.org/10.1108/er-04-2019-0169" TargetMode="External"/><Relationship Id="rId3" Type="http://schemas.openxmlformats.org/officeDocument/2006/relationships/settings" Target="settings.xml"/><Relationship Id="rId21" Type="http://schemas.openxmlformats.org/officeDocument/2006/relationships/hyperlink" Target="https://doi.org/10.1108/ijchm-01-2014-0028" TargetMode="External"/><Relationship Id="rId34" Type="http://schemas.openxmlformats.org/officeDocument/2006/relationships/header" Target="header2.xml"/><Relationship Id="rId7" Type="http://schemas.openxmlformats.org/officeDocument/2006/relationships/hyperlink" Target="https://doi.org/10.1108/ijchm-12-2016-0659" TargetMode="External"/><Relationship Id="rId12" Type="http://schemas.openxmlformats.org/officeDocument/2006/relationships/hyperlink" Target="https://doi.org/10.1146/annurev-orgpsych-012119-044917" TargetMode="External"/><Relationship Id="rId17" Type="http://schemas.openxmlformats.org/officeDocument/2006/relationships/hyperlink" Target="https://doi.org/10.5812/ijem.3505" TargetMode="External"/><Relationship Id="rId25" Type="http://schemas.openxmlformats.org/officeDocument/2006/relationships/hyperlink" Target="https://apps.dtic.mil/sti/pdfs/AD1184164.pdf"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80/15256480.2016.1226151" TargetMode="External"/><Relationship Id="rId20" Type="http://schemas.openxmlformats.org/officeDocument/2006/relationships/hyperlink" Target="https://doi.org/10.1037/h0037511" TargetMode="External"/><Relationship Id="rId29" Type="http://schemas.openxmlformats.org/officeDocument/2006/relationships/hyperlink" Target="https://doi.org/10.1037/0021-9010.88.5.8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37/0021-9010.82.5.812" TargetMode="External"/><Relationship Id="rId24" Type="http://schemas.openxmlformats.org/officeDocument/2006/relationships/hyperlink" Target="https://doi.org/10.1177/0149206315575554" TargetMode="External"/><Relationship Id="rId32" Type="http://schemas.openxmlformats.org/officeDocument/2006/relationships/hyperlink" Target="https://doi.org/10.1080/09585192.2018.1443956" TargetMode="External"/><Relationship Id="rId5" Type="http://schemas.openxmlformats.org/officeDocument/2006/relationships/footnotes" Target="footnotes.xml"/><Relationship Id="rId15" Type="http://schemas.openxmlformats.org/officeDocument/2006/relationships/hyperlink" Target="https://doi.org/10.1002/job.322" TargetMode="External"/><Relationship Id="rId23" Type="http://schemas.openxmlformats.org/officeDocument/2006/relationships/hyperlink" Target="https://doi.org/10.3390/ijerph192113864" TargetMode="External"/><Relationship Id="rId28" Type="http://schemas.openxmlformats.org/officeDocument/2006/relationships/hyperlink" Target="https://doi.org/10.1108/bjm-05-2019-0178" TargetMode="External"/><Relationship Id="rId36" Type="http://schemas.openxmlformats.org/officeDocument/2006/relationships/theme" Target="theme/theme1.xml"/><Relationship Id="rId10" Type="http://schemas.openxmlformats.org/officeDocument/2006/relationships/hyperlink" Target="https://doi.org/10.1016/j.emj.2020.09.001" TargetMode="External"/><Relationship Id="rId19" Type="http://schemas.openxmlformats.org/officeDocument/2006/relationships/hyperlink" Target="https://doi.org/10.1177/1938965511424725" TargetMode="External"/><Relationship Id="rId31" Type="http://schemas.openxmlformats.org/officeDocument/2006/relationships/hyperlink" Target="https://doi.org/10.1108/bjm-06-2020-0220" TargetMode="External"/><Relationship Id="rId4" Type="http://schemas.openxmlformats.org/officeDocument/2006/relationships/webSettings" Target="webSettings.xml"/><Relationship Id="rId9" Type="http://schemas.openxmlformats.org/officeDocument/2006/relationships/hyperlink" Target="https://doi.org/10.1016/j.jwb.2016.12.001" TargetMode="External"/><Relationship Id="rId14" Type="http://schemas.openxmlformats.org/officeDocument/2006/relationships/hyperlink" Target="https://doi.org/10.1177/1938965511403921" TargetMode="External"/><Relationship Id="rId22" Type="http://schemas.openxmlformats.org/officeDocument/2006/relationships/hyperlink" Target="https://doi.org/10.1080/15332845.2020.1702866" TargetMode="External"/><Relationship Id="rId27" Type="http://schemas.openxmlformats.org/officeDocument/2006/relationships/hyperlink" Target="https://doi.org/10.1108/jmp-04-2019-0232" TargetMode="External"/><Relationship Id="rId30" Type="http://schemas.openxmlformats.org/officeDocument/2006/relationships/hyperlink" Target="https://doi.org/10.1108/bjm-09-2019-0335" TargetMode="External"/><Relationship Id="rId35" Type="http://schemas.openxmlformats.org/officeDocument/2006/relationships/fontTable" Target="fontTable.xml"/><Relationship Id="rId8" Type="http://schemas.openxmlformats.org/officeDocument/2006/relationships/hyperlink" Target="https://papers.ssrn.com/sol3/papers.cfm?abstract_id=3837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5810</Words>
  <Characters>33119</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Jignesh Bhansari</dc:creator>
  <cp:keywords/>
  <dc:description/>
  <cp:lastModifiedBy>Jignesh Bhansari</cp:lastModifiedBy>
  <cp:revision>2</cp:revision>
  <cp:lastPrinted>2025-02-28T15:32:00Z</cp:lastPrinted>
  <dcterms:created xsi:type="dcterms:W3CDTF">2025-02-28T15:36:00Z</dcterms:created>
  <dcterms:modified xsi:type="dcterms:W3CDTF">2025-02-28T15:36:00Z</dcterms:modified>
</cp:coreProperties>
</file>