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F66E7" w14:textId="5D594DB9" w:rsidR="00DA52F4" w:rsidRPr="001E51F3" w:rsidRDefault="00C62B31" w:rsidP="00F332CE">
      <w:pPr>
        <w:pBdr>
          <w:bottom w:val="single" w:sz="4" w:space="1" w:color="auto"/>
        </w:pBdr>
        <w:spacing w:after="0" w:line="240" w:lineRule="auto"/>
        <w:jc w:val="center"/>
        <w:rPr>
          <w:rFonts w:ascii="Times New Roman" w:hAnsi="Times New Roman" w:cs="Times New Roman"/>
          <w:b/>
          <w:bCs/>
          <w:color w:val="000000" w:themeColor="text1"/>
          <w:sz w:val="28"/>
          <w:szCs w:val="28"/>
        </w:rPr>
      </w:pPr>
      <w:r w:rsidRPr="00C62B31">
        <w:rPr>
          <w:rFonts w:ascii="Times New Roman" w:hAnsi="Times New Roman" w:cs="Times New Roman"/>
          <w:b/>
          <w:sz w:val="28"/>
          <w:szCs w:val="28"/>
        </w:rPr>
        <w:t>INVESTIGATION OF THE USAGE OF EICHHORNIA CRASSIPES IN THE CLEANSING AND TREATMENT OF WASTE WATER</w:t>
      </w:r>
      <w:r w:rsidRPr="001E51F3">
        <w:rPr>
          <w:rFonts w:ascii="Times New Roman" w:hAnsi="Times New Roman" w:cs="Times New Roman"/>
          <w:b/>
          <w:bCs/>
          <w:color w:val="000000" w:themeColor="text1"/>
          <w:sz w:val="28"/>
          <w:szCs w:val="28"/>
        </w:rPr>
        <w:t xml:space="preserve"> </w:t>
      </w:r>
    </w:p>
    <w:p w14:paraId="736B6AC8" w14:textId="17167534" w:rsidR="00DA52F4" w:rsidRPr="001E51F3" w:rsidRDefault="00C62B31" w:rsidP="00F332CE">
      <w:pPr>
        <w:pBdr>
          <w:bottom w:val="single" w:sz="4" w:space="1" w:color="auto"/>
        </w:pBd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xml:space="preserve">Otuaro </w:t>
      </w:r>
      <w:proofErr w:type="spellStart"/>
      <w:r>
        <w:rPr>
          <w:rFonts w:ascii="Times New Roman" w:hAnsi="Times New Roman" w:cs="Times New Roman"/>
          <w:b/>
          <w:bCs/>
          <w:color w:val="000000" w:themeColor="text1"/>
          <w:sz w:val="24"/>
          <w:szCs w:val="24"/>
        </w:rPr>
        <w:t>Ebierin</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Akpoebidimiyen</w:t>
      </w:r>
      <w:proofErr w:type="spellEnd"/>
      <w:r>
        <w:rPr>
          <w:rFonts w:ascii="Times New Roman" w:hAnsi="Times New Roman" w:cs="Times New Roman"/>
          <w:b/>
          <w:bCs/>
          <w:color w:val="000000" w:themeColor="text1"/>
          <w:sz w:val="24"/>
          <w:szCs w:val="24"/>
        </w:rPr>
        <w:t xml:space="preserve"> &amp; </w:t>
      </w:r>
      <w:r>
        <w:rPr>
          <w:rFonts w:ascii="Times New Roman" w:hAnsi="Times New Roman" w:cs="Times New Roman"/>
          <w:b/>
          <w:bCs/>
          <w:color w:val="000000" w:themeColor="text1"/>
          <w:sz w:val="24"/>
          <w:szCs w:val="24"/>
          <w:vertAlign w:val="superscript"/>
        </w:rPr>
        <w:t>2</w:t>
      </w:r>
      <w:r>
        <w:rPr>
          <w:rFonts w:ascii="Times New Roman" w:hAnsi="Times New Roman" w:cs="Times New Roman"/>
          <w:b/>
          <w:bCs/>
          <w:color w:val="000000" w:themeColor="text1"/>
          <w:sz w:val="24"/>
          <w:szCs w:val="24"/>
        </w:rPr>
        <w:t xml:space="preserve">Igoma, </w:t>
      </w:r>
      <w:proofErr w:type="spellStart"/>
      <w:r>
        <w:rPr>
          <w:rFonts w:ascii="Times New Roman" w:hAnsi="Times New Roman" w:cs="Times New Roman"/>
          <w:b/>
          <w:bCs/>
          <w:color w:val="000000" w:themeColor="text1"/>
          <w:sz w:val="24"/>
          <w:szCs w:val="24"/>
        </w:rPr>
        <w:t>Emughiphel</w:t>
      </w:r>
      <w:proofErr w:type="spellEnd"/>
      <w:r>
        <w:rPr>
          <w:rFonts w:ascii="Times New Roman" w:hAnsi="Times New Roman" w:cs="Times New Roman"/>
          <w:b/>
          <w:bCs/>
          <w:color w:val="000000" w:themeColor="text1"/>
          <w:sz w:val="24"/>
          <w:szCs w:val="24"/>
        </w:rPr>
        <w:t xml:space="preserve"> Nelson</w:t>
      </w:r>
    </w:p>
    <w:p w14:paraId="7AEC63B4" w14:textId="73302EF6" w:rsidR="00DA52F4" w:rsidRDefault="00DA52F4" w:rsidP="00F332CE">
      <w:pPr>
        <w:pBdr>
          <w:bottom w:val="single" w:sz="4" w:space="1" w:color="auto"/>
        </w:pBdr>
        <w:spacing w:after="0" w:line="240"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C62B31">
        <w:rPr>
          <w:rFonts w:ascii="Times New Roman" w:hAnsi="Times New Roman" w:cs="Times New Roman"/>
          <w:color w:val="000000" w:themeColor="text1"/>
        </w:rPr>
        <w:t xml:space="preserve"> Department of Civil Engineering, Faculty of Engineering, Nigeria Maritime University, </w:t>
      </w:r>
      <w:proofErr w:type="spellStart"/>
      <w:r w:rsidR="00C62B31">
        <w:rPr>
          <w:rFonts w:ascii="Times New Roman" w:hAnsi="Times New Roman" w:cs="Times New Roman"/>
          <w:color w:val="000000" w:themeColor="text1"/>
        </w:rPr>
        <w:t>Okerenkoko</w:t>
      </w:r>
      <w:proofErr w:type="spellEnd"/>
      <w:r w:rsidR="00C62B31">
        <w:rPr>
          <w:rFonts w:ascii="Times New Roman" w:hAnsi="Times New Roman" w:cs="Times New Roman"/>
          <w:color w:val="000000" w:themeColor="text1"/>
        </w:rPr>
        <w:t>, Delta State, Nigeria.</w:t>
      </w:r>
    </w:p>
    <w:p w14:paraId="7C6E1520" w14:textId="058B1C38" w:rsidR="00DA52F4" w:rsidRPr="001E51F3" w:rsidRDefault="00C62B31" w:rsidP="00F332CE">
      <w:pPr>
        <w:pBdr>
          <w:bottom w:val="single" w:sz="4" w:space="1" w:color="auto"/>
        </w:pBdr>
        <w:spacing w:after="0" w:line="240"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Department</w:t>
      </w:r>
      <w:proofErr w:type="gramEnd"/>
      <w:r>
        <w:rPr>
          <w:rFonts w:ascii="Times New Roman" w:hAnsi="Times New Roman" w:cs="Times New Roman"/>
          <w:color w:val="000000" w:themeColor="text1"/>
        </w:rPr>
        <w:t xml:space="preserve"> of Marine Engineering, Faculty of Engineering, Nigeria Maritime University, </w:t>
      </w:r>
      <w:proofErr w:type="spellStart"/>
      <w:r>
        <w:rPr>
          <w:rFonts w:ascii="Times New Roman" w:hAnsi="Times New Roman" w:cs="Times New Roman"/>
          <w:color w:val="000000" w:themeColor="text1"/>
        </w:rPr>
        <w:t>Okerenkoko</w:t>
      </w:r>
      <w:proofErr w:type="spellEnd"/>
      <w:r>
        <w:rPr>
          <w:rFonts w:ascii="Times New Roman" w:hAnsi="Times New Roman" w:cs="Times New Roman"/>
          <w:color w:val="000000" w:themeColor="text1"/>
        </w:rPr>
        <w:t>, Delta State, Nigeria.</w:t>
      </w:r>
    </w:p>
    <w:p w14:paraId="088398C3" w14:textId="77777777" w:rsidR="009631BA" w:rsidRDefault="000B6A8F" w:rsidP="00F332CE">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262D7931" w14:textId="5F55299F" w:rsidR="00DA52F4" w:rsidRPr="009631BA" w:rsidRDefault="009631BA" w:rsidP="00F332CE">
      <w:pPr>
        <w:spacing w:after="0" w:line="240" w:lineRule="auto"/>
        <w:jc w:val="both"/>
        <w:rPr>
          <w:rFonts w:ascii="Times New Roman" w:hAnsi="Times New Roman" w:cs="Times New Roman"/>
          <w:b/>
          <w:bCs/>
          <w:color w:val="000000" w:themeColor="text1"/>
          <w:sz w:val="20"/>
          <w:szCs w:val="20"/>
        </w:rPr>
      </w:pPr>
      <w:r w:rsidRPr="009631BA">
        <w:rPr>
          <w:rFonts w:ascii="Times New Roman" w:hAnsi="Times New Roman" w:cs="Times New Roman"/>
          <w:color w:val="414141"/>
          <w:sz w:val="20"/>
          <w:szCs w:val="20"/>
          <w:shd w:val="clear" w:color="auto" w:fill="FFFFFF"/>
        </w:rPr>
        <w:t xml:space="preserve">The investigation of the usage of Eichhornia crassipes in the cleansing and treatment of waste water has been conducted. The study area of this investigation is the Warri River –NMU Jetty, which is situated on the Barrister Smooth Jetty of the Nigeria Port Authority (NPA) in Warri, Delta State of Nigeria. The Warri River is a cardinal navigational route in the Niger Delta geographical region, and it is quite a huge body of freshwater with latitude 5021’-6000’N together with longitude 5024’-6021’E that covers a surface area of 255 square kilometers doubled with a length of approximately 151 kilometers.  Experimentally, three samples of water were taken at the NMU Jetty – along the NPA Warri River axis and a commonsensible number of water hyacinths in it and the Petroleum Training Institute, </w:t>
      </w:r>
      <w:proofErr w:type="spellStart"/>
      <w:r w:rsidRPr="009631BA">
        <w:rPr>
          <w:rFonts w:ascii="Times New Roman" w:hAnsi="Times New Roman" w:cs="Times New Roman"/>
          <w:color w:val="414141"/>
          <w:sz w:val="20"/>
          <w:szCs w:val="20"/>
          <w:shd w:val="clear" w:color="auto" w:fill="FFFFFF"/>
        </w:rPr>
        <w:t>Effurun</w:t>
      </w:r>
      <w:proofErr w:type="spellEnd"/>
      <w:r w:rsidRPr="009631BA">
        <w:rPr>
          <w:rFonts w:ascii="Times New Roman" w:hAnsi="Times New Roman" w:cs="Times New Roman"/>
          <w:color w:val="414141"/>
          <w:sz w:val="20"/>
          <w:szCs w:val="20"/>
          <w:shd w:val="clear" w:color="auto" w:fill="FFFFFF"/>
        </w:rPr>
        <w:t xml:space="preserve"> – Water Test Laboratory were utilized for the physical, chemical and biological test assessment and the following water parameters were collated in the test laboratory for the three samples of water – Sample A, Sample B and Sample C: pH, turbidity, total dissolved solids, total suspended solids, conductivity, total alkalinity, chloride, total hardness, biological oxygen demand, zinc, nitrate, total ion, lead and coliform count were taken and recorded. The results obtained show that the treated waste water has a high content of chloride of 592.19mg/L for the three samples of waste water treated as against the WHO standard of 250mg/L (max) and this will make the water to have detectable taste and harmful to human health, while the high content of coliform count of 50cfu/100ml indicates high risk of contracting a water-borne illness, and it needs to be checked. It is recommended a repeated water treatment should be embarked on the three treated samples waste water A, B and C respectively.</w:t>
      </w:r>
      <w:r w:rsidR="000B6A8F" w:rsidRPr="009631BA">
        <w:rPr>
          <w:rFonts w:ascii="Times New Roman" w:hAnsi="Times New Roman" w:cs="Times New Roman"/>
          <w:b/>
          <w:bCs/>
          <w:color w:val="000000" w:themeColor="text1"/>
          <w:sz w:val="20"/>
          <w:szCs w:val="20"/>
        </w:rPr>
        <w:t xml:space="preserve"> </w:t>
      </w:r>
    </w:p>
    <w:p w14:paraId="5501AD32" w14:textId="556E0041" w:rsidR="00DA52F4" w:rsidRPr="001E51F3" w:rsidRDefault="00DA52F4" w:rsidP="00F332CE">
      <w:pPr>
        <w:pBdr>
          <w:bottom w:val="single" w:sz="4" w:space="1" w:color="auto"/>
        </w:pBdr>
        <w:spacing w:after="0" w:line="240"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000C7AD6">
        <w:rPr>
          <w:rFonts w:ascii="Times New Roman" w:hAnsi="Times New Roman" w:cs="Times New Roman"/>
          <w:color w:val="000000" w:themeColor="text1"/>
          <w:sz w:val="20"/>
          <w:szCs w:val="20"/>
        </w:rPr>
        <w:t xml:space="preserve"> </w:t>
      </w:r>
      <w:r w:rsidR="000C7AD6" w:rsidRPr="00A1480D">
        <w:rPr>
          <w:rFonts w:ascii="Times New Roman" w:hAnsi="Times New Roman" w:cs="Times New Roman"/>
          <w:sz w:val="20"/>
          <w:szCs w:val="20"/>
        </w:rPr>
        <w:t>Investigation, Usage, Eichhornia Crassipes, Cleansing, Treatment, Wastewater</w:t>
      </w:r>
    </w:p>
    <w:p w14:paraId="5FC3C081" w14:textId="77777777" w:rsidR="003B6A71" w:rsidRDefault="00911ACD" w:rsidP="00F332CE">
      <w:pPr>
        <w:pStyle w:val="ListParagraph"/>
        <w:numPr>
          <w:ilvl w:val="0"/>
          <w:numId w:val="21"/>
        </w:numPr>
        <w:spacing w:after="0" w:line="240"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3B6A71">
        <w:rPr>
          <w:rFonts w:ascii="Times New Roman" w:hAnsi="Times New Roman" w:cs="Times New Roman"/>
          <w:b/>
          <w:bCs/>
          <w:color w:val="000000" w:themeColor="text1"/>
          <w:sz w:val="24"/>
          <w:szCs w:val="24"/>
        </w:rPr>
        <w:t xml:space="preserve"> </w:t>
      </w:r>
    </w:p>
    <w:p w14:paraId="6800A36C" w14:textId="252940F9" w:rsidR="003B6A71" w:rsidRPr="003B6A71" w:rsidRDefault="003B6A71" w:rsidP="00F332CE">
      <w:pPr>
        <w:spacing w:before="54" w:after="0" w:line="240" w:lineRule="auto"/>
        <w:jc w:val="both"/>
        <w:rPr>
          <w:rFonts w:ascii="Times New Roman" w:hAnsi="Times New Roman" w:cs="Times New Roman"/>
          <w:b/>
          <w:bCs/>
          <w:color w:val="000000" w:themeColor="text1"/>
          <w:sz w:val="20"/>
          <w:szCs w:val="20"/>
        </w:rPr>
      </w:pPr>
      <w:r w:rsidRPr="003B6A71">
        <w:rPr>
          <w:rFonts w:ascii="Times New Roman" w:hAnsi="Times New Roman" w:cs="Times New Roman"/>
          <w:color w:val="414141"/>
          <w:sz w:val="20"/>
          <w:szCs w:val="20"/>
        </w:rPr>
        <w:t>The water hyacin</w:t>
      </w:r>
      <w:r>
        <w:rPr>
          <w:rFonts w:ascii="Times New Roman" w:hAnsi="Times New Roman" w:cs="Times New Roman"/>
          <w:color w:val="414141"/>
          <w:sz w:val="20"/>
          <w:szCs w:val="20"/>
        </w:rPr>
        <w:t>th, which is also known as the E</w:t>
      </w:r>
      <w:r w:rsidRPr="003B6A71">
        <w:rPr>
          <w:rFonts w:ascii="Times New Roman" w:hAnsi="Times New Roman" w:cs="Times New Roman"/>
          <w:color w:val="414141"/>
          <w:sz w:val="20"/>
          <w:szCs w:val="20"/>
        </w:rPr>
        <w:t xml:space="preserve">ichhornia crassipes, is a plant that grows and floats on the upper surface of freshwater. It can also be anchored in mud, substantiating it to be the most booming settlers’ plant globally </w:t>
      </w:r>
      <w:r w:rsidR="00F21074">
        <w:rPr>
          <w:rFonts w:ascii="Times New Roman" w:hAnsi="Times New Roman" w:cs="Times New Roman"/>
          <w:color w:val="414141"/>
          <w:sz w:val="20"/>
          <w:szCs w:val="20"/>
        </w:rPr>
        <w:t xml:space="preserve">[1, 2, </w:t>
      </w:r>
      <w:proofErr w:type="gramStart"/>
      <w:r w:rsidR="00F21074">
        <w:rPr>
          <w:rFonts w:ascii="Times New Roman" w:hAnsi="Times New Roman" w:cs="Times New Roman"/>
          <w:color w:val="414141"/>
          <w:sz w:val="20"/>
          <w:szCs w:val="20"/>
        </w:rPr>
        <w:t>3</w:t>
      </w:r>
      <w:proofErr w:type="gramEnd"/>
      <w:r w:rsidR="00F21074">
        <w:rPr>
          <w:rFonts w:ascii="Times New Roman" w:hAnsi="Times New Roman" w:cs="Times New Roman"/>
          <w:color w:val="414141"/>
          <w:sz w:val="20"/>
          <w:szCs w:val="20"/>
        </w:rPr>
        <w:t>]</w:t>
      </w:r>
      <w:r w:rsidRPr="003B6A71">
        <w:rPr>
          <w:rFonts w:ascii="Times New Roman" w:hAnsi="Times New Roman" w:cs="Times New Roman"/>
          <w:color w:val="414141"/>
          <w:sz w:val="20"/>
          <w:szCs w:val="20"/>
        </w:rPr>
        <w:t xml:space="preserve">. The achingly blistering ratable augmentation of the water generally results in the abatement of the height of penetrability together with the dissolved oxygen in the water bodies, variation in the water chemistry effect the flora together with the fauna; rise in the rate of water reduction as a result of loss of water from the soil via evaporation and by transpiration from the plant, and it is now put into consideration as a severe menace to biodiversity </w:t>
      </w:r>
      <w:r w:rsidR="00F21074">
        <w:rPr>
          <w:rFonts w:ascii="Times New Roman" w:hAnsi="Times New Roman" w:cs="Times New Roman"/>
          <w:color w:val="414141"/>
          <w:sz w:val="20"/>
          <w:szCs w:val="20"/>
        </w:rPr>
        <w:t>[4, 5]</w:t>
      </w:r>
      <w:r w:rsidRPr="003B6A71">
        <w:rPr>
          <w:rFonts w:ascii="Times New Roman" w:hAnsi="Times New Roman" w:cs="Times New Roman"/>
          <w:color w:val="414141"/>
          <w:sz w:val="20"/>
          <w:szCs w:val="20"/>
        </w:rPr>
        <w:t>.</w:t>
      </w:r>
    </w:p>
    <w:p w14:paraId="02F0FD42" w14:textId="5883E1F9" w:rsidR="003B6A71" w:rsidRDefault="00F21074" w:rsidP="00F332CE">
      <w:pPr>
        <w:pStyle w:val="NormalWeb"/>
        <w:shd w:val="clear" w:color="auto" w:fill="FFFFFF"/>
        <w:spacing w:before="0" w:beforeAutospacing="0" w:after="0" w:afterAutospacing="0"/>
        <w:jc w:val="both"/>
        <w:rPr>
          <w:color w:val="414141"/>
          <w:sz w:val="20"/>
          <w:szCs w:val="20"/>
        </w:rPr>
      </w:pPr>
      <w:r>
        <w:rPr>
          <w:color w:val="414141"/>
          <w:sz w:val="20"/>
          <w:szCs w:val="20"/>
        </w:rPr>
        <w:t xml:space="preserve">Precisely, </w:t>
      </w:r>
      <w:r w:rsidR="005800BC">
        <w:rPr>
          <w:color w:val="414141"/>
          <w:sz w:val="20"/>
          <w:szCs w:val="20"/>
        </w:rPr>
        <w:t>it</w:t>
      </w:r>
      <w:r w:rsidR="003B6A71" w:rsidRPr="003B6A71">
        <w:rPr>
          <w:color w:val="414141"/>
          <w:sz w:val="20"/>
          <w:szCs w:val="20"/>
        </w:rPr>
        <w:t xml:space="preserve"> reportedly opined at the International Water Hyacinth Consortium at the World Bank, Washington that further actionable measures should be moved in the direction of regulating weeds as their usage is not a factual measure of regulation</w:t>
      </w:r>
      <w:r w:rsidR="005800BC">
        <w:rPr>
          <w:color w:val="414141"/>
          <w:sz w:val="20"/>
          <w:szCs w:val="20"/>
        </w:rPr>
        <w:t xml:space="preserve"> [4]</w:t>
      </w:r>
      <w:r w:rsidR="003B6A71" w:rsidRPr="003B6A71">
        <w:rPr>
          <w:color w:val="414141"/>
          <w:sz w:val="20"/>
          <w:szCs w:val="20"/>
        </w:rPr>
        <w:t xml:space="preserve">. Also, recently, significant awareness appears to have been given to the water hyacinths harvested for experimental purposes, like Fragmental defrayal of the cost of terminating plants from the waterways together with the usage as preference plant protein source in the feeding of livestock and fish respectively, as a result of the pertinacious challenge of the expensive cost of aquatic feeding </w:t>
      </w:r>
      <w:r>
        <w:rPr>
          <w:color w:val="414141"/>
          <w:sz w:val="20"/>
          <w:szCs w:val="20"/>
        </w:rPr>
        <w:t>[3, 6, 7].</w:t>
      </w:r>
    </w:p>
    <w:p w14:paraId="267BFBB4" w14:textId="25971319" w:rsidR="003B6A71" w:rsidRPr="003B6A71" w:rsidRDefault="003B6A71" w:rsidP="00F332CE">
      <w:pPr>
        <w:pStyle w:val="NormalWeb"/>
        <w:shd w:val="clear" w:color="auto" w:fill="FFFFFF"/>
        <w:spacing w:before="0" w:beforeAutospacing="0" w:after="0" w:afterAutospacing="0"/>
        <w:jc w:val="both"/>
        <w:rPr>
          <w:color w:val="414141"/>
          <w:sz w:val="20"/>
          <w:szCs w:val="20"/>
        </w:rPr>
      </w:pPr>
      <w:r w:rsidRPr="003B6A71">
        <w:rPr>
          <w:color w:val="414141"/>
          <w:sz w:val="20"/>
          <w:szCs w:val="20"/>
        </w:rPr>
        <w:t>Simi</w:t>
      </w:r>
      <w:r w:rsidR="00F21074">
        <w:rPr>
          <w:color w:val="414141"/>
          <w:sz w:val="20"/>
          <w:szCs w:val="20"/>
        </w:rPr>
        <w:t xml:space="preserve">larly, </w:t>
      </w:r>
      <w:r w:rsidR="003E3A44">
        <w:rPr>
          <w:color w:val="414141"/>
          <w:sz w:val="20"/>
          <w:szCs w:val="20"/>
        </w:rPr>
        <w:t>it was</w:t>
      </w:r>
      <w:r w:rsidR="00F21074">
        <w:rPr>
          <w:color w:val="414141"/>
          <w:sz w:val="20"/>
          <w:szCs w:val="20"/>
        </w:rPr>
        <w:t xml:space="preserve"> </w:t>
      </w:r>
      <w:r w:rsidR="00F21074" w:rsidRPr="003B6A71">
        <w:rPr>
          <w:color w:val="414141"/>
          <w:sz w:val="20"/>
          <w:szCs w:val="20"/>
        </w:rPr>
        <w:t>also</w:t>
      </w:r>
      <w:r w:rsidRPr="003B6A71">
        <w:rPr>
          <w:color w:val="414141"/>
          <w:sz w:val="20"/>
          <w:szCs w:val="20"/>
        </w:rPr>
        <w:t xml:space="preserve"> reported that chemical appraisal of the Eichhornia crassipes shows that it entails very huge amounts of fibrous or cell wall materials that are majorly cellulose</w:t>
      </w:r>
      <w:r w:rsidR="003E3A44">
        <w:rPr>
          <w:color w:val="414141"/>
          <w:sz w:val="20"/>
          <w:szCs w:val="20"/>
        </w:rPr>
        <w:t xml:space="preserve"> [8, 9]</w:t>
      </w:r>
      <w:r w:rsidRPr="003B6A71">
        <w:rPr>
          <w:color w:val="414141"/>
          <w:sz w:val="20"/>
          <w:szCs w:val="20"/>
        </w:rPr>
        <w:t>, which were authenti</w:t>
      </w:r>
      <w:r w:rsidR="00F21074">
        <w:rPr>
          <w:color w:val="414141"/>
          <w:sz w:val="20"/>
          <w:szCs w:val="20"/>
        </w:rPr>
        <w:t>cated via [10]</w:t>
      </w:r>
      <w:r w:rsidRPr="003B6A71">
        <w:rPr>
          <w:color w:val="414141"/>
          <w:sz w:val="20"/>
          <w:szCs w:val="20"/>
        </w:rPr>
        <w:t xml:space="preserve"> but loaded with large amounts of a</w:t>
      </w:r>
      <w:r w:rsidR="00F21074">
        <w:rPr>
          <w:color w:val="414141"/>
          <w:sz w:val="20"/>
          <w:szCs w:val="20"/>
        </w:rPr>
        <w:t>mino acid profile [11]</w:t>
      </w:r>
      <w:r w:rsidRPr="003B6A71">
        <w:rPr>
          <w:color w:val="414141"/>
          <w:sz w:val="20"/>
          <w:szCs w:val="20"/>
        </w:rPr>
        <w:t xml:space="preserve"> and this is importan</w:t>
      </w:r>
      <w:r w:rsidR="00F21074">
        <w:rPr>
          <w:color w:val="414141"/>
          <w:sz w:val="20"/>
          <w:szCs w:val="20"/>
        </w:rPr>
        <w:t>t due to the vitamins [12]</w:t>
      </w:r>
      <w:r w:rsidRPr="003B6A71">
        <w:rPr>
          <w:color w:val="414141"/>
          <w:sz w:val="20"/>
          <w:szCs w:val="20"/>
        </w:rPr>
        <w:t xml:space="preserve">. The large amount of fiber present in the whole Eichhornia </w:t>
      </w:r>
      <w:proofErr w:type="spellStart"/>
      <w:r w:rsidRPr="003B6A71">
        <w:rPr>
          <w:color w:val="414141"/>
          <w:sz w:val="20"/>
          <w:szCs w:val="20"/>
        </w:rPr>
        <w:t>crassipesplant</w:t>
      </w:r>
      <w:proofErr w:type="spellEnd"/>
      <w:r w:rsidRPr="003B6A71">
        <w:rPr>
          <w:color w:val="414141"/>
          <w:sz w:val="20"/>
          <w:szCs w:val="20"/>
        </w:rPr>
        <w:t xml:space="preserve"> meal has put huge confinement into the effectiveness of the usage by fish as feeding constituents </w:t>
      </w:r>
      <w:r w:rsidR="00F21074">
        <w:rPr>
          <w:color w:val="414141"/>
          <w:sz w:val="20"/>
          <w:szCs w:val="20"/>
        </w:rPr>
        <w:t>[10, 13, 14]</w:t>
      </w:r>
      <w:r w:rsidRPr="003B6A71">
        <w:rPr>
          <w:color w:val="414141"/>
          <w:sz w:val="20"/>
          <w:szCs w:val="20"/>
        </w:rPr>
        <w:t xml:space="preserve">. Irrespective of the water hyacinth's large nutritional quality, its potential to use as </w:t>
      </w:r>
      <w:r w:rsidR="001326AE" w:rsidRPr="003B6A71">
        <w:rPr>
          <w:color w:val="414141"/>
          <w:sz w:val="20"/>
          <w:szCs w:val="20"/>
        </w:rPr>
        <w:t>waste</w:t>
      </w:r>
      <w:r w:rsidRPr="003B6A71">
        <w:rPr>
          <w:color w:val="414141"/>
          <w:sz w:val="20"/>
          <w:szCs w:val="20"/>
        </w:rPr>
        <w:t xml:space="preserve"> water </w:t>
      </w:r>
      <w:r w:rsidR="001326AE" w:rsidRPr="003B6A71">
        <w:rPr>
          <w:color w:val="414141"/>
          <w:sz w:val="20"/>
          <w:szCs w:val="20"/>
        </w:rPr>
        <w:t>cleanse</w:t>
      </w:r>
      <w:r w:rsidR="001326AE">
        <w:rPr>
          <w:color w:val="414141"/>
          <w:sz w:val="20"/>
          <w:szCs w:val="20"/>
        </w:rPr>
        <w:t>r</w:t>
      </w:r>
      <w:r w:rsidRPr="003B6A71">
        <w:rPr>
          <w:color w:val="414141"/>
          <w:sz w:val="20"/>
          <w:szCs w:val="20"/>
        </w:rPr>
        <w:t xml:space="preserve"> has been detailed by very many research sch</w:t>
      </w:r>
      <w:r w:rsidR="000C7AD6">
        <w:rPr>
          <w:color w:val="414141"/>
          <w:sz w:val="20"/>
          <w:szCs w:val="20"/>
        </w:rPr>
        <w:t>olars and this study</w:t>
      </w:r>
      <w:r w:rsidR="00F21074">
        <w:rPr>
          <w:color w:val="414141"/>
          <w:sz w:val="20"/>
          <w:szCs w:val="20"/>
        </w:rPr>
        <w:t xml:space="preserve"> [2</w:t>
      </w:r>
      <w:proofErr w:type="gramStart"/>
      <w:r w:rsidR="00F21074">
        <w:rPr>
          <w:color w:val="414141"/>
          <w:sz w:val="20"/>
          <w:szCs w:val="20"/>
        </w:rPr>
        <w:t>,15,16,17</w:t>
      </w:r>
      <w:proofErr w:type="gramEnd"/>
      <w:r w:rsidR="00F21074">
        <w:rPr>
          <w:color w:val="414141"/>
          <w:sz w:val="20"/>
          <w:szCs w:val="20"/>
        </w:rPr>
        <w:t>].</w:t>
      </w:r>
    </w:p>
    <w:p w14:paraId="7D73F364" w14:textId="318BE276" w:rsidR="003B6A71" w:rsidRPr="003B6A71" w:rsidRDefault="003B6A71" w:rsidP="00F332CE">
      <w:pPr>
        <w:pStyle w:val="NormalWeb"/>
        <w:shd w:val="clear" w:color="auto" w:fill="FFFFFF"/>
        <w:spacing w:before="0" w:beforeAutospacing="0" w:after="0" w:afterAutospacing="0"/>
        <w:jc w:val="both"/>
        <w:rPr>
          <w:color w:val="414141"/>
          <w:sz w:val="20"/>
          <w:szCs w:val="20"/>
        </w:rPr>
      </w:pPr>
      <w:r w:rsidRPr="003B6A71">
        <w:rPr>
          <w:color w:val="414141"/>
          <w:sz w:val="20"/>
          <w:szCs w:val="20"/>
        </w:rPr>
        <w:t>Convoluted techniques are emanating every day in the areas of production of waste is rising astronomically and this is depreciating the quality of the environment, thereby advancing a very severe challenge. This challenge is somewhat complex when the question increases as regard to waste treatment together with waste disposability and this ushers in several categories of pollutants coupled with their bad causes to the health of human beings. Meanwhile, controlling these bad effectual outcomes, appropriate treatment of waste needs to be embarked upon together with standards that will bring it into allowable points and the disposability follow as well and treating waste water, it required biological together with biochemical techniques</w:t>
      </w:r>
      <w:r w:rsidR="005800BC">
        <w:rPr>
          <w:color w:val="414141"/>
          <w:sz w:val="20"/>
          <w:szCs w:val="20"/>
        </w:rPr>
        <w:t xml:space="preserve"> that are accessible [18]</w:t>
      </w:r>
      <w:r w:rsidRPr="003B6A71">
        <w:rPr>
          <w:color w:val="414141"/>
          <w:sz w:val="20"/>
          <w:szCs w:val="20"/>
        </w:rPr>
        <w:t>. </w:t>
      </w:r>
    </w:p>
    <w:p w14:paraId="644D3CB6" w14:textId="69A6EE02" w:rsidR="003B6A71" w:rsidRPr="003B6A71" w:rsidRDefault="000056CC" w:rsidP="00F332CE">
      <w:pPr>
        <w:pStyle w:val="NormalWeb"/>
        <w:shd w:val="clear" w:color="auto" w:fill="FFFFFF"/>
        <w:spacing w:before="0" w:beforeAutospacing="0" w:after="0" w:afterAutospacing="0"/>
        <w:jc w:val="both"/>
        <w:rPr>
          <w:color w:val="414141"/>
          <w:sz w:val="20"/>
          <w:szCs w:val="20"/>
        </w:rPr>
      </w:pPr>
      <w:r>
        <w:rPr>
          <w:color w:val="414141"/>
          <w:sz w:val="20"/>
          <w:szCs w:val="20"/>
        </w:rPr>
        <w:t xml:space="preserve">The study of </w:t>
      </w:r>
      <w:r w:rsidRPr="003B6A71">
        <w:rPr>
          <w:color w:val="414141"/>
          <w:sz w:val="20"/>
          <w:szCs w:val="20"/>
        </w:rPr>
        <w:t>the</w:t>
      </w:r>
      <w:r w:rsidR="003B6A71" w:rsidRPr="003B6A71">
        <w:rPr>
          <w:color w:val="414141"/>
          <w:sz w:val="20"/>
          <w:szCs w:val="20"/>
        </w:rPr>
        <w:t xml:space="preserve"> impingement of Eichhornia Crassipes in ameliorating the waste water properties because</w:t>
      </w:r>
      <w:r>
        <w:rPr>
          <w:color w:val="414141"/>
          <w:sz w:val="20"/>
          <w:szCs w:val="20"/>
        </w:rPr>
        <w:t xml:space="preserve"> of</w:t>
      </w:r>
      <w:r w:rsidR="003B6A71" w:rsidRPr="003B6A71">
        <w:rPr>
          <w:color w:val="414141"/>
          <w:sz w:val="20"/>
          <w:szCs w:val="20"/>
        </w:rPr>
        <w:t xml:space="preserve"> industrial sewage administration is a severe problem in most countries that are underdeveloped</w:t>
      </w:r>
      <w:r>
        <w:rPr>
          <w:color w:val="414141"/>
          <w:sz w:val="20"/>
          <w:szCs w:val="20"/>
        </w:rPr>
        <w:t xml:space="preserve"> [19]</w:t>
      </w:r>
      <w:r w:rsidR="003B6A71" w:rsidRPr="003B6A71">
        <w:rPr>
          <w:color w:val="414141"/>
          <w:sz w:val="20"/>
          <w:szCs w:val="20"/>
        </w:rPr>
        <w:t>. The result of the work showed that the root powder of Eichhornia Crassipes with a dose of 1.5g/L together with a contact period of thirty minutes is effectual in conveying the waste water parameters into allowable scope. </w:t>
      </w:r>
    </w:p>
    <w:p w14:paraId="021EF5DA" w14:textId="7A92EF67" w:rsidR="003B6A71" w:rsidRPr="003B6A71" w:rsidRDefault="000056CC" w:rsidP="00F332CE">
      <w:pPr>
        <w:pStyle w:val="NormalWeb"/>
        <w:shd w:val="clear" w:color="auto" w:fill="FFFFFF"/>
        <w:spacing w:before="0" w:beforeAutospacing="0" w:after="0" w:afterAutospacing="0"/>
        <w:jc w:val="both"/>
        <w:rPr>
          <w:color w:val="414141"/>
          <w:sz w:val="20"/>
          <w:szCs w:val="20"/>
        </w:rPr>
      </w:pPr>
      <w:r>
        <w:rPr>
          <w:color w:val="414141"/>
          <w:sz w:val="20"/>
          <w:szCs w:val="20"/>
        </w:rPr>
        <w:t>The investigation of</w:t>
      </w:r>
      <w:r w:rsidR="003B6A71" w:rsidRPr="003B6A71">
        <w:rPr>
          <w:color w:val="414141"/>
          <w:sz w:val="20"/>
          <w:szCs w:val="20"/>
        </w:rPr>
        <w:t xml:space="preserve"> the impingements of Eichhornia crassipes on the treatment of water quality i</w:t>
      </w:r>
      <w:r>
        <w:rPr>
          <w:color w:val="414141"/>
          <w:sz w:val="20"/>
          <w:szCs w:val="20"/>
        </w:rPr>
        <w:t>n a tidal estuarine environment was conducted by [20].</w:t>
      </w:r>
      <w:r w:rsidR="003B6A71" w:rsidRPr="003B6A71">
        <w:rPr>
          <w:color w:val="414141"/>
          <w:sz w:val="20"/>
          <w:szCs w:val="20"/>
        </w:rPr>
        <w:t xml:space="preserve"> The investigation revealed that Eichhornia crassipes change the quality of water and that they affect dissolved oxygen together with turbidity, and that these parameters convalesce to the localized mean after treating it.</w:t>
      </w:r>
    </w:p>
    <w:p w14:paraId="78CA569A" w14:textId="09073130" w:rsidR="003B6A71" w:rsidRPr="003B6A71" w:rsidRDefault="00155D16" w:rsidP="00F332CE">
      <w:pPr>
        <w:pStyle w:val="NormalWeb"/>
        <w:shd w:val="clear" w:color="auto" w:fill="FFFFFF"/>
        <w:spacing w:before="0" w:beforeAutospacing="0" w:after="0" w:afterAutospacing="0"/>
        <w:jc w:val="both"/>
        <w:rPr>
          <w:color w:val="414141"/>
          <w:sz w:val="20"/>
          <w:szCs w:val="20"/>
        </w:rPr>
      </w:pPr>
      <w:r>
        <w:rPr>
          <w:color w:val="414141"/>
          <w:sz w:val="20"/>
          <w:szCs w:val="20"/>
        </w:rPr>
        <w:t xml:space="preserve">The study </w:t>
      </w:r>
      <w:r w:rsidR="0057059A">
        <w:rPr>
          <w:color w:val="414141"/>
          <w:sz w:val="20"/>
          <w:szCs w:val="20"/>
        </w:rPr>
        <w:t xml:space="preserve">of </w:t>
      </w:r>
      <w:r w:rsidR="0057059A" w:rsidRPr="003B6A71">
        <w:rPr>
          <w:color w:val="414141"/>
          <w:sz w:val="20"/>
          <w:szCs w:val="20"/>
        </w:rPr>
        <w:t>the</w:t>
      </w:r>
      <w:r w:rsidR="003B6A71" w:rsidRPr="003B6A71">
        <w:rPr>
          <w:color w:val="414141"/>
          <w:sz w:val="20"/>
          <w:szCs w:val="20"/>
        </w:rPr>
        <w:t xml:space="preserve"> waste water treatment utilizing Eichhornia Crassipes</w:t>
      </w:r>
      <w:r>
        <w:rPr>
          <w:color w:val="414141"/>
          <w:sz w:val="20"/>
          <w:szCs w:val="20"/>
        </w:rPr>
        <w:t xml:space="preserve"> was done by [21]</w:t>
      </w:r>
      <w:r w:rsidR="003B6A71" w:rsidRPr="003B6A71">
        <w:rPr>
          <w:color w:val="414141"/>
          <w:sz w:val="20"/>
          <w:szCs w:val="20"/>
        </w:rPr>
        <w:t xml:space="preserve">. The investigation evaluates how water hyacinths affect two dissimilar kinds of sewer or drainage line – the first one is from the water closet while the second </w:t>
      </w:r>
      <w:r w:rsidR="003B6A71" w:rsidRPr="003B6A71">
        <w:rPr>
          <w:color w:val="414141"/>
          <w:sz w:val="20"/>
          <w:szCs w:val="20"/>
        </w:rPr>
        <w:lastRenderedPageBreak/>
        <w:t>one is from the shower room. The result reveals a consequential decrement in the turbidity because of the disposal of flocs together with the abatement of organic materials observed in the water.   </w:t>
      </w:r>
    </w:p>
    <w:p w14:paraId="63DD1D67" w14:textId="494E61BA" w:rsidR="003B6A71" w:rsidRPr="003B6A71" w:rsidRDefault="003B6A71" w:rsidP="00F332CE">
      <w:pPr>
        <w:pStyle w:val="NormalWeb"/>
        <w:shd w:val="clear" w:color="auto" w:fill="FFFFFF"/>
        <w:spacing w:before="0" w:beforeAutospacing="0" w:after="0" w:afterAutospacing="0"/>
        <w:jc w:val="both"/>
        <w:rPr>
          <w:color w:val="414141"/>
          <w:sz w:val="20"/>
          <w:szCs w:val="20"/>
        </w:rPr>
      </w:pPr>
      <w:r w:rsidRPr="003B6A71">
        <w:rPr>
          <w:color w:val="414141"/>
          <w:sz w:val="20"/>
          <w:szCs w:val="20"/>
        </w:rPr>
        <w:t>Furthermore, in this present work, the investigation of the usage of Eichhornia crassipes in the treatment and cleansing of waste water will be looked at.</w:t>
      </w:r>
    </w:p>
    <w:p w14:paraId="7A033264" w14:textId="77777777" w:rsidR="00DA52F4" w:rsidRPr="001E51F3" w:rsidRDefault="00DA52F4" w:rsidP="00F332CE">
      <w:pPr>
        <w:pStyle w:val="ListParagraph"/>
        <w:numPr>
          <w:ilvl w:val="0"/>
          <w:numId w:val="21"/>
        </w:numPr>
        <w:spacing w:before="54" w:after="0" w:line="240"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28D8C116" w14:textId="77777777" w:rsidR="006E155C" w:rsidRPr="006E155C" w:rsidRDefault="006E155C" w:rsidP="00F332CE">
      <w:pPr>
        <w:spacing w:after="0" w:line="240" w:lineRule="auto"/>
        <w:jc w:val="both"/>
        <w:rPr>
          <w:rFonts w:ascii="Times New Roman" w:hAnsi="Times New Roman" w:cs="Times New Roman"/>
          <w:b/>
          <w:sz w:val="24"/>
          <w:szCs w:val="24"/>
        </w:rPr>
      </w:pPr>
      <w:r w:rsidRPr="006E155C">
        <w:rPr>
          <w:rFonts w:ascii="Times New Roman" w:hAnsi="Times New Roman" w:cs="Times New Roman"/>
          <w:b/>
          <w:sz w:val="24"/>
          <w:szCs w:val="24"/>
        </w:rPr>
        <w:t>2.1</w:t>
      </w:r>
      <w:r w:rsidRPr="006E155C">
        <w:rPr>
          <w:rFonts w:ascii="Times New Roman" w:hAnsi="Times New Roman" w:cs="Times New Roman"/>
          <w:b/>
          <w:sz w:val="24"/>
          <w:szCs w:val="24"/>
        </w:rPr>
        <w:tab/>
        <w:t>Material Used</w:t>
      </w:r>
    </w:p>
    <w:p w14:paraId="1E743113" w14:textId="77777777" w:rsidR="006E155C" w:rsidRPr="006E155C" w:rsidRDefault="006E155C" w:rsidP="00F332CE">
      <w:pPr>
        <w:spacing w:after="0" w:line="240" w:lineRule="auto"/>
        <w:jc w:val="both"/>
        <w:rPr>
          <w:rFonts w:ascii="Times New Roman" w:eastAsiaTheme="minorEastAsia" w:hAnsi="Times New Roman" w:cs="Times New Roman"/>
          <w:sz w:val="20"/>
          <w:szCs w:val="20"/>
        </w:rPr>
      </w:pPr>
      <w:r w:rsidRPr="006E155C">
        <w:rPr>
          <w:rFonts w:ascii="Times New Roman" w:hAnsi="Times New Roman" w:cs="Times New Roman"/>
          <w:sz w:val="20"/>
          <w:szCs w:val="20"/>
        </w:rPr>
        <w:t>The materials utilized in carrying out the different techniques required are: pH meter, beaker, buffer solution, 100ml beaker – evaporating dish, 100ml – measuring cylinder, hot plate, drying oven, analytical balance, glass filter or filter paper, desiccator, conductivity meter, beaker, conductivity standard solution, distilled water, 250ml – conical flasks, 10ml – measuring cylinder, clamp and stand, burette, atomic absorption spectrophotometer, turbiditric ASTM, standard methods of water and wastewater(SM 4500-</w:t>
      </w:r>
      <m:oMath>
        <m:sSubSup>
          <m:sSubSupPr>
            <m:ctrlPr>
              <w:rPr>
                <w:rFonts w:ascii="Cambria Math" w:hAnsi="Cambria Math" w:cs="Times New Roman"/>
                <w:sz w:val="20"/>
                <w:szCs w:val="20"/>
              </w:rPr>
            </m:ctrlPr>
          </m:sSubSupPr>
          <m:e>
            <m:r>
              <m:rPr>
                <m:sty m:val="p"/>
              </m:rPr>
              <w:rPr>
                <w:rFonts w:ascii="Cambria Math" w:hAnsi="Cambria Math" w:cs="Times New Roman"/>
                <w:sz w:val="20"/>
                <w:szCs w:val="20"/>
              </w:rPr>
              <m:t>SO</m:t>
            </m:r>
          </m:e>
          <m:sub>
            <m:r>
              <m:rPr>
                <m:sty m:val="p"/>
              </m:rPr>
              <w:rPr>
                <w:rFonts w:ascii="Cambria Math" w:hAnsi="Cambria Math" w:cs="Times New Roman"/>
                <w:sz w:val="20"/>
                <w:szCs w:val="20"/>
              </w:rPr>
              <m:t>4</m:t>
            </m:r>
          </m:sub>
          <m:sup>
            <m:r>
              <m:rPr>
                <m:sty m:val="p"/>
              </m:rPr>
              <w:rPr>
                <w:rFonts w:ascii="Cambria Math" w:hAnsi="Cambria Math" w:cs="Times New Roman"/>
                <w:sz w:val="20"/>
                <w:szCs w:val="20"/>
              </w:rPr>
              <m:t>2-</m:t>
            </m:r>
          </m:sup>
        </m:sSubSup>
      </m:oMath>
      <w:r w:rsidRPr="006E155C">
        <w:rPr>
          <w:rFonts w:ascii="Times New Roman" w:eastAsiaTheme="minorEastAsia" w:hAnsi="Times New Roman" w:cs="Times New Roman"/>
          <w:sz w:val="20"/>
          <w:szCs w:val="20"/>
        </w:rPr>
        <w:t>) and nitrate as nitrogen  UV spectrophotometric screening</w:t>
      </w:r>
      <w:r w:rsidRPr="006E155C">
        <w:rPr>
          <w:rFonts w:ascii="Times New Roman" w:hAnsi="Times New Roman" w:cs="Times New Roman"/>
          <w:sz w:val="20"/>
          <w:szCs w:val="20"/>
        </w:rPr>
        <w:t>(SM 4500-</w:t>
      </w:r>
      <m:oMath>
        <m:sSubSup>
          <m:sSubSupPr>
            <m:ctrlPr>
              <w:rPr>
                <w:rFonts w:ascii="Cambria Math" w:hAnsi="Cambria Math" w:cs="Times New Roman"/>
                <w:sz w:val="20"/>
                <w:szCs w:val="20"/>
              </w:rPr>
            </m:ctrlPr>
          </m:sSubSupPr>
          <m:e>
            <m:r>
              <m:rPr>
                <m:sty m:val="p"/>
              </m:rPr>
              <w:rPr>
                <w:rFonts w:ascii="Cambria Math" w:hAnsi="Cambria Math" w:cs="Times New Roman"/>
                <w:sz w:val="20"/>
                <w:szCs w:val="20"/>
              </w:rPr>
              <m:t>NO</m:t>
            </m:r>
          </m:e>
          <m:sub>
            <m:r>
              <m:rPr>
                <m:sty m:val="p"/>
              </m:rPr>
              <w:rPr>
                <w:rFonts w:ascii="Cambria Math" w:hAnsi="Cambria Math" w:cs="Times New Roman"/>
                <w:sz w:val="20"/>
                <w:szCs w:val="20"/>
              </w:rPr>
              <m:t>3</m:t>
            </m:r>
          </m:sub>
          <m:sup>
            <m:r>
              <m:rPr>
                <m:sty m:val="p"/>
              </m:rPr>
              <w:rPr>
                <w:rFonts w:ascii="Cambria Math" w:hAnsi="Cambria Math" w:cs="Times New Roman"/>
                <w:sz w:val="20"/>
                <w:szCs w:val="20"/>
              </w:rPr>
              <m:t>-</m:t>
            </m:r>
          </m:sup>
        </m:sSubSup>
      </m:oMath>
      <w:r w:rsidRPr="006E155C">
        <w:rPr>
          <w:rFonts w:ascii="Times New Roman" w:eastAsiaTheme="minorEastAsia" w:hAnsi="Times New Roman" w:cs="Times New Roman"/>
          <w:sz w:val="20"/>
          <w:szCs w:val="20"/>
        </w:rPr>
        <w:t xml:space="preserve">) respectively. </w:t>
      </w:r>
    </w:p>
    <w:p w14:paraId="45A1A6B9" w14:textId="14CA7F30" w:rsidR="006E155C" w:rsidRPr="009D3950" w:rsidRDefault="009D3950" w:rsidP="00F332CE">
      <w:pPr>
        <w:spacing w:after="0" w:line="240" w:lineRule="auto"/>
        <w:jc w:val="both"/>
        <w:rPr>
          <w:rFonts w:ascii="Times New Roman" w:eastAsiaTheme="minorEastAsia" w:hAnsi="Times New Roman" w:cs="Times New Roman"/>
          <w:b/>
          <w:sz w:val="24"/>
          <w:szCs w:val="24"/>
        </w:rPr>
      </w:pPr>
      <w:r w:rsidRPr="00AF75CD">
        <w:rPr>
          <w:rFonts w:ascii="Times New Roman" w:eastAsiaTheme="minorEastAsia" w:hAnsi="Times New Roman" w:cs="Times New Roman"/>
          <w:b/>
          <w:sz w:val="24"/>
          <w:szCs w:val="24"/>
        </w:rPr>
        <w:t>2.2</w:t>
      </w:r>
      <w:r w:rsidRPr="00AF75CD">
        <w:rPr>
          <w:rFonts w:ascii="Times New Roman" w:eastAsiaTheme="minorEastAsia" w:hAnsi="Times New Roman" w:cs="Times New Roman"/>
          <w:b/>
          <w:sz w:val="24"/>
          <w:szCs w:val="24"/>
        </w:rPr>
        <w:tab/>
        <w:t>Methods</w:t>
      </w:r>
    </w:p>
    <w:p w14:paraId="7C3A807E" w14:textId="5B7CEF7D" w:rsidR="006E155C" w:rsidRPr="009D3950" w:rsidRDefault="006E155C" w:rsidP="00F332CE">
      <w:pPr>
        <w:pStyle w:val="NormalWeb"/>
        <w:shd w:val="clear" w:color="auto" w:fill="FFFFFF"/>
        <w:spacing w:before="0" w:beforeAutospacing="0" w:after="0" w:afterAutospacing="0"/>
        <w:jc w:val="both"/>
        <w:rPr>
          <w:color w:val="414141"/>
          <w:sz w:val="20"/>
          <w:szCs w:val="20"/>
        </w:rPr>
      </w:pPr>
      <w:r w:rsidRPr="009D3950">
        <w:rPr>
          <w:color w:val="414141"/>
          <w:sz w:val="20"/>
          <w:szCs w:val="20"/>
        </w:rPr>
        <w:t xml:space="preserve">The study area of this investigation is in the Warri River –NMU </w:t>
      </w:r>
      <w:r w:rsidR="009D3950" w:rsidRPr="009D3950">
        <w:rPr>
          <w:color w:val="414141"/>
          <w:sz w:val="20"/>
          <w:szCs w:val="20"/>
        </w:rPr>
        <w:t>Jetty, which is situated in Barrister</w:t>
      </w:r>
      <w:r w:rsidRPr="009D3950">
        <w:rPr>
          <w:color w:val="414141"/>
          <w:sz w:val="20"/>
          <w:szCs w:val="20"/>
        </w:rPr>
        <w:t xml:space="preserve"> Smooth Jetty of the Nigeria Port Authority (NPA) in Warri, Delta State of Nigeria. The Warri River is a cardinal navigational route in the Niger Delta geographical region, and it is quite a huge body of freshwater with latitude 5021’-6000’N together with longitude 5024’-6021’E that covers a surface area of 255square kilometers doubled with a length of approximately 151 kilometers.</w:t>
      </w:r>
    </w:p>
    <w:p w14:paraId="6B60517D" w14:textId="77777777" w:rsidR="006E155C" w:rsidRPr="009D3950" w:rsidRDefault="006E155C" w:rsidP="00F332CE">
      <w:pPr>
        <w:pStyle w:val="NormalWeb"/>
        <w:shd w:val="clear" w:color="auto" w:fill="FFFFFF"/>
        <w:spacing w:before="0" w:beforeAutospacing="0" w:after="0" w:afterAutospacing="0"/>
        <w:jc w:val="both"/>
        <w:rPr>
          <w:color w:val="414141"/>
          <w:sz w:val="20"/>
          <w:szCs w:val="20"/>
        </w:rPr>
      </w:pPr>
      <w:r w:rsidRPr="009D3950">
        <w:rPr>
          <w:color w:val="414141"/>
          <w:sz w:val="20"/>
          <w:szCs w:val="20"/>
        </w:rPr>
        <w:t>Objectively, the growth rate was measured together with the evapotranspiration of water hyacinths test – the efficiency for parameters such as bio-oxygen demand disposal, total dissolved solids disposal, and it was compared to World Health Organization (WHO) standards. The test of the water quality standard of waste water - river water-was done with water hyacinths in it for fourteen days and also the appearance of lead ion in the roots of the water hyacinths. The different methods embarked upon are electrometric technique – SM4500H+B, conductivity SM2540B, EDTA titrimetric –SM2340 C and argentometric SM-4500 –CI-B respectively.</w:t>
      </w:r>
    </w:p>
    <w:p w14:paraId="68C96548" w14:textId="77777777" w:rsidR="00155D16" w:rsidRDefault="006E155C" w:rsidP="00155D16">
      <w:pPr>
        <w:pStyle w:val="NormalWeb"/>
        <w:shd w:val="clear" w:color="auto" w:fill="FFFFFF"/>
        <w:spacing w:before="0" w:beforeAutospacing="0" w:after="0" w:afterAutospacing="0"/>
        <w:jc w:val="both"/>
        <w:rPr>
          <w:color w:val="414141"/>
          <w:sz w:val="20"/>
          <w:szCs w:val="20"/>
        </w:rPr>
      </w:pPr>
      <w:r w:rsidRPr="009D3950">
        <w:rPr>
          <w:color w:val="414141"/>
          <w:sz w:val="20"/>
          <w:szCs w:val="20"/>
        </w:rPr>
        <w:t xml:space="preserve">Experimentally, three samples of water were taken at the NMU Jetty along the NPA Warri River axis and a commonsensible number of water hyacinths in it and the Petroleum Training Institute, </w:t>
      </w:r>
      <w:proofErr w:type="spellStart"/>
      <w:r w:rsidRPr="009D3950">
        <w:rPr>
          <w:color w:val="414141"/>
          <w:sz w:val="20"/>
          <w:szCs w:val="20"/>
        </w:rPr>
        <w:t>Effurun</w:t>
      </w:r>
      <w:proofErr w:type="spellEnd"/>
      <w:r w:rsidRPr="009D3950">
        <w:rPr>
          <w:color w:val="414141"/>
          <w:sz w:val="20"/>
          <w:szCs w:val="20"/>
        </w:rPr>
        <w:t xml:space="preserve"> – Water Test Laboratory were utilized for the physical, chemical and biological test assessment. Then, it went via portable test assessment to ascertain the quality of the water assessment of some fixed parameters; it was kept to remain there with appropriate ventilation together with good light to boost the water hyacinths' life cycle for a week. The samples were brought back again to the laboratory for repeated portable tests to determine the positive impingement of Eichhornia crassipes on the water pollutants, and it was done for two weeks as it was earlier mentioned.  The following water parameters were collated in the test laboratory for the three samples of water – Sample A, Sample B and Sample C: pH, turbidity, total dissolved solids, total suspended solids, conductivity, total alkalinity, chloride, total hardness, biological oxygen demand, zinc, nitrate, total ion, lead and coliform count were taken and recorded then compared to</w:t>
      </w:r>
      <w:r w:rsidR="00155D16">
        <w:rPr>
          <w:color w:val="414141"/>
          <w:sz w:val="20"/>
          <w:szCs w:val="20"/>
        </w:rPr>
        <w:t xml:space="preserve"> [19, 20, 21]</w:t>
      </w:r>
    </w:p>
    <w:p w14:paraId="2F3C66E8" w14:textId="676DB391" w:rsidR="00DA52F4" w:rsidRDefault="00155D16" w:rsidP="00155D16">
      <w:pPr>
        <w:pStyle w:val="NormalWeb"/>
        <w:shd w:val="clear" w:color="auto" w:fill="FFFFFF"/>
        <w:spacing w:before="0" w:beforeAutospacing="0" w:after="0" w:afterAutospacing="0"/>
        <w:jc w:val="both"/>
        <w:rPr>
          <w:b/>
          <w:bCs/>
          <w:color w:val="000000" w:themeColor="text1"/>
        </w:rPr>
      </w:pPr>
      <w:r>
        <w:rPr>
          <w:b/>
          <w:bCs/>
          <w:color w:val="000000" w:themeColor="text1"/>
        </w:rPr>
        <w:t>3.0</w:t>
      </w:r>
      <w:r>
        <w:rPr>
          <w:b/>
          <w:bCs/>
          <w:color w:val="000000" w:themeColor="text1"/>
        </w:rPr>
        <w:tab/>
      </w:r>
      <w:r w:rsidR="00DA52F4" w:rsidRPr="001E51F3">
        <w:rPr>
          <w:b/>
          <w:bCs/>
          <w:color w:val="000000" w:themeColor="text1"/>
        </w:rPr>
        <w:t>RESULTS AND DISCUSSION</w:t>
      </w:r>
    </w:p>
    <w:p w14:paraId="3C96DD45" w14:textId="55830142" w:rsidR="00B20258" w:rsidRPr="00B20258" w:rsidRDefault="00B20258" w:rsidP="00F332CE">
      <w:pPr>
        <w:spacing w:before="54" w:after="0"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3.1</w:t>
      </w:r>
      <w:r>
        <w:rPr>
          <w:rFonts w:ascii="Times New Roman" w:hAnsi="Times New Roman" w:cs="Times New Roman"/>
          <w:b/>
          <w:bCs/>
          <w:color w:val="000000" w:themeColor="text1"/>
          <w:sz w:val="24"/>
          <w:szCs w:val="24"/>
        </w:rPr>
        <w:tab/>
        <w:t>Results</w:t>
      </w:r>
    </w:p>
    <w:p w14:paraId="5BE3A4C2" w14:textId="73F7E307" w:rsidR="00B20258" w:rsidRDefault="00B20258" w:rsidP="00F332CE">
      <w:pPr>
        <w:spacing w:after="0" w:line="240" w:lineRule="auto"/>
        <w:jc w:val="both"/>
        <w:rPr>
          <w:rFonts w:ascii="Times New Roman" w:hAnsi="Times New Roman" w:cs="Times New Roman"/>
          <w:color w:val="414141"/>
          <w:sz w:val="20"/>
          <w:szCs w:val="20"/>
          <w:shd w:val="clear" w:color="auto" w:fill="FFFFFF"/>
        </w:rPr>
      </w:pPr>
      <w:r w:rsidRPr="00B20258">
        <w:rPr>
          <w:rFonts w:ascii="Times New Roman" w:hAnsi="Times New Roman" w:cs="Times New Roman"/>
          <w:color w:val="414141"/>
          <w:sz w:val="20"/>
          <w:szCs w:val="20"/>
          <w:shd w:val="clear" w:color="auto" w:fill="FFFFFF"/>
        </w:rPr>
        <w:t xml:space="preserve">The results of the experimental test of the waste water conducted in the Water Test Laboratory of the Petroleum Training Institute, </w:t>
      </w:r>
      <w:proofErr w:type="spellStart"/>
      <w:r w:rsidRPr="00B20258">
        <w:rPr>
          <w:rFonts w:ascii="Times New Roman" w:hAnsi="Times New Roman" w:cs="Times New Roman"/>
          <w:color w:val="414141"/>
          <w:sz w:val="20"/>
          <w:szCs w:val="20"/>
          <w:shd w:val="clear" w:color="auto" w:fill="FFFFFF"/>
        </w:rPr>
        <w:t>Effurun</w:t>
      </w:r>
      <w:proofErr w:type="spellEnd"/>
      <w:r w:rsidRPr="00B20258">
        <w:rPr>
          <w:rFonts w:ascii="Times New Roman" w:hAnsi="Times New Roman" w:cs="Times New Roman"/>
          <w:color w:val="414141"/>
          <w:sz w:val="20"/>
          <w:szCs w:val="20"/>
          <w:shd w:val="clear" w:color="auto" w:fill="FFFFFF"/>
        </w:rPr>
        <w:t xml:space="preserve">, </w:t>
      </w:r>
      <w:proofErr w:type="gramStart"/>
      <w:r w:rsidRPr="00B20258">
        <w:rPr>
          <w:rFonts w:ascii="Times New Roman" w:hAnsi="Times New Roman" w:cs="Times New Roman"/>
          <w:color w:val="414141"/>
          <w:sz w:val="20"/>
          <w:szCs w:val="20"/>
          <w:shd w:val="clear" w:color="auto" w:fill="FFFFFF"/>
        </w:rPr>
        <w:t>Delta</w:t>
      </w:r>
      <w:proofErr w:type="gramEnd"/>
      <w:r w:rsidRPr="00B20258">
        <w:rPr>
          <w:rFonts w:ascii="Times New Roman" w:hAnsi="Times New Roman" w:cs="Times New Roman"/>
          <w:color w:val="414141"/>
          <w:sz w:val="20"/>
          <w:szCs w:val="20"/>
          <w:shd w:val="clear" w:color="auto" w:fill="FFFFFF"/>
        </w:rPr>
        <w:t xml:space="preserve"> State, Nigeria are tabulated in Table 1. Table 1 entails the three samples of the waste water – Sample A, Sample B and Sample C respectively taken at different locations on the NMU Jetty and also the water parameters were compared to World Health </w:t>
      </w:r>
      <w:proofErr w:type="spellStart"/>
      <w:r w:rsidRPr="00B20258">
        <w:rPr>
          <w:rFonts w:ascii="Times New Roman" w:hAnsi="Times New Roman" w:cs="Times New Roman"/>
          <w:color w:val="414141"/>
          <w:sz w:val="20"/>
          <w:szCs w:val="20"/>
          <w:shd w:val="clear" w:color="auto" w:fill="FFFFFF"/>
        </w:rPr>
        <w:t>Organisation</w:t>
      </w:r>
      <w:proofErr w:type="spellEnd"/>
      <w:r w:rsidRPr="00B20258">
        <w:rPr>
          <w:rFonts w:ascii="Times New Roman" w:hAnsi="Times New Roman" w:cs="Times New Roman"/>
          <w:color w:val="414141"/>
          <w:sz w:val="20"/>
          <w:szCs w:val="20"/>
          <w:shd w:val="clear" w:color="auto" w:fill="FFFFFF"/>
        </w:rPr>
        <w:t xml:space="preserve"> standard to check whether it is okay.</w:t>
      </w:r>
    </w:p>
    <w:p w14:paraId="77E70D34" w14:textId="77777777" w:rsidR="00B20258" w:rsidRPr="00B20258" w:rsidRDefault="00B20258" w:rsidP="00B20258">
      <w:pPr>
        <w:spacing w:after="0" w:line="240" w:lineRule="auto"/>
        <w:jc w:val="center"/>
        <w:rPr>
          <w:rFonts w:ascii="Times New Roman" w:hAnsi="Times New Roman" w:cs="Times New Roman"/>
          <w:sz w:val="20"/>
          <w:szCs w:val="20"/>
        </w:rPr>
      </w:pPr>
      <w:proofErr w:type="gramStart"/>
      <w:r w:rsidRPr="00B20258">
        <w:rPr>
          <w:rFonts w:ascii="Times New Roman" w:hAnsi="Times New Roman" w:cs="Times New Roman"/>
          <w:sz w:val="20"/>
          <w:szCs w:val="20"/>
        </w:rPr>
        <w:t>Table 1.</w:t>
      </w:r>
      <w:proofErr w:type="gramEnd"/>
      <w:r w:rsidRPr="00B20258">
        <w:rPr>
          <w:rFonts w:ascii="Times New Roman" w:hAnsi="Times New Roman" w:cs="Times New Roman"/>
          <w:sz w:val="20"/>
          <w:szCs w:val="20"/>
        </w:rPr>
        <w:t xml:space="preserve"> Experimental Test Results of the Treated Waste Water</w:t>
      </w:r>
    </w:p>
    <w:tbl>
      <w:tblPr>
        <w:tblStyle w:val="TableGrid"/>
        <w:tblW w:w="10616" w:type="dxa"/>
        <w:jc w:val="center"/>
        <w:tblInd w:w="-885" w:type="dxa"/>
        <w:tblLook w:val="04A0" w:firstRow="1" w:lastRow="0" w:firstColumn="1" w:lastColumn="0" w:noHBand="0" w:noVBand="1"/>
      </w:tblPr>
      <w:tblGrid>
        <w:gridCol w:w="851"/>
        <w:gridCol w:w="4030"/>
        <w:gridCol w:w="1276"/>
        <w:gridCol w:w="1275"/>
        <w:gridCol w:w="1341"/>
        <w:gridCol w:w="1843"/>
      </w:tblGrid>
      <w:tr w:rsidR="00B20258" w:rsidRPr="00B20258" w14:paraId="0AF62865" w14:textId="77777777" w:rsidTr="00ED654A">
        <w:trPr>
          <w:jc w:val="center"/>
        </w:trPr>
        <w:tc>
          <w:tcPr>
            <w:tcW w:w="851" w:type="dxa"/>
          </w:tcPr>
          <w:p w14:paraId="75F27734"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S/No.</w:t>
            </w:r>
          </w:p>
        </w:tc>
        <w:tc>
          <w:tcPr>
            <w:tcW w:w="4030" w:type="dxa"/>
          </w:tcPr>
          <w:p w14:paraId="71D3F4B5"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Water Parameters</w:t>
            </w:r>
          </w:p>
        </w:tc>
        <w:tc>
          <w:tcPr>
            <w:tcW w:w="1276" w:type="dxa"/>
          </w:tcPr>
          <w:p w14:paraId="6B5FB678"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Sample A</w:t>
            </w:r>
          </w:p>
        </w:tc>
        <w:tc>
          <w:tcPr>
            <w:tcW w:w="1275" w:type="dxa"/>
          </w:tcPr>
          <w:p w14:paraId="51E7F707"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Sample B</w:t>
            </w:r>
          </w:p>
        </w:tc>
        <w:tc>
          <w:tcPr>
            <w:tcW w:w="1341" w:type="dxa"/>
          </w:tcPr>
          <w:p w14:paraId="4AFCB4DD"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Sample C</w:t>
            </w:r>
          </w:p>
        </w:tc>
        <w:tc>
          <w:tcPr>
            <w:tcW w:w="1843" w:type="dxa"/>
          </w:tcPr>
          <w:p w14:paraId="5BB35CA6"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WHO Standard</w:t>
            </w:r>
          </w:p>
        </w:tc>
      </w:tr>
      <w:tr w:rsidR="00B20258" w:rsidRPr="00B20258" w14:paraId="013CFD23" w14:textId="77777777" w:rsidTr="00ED654A">
        <w:trPr>
          <w:jc w:val="center"/>
        </w:trPr>
        <w:tc>
          <w:tcPr>
            <w:tcW w:w="851" w:type="dxa"/>
          </w:tcPr>
          <w:p w14:paraId="2078673C"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1</w:t>
            </w:r>
          </w:p>
        </w:tc>
        <w:tc>
          <w:tcPr>
            <w:tcW w:w="4030" w:type="dxa"/>
          </w:tcPr>
          <w:p w14:paraId="461D39A5"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pH</w:t>
            </w:r>
          </w:p>
        </w:tc>
        <w:tc>
          <w:tcPr>
            <w:tcW w:w="1276" w:type="dxa"/>
          </w:tcPr>
          <w:p w14:paraId="6A394867"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7.41</w:t>
            </w:r>
          </w:p>
        </w:tc>
        <w:tc>
          <w:tcPr>
            <w:tcW w:w="1275" w:type="dxa"/>
          </w:tcPr>
          <w:p w14:paraId="329B92FA"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7.30</w:t>
            </w:r>
          </w:p>
        </w:tc>
        <w:tc>
          <w:tcPr>
            <w:tcW w:w="1341" w:type="dxa"/>
          </w:tcPr>
          <w:p w14:paraId="15624874"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7.31</w:t>
            </w:r>
          </w:p>
        </w:tc>
        <w:tc>
          <w:tcPr>
            <w:tcW w:w="1843" w:type="dxa"/>
          </w:tcPr>
          <w:p w14:paraId="7682567D"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6.5 – 8.5</w:t>
            </w:r>
          </w:p>
        </w:tc>
      </w:tr>
      <w:tr w:rsidR="00B20258" w:rsidRPr="00B20258" w14:paraId="3B7024EA" w14:textId="77777777" w:rsidTr="00ED654A">
        <w:trPr>
          <w:jc w:val="center"/>
        </w:trPr>
        <w:tc>
          <w:tcPr>
            <w:tcW w:w="851" w:type="dxa"/>
          </w:tcPr>
          <w:p w14:paraId="1BC7E7A2"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2</w:t>
            </w:r>
          </w:p>
        </w:tc>
        <w:tc>
          <w:tcPr>
            <w:tcW w:w="4030" w:type="dxa"/>
          </w:tcPr>
          <w:p w14:paraId="5F0DE301"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Turbidity(NTU)</w:t>
            </w:r>
          </w:p>
        </w:tc>
        <w:tc>
          <w:tcPr>
            <w:tcW w:w="1276" w:type="dxa"/>
          </w:tcPr>
          <w:p w14:paraId="32CA88B3"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21.0</w:t>
            </w:r>
          </w:p>
        </w:tc>
        <w:tc>
          <w:tcPr>
            <w:tcW w:w="1275" w:type="dxa"/>
          </w:tcPr>
          <w:p w14:paraId="1EEB0968"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21.0</w:t>
            </w:r>
          </w:p>
        </w:tc>
        <w:tc>
          <w:tcPr>
            <w:tcW w:w="1341" w:type="dxa"/>
          </w:tcPr>
          <w:p w14:paraId="39D48E1C"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21.0</w:t>
            </w:r>
          </w:p>
        </w:tc>
        <w:tc>
          <w:tcPr>
            <w:tcW w:w="1843" w:type="dxa"/>
          </w:tcPr>
          <w:p w14:paraId="2A5C8BE9"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50.0</w:t>
            </w:r>
          </w:p>
        </w:tc>
      </w:tr>
      <w:tr w:rsidR="00B20258" w:rsidRPr="00B20258" w14:paraId="57FD61F3" w14:textId="77777777" w:rsidTr="00ED654A">
        <w:trPr>
          <w:jc w:val="center"/>
        </w:trPr>
        <w:tc>
          <w:tcPr>
            <w:tcW w:w="851" w:type="dxa"/>
          </w:tcPr>
          <w:p w14:paraId="5844F27C"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3</w:t>
            </w:r>
          </w:p>
        </w:tc>
        <w:tc>
          <w:tcPr>
            <w:tcW w:w="4030" w:type="dxa"/>
          </w:tcPr>
          <w:p w14:paraId="681751D7"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Total Dissolved Solid (mg/L)</w:t>
            </w:r>
          </w:p>
        </w:tc>
        <w:tc>
          <w:tcPr>
            <w:tcW w:w="1276" w:type="dxa"/>
          </w:tcPr>
          <w:p w14:paraId="61AB9A4B"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75.90</w:t>
            </w:r>
          </w:p>
        </w:tc>
        <w:tc>
          <w:tcPr>
            <w:tcW w:w="1275" w:type="dxa"/>
          </w:tcPr>
          <w:p w14:paraId="0F4B0C63"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79.0</w:t>
            </w:r>
          </w:p>
        </w:tc>
        <w:tc>
          <w:tcPr>
            <w:tcW w:w="1341" w:type="dxa"/>
          </w:tcPr>
          <w:p w14:paraId="4D26DCF9"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74.21</w:t>
            </w:r>
          </w:p>
        </w:tc>
        <w:tc>
          <w:tcPr>
            <w:tcW w:w="1843" w:type="dxa"/>
          </w:tcPr>
          <w:p w14:paraId="66F82056"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500.0</w:t>
            </w:r>
          </w:p>
        </w:tc>
      </w:tr>
      <w:tr w:rsidR="00B20258" w:rsidRPr="00B20258" w14:paraId="37ED3322" w14:textId="77777777" w:rsidTr="00ED654A">
        <w:trPr>
          <w:jc w:val="center"/>
        </w:trPr>
        <w:tc>
          <w:tcPr>
            <w:tcW w:w="851" w:type="dxa"/>
          </w:tcPr>
          <w:p w14:paraId="2EA397E5"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4</w:t>
            </w:r>
          </w:p>
        </w:tc>
        <w:tc>
          <w:tcPr>
            <w:tcW w:w="4030" w:type="dxa"/>
          </w:tcPr>
          <w:p w14:paraId="55070641"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Total Suspended Solid (mg/L)</w:t>
            </w:r>
          </w:p>
        </w:tc>
        <w:tc>
          <w:tcPr>
            <w:tcW w:w="1276" w:type="dxa"/>
          </w:tcPr>
          <w:p w14:paraId="0987D232"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0.0051</w:t>
            </w:r>
          </w:p>
        </w:tc>
        <w:tc>
          <w:tcPr>
            <w:tcW w:w="1275" w:type="dxa"/>
          </w:tcPr>
          <w:p w14:paraId="3A976ED4"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0.0051</w:t>
            </w:r>
          </w:p>
        </w:tc>
        <w:tc>
          <w:tcPr>
            <w:tcW w:w="1341" w:type="dxa"/>
          </w:tcPr>
          <w:p w14:paraId="5E838A5D"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0.0051</w:t>
            </w:r>
          </w:p>
        </w:tc>
        <w:tc>
          <w:tcPr>
            <w:tcW w:w="1843" w:type="dxa"/>
          </w:tcPr>
          <w:p w14:paraId="775FF955"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100.0</w:t>
            </w:r>
          </w:p>
        </w:tc>
      </w:tr>
      <w:tr w:rsidR="00B20258" w:rsidRPr="00B20258" w14:paraId="2049F935" w14:textId="77777777" w:rsidTr="00ED654A">
        <w:trPr>
          <w:jc w:val="center"/>
        </w:trPr>
        <w:tc>
          <w:tcPr>
            <w:tcW w:w="851" w:type="dxa"/>
          </w:tcPr>
          <w:p w14:paraId="21CF5F91"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5</w:t>
            </w:r>
          </w:p>
        </w:tc>
        <w:tc>
          <w:tcPr>
            <w:tcW w:w="4030" w:type="dxa"/>
          </w:tcPr>
          <w:p w14:paraId="2B920AB4"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Conductivity (us/cm)</w:t>
            </w:r>
          </w:p>
        </w:tc>
        <w:tc>
          <w:tcPr>
            <w:tcW w:w="1276" w:type="dxa"/>
          </w:tcPr>
          <w:p w14:paraId="1CB16ABE"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155.99</w:t>
            </w:r>
          </w:p>
        </w:tc>
        <w:tc>
          <w:tcPr>
            <w:tcW w:w="1275" w:type="dxa"/>
          </w:tcPr>
          <w:p w14:paraId="5D58BC36"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155.99</w:t>
            </w:r>
          </w:p>
        </w:tc>
        <w:tc>
          <w:tcPr>
            <w:tcW w:w="1341" w:type="dxa"/>
          </w:tcPr>
          <w:p w14:paraId="30393E82"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155.99</w:t>
            </w:r>
          </w:p>
        </w:tc>
        <w:tc>
          <w:tcPr>
            <w:tcW w:w="1843" w:type="dxa"/>
          </w:tcPr>
          <w:p w14:paraId="1F1FC15E"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250.0</w:t>
            </w:r>
          </w:p>
        </w:tc>
      </w:tr>
      <w:tr w:rsidR="00B20258" w:rsidRPr="00B20258" w14:paraId="63A16759" w14:textId="77777777" w:rsidTr="00ED654A">
        <w:trPr>
          <w:jc w:val="center"/>
        </w:trPr>
        <w:tc>
          <w:tcPr>
            <w:tcW w:w="851" w:type="dxa"/>
          </w:tcPr>
          <w:p w14:paraId="50EA39B9"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6</w:t>
            </w:r>
          </w:p>
        </w:tc>
        <w:tc>
          <w:tcPr>
            <w:tcW w:w="4030" w:type="dxa"/>
          </w:tcPr>
          <w:p w14:paraId="44B55562"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Total Alkalinity (mg/L)</w:t>
            </w:r>
          </w:p>
        </w:tc>
        <w:tc>
          <w:tcPr>
            <w:tcW w:w="1276" w:type="dxa"/>
          </w:tcPr>
          <w:p w14:paraId="7B996F02"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0.76</w:t>
            </w:r>
          </w:p>
        </w:tc>
        <w:tc>
          <w:tcPr>
            <w:tcW w:w="1275" w:type="dxa"/>
          </w:tcPr>
          <w:p w14:paraId="48449AD5"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0.743</w:t>
            </w:r>
          </w:p>
        </w:tc>
        <w:tc>
          <w:tcPr>
            <w:tcW w:w="1341" w:type="dxa"/>
          </w:tcPr>
          <w:p w14:paraId="0AF4C801"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0.64</w:t>
            </w:r>
          </w:p>
        </w:tc>
        <w:tc>
          <w:tcPr>
            <w:tcW w:w="1843" w:type="dxa"/>
          </w:tcPr>
          <w:p w14:paraId="6BA9940B"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NA</w:t>
            </w:r>
          </w:p>
        </w:tc>
      </w:tr>
      <w:tr w:rsidR="00B20258" w:rsidRPr="00B20258" w14:paraId="7134B5AA" w14:textId="77777777" w:rsidTr="00ED654A">
        <w:trPr>
          <w:jc w:val="center"/>
        </w:trPr>
        <w:tc>
          <w:tcPr>
            <w:tcW w:w="851" w:type="dxa"/>
          </w:tcPr>
          <w:p w14:paraId="4206BD30"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7</w:t>
            </w:r>
          </w:p>
        </w:tc>
        <w:tc>
          <w:tcPr>
            <w:tcW w:w="4030" w:type="dxa"/>
          </w:tcPr>
          <w:p w14:paraId="1794BDF2"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Chloride (mg/L)</w:t>
            </w:r>
          </w:p>
        </w:tc>
        <w:tc>
          <w:tcPr>
            <w:tcW w:w="1276" w:type="dxa"/>
          </w:tcPr>
          <w:p w14:paraId="4047A8C8"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592.19</w:t>
            </w:r>
          </w:p>
        </w:tc>
        <w:tc>
          <w:tcPr>
            <w:tcW w:w="1275" w:type="dxa"/>
          </w:tcPr>
          <w:p w14:paraId="1822DF85"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592.19</w:t>
            </w:r>
          </w:p>
        </w:tc>
        <w:tc>
          <w:tcPr>
            <w:tcW w:w="1341" w:type="dxa"/>
          </w:tcPr>
          <w:p w14:paraId="0CE5A326"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592.19</w:t>
            </w:r>
          </w:p>
        </w:tc>
        <w:tc>
          <w:tcPr>
            <w:tcW w:w="1843" w:type="dxa"/>
          </w:tcPr>
          <w:p w14:paraId="60B09443"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250</w:t>
            </w:r>
          </w:p>
        </w:tc>
      </w:tr>
      <w:tr w:rsidR="00B20258" w:rsidRPr="00B20258" w14:paraId="5D9EBDC5" w14:textId="77777777" w:rsidTr="00ED654A">
        <w:trPr>
          <w:jc w:val="center"/>
        </w:trPr>
        <w:tc>
          <w:tcPr>
            <w:tcW w:w="851" w:type="dxa"/>
          </w:tcPr>
          <w:p w14:paraId="0E2A271C"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8</w:t>
            </w:r>
          </w:p>
        </w:tc>
        <w:tc>
          <w:tcPr>
            <w:tcW w:w="4030" w:type="dxa"/>
          </w:tcPr>
          <w:p w14:paraId="022B0351"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Total Hardness (mg/L)</w:t>
            </w:r>
          </w:p>
        </w:tc>
        <w:tc>
          <w:tcPr>
            <w:tcW w:w="1276" w:type="dxa"/>
          </w:tcPr>
          <w:p w14:paraId="472AD8FF"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0.43</w:t>
            </w:r>
          </w:p>
        </w:tc>
        <w:tc>
          <w:tcPr>
            <w:tcW w:w="1275" w:type="dxa"/>
          </w:tcPr>
          <w:p w14:paraId="51D38CAC"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0.38</w:t>
            </w:r>
          </w:p>
        </w:tc>
        <w:tc>
          <w:tcPr>
            <w:tcW w:w="1341" w:type="dxa"/>
          </w:tcPr>
          <w:p w14:paraId="3BC891C1"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0.33</w:t>
            </w:r>
          </w:p>
        </w:tc>
        <w:tc>
          <w:tcPr>
            <w:tcW w:w="1843" w:type="dxa"/>
          </w:tcPr>
          <w:p w14:paraId="188C68D7"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500</w:t>
            </w:r>
          </w:p>
        </w:tc>
      </w:tr>
      <w:tr w:rsidR="00B20258" w:rsidRPr="00B20258" w14:paraId="0933C140" w14:textId="77777777" w:rsidTr="00ED654A">
        <w:trPr>
          <w:jc w:val="center"/>
        </w:trPr>
        <w:tc>
          <w:tcPr>
            <w:tcW w:w="851" w:type="dxa"/>
          </w:tcPr>
          <w:p w14:paraId="2DE31B37"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9</w:t>
            </w:r>
          </w:p>
        </w:tc>
        <w:tc>
          <w:tcPr>
            <w:tcW w:w="4030" w:type="dxa"/>
          </w:tcPr>
          <w:p w14:paraId="7C97CEFD"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 xml:space="preserve">Biological Oxygen Demand (mg/L) </w:t>
            </w:r>
          </w:p>
        </w:tc>
        <w:tc>
          <w:tcPr>
            <w:tcW w:w="1276" w:type="dxa"/>
          </w:tcPr>
          <w:p w14:paraId="66ECC116"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15.13</w:t>
            </w:r>
          </w:p>
        </w:tc>
        <w:tc>
          <w:tcPr>
            <w:tcW w:w="1275" w:type="dxa"/>
          </w:tcPr>
          <w:p w14:paraId="23B84887"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15.10</w:t>
            </w:r>
          </w:p>
        </w:tc>
        <w:tc>
          <w:tcPr>
            <w:tcW w:w="1341" w:type="dxa"/>
          </w:tcPr>
          <w:p w14:paraId="6FC32D38"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15.10</w:t>
            </w:r>
          </w:p>
        </w:tc>
        <w:tc>
          <w:tcPr>
            <w:tcW w:w="1843" w:type="dxa"/>
          </w:tcPr>
          <w:p w14:paraId="2DAAB6CE"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20 -30</w:t>
            </w:r>
          </w:p>
        </w:tc>
      </w:tr>
      <w:tr w:rsidR="00B20258" w:rsidRPr="00B20258" w14:paraId="4A6CFC97" w14:textId="77777777" w:rsidTr="00ED654A">
        <w:trPr>
          <w:jc w:val="center"/>
        </w:trPr>
        <w:tc>
          <w:tcPr>
            <w:tcW w:w="851" w:type="dxa"/>
          </w:tcPr>
          <w:p w14:paraId="21896182"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10</w:t>
            </w:r>
          </w:p>
        </w:tc>
        <w:tc>
          <w:tcPr>
            <w:tcW w:w="4030" w:type="dxa"/>
          </w:tcPr>
          <w:p w14:paraId="2E6E86FA"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Nitrate (mg/L)</w:t>
            </w:r>
          </w:p>
        </w:tc>
        <w:tc>
          <w:tcPr>
            <w:tcW w:w="1276" w:type="dxa"/>
          </w:tcPr>
          <w:p w14:paraId="613CFAFC"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28</w:t>
            </w:r>
          </w:p>
        </w:tc>
        <w:tc>
          <w:tcPr>
            <w:tcW w:w="1275" w:type="dxa"/>
          </w:tcPr>
          <w:p w14:paraId="7B759166"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29</w:t>
            </w:r>
          </w:p>
        </w:tc>
        <w:tc>
          <w:tcPr>
            <w:tcW w:w="1341" w:type="dxa"/>
          </w:tcPr>
          <w:p w14:paraId="6857FFEC"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29</w:t>
            </w:r>
          </w:p>
        </w:tc>
        <w:tc>
          <w:tcPr>
            <w:tcW w:w="1843" w:type="dxa"/>
          </w:tcPr>
          <w:p w14:paraId="1301E2F8"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50</w:t>
            </w:r>
          </w:p>
        </w:tc>
      </w:tr>
      <w:tr w:rsidR="00B20258" w:rsidRPr="00B20258" w14:paraId="6560CC3A" w14:textId="77777777" w:rsidTr="00ED654A">
        <w:trPr>
          <w:jc w:val="center"/>
        </w:trPr>
        <w:tc>
          <w:tcPr>
            <w:tcW w:w="851" w:type="dxa"/>
          </w:tcPr>
          <w:p w14:paraId="5223050C"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11</w:t>
            </w:r>
          </w:p>
        </w:tc>
        <w:tc>
          <w:tcPr>
            <w:tcW w:w="4030" w:type="dxa"/>
          </w:tcPr>
          <w:p w14:paraId="24856F2F"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Total Iron (mg/L)</w:t>
            </w:r>
          </w:p>
        </w:tc>
        <w:tc>
          <w:tcPr>
            <w:tcW w:w="1276" w:type="dxa"/>
          </w:tcPr>
          <w:p w14:paraId="2E071F0A"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1.49</w:t>
            </w:r>
          </w:p>
        </w:tc>
        <w:tc>
          <w:tcPr>
            <w:tcW w:w="1275" w:type="dxa"/>
          </w:tcPr>
          <w:p w14:paraId="623E889D"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1.49</w:t>
            </w:r>
          </w:p>
        </w:tc>
        <w:tc>
          <w:tcPr>
            <w:tcW w:w="1341" w:type="dxa"/>
          </w:tcPr>
          <w:p w14:paraId="140BE1E7"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1.49</w:t>
            </w:r>
          </w:p>
        </w:tc>
        <w:tc>
          <w:tcPr>
            <w:tcW w:w="1843" w:type="dxa"/>
          </w:tcPr>
          <w:p w14:paraId="26E61FDB"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0 -30</w:t>
            </w:r>
          </w:p>
        </w:tc>
      </w:tr>
      <w:tr w:rsidR="00B20258" w:rsidRPr="00B20258" w14:paraId="57CF9ABA" w14:textId="77777777" w:rsidTr="00ED654A">
        <w:trPr>
          <w:jc w:val="center"/>
        </w:trPr>
        <w:tc>
          <w:tcPr>
            <w:tcW w:w="851" w:type="dxa"/>
          </w:tcPr>
          <w:p w14:paraId="4D87CBB3"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12</w:t>
            </w:r>
          </w:p>
        </w:tc>
        <w:tc>
          <w:tcPr>
            <w:tcW w:w="4030" w:type="dxa"/>
          </w:tcPr>
          <w:p w14:paraId="6D9E6AD1"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Zn (mg/L)</w:t>
            </w:r>
          </w:p>
        </w:tc>
        <w:tc>
          <w:tcPr>
            <w:tcW w:w="1276" w:type="dxa"/>
          </w:tcPr>
          <w:p w14:paraId="7174B721"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0.0810</w:t>
            </w:r>
          </w:p>
        </w:tc>
        <w:tc>
          <w:tcPr>
            <w:tcW w:w="1275" w:type="dxa"/>
          </w:tcPr>
          <w:p w14:paraId="25A259B6"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0.0802</w:t>
            </w:r>
          </w:p>
        </w:tc>
        <w:tc>
          <w:tcPr>
            <w:tcW w:w="1341" w:type="dxa"/>
          </w:tcPr>
          <w:p w14:paraId="6058642C"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0.0801</w:t>
            </w:r>
          </w:p>
        </w:tc>
        <w:tc>
          <w:tcPr>
            <w:tcW w:w="1843" w:type="dxa"/>
          </w:tcPr>
          <w:p w14:paraId="3A07C9A5"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3.0</w:t>
            </w:r>
          </w:p>
        </w:tc>
      </w:tr>
      <w:tr w:rsidR="00B20258" w:rsidRPr="00B20258" w14:paraId="29B4FDD1" w14:textId="77777777" w:rsidTr="00ED654A">
        <w:trPr>
          <w:jc w:val="center"/>
        </w:trPr>
        <w:tc>
          <w:tcPr>
            <w:tcW w:w="851" w:type="dxa"/>
          </w:tcPr>
          <w:p w14:paraId="526FBEF7"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13</w:t>
            </w:r>
          </w:p>
        </w:tc>
        <w:tc>
          <w:tcPr>
            <w:tcW w:w="4030" w:type="dxa"/>
          </w:tcPr>
          <w:p w14:paraId="23FDEB10"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Lead (mg/L)</w:t>
            </w:r>
          </w:p>
        </w:tc>
        <w:tc>
          <w:tcPr>
            <w:tcW w:w="1276" w:type="dxa"/>
          </w:tcPr>
          <w:p w14:paraId="5F2F9CC7" w14:textId="77777777" w:rsidR="00B20258" w:rsidRPr="00B20258" w:rsidRDefault="00B20258" w:rsidP="00B20258">
            <w:pPr>
              <w:jc w:val="both"/>
              <w:rPr>
                <w:rFonts w:ascii="Times New Roman" w:hAnsi="Times New Roman" w:cs="Times New Roman"/>
              </w:rPr>
            </w:pPr>
            <m:oMathPara>
              <m:oMath>
                <m:r>
                  <w:rPr>
                    <w:rFonts w:ascii="Cambria Math" w:hAnsi="Cambria Math" w:cs="Times New Roman"/>
                  </w:rPr>
                  <m:t>&lt;0.01</m:t>
                </m:r>
              </m:oMath>
            </m:oMathPara>
          </w:p>
        </w:tc>
        <w:tc>
          <w:tcPr>
            <w:tcW w:w="1275" w:type="dxa"/>
          </w:tcPr>
          <w:p w14:paraId="409E6193" w14:textId="77777777" w:rsidR="00B20258" w:rsidRPr="00B20258" w:rsidRDefault="00B20258" w:rsidP="00B20258">
            <w:pPr>
              <w:jc w:val="both"/>
              <w:rPr>
                <w:rFonts w:ascii="Times New Roman" w:hAnsi="Times New Roman" w:cs="Times New Roman"/>
              </w:rPr>
            </w:pPr>
            <m:oMathPara>
              <m:oMath>
                <m:r>
                  <w:rPr>
                    <w:rFonts w:ascii="Cambria Math" w:hAnsi="Cambria Math" w:cs="Times New Roman"/>
                  </w:rPr>
                  <m:t>&lt;0.01</m:t>
                </m:r>
              </m:oMath>
            </m:oMathPara>
          </w:p>
        </w:tc>
        <w:tc>
          <w:tcPr>
            <w:tcW w:w="1341" w:type="dxa"/>
          </w:tcPr>
          <w:p w14:paraId="171211BB" w14:textId="77777777" w:rsidR="00B20258" w:rsidRPr="00B20258" w:rsidRDefault="00B20258" w:rsidP="00B20258">
            <w:pPr>
              <w:jc w:val="both"/>
              <w:rPr>
                <w:rFonts w:ascii="Times New Roman" w:hAnsi="Times New Roman" w:cs="Times New Roman"/>
              </w:rPr>
            </w:pPr>
            <m:oMathPara>
              <m:oMath>
                <m:r>
                  <w:rPr>
                    <w:rFonts w:ascii="Cambria Math" w:hAnsi="Cambria Math" w:cs="Times New Roman"/>
                  </w:rPr>
                  <m:t>&lt;0.01</m:t>
                </m:r>
              </m:oMath>
            </m:oMathPara>
          </w:p>
        </w:tc>
        <w:tc>
          <w:tcPr>
            <w:tcW w:w="1843" w:type="dxa"/>
          </w:tcPr>
          <w:p w14:paraId="2B3EF7CB"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0.01</w:t>
            </w:r>
          </w:p>
        </w:tc>
      </w:tr>
      <w:tr w:rsidR="00B20258" w:rsidRPr="00B20258" w14:paraId="18B66581" w14:textId="77777777" w:rsidTr="00ED654A">
        <w:trPr>
          <w:jc w:val="center"/>
        </w:trPr>
        <w:tc>
          <w:tcPr>
            <w:tcW w:w="851" w:type="dxa"/>
          </w:tcPr>
          <w:p w14:paraId="1F79F0F4"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14</w:t>
            </w:r>
          </w:p>
        </w:tc>
        <w:tc>
          <w:tcPr>
            <w:tcW w:w="4030" w:type="dxa"/>
          </w:tcPr>
          <w:p w14:paraId="241D72B2"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Coliform Count (</w:t>
            </w:r>
            <w:proofErr w:type="spellStart"/>
            <w:r w:rsidRPr="00B20258">
              <w:rPr>
                <w:rFonts w:ascii="Times New Roman" w:hAnsi="Times New Roman" w:cs="Times New Roman"/>
              </w:rPr>
              <w:t>cfu</w:t>
            </w:r>
            <w:proofErr w:type="spellEnd"/>
            <w:r w:rsidRPr="00B20258">
              <w:rPr>
                <w:rFonts w:ascii="Times New Roman" w:hAnsi="Times New Roman" w:cs="Times New Roman"/>
              </w:rPr>
              <w:t>/100ml)</w:t>
            </w:r>
          </w:p>
        </w:tc>
        <w:tc>
          <w:tcPr>
            <w:tcW w:w="1276" w:type="dxa"/>
          </w:tcPr>
          <w:p w14:paraId="18C5D708"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50</w:t>
            </w:r>
          </w:p>
        </w:tc>
        <w:tc>
          <w:tcPr>
            <w:tcW w:w="1275" w:type="dxa"/>
          </w:tcPr>
          <w:p w14:paraId="78D70281"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50</w:t>
            </w:r>
          </w:p>
        </w:tc>
        <w:tc>
          <w:tcPr>
            <w:tcW w:w="1341" w:type="dxa"/>
          </w:tcPr>
          <w:p w14:paraId="6B87FC55"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50</w:t>
            </w:r>
          </w:p>
        </w:tc>
        <w:tc>
          <w:tcPr>
            <w:tcW w:w="1843" w:type="dxa"/>
          </w:tcPr>
          <w:p w14:paraId="5AE83141" w14:textId="77777777" w:rsidR="00B20258" w:rsidRPr="00B20258" w:rsidRDefault="00B20258" w:rsidP="00B20258">
            <w:pPr>
              <w:jc w:val="both"/>
              <w:rPr>
                <w:rFonts w:ascii="Times New Roman" w:hAnsi="Times New Roman" w:cs="Times New Roman"/>
              </w:rPr>
            </w:pPr>
            <w:r w:rsidRPr="00B20258">
              <w:rPr>
                <w:rFonts w:ascii="Times New Roman" w:hAnsi="Times New Roman" w:cs="Times New Roman"/>
              </w:rPr>
              <w:t>0</w:t>
            </w:r>
          </w:p>
        </w:tc>
      </w:tr>
    </w:tbl>
    <w:p w14:paraId="47348E41" w14:textId="77777777" w:rsidR="00B20258" w:rsidRPr="00B20258" w:rsidRDefault="00B20258" w:rsidP="009F6540">
      <w:pPr>
        <w:spacing w:before="54" w:after="0" w:line="276" w:lineRule="auto"/>
        <w:jc w:val="both"/>
        <w:rPr>
          <w:rFonts w:ascii="Times New Roman" w:hAnsi="Times New Roman" w:cs="Times New Roman"/>
          <w:color w:val="000000" w:themeColor="text1"/>
          <w:sz w:val="20"/>
          <w:szCs w:val="20"/>
        </w:rPr>
      </w:pPr>
    </w:p>
    <w:p w14:paraId="32FB3CE8" w14:textId="77777777" w:rsidR="00B20258" w:rsidRDefault="00B20258" w:rsidP="00B20258">
      <w:pPr>
        <w:spacing w:after="0"/>
        <w:jc w:val="both"/>
        <w:rPr>
          <w:rFonts w:ascii="Times New Roman" w:hAnsi="Times New Roman" w:cs="Times New Roman"/>
          <w:sz w:val="24"/>
          <w:szCs w:val="24"/>
        </w:rPr>
      </w:pPr>
    </w:p>
    <w:p w14:paraId="6B5C4F5E" w14:textId="77777777" w:rsidR="00B20258" w:rsidRDefault="00B20258" w:rsidP="00B20258">
      <w:pPr>
        <w:spacing w:after="0"/>
        <w:jc w:val="center"/>
        <w:rPr>
          <w:rFonts w:ascii="Times New Roman" w:hAnsi="Times New Roman" w:cs="Times New Roman"/>
          <w:sz w:val="24"/>
          <w:szCs w:val="24"/>
        </w:rPr>
      </w:pPr>
      <w:r>
        <w:rPr>
          <w:noProof/>
        </w:rPr>
        <w:lastRenderedPageBreak/>
        <w:drawing>
          <wp:inline distT="0" distB="0" distL="0" distR="0" wp14:anchorId="1CB8995A" wp14:editId="485A2AB3">
            <wp:extent cx="4415050" cy="2053988"/>
            <wp:effectExtent l="0" t="0" r="24130" b="2286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F5DC71A" w14:textId="77777777" w:rsidR="00B20258" w:rsidRPr="00644C93" w:rsidRDefault="00B20258" w:rsidP="00B20258">
      <w:pPr>
        <w:spacing w:after="0"/>
        <w:jc w:val="center"/>
        <w:rPr>
          <w:rFonts w:ascii="Times New Roman" w:hAnsi="Times New Roman" w:cs="Times New Roman"/>
          <w:sz w:val="20"/>
          <w:szCs w:val="20"/>
        </w:rPr>
      </w:pPr>
      <w:r w:rsidRPr="00E668B8">
        <w:rPr>
          <w:rFonts w:ascii="Times New Roman" w:hAnsi="Times New Roman" w:cs="Times New Roman"/>
          <w:b/>
          <w:sz w:val="20"/>
          <w:szCs w:val="20"/>
        </w:rPr>
        <w:t>Figure 1</w:t>
      </w:r>
      <w:r w:rsidRPr="00644C93">
        <w:rPr>
          <w:rFonts w:ascii="Times New Roman" w:hAnsi="Times New Roman" w:cs="Times New Roman"/>
          <w:sz w:val="20"/>
          <w:szCs w:val="20"/>
        </w:rPr>
        <w:t>: Bar Chart of pH and Turbidity of the Three</w:t>
      </w:r>
      <w:r>
        <w:rPr>
          <w:rFonts w:ascii="Times New Roman" w:hAnsi="Times New Roman" w:cs="Times New Roman"/>
          <w:sz w:val="20"/>
          <w:szCs w:val="20"/>
        </w:rPr>
        <w:t xml:space="preserve"> Treated </w:t>
      </w:r>
      <w:r w:rsidRPr="00644C93">
        <w:rPr>
          <w:rFonts w:ascii="Times New Roman" w:hAnsi="Times New Roman" w:cs="Times New Roman"/>
          <w:sz w:val="20"/>
          <w:szCs w:val="20"/>
        </w:rPr>
        <w:t>Waste Water Samples A, B and C</w:t>
      </w:r>
    </w:p>
    <w:p w14:paraId="5BAC1752" w14:textId="77777777" w:rsidR="00B20258" w:rsidRDefault="00B20258" w:rsidP="00B20258">
      <w:pPr>
        <w:spacing w:after="0"/>
        <w:jc w:val="center"/>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571FB22D" wp14:editId="76035045">
                <wp:simplePos x="0" y="0"/>
                <wp:positionH relativeFrom="column">
                  <wp:posOffset>4172430</wp:posOffset>
                </wp:positionH>
                <wp:positionV relativeFrom="paragraph">
                  <wp:posOffset>886</wp:posOffset>
                </wp:positionV>
                <wp:extent cx="975873" cy="376517"/>
                <wp:effectExtent l="0" t="0" r="0" b="0"/>
                <wp:wrapNone/>
                <wp:docPr id="4" name="Text Box 1"/>
                <wp:cNvGraphicFramePr/>
                <a:graphic xmlns:a="http://schemas.openxmlformats.org/drawingml/2006/main">
                  <a:graphicData uri="http://schemas.microsoft.com/office/word/2010/wordprocessingShape">
                    <wps:wsp>
                      <wps:cNvSpPr txBox="1"/>
                      <wps:spPr>
                        <a:xfrm>
                          <a:off x="0" y="0"/>
                          <a:ext cx="975873" cy="376517"/>
                        </a:xfrm>
                        <a:prstGeom prst="rect">
                          <a:avLst/>
                        </a:prstGeom>
                      </wps:spPr>
                      <wps:txbx>
                        <w:txbxContent>
                          <w:p w14:paraId="33A2FBBF" w14:textId="77777777" w:rsidR="00ED654A" w:rsidRPr="0076341D" w:rsidRDefault="00ED654A" w:rsidP="00B20258">
                            <w:pPr>
                              <w:pStyle w:val="NormalWeb"/>
                              <w:spacing w:before="0" w:beforeAutospacing="0" w:after="0" w:afterAutospacing="0"/>
                              <w:rPr>
                                <w:b/>
                                <w:bCs/>
                                <w:sz w:val="20"/>
                                <w:szCs w:val="20"/>
                              </w:rPr>
                            </w:pPr>
                            <w:r w:rsidRPr="0076341D">
                              <w:rPr>
                                <w:b/>
                                <w:bCs/>
                                <w:sz w:val="20"/>
                                <w:szCs w:val="20"/>
                              </w:rPr>
                              <w:t xml:space="preserve">TDS-500mg/L </w:t>
                            </w:r>
                          </w:p>
                          <w:p w14:paraId="0EA0AA07" w14:textId="77777777" w:rsidR="00ED654A" w:rsidRPr="0076341D" w:rsidRDefault="00ED654A" w:rsidP="00B20258">
                            <w:pPr>
                              <w:pStyle w:val="NormalWeb"/>
                              <w:spacing w:before="0" w:beforeAutospacing="0" w:after="0" w:afterAutospacing="0"/>
                              <w:rPr>
                                <w:sz w:val="20"/>
                                <w:szCs w:val="20"/>
                              </w:rPr>
                            </w:pPr>
                            <w:r w:rsidRPr="0076341D">
                              <w:rPr>
                                <w:b/>
                                <w:bCs/>
                                <w:sz w:val="20"/>
                                <w:szCs w:val="20"/>
                              </w:rPr>
                              <w:t>TSS- 100mg/L</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28.55pt;margin-top:.05pt;width:76.85pt;height:2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" filled="f" stroked="f">
                <v:textbox>
                  <w:txbxContent>
                    <w:p w14:paraId="33A2FBBF" w14:textId="77777777" w:rsidR="00ED654A" w:rsidRPr="0076341D" w:rsidRDefault="00ED654A" w:rsidP="00B20258">
                      <w:pPr>
                        <w:pStyle w:val="NormalWeb"/>
                        <w:spacing w:before="0" w:beforeAutospacing="0" w:after="0" w:afterAutospacing="0"/>
                        <w:rPr>
                          <w:b/>
                          <w:bCs/>
                          <w:sz w:val="20"/>
                          <w:szCs w:val="20"/>
                        </w:rPr>
                      </w:pPr>
                      <w:r w:rsidRPr="0076341D">
                        <w:rPr>
                          <w:b/>
                          <w:bCs/>
                          <w:sz w:val="20"/>
                          <w:szCs w:val="20"/>
                        </w:rPr>
                        <w:t xml:space="preserve">TDS-500mg/L </w:t>
                      </w:r>
                    </w:p>
                    <w:p w14:paraId="0EA0AA07" w14:textId="77777777" w:rsidR="00ED654A" w:rsidRPr="0076341D" w:rsidRDefault="00ED654A" w:rsidP="00B20258">
                      <w:pPr>
                        <w:pStyle w:val="NormalWeb"/>
                        <w:spacing w:before="0" w:beforeAutospacing="0" w:after="0" w:afterAutospacing="0"/>
                        <w:rPr>
                          <w:sz w:val="20"/>
                          <w:szCs w:val="20"/>
                        </w:rPr>
                      </w:pPr>
                      <w:r w:rsidRPr="0076341D">
                        <w:rPr>
                          <w:b/>
                          <w:bCs/>
                          <w:sz w:val="20"/>
                          <w:szCs w:val="20"/>
                        </w:rPr>
                        <w:t>TSS- 100mg/L</w:t>
                      </w:r>
                    </w:p>
                  </w:txbxContent>
                </v:textbox>
              </v:shape>
            </w:pict>
          </mc:Fallback>
        </mc:AlternateContent>
      </w:r>
      <w:r>
        <w:rPr>
          <w:noProof/>
        </w:rPr>
        <w:drawing>
          <wp:inline distT="0" distB="0" distL="0" distR="0" wp14:anchorId="782B64CB" wp14:editId="48A0B3FB">
            <wp:extent cx="4360460" cy="1842447"/>
            <wp:effectExtent l="0" t="0" r="21590" b="2476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76341D">
        <w:rPr>
          <w:noProof/>
        </w:rPr>
        <w:t xml:space="preserve"> </w:t>
      </w:r>
    </w:p>
    <w:p w14:paraId="74078DB0" w14:textId="77777777" w:rsidR="00B20258" w:rsidRPr="00644C93" w:rsidRDefault="00B20258" w:rsidP="00B20258">
      <w:pPr>
        <w:spacing w:after="0"/>
        <w:jc w:val="center"/>
        <w:rPr>
          <w:rFonts w:ascii="Times New Roman" w:hAnsi="Times New Roman" w:cs="Times New Roman"/>
          <w:sz w:val="20"/>
          <w:szCs w:val="20"/>
        </w:rPr>
      </w:pPr>
      <w:r w:rsidRPr="00644C93">
        <w:rPr>
          <w:rFonts w:ascii="Times New Roman" w:hAnsi="Times New Roman" w:cs="Times New Roman"/>
          <w:b/>
          <w:sz w:val="20"/>
          <w:szCs w:val="20"/>
        </w:rPr>
        <w:t>Figure 2</w:t>
      </w:r>
      <w:r w:rsidRPr="00644C93">
        <w:rPr>
          <w:rFonts w:ascii="Times New Roman" w:hAnsi="Times New Roman" w:cs="Times New Roman"/>
          <w:sz w:val="20"/>
          <w:szCs w:val="20"/>
        </w:rPr>
        <w:t>: Bar Chart of TDS and TSS of the Three</w:t>
      </w:r>
      <w:r>
        <w:rPr>
          <w:rFonts w:ascii="Times New Roman" w:hAnsi="Times New Roman" w:cs="Times New Roman"/>
          <w:sz w:val="20"/>
          <w:szCs w:val="20"/>
        </w:rPr>
        <w:t xml:space="preserve"> Treated</w:t>
      </w:r>
      <w:r w:rsidRPr="00644C93">
        <w:rPr>
          <w:rFonts w:ascii="Times New Roman" w:hAnsi="Times New Roman" w:cs="Times New Roman"/>
          <w:sz w:val="20"/>
          <w:szCs w:val="20"/>
        </w:rPr>
        <w:t xml:space="preserve"> Waste Water Samples A, B and C</w:t>
      </w:r>
    </w:p>
    <w:p w14:paraId="60D37E2A" w14:textId="77777777" w:rsidR="00B20258" w:rsidRDefault="00B20258" w:rsidP="00B20258">
      <w:pPr>
        <w:spacing w:after="0"/>
        <w:jc w:val="center"/>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14:anchorId="698DECBB" wp14:editId="04BFB122">
                <wp:simplePos x="0" y="0"/>
                <wp:positionH relativeFrom="column">
                  <wp:posOffset>3457815</wp:posOffset>
                </wp:positionH>
                <wp:positionV relativeFrom="paragraph">
                  <wp:posOffset>247250</wp:posOffset>
                </wp:positionV>
                <wp:extent cx="1712739" cy="268941"/>
                <wp:effectExtent l="0" t="0" r="0" b="0"/>
                <wp:wrapNone/>
                <wp:docPr id="5" name="Text Box 1"/>
                <wp:cNvGraphicFramePr/>
                <a:graphic xmlns:a="http://schemas.openxmlformats.org/drawingml/2006/main">
                  <a:graphicData uri="http://schemas.microsoft.com/office/word/2010/wordprocessingShape">
                    <wps:wsp>
                      <wps:cNvSpPr txBox="1"/>
                      <wps:spPr>
                        <a:xfrm>
                          <a:off x="0" y="0"/>
                          <a:ext cx="1712739" cy="268941"/>
                        </a:xfrm>
                        <a:prstGeom prst="rect">
                          <a:avLst/>
                        </a:prstGeom>
                      </wps:spPr>
                      <wps:txbx>
                        <w:txbxContent>
                          <w:p w14:paraId="6A0B61C9" w14:textId="77777777" w:rsidR="00ED654A" w:rsidRPr="00E67648" w:rsidRDefault="00ED654A" w:rsidP="00B20258">
                            <w:pPr>
                              <w:pStyle w:val="NormalWeb"/>
                              <w:spacing w:before="0" w:beforeAutospacing="0" w:after="0" w:afterAutospacing="0"/>
                              <w:rPr>
                                <w:b/>
                                <w:bCs/>
                                <w:sz w:val="20"/>
                                <w:szCs w:val="20"/>
                              </w:rPr>
                            </w:pPr>
                            <w:r>
                              <w:rPr>
                                <w:b/>
                                <w:bCs/>
                                <w:sz w:val="20"/>
                                <w:szCs w:val="20"/>
                              </w:rPr>
                              <w:t>Conductivity -250 us/cm</w:t>
                            </w:r>
                            <w:r w:rsidRPr="0076341D">
                              <w:rPr>
                                <w:b/>
                                <w:bCs/>
                                <w:sz w:val="20"/>
                                <w:szCs w:val="20"/>
                              </w:rPr>
                              <w:t xml:space="preserve"> </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72.25pt;margin-top:19.45pt;width:134.85pt;height:2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" filled="f" stroked="f">
                <v:textbox>
                  <w:txbxContent>
                    <w:p w14:paraId="6A0B61C9" w14:textId="77777777" w:rsidR="00ED654A" w:rsidRPr="00E67648" w:rsidRDefault="00ED654A" w:rsidP="00B20258">
                      <w:pPr>
                        <w:pStyle w:val="NormalWeb"/>
                        <w:spacing w:before="0" w:beforeAutospacing="0" w:after="0" w:afterAutospacing="0"/>
                        <w:rPr>
                          <w:b/>
                          <w:bCs/>
                          <w:sz w:val="20"/>
                          <w:szCs w:val="20"/>
                        </w:rPr>
                      </w:pPr>
                      <w:r>
                        <w:rPr>
                          <w:b/>
                          <w:bCs/>
                          <w:sz w:val="20"/>
                          <w:szCs w:val="20"/>
                        </w:rPr>
                        <w:t>Conductivity -250 us/cm</w:t>
                      </w:r>
                      <w:r w:rsidRPr="0076341D">
                        <w:rPr>
                          <w:b/>
                          <w:bCs/>
                          <w:sz w:val="20"/>
                          <w:szCs w:val="20"/>
                        </w:rPr>
                        <w:t xml:space="preserve"> </w:t>
                      </w:r>
                    </w:p>
                  </w:txbxContent>
                </v:textbox>
              </v:shape>
            </w:pict>
          </mc:Fallback>
        </mc:AlternateContent>
      </w:r>
      <w:r>
        <w:rPr>
          <w:noProof/>
        </w:rPr>
        <w:drawing>
          <wp:inline distT="0" distB="0" distL="0" distR="0" wp14:anchorId="48FB07BE" wp14:editId="30D8F19E">
            <wp:extent cx="4572000" cy="2197290"/>
            <wp:effectExtent l="0" t="0" r="1905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C9BFA62" w14:textId="77777777" w:rsidR="00B20258" w:rsidRPr="00644C93" w:rsidRDefault="00B20258" w:rsidP="00B20258">
      <w:pPr>
        <w:spacing w:after="0"/>
        <w:jc w:val="center"/>
        <w:rPr>
          <w:rFonts w:ascii="Times New Roman" w:hAnsi="Times New Roman" w:cs="Times New Roman"/>
          <w:sz w:val="20"/>
          <w:szCs w:val="20"/>
        </w:rPr>
      </w:pPr>
      <w:r w:rsidRPr="00644C93">
        <w:rPr>
          <w:rFonts w:ascii="Times New Roman" w:hAnsi="Times New Roman" w:cs="Times New Roman"/>
          <w:b/>
          <w:sz w:val="20"/>
          <w:szCs w:val="20"/>
        </w:rPr>
        <w:t>Figure 3</w:t>
      </w:r>
      <w:r w:rsidRPr="00644C93">
        <w:rPr>
          <w:rFonts w:ascii="Times New Roman" w:hAnsi="Times New Roman" w:cs="Times New Roman"/>
          <w:sz w:val="20"/>
          <w:szCs w:val="20"/>
        </w:rPr>
        <w:t xml:space="preserve">: Bar Chart of Conductivity and Total Alkalinity of the Three </w:t>
      </w:r>
      <w:r>
        <w:rPr>
          <w:rFonts w:ascii="Times New Roman" w:hAnsi="Times New Roman" w:cs="Times New Roman"/>
          <w:sz w:val="20"/>
          <w:szCs w:val="20"/>
        </w:rPr>
        <w:t xml:space="preserve">Treated </w:t>
      </w:r>
      <w:r w:rsidRPr="00644C93">
        <w:rPr>
          <w:rFonts w:ascii="Times New Roman" w:hAnsi="Times New Roman" w:cs="Times New Roman"/>
          <w:sz w:val="20"/>
          <w:szCs w:val="20"/>
        </w:rPr>
        <w:t>Waste Water Samples A, B and C</w:t>
      </w:r>
    </w:p>
    <w:p w14:paraId="76E1555E" w14:textId="77777777" w:rsidR="00B20258" w:rsidRDefault="00B20258" w:rsidP="00B20258">
      <w:pPr>
        <w:spacing w:after="0"/>
        <w:jc w:val="center"/>
        <w:rPr>
          <w:rFonts w:ascii="Times New Roman" w:hAnsi="Times New Roman" w:cs="Times New Roman"/>
          <w:sz w:val="24"/>
          <w:szCs w:val="24"/>
        </w:rPr>
      </w:pPr>
      <w:r>
        <w:rPr>
          <w:noProof/>
        </w:rPr>
        <mc:AlternateContent>
          <mc:Choice Requires="wps">
            <w:drawing>
              <wp:anchor distT="0" distB="0" distL="114300" distR="114300" simplePos="0" relativeHeight="251664384" behindDoc="0" locked="0" layoutInCell="1" allowOverlap="1" wp14:anchorId="77C54041" wp14:editId="653EE982">
                <wp:simplePos x="0" y="0"/>
                <wp:positionH relativeFrom="column">
                  <wp:posOffset>3473184</wp:posOffset>
                </wp:positionH>
                <wp:positionV relativeFrom="paragraph">
                  <wp:posOffset>184417</wp:posOffset>
                </wp:positionV>
                <wp:extent cx="1689938" cy="391795"/>
                <wp:effectExtent l="0" t="0" r="0" b="0"/>
                <wp:wrapNone/>
                <wp:docPr id="13" name="Text Box 1"/>
                <wp:cNvGraphicFramePr/>
                <a:graphic xmlns:a="http://schemas.openxmlformats.org/drawingml/2006/main">
                  <a:graphicData uri="http://schemas.microsoft.com/office/word/2010/wordprocessingShape">
                    <wps:wsp>
                      <wps:cNvSpPr txBox="1"/>
                      <wps:spPr>
                        <a:xfrm>
                          <a:off x="0" y="0"/>
                          <a:ext cx="1689938" cy="391795"/>
                        </a:xfrm>
                        <a:prstGeom prst="rect">
                          <a:avLst/>
                        </a:prstGeom>
                      </wps:spPr>
                      <wps:txbx>
                        <w:txbxContent>
                          <w:p w14:paraId="68812CE7" w14:textId="77777777" w:rsidR="00ED654A" w:rsidRDefault="00ED654A" w:rsidP="00B20258">
                            <w:pPr>
                              <w:pStyle w:val="NormalWeb"/>
                              <w:spacing w:before="0" w:beforeAutospacing="0" w:after="0" w:afterAutospacing="0"/>
                              <w:rPr>
                                <w:b/>
                                <w:bCs/>
                                <w:sz w:val="20"/>
                                <w:szCs w:val="20"/>
                              </w:rPr>
                            </w:pPr>
                            <w:r>
                              <w:rPr>
                                <w:b/>
                                <w:bCs/>
                                <w:sz w:val="20"/>
                                <w:szCs w:val="20"/>
                              </w:rPr>
                              <w:t>Chloride: 250mg/L</w:t>
                            </w:r>
                            <w:r w:rsidRPr="0076341D">
                              <w:rPr>
                                <w:b/>
                                <w:bCs/>
                                <w:sz w:val="20"/>
                                <w:szCs w:val="20"/>
                              </w:rPr>
                              <w:t xml:space="preserve"> </w:t>
                            </w:r>
                          </w:p>
                          <w:p w14:paraId="3EA49074" w14:textId="77777777" w:rsidR="00ED654A" w:rsidRPr="00E67648" w:rsidRDefault="00ED654A" w:rsidP="00B20258">
                            <w:pPr>
                              <w:pStyle w:val="NormalWeb"/>
                              <w:spacing w:before="0" w:beforeAutospacing="0" w:after="0" w:afterAutospacing="0"/>
                              <w:rPr>
                                <w:b/>
                                <w:bCs/>
                                <w:sz w:val="20"/>
                                <w:szCs w:val="20"/>
                              </w:rPr>
                            </w:pPr>
                            <w:r>
                              <w:rPr>
                                <w:b/>
                                <w:bCs/>
                                <w:sz w:val="20"/>
                                <w:szCs w:val="20"/>
                              </w:rPr>
                              <w:t>Total Hardness – 500mg/L</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273.5pt;margin-top:14.5pt;width:133.05pt;height:3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" filled="f" stroked="f">
                <v:textbox>
                  <w:txbxContent>
                    <w:p w14:paraId="68812CE7" w14:textId="77777777" w:rsidR="00ED654A" w:rsidRDefault="00ED654A" w:rsidP="00B20258">
                      <w:pPr>
                        <w:pStyle w:val="NormalWeb"/>
                        <w:spacing w:before="0" w:beforeAutospacing="0" w:after="0" w:afterAutospacing="0"/>
                        <w:rPr>
                          <w:b/>
                          <w:bCs/>
                          <w:sz w:val="20"/>
                          <w:szCs w:val="20"/>
                        </w:rPr>
                      </w:pPr>
                      <w:r>
                        <w:rPr>
                          <w:b/>
                          <w:bCs/>
                          <w:sz w:val="20"/>
                          <w:szCs w:val="20"/>
                        </w:rPr>
                        <w:t>Chloride: 250mg/L</w:t>
                      </w:r>
                      <w:r w:rsidRPr="0076341D">
                        <w:rPr>
                          <w:b/>
                          <w:bCs/>
                          <w:sz w:val="20"/>
                          <w:szCs w:val="20"/>
                        </w:rPr>
                        <w:t xml:space="preserve"> </w:t>
                      </w:r>
                    </w:p>
                    <w:p w14:paraId="3EA49074" w14:textId="77777777" w:rsidR="00ED654A" w:rsidRPr="00E67648" w:rsidRDefault="00ED654A" w:rsidP="00B20258">
                      <w:pPr>
                        <w:pStyle w:val="NormalWeb"/>
                        <w:spacing w:before="0" w:beforeAutospacing="0" w:after="0" w:afterAutospacing="0"/>
                        <w:rPr>
                          <w:b/>
                          <w:bCs/>
                          <w:sz w:val="20"/>
                          <w:szCs w:val="20"/>
                        </w:rPr>
                      </w:pPr>
                      <w:r>
                        <w:rPr>
                          <w:b/>
                          <w:bCs/>
                          <w:sz w:val="20"/>
                          <w:szCs w:val="20"/>
                        </w:rPr>
                        <w:t>Total Hardness – 500mg/L</w:t>
                      </w:r>
                    </w:p>
                  </w:txbxContent>
                </v:textbox>
              </v:shape>
            </w:pict>
          </mc:Fallback>
        </mc:AlternateContent>
      </w:r>
      <w:r>
        <w:rPr>
          <w:noProof/>
        </w:rPr>
        <w:drawing>
          <wp:inline distT="0" distB="0" distL="0" distR="0" wp14:anchorId="39910FA5" wp14:editId="0D120A9B">
            <wp:extent cx="4572000" cy="2274474"/>
            <wp:effectExtent l="0" t="0" r="19050" b="1206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D94FA33" w14:textId="77777777" w:rsidR="00B20258" w:rsidRPr="00AC2452" w:rsidRDefault="00B20258" w:rsidP="00B20258">
      <w:pPr>
        <w:spacing w:after="0"/>
        <w:jc w:val="center"/>
        <w:rPr>
          <w:rFonts w:ascii="Times New Roman" w:hAnsi="Times New Roman" w:cs="Times New Roman"/>
          <w:sz w:val="20"/>
          <w:szCs w:val="20"/>
        </w:rPr>
      </w:pPr>
      <w:r w:rsidRPr="00644C93">
        <w:rPr>
          <w:rFonts w:ascii="Times New Roman" w:hAnsi="Times New Roman" w:cs="Times New Roman"/>
          <w:b/>
          <w:sz w:val="20"/>
          <w:szCs w:val="20"/>
        </w:rPr>
        <w:t>Figure 4</w:t>
      </w:r>
      <w:r w:rsidRPr="00644C93">
        <w:rPr>
          <w:rFonts w:ascii="Times New Roman" w:hAnsi="Times New Roman" w:cs="Times New Roman"/>
          <w:sz w:val="20"/>
          <w:szCs w:val="20"/>
        </w:rPr>
        <w:t>: Bar Chart of Chloride and Total Hardiness of the Three</w:t>
      </w:r>
      <w:r>
        <w:rPr>
          <w:rFonts w:ascii="Times New Roman" w:hAnsi="Times New Roman" w:cs="Times New Roman"/>
          <w:sz w:val="20"/>
          <w:szCs w:val="20"/>
        </w:rPr>
        <w:t xml:space="preserve"> Treated</w:t>
      </w:r>
      <w:r w:rsidRPr="00644C93">
        <w:rPr>
          <w:rFonts w:ascii="Times New Roman" w:hAnsi="Times New Roman" w:cs="Times New Roman"/>
          <w:sz w:val="20"/>
          <w:szCs w:val="20"/>
        </w:rPr>
        <w:t xml:space="preserve"> Waste Water Samples A, B and C</w:t>
      </w:r>
    </w:p>
    <w:p w14:paraId="174F4488" w14:textId="77777777" w:rsidR="00B20258" w:rsidRDefault="00B20258" w:rsidP="00B20258">
      <w:pPr>
        <w:spacing w:after="0"/>
        <w:jc w:val="center"/>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63360" behindDoc="0" locked="0" layoutInCell="1" allowOverlap="1" wp14:anchorId="082D91BC" wp14:editId="573CA054">
                <wp:simplePos x="0" y="0"/>
                <wp:positionH relativeFrom="column">
                  <wp:posOffset>3470910</wp:posOffset>
                </wp:positionH>
                <wp:positionV relativeFrom="paragraph">
                  <wp:posOffset>174625</wp:posOffset>
                </wp:positionV>
                <wp:extent cx="1513205" cy="391795"/>
                <wp:effectExtent l="0" t="0" r="0" b="0"/>
                <wp:wrapNone/>
                <wp:docPr id="12" name="Text Box 1"/>
                <wp:cNvGraphicFramePr/>
                <a:graphic xmlns:a="http://schemas.openxmlformats.org/drawingml/2006/main">
                  <a:graphicData uri="http://schemas.microsoft.com/office/word/2010/wordprocessingShape">
                    <wps:wsp>
                      <wps:cNvSpPr txBox="1"/>
                      <wps:spPr>
                        <a:xfrm>
                          <a:off x="0" y="0"/>
                          <a:ext cx="1513205" cy="391795"/>
                        </a:xfrm>
                        <a:prstGeom prst="rect">
                          <a:avLst/>
                        </a:prstGeom>
                      </wps:spPr>
                      <wps:txbx>
                        <w:txbxContent>
                          <w:p w14:paraId="11801652" w14:textId="77777777" w:rsidR="00ED654A" w:rsidRDefault="00ED654A" w:rsidP="00B20258">
                            <w:pPr>
                              <w:pStyle w:val="NormalWeb"/>
                              <w:spacing w:before="0" w:beforeAutospacing="0" w:after="0" w:afterAutospacing="0"/>
                              <w:rPr>
                                <w:b/>
                                <w:bCs/>
                                <w:sz w:val="20"/>
                                <w:szCs w:val="20"/>
                              </w:rPr>
                            </w:pPr>
                            <w:r>
                              <w:rPr>
                                <w:b/>
                                <w:bCs/>
                                <w:sz w:val="20"/>
                                <w:szCs w:val="20"/>
                              </w:rPr>
                              <w:t>BOD: 20-30 mg/L</w:t>
                            </w:r>
                            <w:r w:rsidRPr="0076341D">
                              <w:rPr>
                                <w:b/>
                                <w:bCs/>
                                <w:sz w:val="20"/>
                                <w:szCs w:val="20"/>
                              </w:rPr>
                              <w:t xml:space="preserve"> </w:t>
                            </w:r>
                          </w:p>
                          <w:p w14:paraId="79E50C0C" w14:textId="77777777" w:rsidR="00ED654A" w:rsidRPr="00E67648" w:rsidRDefault="00ED654A" w:rsidP="00B20258">
                            <w:pPr>
                              <w:pStyle w:val="NormalWeb"/>
                              <w:spacing w:before="0" w:beforeAutospacing="0" w:after="0" w:afterAutospacing="0"/>
                              <w:rPr>
                                <w:b/>
                                <w:bCs/>
                                <w:sz w:val="20"/>
                                <w:szCs w:val="20"/>
                              </w:rPr>
                            </w:pPr>
                            <w:r>
                              <w:rPr>
                                <w:b/>
                                <w:bCs/>
                                <w:sz w:val="20"/>
                                <w:szCs w:val="20"/>
                              </w:rPr>
                              <w:t xml:space="preserve">Nitrate </w:t>
                            </w:r>
                            <w:proofErr w:type="gramStart"/>
                            <w:r>
                              <w:rPr>
                                <w:b/>
                                <w:bCs/>
                                <w:sz w:val="20"/>
                                <w:szCs w:val="20"/>
                              </w:rPr>
                              <w:t>–  50</w:t>
                            </w:r>
                            <w:proofErr w:type="gramEnd"/>
                            <w:r>
                              <w:rPr>
                                <w:b/>
                                <w:bCs/>
                                <w:sz w:val="20"/>
                                <w:szCs w:val="20"/>
                              </w:rPr>
                              <w:t xml:space="preserve"> mg/L</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273.3pt;margin-top:13.75pt;width:119.15pt;height:30.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" filled="f" stroked="f">
                <v:textbox>
                  <w:txbxContent>
                    <w:p w14:paraId="11801652" w14:textId="77777777" w:rsidR="00ED654A" w:rsidRDefault="00ED654A" w:rsidP="00B20258">
                      <w:pPr>
                        <w:pStyle w:val="NormalWeb"/>
                        <w:spacing w:before="0" w:beforeAutospacing="0" w:after="0" w:afterAutospacing="0"/>
                        <w:rPr>
                          <w:b/>
                          <w:bCs/>
                          <w:sz w:val="20"/>
                          <w:szCs w:val="20"/>
                        </w:rPr>
                      </w:pPr>
                      <w:r>
                        <w:rPr>
                          <w:b/>
                          <w:bCs/>
                          <w:sz w:val="20"/>
                          <w:szCs w:val="20"/>
                        </w:rPr>
                        <w:t>BOD: 20-30 mg/L</w:t>
                      </w:r>
                      <w:r w:rsidRPr="0076341D">
                        <w:rPr>
                          <w:b/>
                          <w:bCs/>
                          <w:sz w:val="20"/>
                          <w:szCs w:val="20"/>
                        </w:rPr>
                        <w:t xml:space="preserve"> </w:t>
                      </w:r>
                    </w:p>
                    <w:p w14:paraId="79E50C0C" w14:textId="77777777" w:rsidR="00ED654A" w:rsidRPr="00E67648" w:rsidRDefault="00ED654A" w:rsidP="00B20258">
                      <w:pPr>
                        <w:pStyle w:val="NormalWeb"/>
                        <w:spacing w:before="0" w:beforeAutospacing="0" w:after="0" w:afterAutospacing="0"/>
                        <w:rPr>
                          <w:b/>
                          <w:bCs/>
                          <w:sz w:val="20"/>
                          <w:szCs w:val="20"/>
                        </w:rPr>
                      </w:pPr>
                      <w:r>
                        <w:rPr>
                          <w:b/>
                          <w:bCs/>
                          <w:sz w:val="20"/>
                          <w:szCs w:val="20"/>
                        </w:rPr>
                        <w:t xml:space="preserve">Nitrate </w:t>
                      </w:r>
                      <w:proofErr w:type="gramStart"/>
                      <w:r>
                        <w:rPr>
                          <w:b/>
                          <w:bCs/>
                          <w:sz w:val="20"/>
                          <w:szCs w:val="20"/>
                        </w:rPr>
                        <w:t>–  50</w:t>
                      </w:r>
                      <w:proofErr w:type="gramEnd"/>
                      <w:r>
                        <w:rPr>
                          <w:b/>
                          <w:bCs/>
                          <w:sz w:val="20"/>
                          <w:szCs w:val="20"/>
                        </w:rPr>
                        <w:t xml:space="preserve"> mg/L</w:t>
                      </w:r>
                    </w:p>
                  </w:txbxContent>
                </v:textbox>
              </v:shape>
            </w:pict>
          </mc:Fallback>
        </mc:AlternateContent>
      </w:r>
      <w:r>
        <w:rPr>
          <w:noProof/>
        </w:rPr>
        <w:drawing>
          <wp:inline distT="0" distB="0" distL="0" distR="0" wp14:anchorId="4BDF97D9" wp14:editId="5BD137CC">
            <wp:extent cx="4572000" cy="2604887"/>
            <wp:effectExtent l="0" t="0" r="19050" b="2413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704CC41" w14:textId="77777777" w:rsidR="00B20258" w:rsidRPr="00AB7DC4" w:rsidRDefault="00B20258" w:rsidP="00B20258">
      <w:pPr>
        <w:spacing w:after="0"/>
        <w:jc w:val="center"/>
        <w:rPr>
          <w:rFonts w:ascii="Times New Roman" w:hAnsi="Times New Roman" w:cs="Times New Roman"/>
          <w:sz w:val="20"/>
          <w:szCs w:val="20"/>
        </w:rPr>
      </w:pPr>
      <w:r>
        <w:rPr>
          <w:rFonts w:ascii="Times New Roman" w:hAnsi="Times New Roman" w:cs="Times New Roman"/>
          <w:b/>
          <w:sz w:val="20"/>
          <w:szCs w:val="20"/>
        </w:rPr>
        <w:t>Figure 5</w:t>
      </w:r>
      <w:r w:rsidRPr="00644C93">
        <w:rPr>
          <w:rFonts w:ascii="Times New Roman" w:hAnsi="Times New Roman" w:cs="Times New Roman"/>
          <w:sz w:val="20"/>
          <w:szCs w:val="20"/>
        </w:rPr>
        <w:t>: Bar Chart</w:t>
      </w:r>
      <w:r>
        <w:rPr>
          <w:rFonts w:ascii="Times New Roman" w:hAnsi="Times New Roman" w:cs="Times New Roman"/>
          <w:sz w:val="20"/>
          <w:szCs w:val="20"/>
        </w:rPr>
        <w:t xml:space="preserve"> of BOD and Nitrate</w:t>
      </w:r>
      <w:r w:rsidRPr="00644C93">
        <w:rPr>
          <w:rFonts w:ascii="Times New Roman" w:hAnsi="Times New Roman" w:cs="Times New Roman"/>
          <w:sz w:val="20"/>
          <w:szCs w:val="20"/>
        </w:rPr>
        <w:t xml:space="preserve"> of the Three </w:t>
      </w:r>
      <w:r>
        <w:rPr>
          <w:rFonts w:ascii="Times New Roman" w:hAnsi="Times New Roman" w:cs="Times New Roman"/>
          <w:sz w:val="20"/>
          <w:szCs w:val="20"/>
        </w:rPr>
        <w:t xml:space="preserve">Treated </w:t>
      </w:r>
      <w:r w:rsidRPr="00644C93">
        <w:rPr>
          <w:rFonts w:ascii="Times New Roman" w:hAnsi="Times New Roman" w:cs="Times New Roman"/>
          <w:sz w:val="20"/>
          <w:szCs w:val="20"/>
        </w:rPr>
        <w:t>Waste Water Samples A, B and C</w:t>
      </w:r>
    </w:p>
    <w:p w14:paraId="6E1CB1F4" w14:textId="77777777" w:rsidR="00B20258" w:rsidRDefault="00B20258" w:rsidP="00B20258">
      <w:pPr>
        <w:spacing w:after="0"/>
        <w:jc w:val="center"/>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04567065" wp14:editId="032279A8">
                <wp:simplePos x="0" y="0"/>
                <wp:positionH relativeFrom="column">
                  <wp:posOffset>2811780</wp:posOffset>
                </wp:positionH>
                <wp:positionV relativeFrom="paragraph">
                  <wp:posOffset>234833</wp:posOffset>
                </wp:positionV>
                <wp:extent cx="1513755" cy="391795"/>
                <wp:effectExtent l="0" t="0" r="0" b="0"/>
                <wp:wrapNone/>
                <wp:docPr id="7" name="Text Box 1"/>
                <wp:cNvGraphicFramePr/>
                <a:graphic xmlns:a="http://schemas.openxmlformats.org/drawingml/2006/main">
                  <a:graphicData uri="http://schemas.microsoft.com/office/word/2010/wordprocessingShape">
                    <wps:wsp>
                      <wps:cNvSpPr txBox="1"/>
                      <wps:spPr>
                        <a:xfrm>
                          <a:off x="0" y="0"/>
                          <a:ext cx="1513755" cy="391795"/>
                        </a:xfrm>
                        <a:prstGeom prst="rect">
                          <a:avLst/>
                        </a:prstGeom>
                      </wps:spPr>
                      <wps:txbx>
                        <w:txbxContent>
                          <w:p w14:paraId="6177B0C5" w14:textId="77777777" w:rsidR="00ED654A" w:rsidRDefault="00ED654A" w:rsidP="00B20258">
                            <w:pPr>
                              <w:pStyle w:val="NormalWeb"/>
                              <w:spacing w:before="0" w:beforeAutospacing="0" w:after="0" w:afterAutospacing="0"/>
                              <w:rPr>
                                <w:b/>
                                <w:bCs/>
                                <w:sz w:val="20"/>
                                <w:szCs w:val="20"/>
                              </w:rPr>
                            </w:pPr>
                            <w:r>
                              <w:rPr>
                                <w:b/>
                                <w:bCs/>
                                <w:sz w:val="20"/>
                                <w:szCs w:val="20"/>
                              </w:rPr>
                              <w:t>Total Iron: 0-30 mg/L</w:t>
                            </w:r>
                            <w:r w:rsidRPr="0076341D">
                              <w:rPr>
                                <w:b/>
                                <w:bCs/>
                                <w:sz w:val="20"/>
                                <w:szCs w:val="20"/>
                              </w:rPr>
                              <w:t xml:space="preserve"> </w:t>
                            </w:r>
                          </w:p>
                          <w:p w14:paraId="47C57159" w14:textId="77777777" w:rsidR="00ED654A" w:rsidRPr="00E67648" w:rsidRDefault="00ED654A" w:rsidP="00B20258">
                            <w:pPr>
                              <w:pStyle w:val="NormalWeb"/>
                              <w:spacing w:before="0" w:beforeAutospacing="0" w:after="0" w:afterAutospacing="0"/>
                              <w:rPr>
                                <w:b/>
                                <w:bCs/>
                                <w:sz w:val="20"/>
                                <w:szCs w:val="20"/>
                              </w:rPr>
                            </w:pPr>
                            <w:r>
                              <w:rPr>
                                <w:b/>
                                <w:bCs/>
                                <w:sz w:val="20"/>
                                <w:szCs w:val="20"/>
                              </w:rPr>
                              <w:t>Zn – 3 mg/L</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221.4pt;margin-top:18.5pt;width:119.2pt;height:30.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" filled="f" stroked="f">
                <v:textbox>
                  <w:txbxContent>
                    <w:p w14:paraId="6177B0C5" w14:textId="77777777" w:rsidR="00ED654A" w:rsidRDefault="00ED654A" w:rsidP="00B20258">
                      <w:pPr>
                        <w:pStyle w:val="NormalWeb"/>
                        <w:spacing w:before="0" w:beforeAutospacing="0" w:after="0" w:afterAutospacing="0"/>
                        <w:rPr>
                          <w:b/>
                          <w:bCs/>
                          <w:sz w:val="20"/>
                          <w:szCs w:val="20"/>
                        </w:rPr>
                      </w:pPr>
                      <w:r>
                        <w:rPr>
                          <w:b/>
                          <w:bCs/>
                          <w:sz w:val="20"/>
                          <w:szCs w:val="20"/>
                        </w:rPr>
                        <w:t>Total Iron: 0-30 mg/L</w:t>
                      </w:r>
                      <w:r w:rsidRPr="0076341D">
                        <w:rPr>
                          <w:b/>
                          <w:bCs/>
                          <w:sz w:val="20"/>
                          <w:szCs w:val="20"/>
                        </w:rPr>
                        <w:t xml:space="preserve"> </w:t>
                      </w:r>
                    </w:p>
                    <w:p w14:paraId="47C57159" w14:textId="77777777" w:rsidR="00ED654A" w:rsidRPr="00E67648" w:rsidRDefault="00ED654A" w:rsidP="00B20258">
                      <w:pPr>
                        <w:pStyle w:val="NormalWeb"/>
                        <w:spacing w:before="0" w:beforeAutospacing="0" w:after="0" w:afterAutospacing="0"/>
                        <w:rPr>
                          <w:b/>
                          <w:bCs/>
                          <w:sz w:val="20"/>
                          <w:szCs w:val="20"/>
                        </w:rPr>
                      </w:pPr>
                      <w:r>
                        <w:rPr>
                          <w:b/>
                          <w:bCs/>
                          <w:sz w:val="20"/>
                          <w:szCs w:val="20"/>
                        </w:rPr>
                        <w:t>Zn – 3 mg/L</w:t>
                      </w:r>
                    </w:p>
                  </w:txbxContent>
                </v:textbox>
              </v:shape>
            </w:pict>
          </mc:Fallback>
        </mc:AlternateContent>
      </w:r>
      <w:r>
        <w:rPr>
          <w:noProof/>
        </w:rPr>
        <w:drawing>
          <wp:inline distT="0" distB="0" distL="0" distR="0" wp14:anchorId="5CA1E6E4" wp14:editId="4A238FE6">
            <wp:extent cx="4572000" cy="2136162"/>
            <wp:effectExtent l="0" t="0" r="19050" b="1651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5E5A906" w14:textId="320B5930" w:rsidR="00B20258" w:rsidRPr="00AB7DC4" w:rsidRDefault="00B20258" w:rsidP="005237AA">
      <w:pPr>
        <w:spacing w:after="0"/>
        <w:jc w:val="center"/>
        <w:rPr>
          <w:rFonts w:ascii="Times New Roman" w:hAnsi="Times New Roman" w:cs="Times New Roman"/>
          <w:sz w:val="20"/>
          <w:szCs w:val="20"/>
        </w:rPr>
      </w:pPr>
      <w:r>
        <w:rPr>
          <w:rFonts w:ascii="Times New Roman" w:hAnsi="Times New Roman" w:cs="Times New Roman"/>
          <w:b/>
          <w:sz w:val="20"/>
          <w:szCs w:val="20"/>
        </w:rPr>
        <w:t>Figure 6</w:t>
      </w:r>
      <w:r w:rsidRPr="00644C93">
        <w:rPr>
          <w:rFonts w:ascii="Times New Roman" w:hAnsi="Times New Roman" w:cs="Times New Roman"/>
          <w:sz w:val="20"/>
          <w:szCs w:val="20"/>
        </w:rPr>
        <w:t>: Bar Chart</w:t>
      </w:r>
      <w:r>
        <w:rPr>
          <w:rFonts w:ascii="Times New Roman" w:hAnsi="Times New Roman" w:cs="Times New Roman"/>
          <w:sz w:val="20"/>
          <w:szCs w:val="20"/>
        </w:rPr>
        <w:t xml:space="preserve"> of Total Iron and Zinc</w:t>
      </w:r>
      <w:r w:rsidRPr="00644C93">
        <w:rPr>
          <w:rFonts w:ascii="Times New Roman" w:hAnsi="Times New Roman" w:cs="Times New Roman"/>
          <w:sz w:val="20"/>
          <w:szCs w:val="20"/>
        </w:rPr>
        <w:t xml:space="preserve"> of the Three</w:t>
      </w:r>
      <w:r>
        <w:rPr>
          <w:rFonts w:ascii="Times New Roman" w:hAnsi="Times New Roman" w:cs="Times New Roman"/>
          <w:sz w:val="20"/>
          <w:szCs w:val="20"/>
        </w:rPr>
        <w:t xml:space="preserve"> Treated</w:t>
      </w:r>
      <w:r w:rsidRPr="00644C93">
        <w:rPr>
          <w:rFonts w:ascii="Times New Roman" w:hAnsi="Times New Roman" w:cs="Times New Roman"/>
          <w:sz w:val="20"/>
          <w:szCs w:val="20"/>
        </w:rPr>
        <w:t xml:space="preserve"> Waste Water Samples A, B and C</w:t>
      </w:r>
    </w:p>
    <w:p w14:paraId="26920D58" w14:textId="77777777" w:rsidR="00B20258" w:rsidRDefault="00B20258" w:rsidP="00B20258">
      <w:pPr>
        <w:spacing w:after="0"/>
        <w:jc w:val="center"/>
        <w:rPr>
          <w:rFonts w:ascii="Times New Roman" w:hAnsi="Times New Roman" w:cs="Times New Roman"/>
          <w:sz w:val="24"/>
          <w:szCs w:val="24"/>
        </w:rPr>
      </w:pPr>
      <w:r>
        <w:rPr>
          <w:noProof/>
        </w:rPr>
        <mc:AlternateContent>
          <mc:Choice Requires="wps">
            <w:drawing>
              <wp:anchor distT="0" distB="0" distL="114300" distR="114300" simplePos="0" relativeHeight="251662336" behindDoc="0" locked="0" layoutInCell="1" allowOverlap="1" wp14:anchorId="51543795" wp14:editId="26E51E7B">
                <wp:simplePos x="0" y="0"/>
                <wp:positionH relativeFrom="column">
                  <wp:posOffset>3509645</wp:posOffset>
                </wp:positionH>
                <wp:positionV relativeFrom="paragraph">
                  <wp:posOffset>111125</wp:posOffset>
                </wp:positionV>
                <wp:extent cx="1513205" cy="391795"/>
                <wp:effectExtent l="0" t="0" r="0" b="0"/>
                <wp:wrapNone/>
                <wp:docPr id="11" name="Text Box 1"/>
                <wp:cNvGraphicFramePr/>
                <a:graphic xmlns:a="http://schemas.openxmlformats.org/drawingml/2006/main">
                  <a:graphicData uri="http://schemas.microsoft.com/office/word/2010/wordprocessingShape">
                    <wps:wsp>
                      <wps:cNvSpPr txBox="1"/>
                      <wps:spPr>
                        <a:xfrm>
                          <a:off x="0" y="0"/>
                          <a:ext cx="1513205" cy="391795"/>
                        </a:xfrm>
                        <a:prstGeom prst="rect">
                          <a:avLst/>
                        </a:prstGeom>
                      </wps:spPr>
                      <wps:txbx>
                        <w:txbxContent>
                          <w:p w14:paraId="44910E00" w14:textId="77777777" w:rsidR="00ED654A" w:rsidRDefault="00ED654A" w:rsidP="00B20258">
                            <w:pPr>
                              <w:pStyle w:val="NormalWeb"/>
                              <w:spacing w:before="0" w:beforeAutospacing="0" w:after="0" w:afterAutospacing="0"/>
                              <w:rPr>
                                <w:b/>
                                <w:bCs/>
                                <w:sz w:val="20"/>
                                <w:szCs w:val="20"/>
                              </w:rPr>
                            </w:pPr>
                            <w:r>
                              <w:rPr>
                                <w:b/>
                                <w:bCs/>
                                <w:sz w:val="20"/>
                                <w:szCs w:val="20"/>
                              </w:rPr>
                              <w:t>Lead:  0.01 mg/L</w:t>
                            </w:r>
                            <w:r w:rsidRPr="0076341D">
                              <w:rPr>
                                <w:b/>
                                <w:bCs/>
                                <w:sz w:val="20"/>
                                <w:szCs w:val="20"/>
                              </w:rPr>
                              <w:t xml:space="preserve"> </w:t>
                            </w:r>
                          </w:p>
                          <w:p w14:paraId="0BD2F47D" w14:textId="77777777" w:rsidR="00ED654A" w:rsidRPr="00E67648" w:rsidRDefault="00ED654A" w:rsidP="00B20258">
                            <w:pPr>
                              <w:pStyle w:val="NormalWeb"/>
                              <w:spacing w:before="0" w:beforeAutospacing="0" w:after="0" w:afterAutospacing="0"/>
                              <w:rPr>
                                <w:b/>
                                <w:bCs/>
                                <w:sz w:val="20"/>
                                <w:szCs w:val="20"/>
                              </w:rPr>
                            </w:pPr>
                            <w:r>
                              <w:rPr>
                                <w:b/>
                                <w:bCs/>
                                <w:sz w:val="20"/>
                                <w:szCs w:val="20"/>
                              </w:rPr>
                              <w:t>Coliform Count – 0 mg/L</w:t>
                            </w:r>
                          </w:p>
                        </w:txbxContent>
                      </wps:txbx>
                      <wps:bodyPr vertOverflow="clip" wrap="square" rtlCol="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left:0;text-align:left;margin-left:276.35pt;margin-top:8.75pt;width:119.15pt;height:3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" filled="f" stroked="f">
                <v:textbox>
                  <w:txbxContent>
                    <w:p w14:paraId="44910E00" w14:textId="77777777" w:rsidR="00ED654A" w:rsidRDefault="00ED654A" w:rsidP="00B20258">
                      <w:pPr>
                        <w:pStyle w:val="NormalWeb"/>
                        <w:spacing w:before="0" w:beforeAutospacing="0" w:after="0" w:afterAutospacing="0"/>
                        <w:rPr>
                          <w:b/>
                          <w:bCs/>
                          <w:sz w:val="20"/>
                          <w:szCs w:val="20"/>
                        </w:rPr>
                      </w:pPr>
                      <w:r>
                        <w:rPr>
                          <w:b/>
                          <w:bCs/>
                          <w:sz w:val="20"/>
                          <w:szCs w:val="20"/>
                        </w:rPr>
                        <w:t>Lead:  0.01 mg/L</w:t>
                      </w:r>
                      <w:r w:rsidRPr="0076341D">
                        <w:rPr>
                          <w:b/>
                          <w:bCs/>
                          <w:sz w:val="20"/>
                          <w:szCs w:val="20"/>
                        </w:rPr>
                        <w:t xml:space="preserve"> </w:t>
                      </w:r>
                    </w:p>
                    <w:p w14:paraId="0BD2F47D" w14:textId="77777777" w:rsidR="00ED654A" w:rsidRPr="00E67648" w:rsidRDefault="00ED654A" w:rsidP="00B20258">
                      <w:pPr>
                        <w:pStyle w:val="NormalWeb"/>
                        <w:spacing w:before="0" w:beforeAutospacing="0" w:after="0" w:afterAutospacing="0"/>
                        <w:rPr>
                          <w:b/>
                          <w:bCs/>
                          <w:sz w:val="20"/>
                          <w:szCs w:val="20"/>
                        </w:rPr>
                      </w:pPr>
                      <w:r>
                        <w:rPr>
                          <w:b/>
                          <w:bCs/>
                          <w:sz w:val="20"/>
                          <w:szCs w:val="20"/>
                        </w:rPr>
                        <w:t>Coliform Count – 0 mg/L</w:t>
                      </w:r>
                    </w:p>
                  </w:txbxContent>
                </v:textbox>
              </v:shape>
            </w:pict>
          </mc:Fallback>
        </mc:AlternateContent>
      </w:r>
      <w:r>
        <w:rPr>
          <w:noProof/>
        </w:rPr>
        <w:drawing>
          <wp:inline distT="0" distB="0" distL="0" distR="0" wp14:anchorId="3ECF15DF" wp14:editId="2986E6E7">
            <wp:extent cx="4572000" cy="2067005"/>
            <wp:effectExtent l="0" t="0" r="1905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74F9E5B" w14:textId="55704D10" w:rsidR="00DA52F4" w:rsidRPr="005F6633" w:rsidRDefault="00B20258" w:rsidP="005F6633">
      <w:pPr>
        <w:spacing w:after="0"/>
        <w:jc w:val="center"/>
        <w:rPr>
          <w:rFonts w:ascii="Times New Roman" w:hAnsi="Times New Roman" w:cs="Times New Roman"/>
          <w:sz w:val="20"/>
          <w:szCs w:val="20"/>
        </w:rPr>
      </w:pPr>
      <w:r>
        <w:rPr>
          <w:rFonts w:ascii="Times New Roman" w:hAnsi="Times New Roman" w:cs="Times New Roman"/>
          <w:b/>
          <w:sz w:val="20"/>
          <w:szCs w:val="20"/>
        </w:rPr>
        <w:t>Figure 7</w:t>
      </w:r>
      <w:r w:rsidRPr="00644C93">
        <w:rPr>
          <w:rFonts w:ascii="Times New Roman" w:hAnsi="Times New Roman" w:cs="Times New Roman"/>
          <w:sz w:val="20"/>
          <w:szCs w:val="20"/>
        </w:rPr>
        <w:t>: Bar Chart</w:t>
      </w:r>
      <w:r>
        <w:rPr>
          <w:rFonts w:ascii="Times New Roman" w:hAnsi="Times New Roman" w:cs="Times New Roman"/>
          <w:sz w:val="20"/>
          <w:szCs w:val="20"/>
        </w:rPr>
        <w:t xml:space="preserve"> of Lead and Coliform Count</w:t>
      </w:r>
      <w:r w:rsidRPr="00644C93">
        <w:rPr>
          <w:rFonts w:ascii="Times New Roman" w:hAnsi="Times New Roman" w:cs="Times New Roman"/>
          <w:sz w:val="20"/>
          <w:szCs w:val="20"/>
        </w:rPr>
        <w:t xml:space="preserve"> of the Three</w:t>
      </w:r>
      <w:r>
        <w:rPr>
          <w:rFonts w:ascii="Times New Roman" w:hAnsi="Times New Roman" w:cs="Times New Roman"/>
          <w:sz w:val="20"/>
          <w:szCs w:val="20"/>
        </w:rPr>
        <w:t xml:space="preserve"> Treated</w:t>
      </w:r>
      <w:r w:rsidRPr="00644C93">
        <w:rPr>
          <w:rFonts w:ascii="Times New Roman" w:hAnsi="Times New Roman" w:cs="Times New Roman"/>
          <w:sz w:val="20"/>
          <w:szCs w:val="20"/>
        </w:rPr>
        <w:t xml:space="preserve"> Waste Water Samples A, B and C</w:t>
      </w:r>
    </w:p>
    <w:p w14:paraId="1F623DB1" w14:textId="14993AC5" w:rsidR="00B20258" w:rsidRPr="005F6633" w:rsidRDefault="005F6633" w:rsidP="005F6633">
      <w:pPr>
        <w:spacing w:after="0"/>
        <w:jc w:val="both"/>
        <w:rPr>
          <w:rFonts w:ascii="Times New Roman" w:hAnsi="Times New Roman" w:cs="Times New Roman"/>
          <w:b/>
          <w:sz w:val="24"/>
          <w:szCs w:val="24"/>
        </w:rPr>
      </w:pPr>
      <w:r w:rsidRPr="00F21579">
        <w:rPr>
          <w:rFonts w:ascii="Times New Roman" w:hAnsi="Times New Roman" w:cs="Times New Roman"/>
          <w:b/>
          <w:sz w:val="24"/>
          <w:szCs w:val="24"/>
        </w:rPr>
        <w:t>3.2</w:t>
      </w:r>
      <w:r w:rsidRPr="00F21579">
        <w:rPr>
          <w:rFonts w:ascii="Times New Roman" w:hAnsi="Times New Roman" w:cs="Times New Roman"/>
          <w:b/>
          <w:sz w:val="24"/>
          <w:szCs w:val="24"/>
        </w:rPr>
        <w:tab/>
        <w:t>Discussion</w:t>
      </w:r>
    </w:p>
    <w:p w14:paraId="2536A64F" w14:textId="1C804CBB" w:rsidR="00B20258" w:rsidRDefault="005F6633" w:rsidP="00364C04">
      <w:pPr>
        <w:spacing w:after="0" w:line="240" w:lineRule="auto"/>
        <w:jc w:val="both"/>
        <w:rPr>
          <w:rFonts w:ascii="Times New Roman" w:hAnsi="Times New Roman" w:cs="Times New Roman"/>
          <w:b/>
          <w:bCs/>
          <w:color w:val="000000" w:themeColor="text1"/>
          <w:sz w:val="20"/>
          <w:szCs w:val="20"/>
        </w:rPr>
      </w:pPr>
      <w:r w:rsidRPr="003C564C">
        <w:rPr>
          <w:rFonts w:ascii="Times New Roman" w:hAnsi="Times New Roman" w:cs="Times New Roman"/>
          <w:b/>
          <w:color w:val="414141"/>
          <w:sz w:val="20"/>
          <w:szCs w:val="20"/>
          <w:shd w:val="clear" w:color="auto" w:fill="FFFFFF"/>
        </w:rPr>
        <w:t>Figure 1</w:t>
      </w:r>
      <w:r w:rsidRPr="005F6633">
        <w:rPr>
          <w:rFonts w:ascii="Times New Roman" w:hAnsi="Times New Roman" w:cs="Times New Roman"/>
          <w:color w:val="414141"/>
          <w:sz w:val="20"/>
          <w:szCs w:val="20"/>
          <w:shd w:val="clear" w:color="auto" w:fill="FFFFFF"/>
        </w:rPr>
        <w:t xml:space="preserve"> is a bar chart representing the pH and turbidity of the three </w:t>
      </w:r>
      <w:r w:rsidR="003C564C">
        <w:rPr>
          <w:rFonts w:ascii="Times New Roman" w:hAnsi="Times New Roman" w:cs="Times New Roman"/>
          <w:color w:val="414141"/>
          <w:sz w:val="20"/>
          <w:szCs w:val="20"/>
          <w:shd w:val="clear" w:color="auto" w:fill="FFFFFF"/>
        </w:rPr>
        <w:t xml:space="preserve">treated </w:t>
      </w:r>
      <w:r w:rsidRPr="005F6633">
        <w:rPr>
          <w:rFonts w:ascii="Times New Roman" w:hAnsi="Times New Roman" w:cs="Times New Roman"/>
          <w:color w:val="414141"/>
          <w:sz w:val="20"/>
          <w:szCs w:val="20"/>
          <w:shd w:val="clear" w:color="auto" w:fill="FFFFFF"/>
        </w:rPr>
        <w:t xml:space="preserve">waste water samples, A, B and C, and it shows after treatment that the pH of 7.41, 7.3 and 7.31 is okay when compared to the WHO standard of 6.5 – 8.5. The turbidity of 21NTU is less than the 50NTU of the WHO Standard, also showing that the water is clean. </w:t>
      </w:r>
      <w:r w:rsidRPr="003C564C">
        <w:rPr>
          <w:rFonts w:ascii="Times New Roman" w:hAnsi="Times New Roman" w:cs="Times New Roman"/>
          <w:b/>
          <w:color w:val="414141"/>
          <w:sz w:val="20"/>
          <w:szCs w:val="20"/>
          <w:shd w:val="clear" w:color="auto" w:fill="FFFFFF"/>
        </w:rPr>
        <w:t>Figure 2</w:t>
      </w:r>
      <w:r w:rsidRPr="005F6633">
        <w:rPr>
          <w:rFonts w:ascii="Times New Roman" w:hAnsi="Times New Roman" w:cs="Times New Roman"/>
          <w:color w:val="414141"/>
          <w:sz w:val="20"/>
          <w:szCs w:val="20"/>
          <w:shd w:val="clear" w:color="auto" w:fill="FFFFFF"/>
        </w:rPr>
        <w:t xml:space="preserve"> illustrates the number of total dissolved solids and total suspended solids on the three </w:t>
      </w:r>
      <w:r w:rsidR="003C564C">
        <w:rPr>
          <w:rFonts w:ascii="Times New Roman" w:hAnsi="Times New Roman" w:cs="Times New Roman"/>
          <w:color w:val="414141"/>
          <w:sz w:val="20"/>
          <w:szCs w:val="20"/>
          <w:shd w:val="clear" w:color="auto" w:fill="FFFFFF"/>
        </w:rPr>
        <w:t xml:space="preserve">treated </w:t>
      </w:r>
      <w:r w:rsidRPr="005F6633">
        <w:rPr>
          <w:rFonts w:ascii="Times New Roman" w:hAnsi="Times New Roman" w:cs="Times New Roman"/>
          <w:color w:val="414141"/>
          <w:sz w:val="20"/>
          <w:szCs w:val="20"/>
          <w:shd w:val="clear" w:color="auto" w:fill="FFFFFF"/>
        </w:rPr>
        <w:t xml:space="preserve">waste water samples, and it indicates that the TDS of 75.59mg/L, 79.0mg/L and 74.21mg/L compared to WHO standard of 500mg/L is OK thereby showing that the TDS presence is minimal,  and the TSS of the treated three waste water samples are 0.0051mg/L for Samples A, B and C respectively which when compared to the WHO standard of 100mg/L also showed that three waste water treated, there is no suspended solids. Meanwhile, </w:t>
      </w:r>
      <w:r w:rsidRPr="003C564C">
        <w:rPr>
          <w:rFonts w:ascii="Times New Roman" w:hAnsi="Times New Roman" w:cs="Times New Roman"/>
          <w:b/>
          <w:color w:val="414141"/>
          <w:sz w:val="20"/>
          <w:szCs w:val="20"/>
          <w:shd w:val="clear" w:color="auto" w:fill="FFFFFF"/>
        </w:rPr>
        <w:t>Figure 3</w:t>
      </w:r>
      <w:r w:rsidRPr="005F6633">
        <w:rPr>
          <w:rFonts w:ascii="Times New Roman" w:hAnsi="Times New Roman" w:cs="Times New Roman"/>
          <w:color w:val="414141"/>
          <w:sz w:val="20"/>
          <w:szCs w:val="20"/>
          <w:shd w:val="clear" w:color="auto" w:fill="FFFFFF"/>
        </w:rPr>
        <w:t xml:space="preserve"> is a depiction of the conductivity together with the total alkalinity of the three treated waste water samples. The figure depicts a conductivity of 155.99us/cm for the three samples of the treated waste water and, when compared to the WHO standard of 250us/cm, it further reveals that the water is okay. The total alkalinity of 0.76mg/L, 0.743mg/L and 0.64mg/L of the three treated waste water samples shows that the waste water treatment is okay, taking also </w:t>
      </w:r>
      <w:r w:rsidRPr="005F6633">
        <w:rPr>
          <w:rFonts w:ascii="Times New Roman" w:hAnsi="Times New Roman" w:cs="Times New Roman"/>
          <w:color w:val="414141"/>
          <w:sz w:val="20"/>
          <w:szCs w:val="20"/>
          <w:shd w:val="clear" w:color="auto" w:fill="FFFFFF"/>
        </w:rPr>
        <w:lastRenderedPageBreak/>
        <w:t xml:space="preserve">into consideration the value of the pH got. Precisely, </w:t>
      </w:r>
      <w:r w:rsidRPr="003C564C">
        <w:rPr>
          <w:rFonts w:ascii="Times New Roman" w:hAnsi="Times New Roman" w:cs="Times New Roman"/>
          <w:b/>
          <w:color w:val="414141"/>
          <w:sz w:val="20"/>
          <w:szCs w:val="20"/>
          <w:shd w:val="clear" w:color="auto" w:fill="FFFFFF"/>
        </w:rPr>
        <w:t>Figure 4</w:t>
      </w:r>
      <w:r w:rsidRPr="005F6633">
        <w:rPr>
          <w:rFonts w:ascii="Times New Roman" w:hAnsi="Times New Roman" w:cs="Times New Roman"/>
          <w:color w:val="414141"/>
          <w:sz w:val="20"/>
          <w:szCs w:val="20"/>
          <w:shd w:val="clear" w:color="auto" w:fill="FFFFFF"/>
        </w:rPr>
        <w:t xml:space="preserve"> shows the test results of the chloride coupled with the total hardness of the three waste water treated. The chloride of 592.19mg/L for the three samples of waste water treated as against the WHO standard of 250mg/</w:t>
      </w:r>
      <w:r w:rsidR="003C564C">
        <w:rPr>
          <w:rFonts w:ascii="Times New Roman" w:hAnsi="Times New Roman" w:cs="Times New Roman"/>
          <w:color w:val="414141"/>
          <w:sz w:val="20"/>
          <w:szCs w:val="20"/>
          <w:shd w:val="clear" w:color="auto" w:fill="FFFFFF"/>
        </w:rPr>
        <w:t>L (max) shows that the treated waste water</w:t>
      </w:r>
      <w:r w:rsidRPr="005F6633">
        <w:rPr>
          <w:rFonts w:ascii="Times New Roman" w:hAnsi="Times New Roman" w:cs="Times New Roman"/>
          <w:color w:val="414141"/>
          <w:sz w:val="20"/>
          <w:szCs w:val="20"/>
          <w:shd w:val="clear" w:color="auto" w:fill="FFFFFF"/>
        </w:rPr>
        <w:t xml:space="preserve"> will be highly concentrated with chloride, thereby giving rise to detectable taste and harmful to human health. The total hardness of 0.43mg/L, 0.38mg/L and 0.33mg/L comparable to the WHO standard of 500mg/L is okay and is good. While, </w:t>
      </w:r>
      <w:r w:rsidRPr="003C564C">
        <w:rPr>
          <w:rFonts w:ascii="Times New Roman" w:hAnsi="Times New Roman" w:cs="Times New Roman"/>
          <w:b/>
          <w:color w:val="414141"/>
          <w:sz w:val="20"/>
          <w:szCs w:val="20"/>
          <w:shd w:val="clear" w:color="auto" w:fill="FFFFFF"/>
        </w:rPr>
        <w:t>Figure 5</w:t>
      </w:r>
      <w:r w:rsidRPr="005F6633">
        <w:rPr>
          <w:rFonts w:ascii="Times New Roman" w:hAnsi="Times New Roman" w:cs="Times New Roman"/>
          <w:color w:val="414141"/>
          <w:sz w:val="20"/>
          <w:szCs w:val="20"/>
          <w:shd w:val="clear" w:color="auto" w:fill="FFFFFF"/>
        </w:rPr>
        <w:t xml:space="preserve"> represents the bar chart of the BOD together with the nitrate of the three treated waste water samples, A, B and C, respectively. The biological oxygen demand of 15.13mg/L and 15.10mg/L of the three treated waste water samples, comparable to the WHO standard of 30mg/L (max), are okay and the nitrate of 28mg/L and 29mg/L compared to the WHO standard of 50mg/L is also good. Also, </w:t>
      </w:r>
      <w:r w:rsidRPr="003C564C">
        <w:rPr>
          <w:rFonts w:ascii="Times New Roman" w:hAnsi="Times New Roman" w:cs="Times New Roman"/>
          <w:b/>
          <w:color w:val="414141"/>
          <w:sz w:val="20"/>
          <w:szCs w:val="20"/>
          <w:shd w:val="clear" w:color="auto" w:fill="FFFFFF"/>
        </w:rPr>
        <w:t>Figure 6</w:t>
      </w:r>
      <w:r w:rsidRPr="005F6633">
        <w:rPr>
          <w:rFonts w:ascii="Times New Roman" w:hAnsi="Times New Roman" w:cs="Times New Roman"/>
          <w:color w:val="414141"/>
          <w:sz w:val="20"/>
          <w:szCs w:val="20"/>
          <w:shd w:val="clear" w:color="auto" w:fill="FFFFFF"/>
        </w:rPr>
        <w:t xml:space="preserve"> elucidates the bar chart of the total iron doubled with that of zinc of the three treated waste water samples and the total iron of 1.49mg/L achievable during the test comparable to WHO standard of 30 mg/L (max) shows that the number of iron content presence is permissible and the zinc of 0.0810mg/L, 0.0802mg/L and 0.0801mg/L compared of WHO standard of 3.0mg/L is also permissible as well. Furthermore, </w:t>
      </w:r>
      <w:r w:rsidRPr="003C564C">
        <w:rPr>
          <w:rFonts w:ascii="Times New Roman" w:hAnsi="Times New Roman" w:cs="Times New Roman"/>
          <w:b/>
          <w:color w:val="414141"/>
          <w:sz w:val="20"/>
          <w:szCs w:val="20"/>
          <w:shd w:val="clear" w:color="auto" w:fill="FFFFFF"/>
        </w:rPr>
        <w:t>Figure 7</w:t>
      </w:r>
      <w:r w:rsidRPr="005F6633">
        <w:rPr>
          <w:rFonts w:ascii="Times New Roman" w:hAnsi="Times New Roman" w:cs="Times New Roman"/>
          <w:color w:val="414141"/>
          <w:sz w:val="20"/>
          <w:szCs w:val="20"/>
          <w:shd w:val="clear" w:color="auto" w:fill="FFFFFF"/>
        </w:rPr>
        <w:t xml:space="preserve"> illustrates the bar chart of the lead together with the coliform count of the three treated waste water samples, and it shows that the lead content of less than 0.01mg/L conforms the WHO standard of 0.01mg/L (max) is okay and the high content of coliform count of 50cfu/100ml indicates high risk of contracting a water-borne illness, and it needs to be checked.</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0DB4D37A" w14:textId="1D73ABBF" w:rsidR="005F6633" w:rsidRPr="00364C04" w:rsidRDefault="005F6633" w:rsidP="00364C04">
      <w:pPr>
        <w:spacing w:after="0" w:line="240" w:lineRule="auto"/>
        <w:jc w:val="both"/>
        <w:rPr>
          <w:rFonts w:ascii="Times New Roman" w:hAnsi="Times New Roman" w:cs="Times New Roman"/>
          <w:color w:val="000000" w:themeColor="text1"/>
          <w:sz w:val="20"/>
          <w:szCs w:val="20"/>
        </w:rPr>
      </w:pPr>
      <w:r w:rsidRPr="00364C04">
        <w:rPr>
          <w:rFonts w:ascii="Times New Roman" w:hAnsi="Times New Roman" w:cs="Times New Roman"/>
          <w:color w:val="414141"/>
          <w:sz w:val="20"/>
          <w:szCs w:val="20"/>
          <w:shd w:val="clear" w:color="auto" w:fill="FFFFFF"/>
        </w:rPr>
        <w:t xml:space="preserve">The investigation of the usage of Eichhornia crassipes in the cleansing and treatment of waste water has been conducted. The study area of this investigation is in Warri River –NMU Jetty which is situated in Barrister Smooth Jetty of the Nigeria Port Authority (NPA) in Warri, Delta State of Nigeria. The Warri River is a cardinal navigational route in the Niger Delta geographical region, and it is quite a huge body of freshwater with latitude 5021’-6000’N together with longitude 5024’-6021’E that covers a surface area of 255square </w:t>
      </w:r>
      <w:r w:rsidR="00364C04" w:rsidRPr="00364C04">
        <w:rPr>
          <w:rFonts w:ascii="Times New Roman" w:hAnsi="Times New Roman" w:cs="Times New Roman"/>
          <w:color w:val="414141"/>
          <w:sz w:val="20"/>
          <w:szCs w:val="20"/>
          <w:shd w:val="clear" w:color="auto" w:fill="FFFFFF"/>
        </w:rPr>
        <w:t>kilometers</w:t>
      </w:r>
      <w:r w:rsidRPr="00364C04">
        <w:rPr>
          <w:rFonts w:ascii="Times New Roman" w:hAnsi="Times New Roman" w:cs="Times New Roman"/>
          <w:color w:val="414141"/>
          <w:sz w:val="20"/>
          <w:szCs w:val="20"/>
          <w:shd w:val="clear" w:color="auto" w:fill="FFFFFF"/>
        </w:rPr>
        <w:t xml:space="preserve"> doubled with a length of approximately 151 kilometers.  Experimentally, three samples of water were taken at the NMU Jetty along the NPA Warri River axis and a commonsensible number of water hyacinths in it and the Petroleum Training Institute, </w:t>
      </w:r>
      <w:proofErr w:type="spellStart"/>
      <w:r w:rsidRPr="00364C04">
        <w:rPr>
          <w:rFonts w:ascii="Times New Roman" w:hAnsi="Times New Roman" w:cs="Times New Roman"/>
          <w:color w:val="414141"/>
          <w:sz w:val="20"/>
          <w:szCs w:val="20"/>
          <w:shd w:val="clear" w:color="auto" w:fill="FFFFFF"/>
        </w:rPr>
        <w:t>Effurun</w:t>
      </w:r>
      <w:proofErr w:type="spellEnd"/>
      <w:r w:rsidRPr="00364C04">
        <w:rPr>
          <w:rFonts w:ascii="Times New Roman" w:hAnsi="Times New Roman" w:cs="Times New Roman"/>
          <w:color w:val="414141"/>
          <w:sz w:val="20"/>
          <w:szCs w:val="20"/>
          <w:shd w:val="clear" w:color="auto" w:fill="FFFFFF"/>
        </w:rPr>
        <w:t xml:space="preserve"> – Water Test Laboratory were utilized for the physical, chemical and biological test assessment. Then, it went via portable test assessment to ascertain the quality of the water assessment of some fixed parameters; it was kept to remain there with appropriate ventilation together with good light to boost the water hyacinth's life cycle for a week. The samples were brought back again to the laboratory for repeated portable tests to determine the positive impingement of Eichhornia crassipes on the water pollutants, and it was done for  two weeks as it was earlier mentioned.  The following water parameters were collated in the test laboratory for the three samples of water – Sample A, Sample B and Sample C: pH, turbidity, total dissolved solids, total suspended solids, conductivity, total alkalinity, chloride, total hardness, biological oxygen demand, zinc, nitrate, total ion, lead and coliform count were taken and recorded. The results obtained show that the treated waste water has a high content of chloride of 592.19mg/L for the three samples of waste water treated as against the WHO standard of 250mg/L (max) and this will make the water to have a detectable taste and harmful to human health, while the high content of coliform count of 50cfu/100ml indicates high risk of contracting a water-borne illness, and it needs to be checked. It is recommended a repeated water treatment should be embarked on the three treated samples waste water A, B and C respectively.</w:t>
      </w:r>
    </w:p>
    <w:p w14:paraId="24B2CD4B" w14:textId="22194A5F" w:rsidR="00DA52F4" w:rsidRPr="001E51F3" w:rsidRDefault="00DA52F4" w:rsidP="00364C04">
      <w:p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color w:val="000000" w:themeColor="text1"/>
          <w:sz w:val="20"/>
          <w:szCs w:val="20"/>
        </w:rPr>
        <w:t xml:space="preserve"> </w:t>
      </w:r>
      <w:r w:rsidRPr="001E51F3">
        <w:rPr>
          <w:rFonts w:ascii="Times New Roman" w:hAnsi="Times New Roman" w:cs="Times New Roman"/>
          <w:b/>
          <w:bCs/>
          <w:color w:val="000000" w:themeColor="text1"/>
          <w:sz w:val="24"/>
          <w:szCs w:val="24"/>
        </w:rPr>
        <w:t>REFERENCES</w:t>
      </w:r>
    </w:p>
    <w:p w14:paraId="342217A2" w14:textId="068E3963" w:rsidR="00DF6670" w:rsidRPr="009C3937" w:rsidRDefault="0057059A" w:rsidP="009C3937">
      <w:pPr>
        <w:pStyle w:val="ListParagraph"/>
        <w:numPr>
          <w:ilvl w:val="0"/>
          <w:numId w:val="19"/>
        </w:numPr>
        <w:spacing w:after="0" w:line="276" w:lineRule="auto"/>
        <w:jc w:val="both"/>
        <w:rPr>
          <w:rFonts w:ascii="Times New Roman" w:hAnsi="Times New Roman" w:cs="Times New Roman"/>
          <w:sz w:val="20"/>
          <w:szCs w:val="20"/>
        </w:rPr>
      </w:pPr>
      <w:r w:rsidRPr="009C3937">
        <w:rPr>
          <w:rFonts w:ascii="Times New Roman" w:hAnsi="Times New Roman" w:cs="Times New Roman"/>
          <w:sz w:val="20"/>
          <w:szCs w:val="20"/>
        </w:rPr>
        <w:t xml:space="preserve">B.C. Wolverton &amp; R.C. McDonald, </w:t>
      </w:r>
      <w:r w:rsidR="009C3937" w:rsidRPr="009C3937">
        <w:rPr>
          <w:rFonts w:ascii="Times New Roman" w:hAnsi="Times New Roman" w:cs="Times New Roman"/>
          <w:sz w:val="20"/>
          <w:szCs w:val="20"/>
        </w:rPr>
        <w:t>the</w:t>
      </w:r>
      <w:r w:rsidRPr="009C3937">
        <w:rPr>
          <w:rFonts w:ascii="Times New Roman" w:hAnsi="Times New Roman" w:cs="Times New Roman"/>
          <w:sz w:val="20"/>
          <w:szCs w:val="20"/>
        </w:rPr>
        <w:t xml:space="preserve"> </w:t>
      </w:r>
      <w:r w:rsidR="00DF6670" w:rsidRPr="009C3937">
        <w:rPr>
          <w:rFonts w:ascii="Times New Roman" w:hAnsi="Times New Roman" w:cs="Times New Roman"/>
          <w:sz w:val="20"/>
          <w:szCs w:val="20"/>
        </w:rPr>
        <w:t>Water Hyacinth: f</w:t>
      </w:r>
      <w:r w:rsidRPr="009C3937">
        <w:rPr>
          <w:rFonts w:ascii="Times New Roman" w:hAnsi="Times New Roman" w:cs="Times New Roman"/>
          <w:sz w:val="20"/>
          <w:szCs w:val="20"/>
        </w:rPr>
        <w:t xml:space="preserve">rom </w:t>
      </w:r>
      <w:r w:rsidR="00DF6670" w:rsidRPr="009C3937">
        <w:rPr>
          <w:rFonts w:ascii="Times New Roman" w:hAnsi="Times New Roman" w:cs="Times New Roman"/>
          <w:sz w:val="20"/>
          <w:szCs w:val="20"/>
        </w:rPr>
        <w:t xml:space="preserve">Prolific Pest to Potential Provider. </w:t>
      </w:r>
      <w:proofErr w:type="spellStart"/>
      <w:r w:rsidRPr="009C3937">
        <w:rPr>
          <w:rFonts w:ascii="Times New Roman" w:hAnsi="Times New Roman" w:cs="Times New Roman"/>
          <w:sz w:val="20"/>
          <w:szCs w:val="20"/>
        </w:rPr>
        <w:t>Ambio</w:t>
      </w:r>
      <w:proofErr w:type="spellEnd"/>
      <w:r w:rsidR="00DF6670" w:rsidRPr="009C3937">
        <w:rPr>
          <w:rFonts w:ascii="Times New Roman" w:hAnsi="Times New Roman" w:cs="Times New Roman"/>
          <w:sz w:val="20"/>
          <w:szCs w:val="20"/>
        </w:rPr>
        <w:t>.</w:t>
      </w:r>
      <w:r w:rsidRPr="009C3937">
        <w:rPr>
          <w:rFonts w:ascii="Times New Roman" w:hAnsi="Times New Roman" w:cs="Times New Roman"/>
          <w:sz w:val="20"/>
          <w:szCs w:val="20"/>
        </w:rPr>
        <w:t xml:space="preserve"> Volume 8, No. 1, 1979, pp.1-9.</w:t>
      </w:r>
    </w:p>
    <w:p w14:paraId="4359E59E" w14:textId="5EC7C5F0" w:rsidR="00DF6670" w:rsidRPr="009C3937" w:rsidRDefault="00DF6670" w:rsidP="009C3937">
      <w:pPr>
        <w:pStyle w:val="ListParagraph"/>
        <w:numPr>
          <w:ilvl w:val="0"/>
          <w:numId w:val="19"/>
        </w:numPr>
        <w:spacing w:after="0" w:line="276" w:lineRule="auto"/>
        <w:jc w:val="both"/>
        <w:rPr>
          <w:rFonts w:ascii="Times New Roman" w:hAnsi="Times New Roman" w:cs="Times New Roman"/>
          <w:sz w:val="20"/>
          <w:szCs w:val="20"/>
        </w:rPr>
      </w:pPr>
      <w:r w:rsidRPr="009C3937">
        <w:rPr>
          <w:rFonts w:ascii="Times New Roman" w:hAnsi="Times New Roman" w:cs="Times New Roman"/>
          <w:sz w:val="20"/>
          <w:szCs w:val="20"/>
        </w:rPr>
        <w:t xml:space="preserve">A.O. </w:t>
      </w:r>
      <w:proofErr w:type="spellStart"/>
      <w:r w:rsidRPr="009C3937">
        <w:rPr>
          <w:rFonts w:ascii="Times New Roman" w:hAnsi="Times New Roman" w:cs="Times New Roman"/>
          <w:sz w:val="20"/>
          <w:szCs w:val="20"/>
        </w:rPr>
        <w:t>Sotolu</w:t>
      </w:r>
      <w:proofErr w:type="spellEnd"/>
      <w:r w:rsidRPr="009C3937">
        <w:rPr>
          <w:rFonts w:ascii="Times New Roman" w:hAnsi="Times New Roman" w:cs="Times New Roman"/>
          <w:sz w:val="20"/>
          <w:szCs w:val="20"/>
        </w:rPr>
        <w:t xml:space="preserve">, Management and Utilization of Water Hyacinth (Eichhornia Crassipes) for Improved Aquatic Resources, Fisheries Society of Nigeria </w:t>
      </w:r>
      <w:r w:rsidR="007355F8" w:rsidRPr="009C3937">
        <w:rPr>
          <w:rFonts w:ascii="Times New Roman" w:hAnsi="Times New Roman" w:cs="Times New Roman"/>
          <w:sz w:val="20"/>
          <w:szCs w:val="20"/>
        </w:rPr>
        <w:t>(FISON</w:t>
      </w:r>
      <w:r w:rsidRPr="009C3937">
        <w:rPr>
          <w:rFonts w:ascii="Times New Roman" w:hAnsi="Times New Roman" w:cs="Times New Roman"/>
          <w:sz w:val="20"/>
          <w:szCs w:val="20"/>
        </w:rPr>
        <w:t xml:space="preserve">) </w:t>
      </w:r>
      <w:proofErr w:type="spellStart"/>
      <w:r w:rsidRPr="009C3937">
        <w:rPr>
          <w:rFonts w:ascii="Times New Roman" w:hAnsi="Times New Roman" w:cs="Times New Roman"/>
          <w:sz w:val="20"/>
          <w:szCs w:val="20"/>
        </w:rPr>
        <w:t>Eko</w:t>
      </w:r>
      <w:proofErr w:type="spellEnd"/>
      <w:r w:rsidRPr="009C3937">
        <w:rPr>
          <w:rFonts w:ascii="Times New Roman" w:hAnsi="Times New Roman" w:cs="Times New Roman"/>
          <w:sz w:val="20"/>
          <w:szCs w:val="20"/>
        </w:rPr>
        <w:t>, 2010.</w:t>
      </w:r>
    </w:p>
    <w:p w14:paraId="26ACB625" w14:textId="171955B6" w:rsidR="00527686" w:rsidRPr="009C3937" w:rsidRDefault="00DF6670" w:rsidP="009C3937">
      <w:pPr>
        <w:pStyle w:val="ListParagraph"/>
        <w:numPr>
          <w:ilvl w:val="0"/>
          <w:numId w:val="19"/>
        </w:numPr>
        <w:spacing w:after="0" w:line="276" w:lineRule="auto"/>
        <w:jc w:val="both"/>
        <w:rPr>
          <w:rFonts w:ascii="Times New Roman" w:hAnsi="Times New Roman" w:cs="Times New Roman"/>
          <w:sz w:val="20"/>
          <w:szCs w:val="20"/>
        </w:rPr>
      </w:pPr>
      <w:r w:rsidRPr="009C3937">
        <w:rPr>
          <w:rFonts w:ascii="Times New Roman" w:hAnsi="Times New Roman" w:cs="Times New Roman"/>
          <w:sz w:val="20"/>
          <w:szCs w:val="20"/>
        </w:rPr>
        <w:t xml:space="preserve">A.O. </w:t>
      </w:r>
      <w:proofErr w:type="spellStart"/>
      <w:r w:rsidRPr="009C3937">
        <w:rPr>
          <w:rFonts w:ascii="Times New Roman" w:hAnsi="Times New Roman" w:cs="Times New Roman"/>
          <w:sz w:val="20"/>
          <w:szCs w:val="20"/>
        </w:rPr>
        <w:t>Sotolu</w:t>
      </w:r>
      <w:proofErr w:type="spellEnd"/>
      <w:r w:rsidR="007355F8" w:rsidRPr="009C3937">
        <w:rPr>
          <w:rFonts w:ascii="Times New Roman" w:hAnsi="Times New Roman" w:cs="Times New Roman"/>
          <w:sz w:val="20"/>
          <w:szCs w:val="20"/>
        </w:rPr>
        <w:t>, Nutrient</w:t>
      </w:r>
      <w:r w:rsidRPr="009C3937">
        <w:rPr>
          <w:rFonts w:ascii="Times New Roman" w:hAnsi="Times New Roman" w:cs="Times New Roman"/>
          <w:sz w:val="20"/>
          <w:szCs w:val="20"/>
        </w:rPr>
        <w:t xml:space="preserve"> Potentials of Water Hyacinth as Feed Supplement in Sustainable Aquaculture. </w:t>
      </w:r>
      <w:proofErr w:type="spellStart"/>
      <w:r w:rsidRPr="009C3937">
        <w:rPr>
          <w:rFonts w:ascii="Times New Roman" w:hAnsi="Times New Roman" w:cs="Times New Roman"/>
          <w:sz w:val="20"/>
          <w:szCs w:val="20"/>
        </w:rPr>
        <w:t>Obeche</w:t>
      </w:r>
      <w:proofErr w:type="spellEnd"/>
      <w:r w:rsidRPr="009C3937">
        <w:rPr>
          <w:rFonts w:ascii="Times New Roman" w:hAnsi="Times New Roman" w:cs="Times New Roman"/>
          <w:sz w:val="20"/>
          <w:szCs w:val="20"/>
        </w:rPr>
        <w:t xml:space="preserve"> Journal </w:t>
      </w:r>
      <w:r w:rsidR="00A916F9" w:rsidRPr="009C3937">
        <w:rPr>
          <w:rFonts w:ascii="Times New Roman" w:hAnsi="Times New Roman" w:cs="Times New Roman"/>
          <w:sz w:val="20"/>
          <w:szCs w:val="20"/>
        </w:rPr>
        <w:t>Volume 26</w:t>
      </w:r>
      <w:r w:rsidRPr="009C3937">
        <w:rPr>
          <w:rFonts w:ascii="Times New Roman" w:hAnsi="Times New Roman" w:cs="Times New Roman"/>
          <w:sz w:val="20"/>
          <w:szCs w:val="20"/>
        </w:rPr>
        <w:t>, No. 1, 2008, pp. 45-51.</w:t>
      </w:r>
    </w:p>
    <w:p w14:paraId="7AEE8E4F" w14:textId="68562E3C" w:rsidR="0057059A" w:rsidRPr="009C3937" w:rsidRDefault="00527686" w:rsidP="009C3937">
      <w:pPr>
        <w:pStyle w:val="ListParagraph"/>
        <w:numPr>
          <w:ilvl w:val="0"/>
          <w:numId w:val="19"/>
        </w:numPr>
        <w:spacing w:after="0" w:line="276" w:lineRule="auto"/>
        <w:jc w:val="both"/>
        <w:rPr>
          <w:rFonts w:ascii="Times New Roman" w:hAnsi="Times New Roman" w:cs="Times New Roman"/>
          <w:sz w:val="20"/>
          <w:szCs w:val="20"/>
        </w:rPr>
      </w:pPr>
      <w:r w:rsidRPr="009C3937">
        <w:rPr>
          <w:rFonts w:ascii="Times New Roman" w:hAnsi="Times New Roman" w:cs="Times New Roman"/>
          <w:sz w:val="20"/>
          <w:szCs w:val="20"/>
        </w:rPr>
        <w:t>G., Hilly, W. Jeff,  &amp; P. George, The Water Hyacinth Problem in Tropical Africa, International Water Hyacinth Consortium, World Bank, Washington, 18-19 March, 1997.</w:t>
      </w:r>
    </w:p>
    <w:p w14:paraId="109555BF" w14:textId="593A3154" w:rsidR="00527686" w:rsidRPr="009C3937" w:rsidRDefault="00A916F9" w:rsidP="009C3937">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C3937">
        <w:rPr>
          <w:rFonts w:ascii="Times New Roman" w:hAnsi="Times New Roman" w:cs="Times New Roman"/>
          <w:color w:val="000000" w:themeColor="text1"/>
          <w:sz w:val="20"/>
          <w:szCs w:val="20"/>
        </w:rPr>
        <w:t xml:space="preserve">M. S., Mathur, </w:t>
      </w:r>
      <w:r w:rsidR="00527686" w:rsidRPr="009C3937">
        <w:rPr>
          <w:rFonts w:ascii="Times New Roman" w:hAnsi="Times New Roman" w:cs="Times New Roman"/>
          <w:color w:val="000000" w:themeColor="text1"/>
          <w:sz w:val="20"/>
          <w:szCs w:val="20"/>
        </w:rPr>
        <w:t xml:space="preserve">Water hyacinth and its Management </w:t>
      </w:r>
      <w:r w:rsidRPr="009C3937">
        <w:rPr>
          <w:rFonts w:ascii="Times New Roman" w:hAnsi="Times New Roman" w:cs="Times New Roman"/>
          <w:color w:val="000000" w:themeColor="text1"/>
          <w:sz w:val="20"/>
          <w:szCs w:val="20"/>
        </w:rPr>
        <w:t>through Alternative Utilization,</w:t>
      </w:r>
      <w:r w:rsidR="00527686" w:rsidRPr="009C3937">
        <w:rPr>
          <w:rFonts w:ascii="Times New Roman" w:hAnsi="Times New Roman" w:cs="Times New Roman"/>
          <w:color w:val="000000" w:themeColor="text1"/>
          <w:sz w:val="20"/>
          <w:szCs w:val="20"/>
        </w:rPr>
        <w:t xml:space="preserve"> International Symposium on Air Quality and Waste Management for Agriculture, 16-19 September 2007.</w:t>
      </w:r>
    </w:p>
    <w:p w14:paraId="52247720" w14:textId="016CED37" w:rsidR="00A916F9" w:rsidRPr="009C3937" w:rsidRDefault="00A916F9" w:rsidP="009C3937">
      <w:pPr>
        <w:pStyle w:val="ListParagraph"/>
        <w:numPr>
          <w:ilvl w:val="0"/>
          <w:numId w:val="19"/>
        </w:numPr>
        <w:spacing w:after="0" w:line="276" w:lineRule="auto"/>
        <w:jc w:val="both"/>
        <w:rPr>
          <w:rFonts w:ascii="Times New Roman" w:hAnsi="Times New Roman" w:cs="Times New Roman"/>
          <w:sz w:val="20"/>
          <w:szCs w:val="20"/>
        </w:rPr>
      </w:pPr>
      <w:r w:rsidRPr="009C3937">
        <w:rPr>
          <w:rFonts w:ascii="Times New Roman" w:hAnsi="Times New Roman" w:cs="Times New Roman"/>
          <w:sz w:val="20"/>
          <w:szCs w:val="20"/>
        </w:rPr>
        <w:t xml:space="preserve">F., Daddy, Water hyacinth and its Control on </w:t>
      </w:r>
      <w:proofErr w:type="spellStart"/>
      <w:r w:rsidRPr="009C3937">
        <w:rPr>
          <w:rFonts w:ascii="Times New Roman" w:hAnsi="Times New Roman" w:cs="Times New Roman"/>
          <w:sz w:val="20"/>
          <w:szCs w:val="20"/>
        </w:rPr>
        <w:t>Kainji</w:t>
      </w:r>
      <w:proofErr w:type="spellEnd"/>
      <w:r w:rsidRPr="009C3937">
        <w:rPr>
          <w:rFonts w:ascii="Times New Roman" w:hAnsi="Times New Roman" w:cs="Times New Roman"/>
          <w:sz w:val="20"/>
          <w:szCs w:val="20"/>
        </w:rPr>
        <w:t xml:space="preserve"> Lake. Newsletter of National Institute for Freshwater Fisheries, New </w:t>
      </w:r>
      <w:proofErr w:type="spellStart"/>
      <w:r w:rsidRPr="009C3937">
        <w:rPr>
          <w:rFonts w:ascii="Times New Roman" w:hAnsi="Times New Roman" w:cs="Times New Roman"/>
          <w:sz w:val="20"/>
          <w:szCs w:val="20"/>
        </w:rPr>
        <w:t>Bussa</w:t>
      </w:r>
      <w:proofErr w:type="spellEnd"/>
      <w:r w:rsidRPr="009C3937">
        <w:rPr>
          <w:rFonts w:ascii="Times New Roman" w:hAnsi="Times New Roman" w:cs="Times New Roman"/>
          <w:sz w:val="20"/>
          <w:szCs w:val="20"/>
        </w:rPr>
        <w:t xml:space="preserve"> Niger State</w:t>
      </w:r>
      <w:r w:rsidR="00AC46B8" w:rsidRPr="009C3937">
        <w:rPr>
          <w:rFonts w:ascii="Times New Roman" w:hAnsi="Times New Roman" w:cs="Times New Roman"/>
          <w:sz w:val="20"/>
          <w:szCs w:val="20"/>
        </w:rPr>
        <w:t xml:space="preserve"> </w:t>
      </w:r>
      <w:r w:rsidRPr="009C3937">
        <w:rPr>
          <w:rFonts w:ascii="Times New Roman" w:hAnsi="Times New Roman" w:cs="Times New Roman"/>
          <w:sz w:val="20"/>
          <w:szCs w:val="20"/>
        </w:rPr>
        <w:t>Nigeria, Volume 16, No. 1, 2000, pp. 56-60.</w:t>
      </w:r>
    </w:p>
    <w:p w14:paraId="37F796D6" w14:textId="633EAFAF" w:rsidR="00AC46B8" w:rsidRPr="009C3937" w:rsidRDefault="00AC46B8" w:rsidP="009C3937">
      <w:pPr>
        <w:pStyle w:val="ListParagraph"/>
        <w:numPr>
          <w:ilvl w:val="0"/>
          <w:numId w:val="19"/>
        </w:numPr>
        <w:spacing w:after="0" w:line="276" w:lineRule="auto"/>
        <w:jc w:val="both"/>
        <w:rPr>
          <w:rFonts w:ascii="Times New Roman" w:hAnsi="Times New Roman" w:cs="Times New Roman"/>
          <w:sz w:val="20"/>
          <w:szCs w:val="20"/>
        </w:rPr>
      </w:pPr>
      <w:r w:rsidRPr="009C3937">
        <w:rPr>
          <w:rFonts w:ascii="Times New Roman" w:hAnsi="Times New Roman" w:cs="Times New Roman"/>
          <w:sz w:val="20"/>
          <w:szCs w:val="20"/>
        </w:rPr>
        <w:t xml:space="preserve">A. Z. </w:t>
      </w:r>
      <w:proofErr w:type="spellStart"/>
      <w:r w:rsidRPr="009C3937">
        <w:rPr>
          <w:rFonts w:ascii="Times New Roman" w:hAnsi="Times New Roman" w:cs="Times New Roman"/>
          <w:sz w:val="20"/>
          <w:szCs w:val="20"/>
        </w:rPr>
        <w:t>Aderolu</w:t>
      </w:r>
      <w:proofErr w:type="spellEnd"/>
      <w:r w:rsidRPr="009C3937">
        <w:rPr>
          <w:rFonts w:ascii="Times New Roman" w:hAnsi="Times New Roman" w:cs="Times New Roman"/>
          <w:sz w:val="20"/>
          <w:szCs w:val="20"/>
        </w:rPr>
        <w:t xml:space="preserve">, &amp; O.A. </w:t>
      </w:r>
      <w:proofErr w:type="spellStart"/>
      <w:r w:rsidRPr="009C3937">
        <w:rPr>
          <w:rFonts w:ascii="Times New Roman" w:hAnsi="Times New Roman" w:cs="Times New Roman"/>
          <w:sz w:val="20"/>
          <w:szCs w:val="20"/>
        </w:rPr>
        <w:t>Akinremi</w:t>
      </w:r>
      <w:proofErr w:type="spellEnd"/>
      <w:r w:rsidRPr="009C3937">
        <w:rPr>
          <w:rFonts w:ascii="Times New Roman" w:hAnsi="Times New Roman" w:cs="Times New Roman"/>
          <w:sz w:val="20"/>
          <w:szCs w:val="20"/>
        </w:rPr>
        <w:t xml:space="preserve">, Dietary Effects of Coconut Oil and Peanut Oil in  Improving Biochemical Characteristics of </w:t>
      </w:r>
      <w:proofErr w:type="spellStart"/>
      <w:r w:rsidRPr="009C3937">
        <w:rPr>
          <w:rFonts w:ascii="Times New Roman" w:hAnsi="Times New Roman" w:cs="Times New Roman"/>
          <w:sz w:val="20"/>
          <w:szCs w:val="20"/>
        </w:rPr>
        <w:t>Clarias</w:t>
      </w:r>
      <w:proofErr w:type="spellEnd"/>
      <w:r w:rsidRPr="009C3937">
        <w:rPr>
          <w:rFonts w:ascii="Times New Roman" w:hAnsi="Times New Roman" w:cs="Times New Roman"/>
          <w:sz w:val="20"/>
          <w:szCs w:val="20"/>
        </w:rPr>
        <w:t xml:space="preserve"> </w:t>
      </w:r>
      <w:proofErr w:type="spellStart"/>
      <w:r w:rsidRPr="009C3937">
        <w:rPr>
          <w:rFonts w:ascii="Times New Roman" w:hAnsi="Times New Roman" w:cs="Times New Roman"/>
          <w:sz w:val="20"/>
          <w:szCs w:val="20"/>
        </w:rPr>
        <w:t>gariepinus</w:t>
      </w:r>
      <w:proofErr w:type="spellEnd"/>
      <w:r w:rsidRPr="009C3937">
        <w:rPr>
          <w:rFonts w:ascii="Times New Roman" w:hAnsi="Times New Roman" w:cs="Times New Roman"/>
          <w:sz w:val="20"/>
          <w:szCs w:val="20"/>
        </w:rPr>
        <w:t xml:space="preserve"> Juvenile. Turkish J. Fisheries and Aquatic Sci., Issue 9, 2009, pp. 105-110.</w:t>
      </w:r>
    </w:p>
    <w:p w14:paraId="1C4881A9" w14:textId="3BF58852" w:rsidR="00AC46B8" w:rsidRPr="009C3937" w:rsidRDefault="00AC46B8" w:rsidP="009C3937">
      <w:pPr>
        <w:pStyle w:val="ListParagraph"/>
        <w:numPr>
          <w:ilvl w:val="0"/>
          <w:numId w:val="19"/>
        </w:numPr>
        <w:spacing w:after="0" w:line="276" w:lineRule="auto"/>
        <w:jc w:val="both"/>
        <w:rPr>
          <w:rFonts w:ascii="Times New Roman" w:hAnsi="Times New Roman" w:cs="Times New Roman"/>
          <w:sz w:val="20"/>
          <w:szCs w:val="20"/>
        </w:rPr>
      </w:pPr>
      <w:r w:rsidRPr="009C3937">
        <w:rPr>
          <w:rFonts w:ascii="Times New Roman" w:hAnsi="Times New Roman" w:cs="Times New Roman"/>
          <w:sz w:val="20"/>
          <w:szCs w:val="20"/>
        </w:rPr>
        <w:t xml:space="preserve">C. E. ,Boyd,  Fresh-water plant: A potential source of Protein, Economic Botany, Volume 22, No. 4, 1968, pp.359-368. </w:t>
      </w:r>
    </w:p>
    <w:p w14:paraId="43DA320A" w14:textId="77777777" w:rsidR="00AC46B8" w:rsidRPr="009C3937" w:rsidRDefault="00AC46B8" w:rsidP="009C3937">
      <w:pPr>
        <w:pStyle w:val="ListParagraph"/>
        <w:numPr>
          <w:ilvl w:val="0"/>
          <w:numId w:val="19"/>
        </w:numPr>
        <w:spacing w:after="0" w:line="276" w:lineRule="auto"/>
        <w:jc w:val="both"/>
        <w:rPr>
          <w:rFonts w:ascii="Times New Roman" w:hAnsi="Times New Roman" w:cs="Times New Roman"/>
          <w:sz w:val="20"/>
          <w:szCs w:val="20"/>
        </w:rPr>
      </w:pPr>
      <w:r w:rsidRPr="009C3937">
        <w:rPr>
          <w:rFonts w:ascii="Times New Roman" w:hAnsi="Times New Roman" w:cs="Times New Roman"/>
          <w:sz w:val="20"/>
          <w:szCs w:val="20"/>
        </w:rPr>
        <w:t>C. E., Boyd, The Nutrient Value of Three Species of Water Weeds, Economic Botany, Volume 23 No.2, 1969, pp.123-127.</w:t>
      </w:r>
    </w:p>
    <w:p w14:paraId="6486E076" w14:textId="02B32CF6" w:rsidR="007355F8" w:rsidRPr="009C3937" w:rsidRDefault="00AC46B8" w:rsidP="009C3937">
      <w:pPr>
        <w:pStyle w:val="ListParagraph"/>
        <w:numPr>
          <w:ilvl w:val="0"/>
          <w:numId w:val="19"/>
        </w:numPr>
        <w:spacing w:after="0" w:line="276" w:lineRule="auto"/>
        <w:jc w:val="both"/>
        <w:rPr>
          <w:rFonts w:ascii="Times New Roman" w:hAnsi="Times New Roman" w:cs="Times New Roman"/>
          <w:sz w:val="20"/>
          <w:szCs w:val="20"/>
        </w:rPr>
      </w:pPr>
      <w:r w:rsidRPr="009C3937">
        <w:rPr>
          <w:rFonts w:ascii="Times New Roman" w:hAnsi="Times New Roman" w:cs="Times New Roman"/>
          <w:sz w:val="20"/>
          <w:szCs w:val="20"/>
        </w:rPr>
        <w:t xml:space="preserve"> J. E., </w:t>
      </w:r>
      <w:proofErr w:type="spellStart"/>
      <w:r w:rsidRPr="009C3937">
        <w:rPr>
          <w:rFonts w:ascii="Times New Roman" w:hAnsi="Times New Roman" w:cs="Times New Roman"/>
          <w:sz w:val="20"/>
          <w:szCs w:val="20"/>
        </w:rPr>
        <w:t>Igbinosun</w:t>
      </w:r>
      <w:proofErr w:type="spellEnd"/>
      <w:r w:rsidRPr="009C3937">
        <w:rPr>
          <w:rFonts w:ascii="Times New Roman" w:hAnsi="Times New Roman" w:cs="Times New Roman"/>
          <w:sz w:val="20"/>
          <w:szCs w:val="20"/>
        </w:rPr>
        <w:t xml:space="preserve">, O., Roberts, &amp; D. </w:t>
      </w:r>
      <w:proofErr w:type="spellStart"/>
      <w:r w:rsidRPr="009C3937">
        <w:rPr>
          <w:rFonts w:ascii="Times New Roman" w:hAnsi="Times New Roman" w:cs="Times New Roman"/>
          <w:sz w:val="20"/>
          <w:szCs w:val="20"/>
        </w:rPr>
        <w:t>Amako</w:t>
      </w:r>
      <w:proofErr w:type="spellEnd"/>
      <w:r w:rsidR="007355F8" w:rsidRPr="009C3937">
        <w:rPr>
          <w:rFonts w:ascii="Times New Roman" w:hAnsi="Times New Roman" w:cs="Times New Roman"/>
          <w:sz w:val="20"/>
          <w:szCs w:val="20"/>
        </w:rPr>
        <w:t>, Investigation into the Probable Use of W</w:t>
      </w:r>
      <w:r w:rsidRPr="009C3937">
        <w:rPr>
          <w:rFonts w:ascii="Times New Roman" w:hAnsi="Times New Roman" w:cs="Times New Roman"/>
          <w:sz w:val="20"/>
          <w:szCs w:val="20"/>
        </w:rPr>
        <w:t>ater</w:t>
      </w:r>
      <w:r w:rsidR="007355F8" w:rsidRPr="009C3937">
        <w:rPr>
          <w:rFonts w:ascii="Times New Roman" w:hAnsi="Times New Roman" w:cs="Times New Roman"/>
          <w:sz w:val="20"/>
          <w:szCs w:val="20"/>
        </w:rPr>
        <w:t xml:space="preserve"> Hyacinth (Eichhornia C</w:t>
      </w:r>
      <w:r w:rsidRPr="009C3937">
        <w:rPr>
          <w:rFonts w:ascii="Times New Roman" w:hAnsi="Times New Roman" w:cs="Times New Roman"/>
          <w:sz w:val="20"/>
          <w:szCs w:val="20"/>
        </w:rPr>
        <w:t>rassipes) in Tila</w:t>
      </w:r>
      <w:r w:rsidR="007355F8" w:rsidRPr="009C3937">
        <w:rPr>
          <w:rFonts w:ascii="Times New Roman" w:hAnsi="Times New Roman" w:cs="Times New Roman"/>
          <w:sz w:val="20"/>
          <w:szCs w:val="20"/>
        </w:rPr>
        <w:t>pia Feed F</w:t>
      </w:r>
      <w:r w:rsidRPr="009C3937">
        <w:rPr>
          <w:rFonts w:ascii="Times New Roman" w:hAnsi="Times New Roman" w:cs="Times New Roman"/>
          <w:sz w:val="20"/>
          <w:szCs w:val="20"/>
        </w:rPr>
        <w:t>ormulatio</w:t>
      </w:r>
      <w:r w:rsidR="007355F8" w:rsidRPr="009C3937">
        <w:rPr>
          <w:rFonts w:ascii="Times New Roman" w:hAnsi="Times New Roman" w:cs="Times New Roman"/>
          <w:sz w:val="20"/>
          <w:szCs w:val="20"/>
        </w:rPr>
        <w:t>n. NIOMR Tech,</w:t>
      </w:r>
      <w:r w:rsidR="00AD2120" w:rsidRPr="009C3937">
        <w:rPr>
          <w:rFonts w:ascii="Times New Roman" w:hAnsi="Times New Roman" w:cs="Times New Roman"/>
          <w:sz w:val="20"/>
          <w:szCs w:val="20"/>
        </w:rPr>
        <w:t xml:space="preserve"> </w:t>
      </w:r>
      <w:r w:rsidRPr="009C3937">
        <w:rPr>
          <w:rFonts w:ascii="Times New Roman" w:hAnsi="Times New Roman" w:cs="Times New Roman"/>
          <w:sz w:val="20"/>
          <w:szCs w:val="20"/>
        </w:rPr>
        <w:t>Vo</w:t>
      </w:r>
      <w:r w:rsidR="00AD2120" w:rsidRPr="009C3937">
        <w:rPr>
          <w:rFonts w:ascii="Times New Roman" w:hAnsi="Times New Roman" w:cs="Times New Roman"/>
          <w:sz w:val="20"/>
          <w:szCs w:val="20"/>
        </w:rPr>
        <w:t>l</w:t>
      </w:r>
      <w:r w:rsidR="007355F8" w:rsidRPr="009C3937">
        <w:rPr>
          <w:rFonts w:ascii="Times New Roman" w:hAnsi="Times New Roman" w:cs="Times New Roman"/>
          <w:sz w:val="20"/>
          <w:szCs w:val="20"/>
        </w:rPr>
        <w:t>ume</w:t>
      </w:r>
      <w:r w:rsidRPr="009C3937">
        <w:rPr>
          <w:rFonts w:ascii="Times New Roman" w:hAnsi="Times New Roman" w:cs="Times New Roman"/>
          <w:sz w:val="20"/>
          <w:szCs w:val="20"/>
        </w:rPr>
        <w:t xml:space="preserve"> 22.</w:t>
      </w:r>
      <w:r w:rsidR="007355F8" w:rsidRPr="009C3937">
        <w:rPr>
          <w:rFonts w:ascii="Times New Roman" w:hAnsi="Times New Roman" w:cs="Times New Roman"/>
          <w:sz w:val="20"/>
          <w:szCs w:val="20"/>
        </w:rPr>
        <w:t xml:space="preserve"> No. 39, 1988.</w:t>
      </w:r>
    </w:p>
    <w:p w14:paraId="39281B56" w14:textId="44511E85" w:rsidR="007355F8" w:rsidRPr="009C3937" w:rsidRDefault="007355F8" w:rsidP="009C3937">
      <w:pPr>
        <w:pStyle w:val="ListParagraph"/>
        <w:numPr>
          <w:ilvl w:val="0"/>
          <w:numId w:val="19"/>
        </w:numPr>
        <w:spacing w:after="0" w:line="276" w:lineRule="auto"/>
        <w:jc w:val="both"/>
        <w:rPr>
          <w:rFonts w:ascii="Times New Roman" w:hAnsi="Times New Roman" w:cs="Times New Roman"/>
          <w:sz w:val="20"/>
          <w:szCs w:val="20"/>
        </w:rPr>
      </w:pPr>
      <w:r w:rsidRPr="009C3937">
        <w:rPr>
          <w:rFonts w:ascii="Times New Roman" w:hAnsi="Times New Roman" w:cs="Times New Roman"/>
          <w:sz w:val="20"/>
          <w:szCs w:val="20"/>
        </w:rPr>
        <w:t>B. C., Wolverton &amp; R.C., McDonald, Nutritional Composition of Water Hyacinths Growth  on Domestic Sewage, NASA/ERL Report No. 173, Washington, D.C, 1978.</w:t>
      </w:r>
    </w:p>
    <w:p w14:paraId="50AD02B2" w14:textId="21A57C06" w:rsidR="00AD2120" w:rsidRPr="009C3937" w:rsidRDefault="00AD2120" w:rsidP="009C3937">
      <w:pPr>
        <w:pStyle w:val="ListParagraph"/>
        <w:numPr>
          <w:ilvl w:val="0"/>
          <w:numId w:val="19"/>
        </w:numPr>
        <w:spacing w:after="0" w:line="276" w:lineRule="auto"/>
        <w:jc w:val="both"/>
        <w:rPr>
          <w:rFonts w:ascii="Times New Roman" w:hAnsi="Times New Roman" w:cs="Times New Roman"/>
          <w:sz w:val="20"/>
          <w:szCs w:val="20"/>
        </w:rPr>
      </w:pPr>
      <w:r w:rsidRPr="009C3937">
        <w:rPr>
          <w:rFonts w:ascii="Times New Roman" w:hAnsi="Times New Roman" w:cs="Times New Roman"/>
          <w:sz w:val="20"/>
          <w:szCs w:val="20"/>
        </w:rPr>
        <w:lastRenderedPageBreak/>
        <w:t xml:space="preserve"> J. K., Liang &amp; R.T. Lovell, Nutritional Value of Water Hyacinth in Channel Catfish Feeds. Water Hyacinth Control Society, Huntsville, Alabama, July 12-15, 1970, 40-44.</w:t>
      </w:r>
    </w:p>
    <w:p w14:paraId="1219EB22" w14:textId="566A179E" w:rsidR="00AD2120" w:rsidRPr="009C3937" w:rsidRDefault="00AD2120" w:rsidP="009C3937">
      <w:pPr>
        <w:pStyle w:val="ListParagraph"/>
        <w:numPr>
          <w:ilvl w:val="0"/>
          <w:numId w:val="19"/>
        </w:numPr>
        <w:spacing w:after="0" w:line="276" w:lineRule="auto"/>
        <w:jc w:val="both"/>
        <w:rPr>
          <w:rFonts w:ascii="Times New Roman" w:hAnsi="Times New Roman" w:cs="Times New Roman"/>
          <w:sz w:val="20"/>
          <w:szCs w:val="20"/>
        </w:rPr>
      </w:pPr>
      <w:r w:rsidRPr="009C3937">
        <w:rPr>
          <w:rFonts w:ascii="Times New Roman" w:hAnsi="Times New Roman" w:cs="Times New Roman"/>
          <w:sz w:val="20"/>
          <w:szCs w:val="20"/>
        </w:rPr>
        <w:t xml:space="preserve"> D. M., </w:t>
      </w:r>
      <w:proofErr w:type="spellStart"/>
      <w:r w:rsidRPr="009C3937">
        <w:rPr>
          <w:rFonts w:ascii="Times New Roman" w:hAnsi="Times New Roman" w:cs="Times New Roman"/>
          <w:sz w:val="20"/>
          <w:szCs w:val="20"/>
        </w:rPr>
        <w:t>Akinyanma</w:t>
      </w:r>
      <w:proofErr w:type="spellEnd"/>
      <w:r w:rsidRPr="009C3937">
        <w:rPr>
          <w:rFonts w:ascii="Times New Roman" w:hAnsi="Times New Roman" w:cs="Times New Roman"/>
          <w:sz w:val="20"/>
          <w:szCs w:val="20"/>
        </w:rPr>
        <w:t xml:space="preserve">, </w:t>
      </w:r>
      <w:proofErr w:type="spellStart"/>
      <w:r w:rsidRPr="009C3937">
        <w:rPr>
          <w:rFonts w:ascii="Times New Roman" w:hAnsi="Times New Roman" w:cs="Times New Roman"/>
          <w:sz w:val="20"/>
          <w:szCs w:val="20"/>
        </w:rPr>
        <w:t>Soyabean</w:t>
      </w:r>
      <w:proofErr w:type="spellEnd"/>
      <w:r w:rsidRPr="009C3937">
        <w:rPr>
          <w:rFonts w:ascii="Times New Roman" w:hAnsi="Times New Roman" w:cs="Times New Roman"/>
          <w:sz w:val="20"/>
          <w:szCs w:val="20"/>
        </w:rPr>
        <w:t xml:space="preserve"> Meal Utilization in Fish Feed. Korean Feed Association Conference, Seoul, August, 1988.</w:t>
      </w:r>
    </w:p>
    <w:p w14:paraId="34CF7D1F" w14:textId="6C626634" w:rsidR="00AD2120" w:rsidRPr="009C3937" w:rsidRDefault="00AD2120" w:rsidP="009C3937">
      <w:pPr>
        <w:pStyle w:val="ListParagraph"/>
        <w:numPr>
          <w:ilvl w:val="0"/>
          <w:numId w:val="19"/>
        </w:numPr>
        <w:spacing w:after="0" w:line="276" w:lineRule="auto"/>
        <w:jc w:val="both"/>
        <w:rPr>
          <w:rFonts w:ascii="Times New Roman" w:hAnsi="Times New Roman" w:cs="Times New Roman"/>
          <w:sz w:val="20"/>
          <w:szCs w:val="20"/>
        </w:rPr>
      </w:pPr>
      <w:r w:rsidRPr="009C3937">
        <w:rPr>
          <w:rFonts w:ascii="Times New Roman" w:hAnsi="Times New Roman" w:cs="Times New Roman"/>
          <w:sz w:val="20"/>
          <w:szCs w:val="20"/>
        </w:rPr>
        <w:t xml:space="preserve"> L.C. </w:t>
      </w:r>
      <w:proofErr w:type="spellStart"/>
      <w:r w:rsidRPr="009C3937">
        <w:rPr>
          <w:rFonts w:ascii="Times New Roman" w:hAnsi="Times New Roman" w:cs="Times New Roman"/>
          <w:sz w:val="20"/>
          <w:szCs w:val="20"/>
        </w:rPr>
        <w:t>Nwanna</w:t>
      </w:r>
      <w:proofErr w:type="spellEnd"/>
      <w:r w:rsidRPr="009C3937">
        <w:rPr>
          <w:rFonts w:ascii="Times New Roman" w:hAnsi="Times New Roman" w:cs="Times New Roman"/>
          <w:sz w:val="20"/>
          <w:szCs w:val="20"/>
        </w:rPr>
        <w:t xml:space="preserve">, A.E. </w:t>
      </w:r>
      <w:proofErr w:type="spellStart"/>
      <w:r w:rsidRPr="009C3937">
        <w:rPr>
          <w:rFonts w:ascii="Times New Roman" w:hAnsi="Times New Roman" w:cs="Times New Roman"/>
          <w:sz w:val="20"/>
          <w:szCs w:val="20"/>
        </w:rPr>
        <w:t>Falaye</w:t>
      </w:r>
      <w:proofErr w:type="spellEnd"/>
      <w:r w:rsidRPr="009C3937">
        <w:rPr>
          <w:rFonts w:ascii="Times New Roman" w:hAnsi="Times New Roman" w:cs="Times New Roman"/>
          <w:sz w:val="20"/>
          <w:szCs w:val="20"/>
        </w:rPr>
        <w:t xml:space="preserve"> &amp; A.O. </w:t>
      </w:r>
      <w:proofErr w:type="spellStart"/>
      <w:r w:rsidRPr="009C3937">
        <w:rPr>
          <w:rFonts w:ascii="Times New Roman" w:hAnsi="Times New Roman" w:cs="Times New Roman"/>
          <w:sz w:val="20"/>
          <w:szCs w:val="20"/>
        </w:rPr>
        <w:t>Sotolu</w:t>
      </w:r>
      <w:proofErr w:type="spellEnd"/>
      <w:r w:rsidRPr="009C3937">
        <w:rPr>
          <w:rFonts w:ascii="Times New Roman" w:hAnsi="Times New Roman" w:cs="Times New Roman"/>
          <w:sz w:val="20"/>
          <w:szCs w:val="20"/>
        </w:rPr>
        <w:t>, Water Hyacinth (Eichhornia crassipes</w:t>
      </w:r>
      <w:proofErr w:type="gramStart"/>
      <w:r w:rsidRPr="009C3937">
        <w:rPr>
          <w:rFonts w:ascii="Times New Roman" w:hAnsi="Times New Roman" w:cs="Times New Roman"/>
          <w:sz w:val="20"/>
          <w:szCs w:val="20"/>
        </w:rPr>
        <w:t>)  Mart</w:t>
      </w:r>
      <w:proofErr w:type="gramEnd"/>
      <w:r w:rsidRPr="009C3937">
        <w:rPr>
          <w:rFonts w:ascii="Times New Roman" w:hAnsi="Times New Roman" w:cs="Times New Roman"/>
          <w:sz w:val="20"/>
          <w:szCs w:val="20"/>
        </w:rPr>
        <w:t xml:space="preserve">. </w:t>
      </w:r>
      <w:proofErr w:type="spellStart"/>
      <w:r w:rsidRPr="009C3937">
        <w:rPr>
          <w:rFonts w:ascii="Times New Roman" w:hAnsi="Times New Roman" w:cs="Times New Roman"/>
          <w:sz w:val="20"/>
          <w:szCs w:val="20"/>
        </w:rPr>
        <w:t>Solms</w:t>
      </w:r>
      <w:proofErr w:type="spellEnd"/>
      <w:r w:rsidRPr="009C3937">
        <w:rPr>
          <w:rFonts w:ascii="Times New Roman" w:hAnsi="Times New Roman" w:cs="Times New Roman"/>
          <w:sz w:val="20"/>
          <w:szCs w:val="20"/>
        </w:rPr>
        <w:t>: A Sustainable Protein Source for Fish Feed in Nigeria. In; Food, Health an environmental Issues in developing Countries: The Nigerian situation (</w:t>
      </w:r>
      <w:proofErr w:type="spellStart"/>
      <w:r w:rsidRPr="009C3937">
        <w:rPr>
          <w:rFonts w:ascii="Times New Roman" w:hAnsi="Times New Roman" w:cs="Times New Roman"/>
          <w:sz w:val="20"/>
          <w:szCs w:val="20"/>
        </w:rPr>
        <w:t>Eds</w:t>
      </w:r>
      <w:proofErr w:type="spellEnd"/>
      <w:r w:rsidRPr="009C3937">
        <w:rPr>
          <w:rFonts w:ascii="Times New Roman" w:hAnsi="Times New Roman" w:cs="Times New Roman"/>
          <w:sz w:val="20"/>
          <w:szCs w:val="20"/>
        </w:rPr>
        <w:t xml:space="preserve">: </w:t>
      </w:r>
      <w:proofErr w:type="spellStart"/>
      <w:r w:rsidRPr="009C3937">
        <w:rPr>
          <w:rFonts w:ascii="Times New Roman" w:hAnsi="Times New Roman" w:cs="Times New Roman"/>
          <w:sz w:val="20"/>
          <w:szCs w:val="20"/>
        </w:rPr>
        <w:t>Adebooye</w:t>
      </w:r>
      <w:proofErr w:type="spellEnd"/>
      <w:r w:rsidRPr="009C3937">
        <w:rPr>
          <w:rFonts w:ascii="Times New Roman" w:hAnsi="Times New Roman" w:cs="Times New Roman"/>
          <w:sz w:val="20"/>
          <w:szCs w:val="20"/>
        </w:rPr>
        <w:t xml:space="preserve">, O.C, </w:t>
      </w:r>
      <w:proofErr w:type="spellStart"/>
      <w:r w:rsidRPr="009C3937">
        <w:rPr>
          <w:rFonts w:ascii="Times New Roman" w:hAnsi="Times New Roman" w:cs="Times New Roman"/>
          <w:sz w:val="20"/>
          <w:szCs w:val="20"/>
        </w:rPr>
        <w:t>Taiwo</w:t>
      </w:r>
      <w:proofErr w:type="spellEnd"/>
      <w:r w:rsidRPr="009C3937">
        <w:rPr>
          <w:rFonts w:ascii="Times New Roman" w:hAnsi="Times New Roman" w:cs="Times New Roman"/>
          <w:sz w:val="20"/>
          <w:szCs w:val="20"/>
        </w:rPr>
        <w:t xml:space="preserve">, K.A and </w:t>
      </w:r>
      <w:proofErr w:type="spellStart"/>
      <w:r w:rsidRPr="009C3937">
        <w:rPr>
          <w:rFonts w:ascii="Times New Roman" w:hAnsi="Times New Roman" w:cs="Times New Roman"/>
          <w:sz w:val="20"/>
          <w:szCs w:val="20"/>
        </w:rPr>
        <w:t>Fatufe</w:t>
      </w:r>
      <w:proofErr w:type="spellEnd"/>
      <w:r w:rsidRPr="009C3937">
        <w:rPr>
          <w:rFonts w:ascii="Times New Roman" w:hAnsi="Times New Roman" w:cs="Times New Roman"/>
          <w:sz w:val="20"/>
          <w:szCs w:val="20"/>
        </w:rPr>
        <w:t>, A.A.). Alexander von Humboldt Foundation, Bonn, Germany, 2008, pp.187-194.</w:t>
      </w:r>
      <w:bookmarkStart w:id="0" w:name="_GoBack"/>
      <w:bookmarkEnd w:id="0"/>
    </w:p>
    <w:p w14:paraId="667360F1" w14:textId="1B16CF71" w:rsidR="00ED654A" w:rsidRPr="009C3937" w:rsidRDefault="00ED654A" w:rsidP="009C3937">
      <w:pPr>
        <w:pStyle w:val="ListParagraph"/>
        <w:numPr>
          <w:ilvl w:val="0"/>
          <w:numId w:val="19"/>
        </w:numPr>
        <w:spacing w:after="0" w:line="276" w:lineRule="auto"/>
        <w:jc w:val="both"/>
        <w:rPr>
          <w:rFonts w:ascii="Times New Roman" w:hAnsi="Times New Roman" w:cs="Times New Roman"/>
          <w:sz w:val="20"/>
          <w:szCs w:val="20"/>
        </w:rPr>
      </w:pPr>
      <w:r w:rsidRPr="009C3937">
        <w:rPr>
          <w:rFonts w:ascii="Times New Roman" w:hAnsi="Times New Roman" w:cs="Times New Roman"/>
          <w:sz w:val="20"/>
          <w:szCs w:val="20"/>
        </w:rPr>
        <w:t xml:space="preserve"> C. E. Timer, &amp; L.W. Weldon, Hyacinth control journal, Volume 6, No. 34, 1967.</w:t>
      </w:r>
    </w:p>
    <w:p w14:paraId="0D399106" w14:textId="4EE901B2" w:rsidR="00ED654A" w:rsidRPr="009C3937" w:rsidRDefault="00ED654A" w:rsidP="009C3937">
      <w:pPr>
        <w:pStyle w:val="ListParagraph"/>
        <w:numPr>
          <w:ilvl w:val="0"/>
          <w:numId w:val="19"/>
        </w:numPr>
        <w:spacing w:after="0" w:line="276" w:lineRule="auto"/>
        <w:jc w:val="both"/>
        <w:rPr>
          <w:rFonts w:ascii="Times New Roman" w:hAnsi="Times New Roman" w:cs="Times New Roman"/>
          <w:sz w:val="20"/>
          <w:szCs w:val="20"/>
        </w:rPr>
      </w:pPr>
      <w:r w:rsidRPr="009C3937">
        <w:rPr>
          <w:rFonts w:ascii="Times New Roman" w:hAnsi="Times New Roman" w:cs="Times New Roman"/>
          <w:sz w:val="20"/>
          <w:szCs w:val="20"/>
        </w:rPr>
        <w:t xml:space="preserve"> Y., Oki, K., </w:t>
      </w:r>
      <w:proofErr w:type="spellStart"/>
      <w:r w:rsidRPr="009C3937">
        <w:rPr>
          <w:rFonts w:ascii="Times New Roman" w:hAnsi="Times New Roman" w:cs="Times New Roman"/>
          <w:sz w:val="20"/>
          <w:szCs w:val="20"/>
        </w:rPr>
        <w:t>Une</w:t>
      </w:r>
      <w:proofErr w:type="spellEnd"/>
      <w:r w:rsidRPr="009C3937">
        <w:rPr>
          <w:rFonts w:ascii="Times New Roman" w:hAnsi="Times New Roman" w:cs="Times New Roman"/>
          <w:sz w:val="20"/>
          <w:szCs w:val="20"/>
        </w:rPr>
        <w:t xml:space="preserve"> &amp; K.</w:t>
      </w:r>
      <w:proofErr w:type="gramStart"/>
      <w:r w:rsidRPr="009C3937">
        <w:rPr>
          <w:rFonts w:ascii="Times New Roman" w:hAnsi="Times New Roman" w:cs="Times New Roman"/>
          <w:sz w:val="20"/>
          <w:szCs w:val="20"/>
        </w:rPr>
        <w:t>,</w:t>
      </w:r>
      <w:proofErr w:type="spellStart"/>
      <w:r w:rsidRPr="009C3937">
        <w:rPr>
          <w:rFonts w:ascii="Times New Roman" w:hAnsi="Times New Roman" w:cs="Times New Roman"/>
          <w:sz w:val="20"/>
          <w:szCs w:val="20"/>
        </w:rPr>
        <w:t>Nakagaea,Relationship</w:t>
      </w:r>
      <w:proofErr w:type="spellEnd"/>
      <w:proofErr w:type="gramEnd"/>
      <w:r w:rsidRPr="009C3937">
        <w:rPr>
          <w:rFonts w:ascii="Times New Roman" w:hAnsi="Times New Roman" w:cs="Times New Roman"/>
          <w:sz w:val="20"/>
          <w:szCs w:val="20"/>
        </w:rPr>
        <w:t xml:space="preserve"> between Occurrence of Aquatic Weeds  and Water Quality in the Natural water body (2). In; Japanese, Weed Res., Japan 33 (Supplement), 1988, pp. 73-74. </w:t>
      </w:r>
    </w:p>
    <w:p w14:paraId="3664B3B7" w14:textId="268D13B3" w:rsidR="00ED654A" w:rsidRPr="009C3937" w:rsidRDefault="00ED654A" w:rsidP="009C3937">
      <w:pPr>
        <w:pStyle w:val="ListParagraph"/>
        <w:numPr>
          <w:ilvl w:val="0"/>
          <w:numId w:val="19"/>
        </w:numPr>
        <w:spacing w:after="0" w:line="276" w:lineRule="auto"/>
        <w:jc w:val="both"/>
        <w:rPr>
          <w:rFonts w:ascii="Times New Roman" w:hAnsi="Times New Roman" w:cs="Times New Roman"/>
          <w:sz w:val="20"/>
          <w:szCs w:val="20"/>
        </w:rPr>
      </w:pPr>
      <w:r w:rsidRPr="009C3937">
        <w:rPr>
          <w:rFonts w:ascii="Times New Roman" w:hAnsi="Times New Roman" w:cs="Times New Roman"/>
          <w:sz w:val="20"/>
          <w:szCs w:val="20"/>
        </w:rPr>
        <w:t xml:space="preserve"> K., </w:t>
      </w:r>
      <w:proofErr w:type="spellStart"/>
      <w:r w:rsidRPr="009C3937">
        <w:rPr>
          <w:rFonts w:ascii="Times New Roman" w:hAnsi="Times New Roman" w:cs="Times New Roman"/>
          <w:sz w:val="20"/>
          <w:szCs w:val="20"/>
        </w:rPr>
        <w:t>Une</w:t>
      </w:r>
      <w:proofErr w:type="spellEnd"/>
      <w:r w:rsidRPr="009C3937">
        <w:rPr>
          <w:rFonts w:ascii="Times New Roman" w:hAnsi="Times New Roman" w:cs="Times New Roman"/>
          <w:sz w:val="20"/>
          <w:szCs w:val="20"/>
        </w:rPr>
        <w:t xml:space="preserve"> &amp; Y., Oki, Relationship between Occurrence of Aquatic Weeds and Water Quality in the Natural Water Body (1). In; Japanese, Weed Res., Japan 33 (Supplement), 1988, pp.73-74.</w:t>
      </w:r>
    </w:p>
    <w:p w14:paraId="6322D7EE" w14:textId="72D160A6" w:rsidR="00ED654A" w:rsidRPr="009C3937" w:rsidRDefault="00ED654A" w:rsidP="009C3937">
      <w:pPr>
        <w:pStyle w:val="ListParagraph"/>
        <w:numPr>
          <w:ilvl w:val="0"/>
          <w:numId w:val="19"/>
        </w:numPr>
        <w:spacing w:after="0" w:line="276" w:lineRule="auto"/>
        <w:jc w:val="both"/>
        <w:rPr>
          <w:rFonts w:ascii="Times New Roman" w:hAnsi="Times New Roman" w:cs="Times New Roman"/>
          <w:sz w:val="20"/>
          <w:szCs w:val="20"/>
        </w:rPr>
      </w:pPr>
      <w:r w:rsidRPr="009C3937">
        <w:rPr>
          <w:rFonts w:ascii="Times New Roman" w:hAnsi="Times New Roman" w:cs="Times New Roman"/>
          <w:sz w:val="20"/>
          <w:szCs w:val="20"/>
        </w:rPr>
        <w:t xml:space="preserve"> M. </w:t>
      </w:r>
      <w:proofErr w:type="spellStart"/>
      <w:r w:rsidRPr="009C3937">
        <w:rPr>
          <w:rFonts w:ascii="Times New Roman" w:hAnsi="Times New Roman" w:cs="Times New Roman"/>
          <w:sz w:val="20"/>
          <w:szCs w:val="20"/>
        </w:rPr>
        <w:t>Saleem</w:t>
      </w:r>
      <w:proofErr w:type="spellEnd"/>
      <w:r w:rsidRPr="009C3937">
        <w:rPr>
          <w:rFonts w:ascii="Times New Roman" w:hAnsi="Times New Roman" w:cs="Times New Roman"/>
          <w:sz w:val="20"/>
          <w:szCs w:val="20"/>
        </w:rPr>
        <w:t xml:space="preserve"> &amp; L. A. Moe, </w:t>
      </w:r>
      <w:proofErr w:type="spellStart"/>
      <w:r w:rsidRPr="009C3937">
        <w:rPr>
          <w:rFonts w:ascii="Times New Roman" w:hAnsi="Times New Roman" w:cs="Times New Roman"/>
          <w:sz w:val="20"/>
          <w:szCs w:val="20"/>
        </w:rPr>
        <w:t>Multitrophic</w:t>
      </w:r>
      <w:proofErr w:type="spellEnd"/>
      <w:r w:rsidRPr="009C3937">
        <w:rPr>
          <w:rFonts w:ascii="Times New Roman" w:hAnsi="Times New Roman" w:cs="Times New Roman"/>
          <w:sz w:val="20"/>
          <w:szCs w:val="20"/>
        </w:rPr>
        <w:t xml:space="preserve"> Microbial Interactions for Eco-and </w:t>
      </w:r>
      <w:proofErr w:type="spellStart"/>
      <w:r w:rsidRPr="009C3937">
        <w:rPr>
          <w:rFonts w:ascii="Times New Roman" w:hAnsi="Times New Roman" w:cs="Times New Roman"/>
          <w:sz w:val="20"/>
          <w:szCs w:val="20"/>
        </w:rPr>
        <w:t>Grobiotechnological</w:t>
      </w:r>
      <w:proofErr w:type="spellEnd"/>
      <w:r w:rsidRPr="009C3937">
        <w:rPr>
          <w:rFonts w:ascii="Times New Roman" w:hAnsi="Times New Roman" w:cs="Times New Roman"/>
          <w:sz w:val="20"/>
          <w:szCs w:val="20"/>
        </w:rPr>
        <w:t xml:space="preserve"> Processes: Theory and Practice, Trends in Biotechnology, Volume, 32, No.10, 2014.</w:t>
      </w:r>
    </w:p>
    <w:p w14:paraId="6902EFAE" w14:textId="55CDA48F" w:rsidR="00ED654A" w:rsidRPr="009C3937" w:rsidRDefault="00ED654A" w:rsidP="009C3937">
      <w:pPr>
        <w:pStyle w:val="ListParagraph"/>
        <w:numPr>
          <w:ilvl w:val="0"/>
          <w:numId w:val="19"/>
        </w:numPr>
        <w:spacing w:after="0" w:line="276" w:lineRule="auto"/>
        <w:jc w:val="both"/>
        <w:rPr>
          <w:rFonts w:ascii="Times New Roman" w:hAnsi="Times New Roman" w:cs="Times New Roman"/>
          <w:sz w:val="20"/>
          <w:szCs w:val="20"/>
        </w:rPr>
      </w:pPr>
      <w:r w:rsidRPr="009C3937">
        <w:rPr>
          <w:rFonts w:ascii="Times New Roman" w:hAnsi="Times New Roman" w:cs="Times New Roman"/>
          <w:sz w:val="20"/>
          <w:szCs w:val="20"/>
        </w:rPr>
        <w:t xml:space="preserve"> D. V. S., </w:t>
      </w:r>
      <w:proofErr w:type="spellStart"/>
      <w:r w:rsidRPr="009C3937">
        <w:rPr>
          <w:rFonts w:ascii="Times New Roman" w:hAnsi="Times New Roman" w:cs="Times New Roman"/>
          <w:sz w:val="20"/>
          <w:szCs w:val="20"/>
        </w:rPr>
        <w:t>Bhagavanulu</w:t>
      </w:r>
      <w:proofErr w:type="spellEnd"/>
      <w:r w:rsidRPr="009C3937">
        <w:rPr>
          <w:rFonts w:ascii="Times New Roman" w:hAnsi="Times New Roman" w:cs="Times New Roman"/>
          <w:sz w:val="20"/>
          <w:szCs w:val="20"/>
        </w:rPr>
        <w:t>, D.,</w:t>
      </w:r>
      <w:r w:rsidRPr="009C3937">
        <w:rPr>
          <w:sz w:val="20"/>
          <w:szCs w:val="20"/>
        </w:rPr>
        <w:t xml:space="preserve"> </w:t>
      </w:r>
      <w:proofErr w:type="spellStart"/>
      <w:r w:rsidRPr="009C3937">
        <w:rPr>
          <w:rFonts w:ascii="Times New Roman" w:hAnsi="Times New Roman" w:cs="Times New Roman"/>
          <w:sz w:val="20"/>
          <w:szCs w:val="20"/>
        </w:rPr>
        <w:t>Srinivasa</w:t>
      </w:r>
      <w:proofErr w:type="spellEnd"/>
      <w:r w:rsidRPr="009C3937">
        <w:rPr>
          <w:rFonts w:ascii="Times New Roman" w:hAnsi="Times New Roman" w:cs="Times New Roman"/>
          <w:sz w:val="20"/>
          <w:szCs w:val="20"/>
        </w:rPr>
        <w:t xml:space="preserve"> – Murthy &amp; C. Anjali, C. (2017). A Study on the Impact of  Water Hyacinth in Improving the Wastewater Properties, International Journal Of Civil  Engineering and Technology (IJCIET) ,Volume 8,  No.10, 2017, Pp. 1199–1209.</w:t>
      </w:r>
    </w:p>
    <w:p w14:paraId="19EFE6AE" w14:textId="12BA7790" w:rsidR="002E1DF9" w:rsidRPr="009C3937" w:rsidRDefault="002E1DF9" w:rsidP="009C3937">
      <w:pPr>
        <w:pStyle w:val="ListParagraph"/>
        <w:numPr>
          <w:ilvl w:val="0"/>
          <w:numId w:val="19"/>
        </w:numPr>
        <w:spacing w:after="0" w:line="276" w:lineRule="auto"/>
        <w:jc w:val="both"/>
        <w:rPr>
          <w:rFonts w:ascii="Times New Roman" w:hAnsi="Times New Roman" w:cs="Times New Roman"/>
          <w:sz w:val="20"/>
          <w:szCs w:val="20"/>
        </w:rPr>
      </w:pPr>
      <w:r w:rsidRPr="009C3937">
        <w:rPr>
          <w:rFonts w:ascii="Times New Roman" w:hAnsi="Times New Roman" w:cs="Times New Roman"/>
          <w:sz w:val="20"/>
          <w:szCs w:val="20"/>
        </w:rPr>
        <w:t xml:space="preserve"> D. T., Vanessa, J.</w:t>
      </w:r>
      <w:r w:rsidRPr="009C3937">
        <w:rPr>
          <w:rFonts w:ascii="Times New Roman" w:hAnsi="Times New Roman" w:cs="Times New Roman"/>
          <w:sz w:val="20"/>
          <w:szCs w:val="20"/>
        </w:rPr>
        <w:t xml:space="preserve">  Louise- Conrad</w:t>
      </w:r>
      <w:r w:rsidRPr="009C3937">
        <w:rPr>
          <w:rFonts w:ascii="Times New Roman" w:hAnsi="Times New Roman" w:cs="Times New Roman"/>
          <w:sz w:val="20"/>
          <w:szCs w:val="20"/>
        </w:rPr>
        <w:t>, M.</w:t>
      </w:r>
      <w:r w:rsidRPr="009C3937">
        <w:rPr>
          <w:rFonts w:ascii="Times New Roman" w:hAnsi="Times New Roman" w:cs="Times New Roman"/>
          <w:sz w:val="20"/>
          <w:szCs w:val="20"/>
        </w:rPr>
        <w:t xml:space="preserve">  Brian</w:t>
      </w:r>
      <w:r w:rsidRPr="009C3937">
        <w:rPr>
          <w:rFonts w:ascii="Times New Roman" w:hAnsi="Times New Roman" w:cs="Times New Roman"/>
          <w:sz w:val="20"/>
          <w:szCs w:val="20"/>
        </w:rPr>
        <w:t xml:space="preserve"> &amp; K. </w:t>
      </w:r>
      <w:proofErr w:type="spellStart"/>
      <w:r w:rsidRPr="009C3937">
        <w:rPr>
          <w:rFonts w:ascii="Times New Roman" w:hAnsi="Times New Roman" w:cs="Times New Roman"/>
          <w:sz w:val="20"/>
          <w:szCs w:val="20"/>
        </w:rPr>
        <w:t>Shruti</w:t>
      </w:r>
      <w:proofErr w:type="spellEnd"/>
      <w:r w:rsidRPr="009C3937">
        <w:rPr>
          <w:rFonts w:ascii="Times New Roman" w:hAnsi="Times New Roman" w:cs="Times New Roman"/>
          <w:sz w:val="20"/>
          <w:szCs w:val="20"/>
        </w:rPr>
        <w:t>,</w:t>
      </w:r>
      <w:r w:rsidRPr="009C3937">
        <w:rPr>
          <w:rFonts w:ascii="Times New Roman" w:hAnsi="Times New Roman" w:cs="Times New Roman"/>
          <w:sz w:val="20"/>
          <w:szCs w:val="20"/>
        </w:rPr>
        <w:t xml:space="preserve"> Impacts of Water Hyacinth Treatment on Water Quality in a Tidal Estuarine Environment. </w:t>
      </w:r>
      <w:proofErr w:type="spellStart"/>
      <w:r w:rsidRPr="009C3937">
        <w:rPr>
          <w:rFonts w:ascii="Times New Roman" w:hAnsi="Times New Roman" w:cs="Times New Roman"/>
          <w:sz w:val="20"/>
          <w:szCs w:val="20"/>
        </w:rPr>
        <w:t>Biol</w:t>
      </w:r>
      <w:proofErr w:type="spellEnd"/>
      <w:r w:rsidRPr="009C3937">
        <w:rPr>
          <w:rFonts w:ascii="Times New Roman" w:hAnsi="Times New Roman" w:cs="Times New Roman"/>
          <w:sz w:val="20"/>
          <w:szCs w:val="20"/>
        </w:rPr>
        <w:t xml:space="preserve"> Invasions. </w:t>
      </w:r>
      <w:r w:rsidRPr="009C3937">
        <w:rPr>
          <w:rFonts w:ascii="Times New Roman" w:hAnsi="Times New Roman" w:cs="Times New Roman"/>
          <w:sz w:val="20"/>
          <w:szCs w:val="20"/>
        </w:rPr>
        <w:t>Volume</w:t>
      </w:r>
      <w:r w:rsidRPr="009C3937">
        <w:rPr>
          <w:rFonts w:ascii="Times New Roman" w:hAnsi="Times New Roman" w:cs="Times New Roman"/>
          <w:sz w:val="20"/>
          <w:szCs w:val="20"/>
        </w:rPr>
        <w:t xml:space="preserve"> 21, </w:t>
      </w:r>
      <w:r w:rsidRPr="009C3937">
        <w:rPr>
          <w:rFonts w:ascii="Times New Roman" w:hAnsi="Times New Roman" w:cs="Times New Roman"/>
          <w:sz w:val="20"/>
          <w:szCs w:val="20"/>
        </w:rPr>
        <w:t xml:space="preserve">2019, </w:t>
      </w:r>
      <w:r w:rsidRPr="009C3937">
        <w:rPr>
          <w:rFonts w:ascii="Times New Roman" w:hAnsi="Times New Roman" w:cs="Times New Roman"/>
          <w:sz w:val="20"/>
          <w:szCs w:val="20"/>
        </w:rPr>
        <w:t>pp.3479–3490.</w:t>
      </w:r>
    </w:p>
    <w:p w14:paraId="5F4CD513" w14:textId="216063A1" w:rsidR="002E1DF9" w:rsidRPr="009C3937" w:rsidRDefault="002E1DF9" w:rsidP="009C3937">
      <w:pPr>
        <w:pStyle w:val="ListParagraph"/>
        <w:numPr>
          <w:ilvl w:val="0"/>
          <w:numId w:val="19"/>
        </w:numPr>
        <w:spacing w:after="0" w:line="276" w:lineRule="auto"/>
        <w:jc w:val="both"/>
        <w:rPr>
          <w:rFonts w:ascii="Times New Roman" w:hAnsi="Times New Roman" w:cs="Times New Roman"/>
          <w:sz w:val="20"/>
          <w:szCs w:val="20"/>
        </w:rPr>
      </w:pPr>
      <w:r w:rsidRPr="009C3937">
        <w:rPr>
          <w:rFonts w:ascii="Times New Roman" w:hAnsi="Times New Roman" w:cs="Times New Roman"/>
          <w:sz w:val="20"/>
          <w:szCs w:val="20"/>
        </w:rPr>
        <w:t xml:space="preserve"> B. M. </w:t>
      </w:r>
      <w:proofErr w:type="spellStart"/>
      <w:r w:rsidRPr="009C3937">
        <w:rPr>
          <w:rFonts w:ascii="Times New Roman" w:hAnsi="Times New Roman" w:cs="Times New Roman"/>
          <w:sz w:val="20"/>
          <w:szCs w:val="20"/>
        </w:rPr>
        <w:t>Rajendra</w:t>
      </w:r>
      <w:proofErr w:type="spellEnd"/>
      <w:r w:rsidRPr="009C3937">
        <w:rPr>
          <w:rFonts w:ascii="Times New Roman" w:hAnsi="Times New Roman" w:cs="Times New Roman"/>
          <w:sz w:val="20"/>
          <w:szCs w:val="20"/>
        </w:rPr>
        <w:t>, N.K.</w:t>
      </w:r>
      <w:r w:rsidRPr="009C3937">
        <w:rPr>
          <w:rFonts w:ascii="Times New Roman" w:hAnsi="Times New Roman" w:cs="Times New Roman"/>
          <w:sz w:val="20"/>
          <w:szCs w:val="20"/>
        </w:rPr>
        <w:t xml:space="preserve"> </w:t>
      </w:r>
      <w:proofErr w:type="spellStart"/>
      <w:r w:rsidRPr="009C3937">
        <w:rPr>
          <w:rFonts w:ascii="Times New Roman" w:hAnsi="Times New Roman" w:cs="Times New Roman"/>
          <w:sz w:val="20"/>
          <w:szCs w:val="20"/>
        </w:rPr>
        <w:t>Afroz</w:t>
      </w:r>
      <w:proofErr w:type="spellEnd"/>
      <w:r w:rsidRPr="009C3937">
        <w:rPr>
          <w:rFonts w:ascii="Times New Roman" w:hAnsi="Times New Roman" w:cs="Times New Roman"/>
          <w:sz w:val="20"/>
          <w:szCs w:val="20"/>
        </w:rPr>
        <w:t xml:space="preserve"> &amp; H.</w:t>
      </w:r>
      <w:r w:rsidRPr="009C3937">
        <w:rPr>
          <w:rFonts w:ascii="Times New Roman" w:hAnsi="Times New Roman" w:cs="Times New Roman"/>
          <w:sz w:val="20"/>
          <w:szCs w:val="20"/>
        </w:rPr>
        <w:t xml:space="preserve"> </w:t>
      </w:r>
      <w:proofErr w:type="spellStart"/>
      <w:r w:rsidRPr="009C3937">
        <w:rPr>
          <w:rFonts w:ascii="Times New Roman" w:hAnsi="Times New Roman" w:cs="Times New Roman"/>
          <w:sz w:val="20"/>
          <w:szCs w:val="20"/>
        </w:rPr>
        <w:t>Abdulrazzak</w:t>
      </w:r>
      <w:proofErr w:type="spellEnd"/>
      <w:r w:rsidRPr="009C3937">
        <w:rPr>
          <w:rFonts w:ascii="Times New Roman" w:hAnsi="Times New Roman" w:cs="Times New Roman"/>
          <w:sz w:val="20"/>
          <w:szCs w:val="20"/>
        </w:rPr>
        <w:t xml:space="preserve">, </w:t>
      </w:r>
      <w:r w:rsidRPr="009C3937">
        <w:rPr>
          <w:rFonts w:ascii="Times New Roman" w:hAnsi="Times New Roman" w:cs="Times New Roman"/>
          <w:sz w:val="20"/>
          <w:szCs w:val="20"/>
        </w:rPr>
        <w:t>Waste Water Treatment using Water Hyacinth , 32</w:t>
      </w:r>
      <w:r w:rsidRPr="009C3937">
        <w:rPr>
          <w:rFonts w:ascii="Times New Roman" w:hAnsi="Times New Roman" w:cs="Times New Roman"/>
          <w:sz w:val="20"/>
          <w:szCs w:val="20"/>
          <w:vertAlign w:val="superscript"/>
        </w:rPr>
        <w:t>nd</w:t>
      </w:r>
      <w:r w:rsidRPr="009C3937">
        <w:rPr>
          <w:rFonts w:ascii="Times New Roman" w:hAnsi="Times New Roman" w:cs="Times New Roman"/>
          <w:sz w:val="20"/>
          <w:szCs w:val="20"/>
        </w:rPr>
        <w:t xml:space="preserve"> Indian Engineering Congress, The Institution of Engineers (India) </w:t>
      </w:r>
      <w:r w:rsidRPr="009C3937">
        <w:rPr>
          <w:rFonts w:ascii="Times New Roman" w:hAnsi="Times New Roman" w:cs="Times New Roman"/>
          <w:sz w:val="20"/>
          <w:szCs w:val="20"/>
        </w:rPr>
        <w:t>Chennai, 2017.</w:t>
      </w:r>
    </w:p>
    <w:p w14:paraId="661B85CA" w14:textId="39C03202" w:rsidR="00AC46B8" w:rsidRPr="00AC46B8" w:rsidRDefault="00AC46B8" w:rsidP="002E1DF9">
      <w:pPr>
        <w:pStyle w:val="ListParagraph"/>
        <w:spacing w:after="0"/>
        <w:ind w:left="360"/>
        <w:jc w:val="both"/>
        <w:rPr>
          <w:rFonts w:ascii="Times New Roman" w:hAnsi="Times New Roman" w:cs="Times New Roman"/>
          <w:sz w:val="20"/>
          <w:szCs w:val="20"/>
        </w:rPr>
      </w:pPr>
    </w:p>
    <w:p w14:paraId="242861B2" w14:textId="77777777" w:rsidR="00A916F9" w:rsidRDefault="00A916F9" w:rsidP="00AC46B8">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p w14:paraId="28834A2B" w14:textId="77777777" w:rsidR="00A916F9" w:rsidRDefault="00A916F9" w:rsidP="00A916F9">
      <w:pPr>
        <w:widowControl w:val="0"/>
        <w:autoSpaceDE w:val="0"/>
        <w:autoSpaceDN w:val="0"/>
        <w:spacing w:before="60" w:after="0" w:line="276" w:lineRule="auto"/>
        <w:jc w:val="both"/>
        <w:rPr>
          <w:rFonts w:ascii="Times New Roman" w:hAnsi="Times New Roman" w:cs="Times New Roman"/>
          <w:color w:val="000000" w:themeColor="text1"/>
          <w:sz w:val="20"/>
          <w:szCs w:val="20"/>
        </w:rPr>
      </w:pPr>
    </w:p>
    <w:p w14:paraId="5DA1508B" w14:textId="77777777" w:rsidR="00A916F9" w:rsidRDefault="00A916F9" w:rsidP="00A916F9">
      <w:pPr>
        <w:widowControl w:val="0"/>
        <w:autoSpaceDE w:val="0"/>
        <w:autoSpaceDN w:val="0"/>
        <w:spacing w:before="60" w:after="0" w:line="276" w:lineRule="auto"/>
        <w:jc w:val="both"/>
        <w:rPr>
          <w:rFonts w:ascii="Times New Roman" w:hAnsi="Times New Roman" w:cs="Times New Roman"/>
          <w:color w:val="000000" w:themeColor="text1"/>
          <w:sz w:val="20"/>
          <w:szCs w:val="20"/>
        </w:rPr>
      </w:pPr>
    </w:p>
    <w:p w14:paraId="109BCCB9" w14:textId="77777777" w:rsidR="00A916F9" w:rsidRDefault="00A916F9" w:rsidP="00A916F9">
      <w:pPr>
        <w:widowControl w:val="0"/>
        <w:autoSpaceDE w:val="0"/>
        <w:autoSpaceDN w:val="0"/>
        <w:spacing w:before="60" w:after="0" w:line="276" w:lineRule="auto"/>
        <w:jc w:val="both"/>
        <w:rPr>
          <w:rFonts w:ascii="Times New Roman" w:hAnsi="Times New Roman" w:cs="Times New Roman"/>
          <w:color w:val="000000" w:themeColor="text1"/>
          <w:sz w:val="20"/>
          <w:szCs w:val="20"/>
        </w:rPr>
      </w:pPr>
    </w:p>
    <w:p w14:paraId="4409A215" w14:textId="77777777" w:rsidR="00A916F9" w:rsidRDefault="00A916F9" w:rsidP="00A916F9">
      <w:pPr>
        <w:widowControl w:val="0"/>
        <w:autoSpaceDE w:val="0"/>
        <w:autoSpaceDN w:val="0"/>
        <w:spacing w:before="60" w:after="0" w:line="276" w:lineRule="auto"/>
        <w:jc w:val="both"/>
        <w:rPr>
          <w:rFonts w:ascii="Times New Roman" w:hAnsi="Times New Roman" w:cs="Times New Roman"/>
          <w:color w:val="000000" w:themeColor="text1"/>
          <w:sz w:val="20"/>
          <w:szCs w:val="20"/>
        </w:rPr>
      </w:pPr>
    </w:p>
    <w:p w14:paraId="409BE768" w14:textId="77777777" w:rsidR="00A916F9" w:rsidRDefault="00A916F9" w:rsidP="00A916F9">
      <w:pPr>
        <w:widowControl w:val="0"/>
        <w:autoSpaceDE w:val="0"/>
        <w:autoSpaceDN w:val="0"/>
        <w:spacing w:before="60" w:after="0" w:line="276" w:lineRule="auto"/>
        <w:jc w:val="both"/>
        <w:rPr>
          <w:rFonts w:ascii="Times New Roman" w:hAnsi="Times New Roman" w:cs="Times New Roman"/>
          <w:color w:val="000000" w:themeColor="text1"/>
          <w:sz w:val="20"/>
          <w:szCs w:val="20"/>
        </w:rPr>
      </w:pPr>
    </w:p>
    <w:p w14:paraId="38094A36" w14:textId="77777777" w:rsidR="00A916F9" w:rsidRDefault="00A916F9" w:rsidP="00A916F9">
      <w:pPr>
        <w:widowControl w:val="0"/>
        <w:autoSpaceDE w:val="0"/>
        <w:autoSpaceDN w:val="0"/>
        <w:spacing w:before="60" w:after="0" w:line="276" w:lineRule="auto"/>
        <w:jc w:val="both"/>
        <w:rPr>
          <w:rFonts w:ascii="Times New Roman" w:hAnsi="Times New Roman" w:cs="Times New Roman"/>
          <w:color w:val="000000" w:themeColor="text1"/>
          <w:sz w:val="20"/>
          <w:szCs w:val="20"/>
        </w:rPr>
      </w:pPr>
    </w:p>
    <w:p w14:paraId="5770D3C1" w14:textId="77777777" w:rsidR="00A916F9" w:rsidRDefault="00A916F9" w:rsidP="00A916F9">
      <w:pPr>
        <w:widowControl w:val="0"/>
        <w:autoSpaceDE w:val="0"/>
        <w:autoSpaceDN w:val="0"/>
        <w:spacing w:before="60" w:after="0" w:line="276" w:lineRule="auto"/>
        <w:jc w:val="both"/>
        <w:rPr>
          <w:rFonts w:ascii="Times New Roman" w:hAnsi="Times New Roman" w:cs="Times New Roman"/>
          <w:color w:val="000000" w:themeColor="text1"/>
          <w:sz w:val="20"/>
          <w:szCs w:val="20"/>
        </w:rPr>
      </w:pPr>
    </w:p>
    <w:p w14:paraId="1E7880A9" w14:textId="77777777" w:rsidR="00A916F9" w:rsidRDefault="00A916F9" w:rsidP="00A916F9">
      <w:pPr>
        <w:widowControl w:val="0"/>
        <w:autoSpaceDE w:val="0"/>
        <w:autoSpaceDN w:val="0"/>
        <w:spacing w:before="60" w:after="0" w:line="276" w:lineRule="auto"/>
        <w:jc w:val="both"/>
        <w:rPr>
          <w:rFonts w:ascii="Times New Roman" w:hAnsi="Times New Roman" w:cs="Times New Roman"/>
          <w:color w:val="000000" w:themeColor="text1"/>
          <w:sz w:val="20"/>
          <w:szCs w:val="20"/>
        </w:rPr>
      </w:pPr>
    </w:p>
    <w:p w14:paraId="0FEC9C4E" w14:textId="77777777" w:rsidR="00A916F9" w:rsidRDefault="00A916F9" w:rsidP="00A916F9">
      <w:pPr>
        <w:widowControl w:val="0"/>
        <w:autoSpaceDE w:val="0"/>
        <w:autoSpaceDN w:val="0"/>
        <w:spacing w:before="60" w:after="0" w:line="276" w:lineRule="auto"/>
        <w:jc w:val="both"/>
        <w:rPr>
          <w:rFonts w:ascii="Times New Roman" w:hAnsi="Times New Roman" w:cs="Times New Roman"/>
          <w:color w:val="000000" w:themeColor="text1"/>
          <w:sz w:val="20"/>
          <w:szCs w:val="20"/>
        </w:rPr>
      </w:pPr>
    </w:p>
    <w:p w14:paraId="033505B3" w14:textId="77777777" w:rsidR="00A916F9" w:rsidRPr="00A916F9" w:rsidRDefault="00A916F9" w:rsidP="00A916F9">
      <w:pPr>
        <w:widowControl w:val="0"/>
        <w:autoSpaceDE w:val="0"/>
        <w:autoSpaceDN w:val="0"/>
        <w:spacing w:before="60" w:after="0" w:line="276" w:lineRule="auto"/>
        <w:jc w:val="both"/>
        <w:rPr>
          <w:rFonts w:ascii="Times New Roman" w:hAnsi="Times New Roman" w:cs="Times New Roman"/>
          <w:color w:val="000000" w:themeColor="text1"/>
          <w:sz w:val="20"/>
          <w:szCs w:val="20"/>
        </w:rPr>
      </w:pPr>
    </w:p>
    <w:p w14:paraId="40EFF21F" w14:textId="3D841EE3" w:rsidR="00911ACD" w:rsidRPr="00911ACD" w:rsidRDefault="00911ACD" w:rsidP="00911ACD">
      <w:pPr>
        <w:tabs>
          <w:tab w:val="left" w:pos="6360"/>
        </w:tabs>
      </w:pPr>
    </w:p>
    <w:sectPr w:rsidR="00911ACD" w:rsidRPr="00911ACD" w:rsidSect="005F717A">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CED03F" w14:textId="77777777" w:rsidR="006E2155" w:rsidRDefault="006E2155" w:rsidP="00C556D7">
      <w:pPr>
        <w:spacing w:after="0" w:line="240" w:lineRule="auto"/>
      </w:pPr>
      <w:r>
        <w:separator/>
      </w:r>
    </w:p>
  </w:endnote>
  <w:endnote w:type="continuationSeparator" w:id="0">
    <w:p w14:paraId="6C965E96" w14:textId="77777777" w:rsidR="006E2155" w:rsidRDefault="006E215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01A38" w14:textId="77777777" w:rsidR="00ED654A" w:rsidRDefault="00ED65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ED654A" w:rsidRPr="00911ACD" w:rsidRDefault="00ED654A"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9C3937">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E76C5" w14:textId="77777777" w:rsidR="00ED654A" w:rsidRDefault="00ED65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E88928" w14:textId="77777777" w:rsidR="006E2155" w:rsidRDefault="006E2155" w:rsidP="00C556D7">
      <w:pPr>
        <w:spacing w:after="0" w:line="240" w:lineRule="auto"/>
      </w:pPr>
      <w:r>
        <w:separator/>
      </w:r>
    </w:p>
  </w:footnote>
  <w:footnote w:type="continuationSeparator" w:id="0">
    <w:p w14:paraId="02EF5254" w14:textId="77777777" w:rsidR="006E2155" w:rsidRDefault="006E2155"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86EEC" w14:textId="77777777" w:rsidR="00ED654A" w:rsidRDefault="00ED65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ED654A" w14:paraId="5A65F99B" w14:textId="77777777" w:rsidTr="00FF754F">
      <w:trPr>
        <w:trHeight w:val="435"/>
        <w:jc w:val="center"/>
      </w:trPr>
      <w:tc>
        <w:tcPr>
          <w:tcW w:w="2405" w:type="dxa"/>
          <w:vMerge w:val="restart"/>
          <w:vAlign w:val="center"/>
        </w:tcPr>
        <w:p w14:paraId="1BDD5F98" w14:textId="77777777" w:rsidR="00ED654A" w:rsidRPr="00BC37A0" w:rsidRDefault="00ED654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ED654A" w:rsidRDefault="00ED654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ED654A" w:rsidRDefault="00ED654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52DA4023" w:rsidR="00ED654A" w:rsidRPr="00673385" w:rsidRDefault="00ED654A" w:rsidP="00673385">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(Int Peer </w:t>
          </w:r>
          <w:proofErr w:type="spellStart"/>
          <w:r>
            <w:rPr>
              <w:rFonts w:ascii="Times New Roman" w:hAnsi="Times New Roman" w:cs="Times New Roman"/>
              <w:b/>
              <w:color w:val="1F497D"/>
              <w:sz w:val="22"/>
              <w:szCs w:val="22"/>
              <w:lang w:val="fr-FR"/>
            </w:rPr>
            <w:t>R</w:t>
          </w:r>
          <w:r w:rsidRPr="00673385">
            <w:rPr>
              <w:rFonts w:ascii="Times New Roman" w:hAnsi="Times New Roman" w:cs="Times New Roman"/>
              <w:b/>
              <w:color w:val="1F497D"/>
              <w:sz w:val="22"/>
              <w:szCs w:val="22"/>
              <w:lang w:val="fr-FR"/>
            </w:rPr>
            <w:t>eviewed</w:t>
          </w:r>
          <w:proofErr w:type="spellEnd"/>
          <w:r w:rsidRPr="00673385">
            <w:rPr>
              <w:rFonts w:ascii="Times New Roman" w:hAnsi="Times New Roman" w:cs="Times New Roman"/>
              <w:b/>
              <w:color w:val="1F497D"/>
              <w:sz w:val="22"/>
              <w:szCs w:val="22"/>
              <w:lang w:val="fr-FR"/>
            </w:rPr>
            <w:t xml:space="preserve"> </w:t>
          </w:r>
          <w:r>
            <w:rPr>
              <w:rFonts w:ascii="Times New Roman" w:hAnsi="Times New Roman" w:cs="Times New Roman"/>
              <w:b/>
              <w:color w:val="1F497D"/>
              <w:sz w:val="22"/>
              <w:szCs w:val="22"/>
              <w:lang w:val="fr-FR"/>
            </w:rPr>
            <w:t>Journal)</w:t>
          </w:r>
        </w:p>
        <w:p w14:paraId="16A90138" w14:textId="77123F2A" w:rsidR="00ED654A" w:rsidRPr="006C74D5" w:rsidRDefault="00ED654A"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02</w:t>
          </w:r>
          <w:r w:rsidRPr="00536ADF">
            <w:rPr>
              <w:rFonts w:ascii="Times New Roman" w:hAnsi="Times New Roman" w:cs="Times New Roman"/>
              <w:bCs/>
              <w:sz w:val="24"/>
              <w:szCs w:val="24"/>
              <w:lang w:val="fr-FR" w:eastAsia="en-IN"/>
            </w:rPr>
            <w:t xml:space="preserve">, </w:t>
          </w:r>
          <w:proofErr w:type="spellStart"/>
          <w:r>
            <w:rPr>
              <w:rFonts w:ascii="Times New Roman" w:hAnsi="Times New Roman" w:cs="Times New Roman"/>
              <w:bCs/>
              <w:sz w:val="24"/>
              <w:szCs w:val="24"/>
              <w:lang w:val="fr-FR" w:eastAsia="en-IN"/>
            </w:rPr>
            <w:t>February</w:t>
          </w:r>
          <w:proofErr w:type="spellEnd"/>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ED654A" w:rsidRPr="00125B8F" w:rsidRDefault="00ED654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ED654A" w:rsidRPr="00BC37A0" w:rsidRDefault="00ED654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ED654A" w14:paraId="23419353" w14:textId="77777777" w:rsidTr="00FF754F">
      <w:trPr>
        <w:trHeight w:val="435"/>
        <w:jc w:val="center"/>
      </w:trPr>
      <w:tc>
        <w:tcPr>
          <w:tcW w:w="2405" w:type="dxa"/>
          <w:vMerge/>
          <w:vAlign w:val="center"/>
        </w:tcPr>
        <w:p w14:paraId="540ACAA2" w14:textId="77777777" w:rsidR="00ED654A" w:rsidRPr="00BC37A0" w:rsidRDefault="00ED654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ED654A" w:rsidRPr="006C74D5" w:rsidRDefault="00ED654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ED654A" w:rsidRDefault="00ED654A"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ED654A" w:rsidRDefault="00ED654A"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2596BF9C" w14:textId="3150D30B" w:rsidR="00ED654A" w:rsidRDefault="00ED654A"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7.001</w:t>
          </w:r>
        </w:p>
      </w:tc>
    </w:tr>
    <w:tr w:rsidR="00ED654A" w14:paraId="78C74EE0" w14:textId="77777777" w:rsidTr="00FF754F">
      <w:trPr>
        <w:trHeight w:val="340"/>
        <w:jc w:val="center"/>
      </w:trPr>
      <w:tc>
        <w:tcPr>
          <w:tcW w:w="2405" w:type="dxa"/>
          <w:vAlign w:val="center"/>
        </w:tcPr>
        <w:p w14:paraId="1525955D" w14:textId="522ACA73" w:rsidR="00ED654A" w:rsidRPr="00BC37A0" w:rsidRDefault="00ED654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ED654A" w:rsidRPr="00BC37A0" w:rsidRDefault="00ED654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ED654A" w:rsidRPr="00BC37A0" w:rsidRDefault="00ED654A" w:rsidP="006C74D5">
          <w:pPr>
            <w:tabs>
              <w:tab w:val="left" w:pos="4820"/>
              <w:tab w:val="right" w:pos="9360"/>
            </w:tabs>
            <w:jc w:val="center"/>
            <w:rPr>
              <w:rFonts w:ascii="Times New Roman" w:hAnsi="Times New Roman" w:cs="Times New Roman"/>
              <w:b/>
              <w:color w:val="1F497D"/>
              <w:sz w:val="12"/>
              <w:szCs w:val="12"/>
              <w:lang w:val="fr-FR"/>
            </w:rPr>
          </w:pPr>
        </w:p>
      </w:tc>
    </w:tr>
    <w:tr w:rsidR="00ED654A" w14:paraId="178FE218" w14:textId="77777777" w:rsidTr="00FF754F">
      <w:trPr>
        <w:trHeight w:val="113"/>
        <w:jc w:val="center"/>
      </w:trPr>
      <w:tc>
        <w:tcPr>
          <w:tcW w:w="2405" w:type="dxa"/>
          <w:vAlign w:val="center"/>
        </w:tcPr>
        <w:p w14:paraId="1129EFF9" w14:textId="77777777" w:rsidR="00ED654A" w:rsidRPr="00BC37A0" w:rsidRDefault="00ED654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ED654A" w:rsidRPr="00BC37A0" w:rsidRDefault="00ED654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ED654A" w:rsidRPr="00BC37A0" w:rsidRDefault="00ED654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ED654A" w:rsidRPr="006C74D5" w:rsidRDefault="00ED654A"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E3AD9" w14:textId="77777777" w:rsidR="00ED654A" w:rsidRDefault="00ED65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56CC"/>
    <w:rsid w:val="0000775C"/>
    <w:rsid w:val="0001188C"/>
    <w:rsid w:val="00062B06"/>
    <w:rsid w:val="000649B0"/>
    <w:rsid w:val="00066A7A"/>
    <w:rsid w:val="000717AD"/>
    <w:rsid w:val="00075C1C"/>
    <w:rsid w:val="00081E20"/>
    <w:rsid w:val="000846F5"/>
    <w:rsid w:val="00091059"/>
    <w:rsid w:val="00095D77"/>
    <w:rsid w:val="000A3933"/>
    <w:rsid w:val="000A3CC1"/>
    <w:rsid w:val="000A5BB0"/>
    <w:rsid w:val="000B1932"/>
    <w:rsid w:val="000B6A8F"/>
    <w:rsid w:val="000C2D11"/>
    <w:rsid w:val="000C7AD6"/>
    <w:rsid w:val="000D7425"/>
    <w:rsid w:val="000D79A3"/>
    <w:rsid w:val="000E5718"/>
    <w:rsid w:val="000F2747"/>
    <w:rsid w:val="000F2DCD"/>
    <w:rsid w:val="0010160E"/>
    <w:rsid w:val="00102C6B"/>
    <w:rsid w:val="00115146"/>
    <w:rsid w:val="00125B8F"/>
    <w:rsid w:val="00127B8C"/>
    <w:rsid w:val="00130820"/>
    <w:rsid w:val="001326AE"/>
    <w:rsid w:val="0013642C"/>
    <w:rsid w:val="00140E84"/>
    <w:rsid w:val="0014571A"/>
    <w:rsid w:val="00155D16"/>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93FC1"/>
    <w:rsid w:val="002A11AA"/>
    <w:rsid w:val="002A579C"/>
    <w:rsid w:val="002E1DF9"/>
    <w:rsid w:val="002E72CF"/>
    <w:rsid w:val="002F3187"/>
    <w:rsid w:val="002F43A5"/>
    <w:rsid w:val="00306E39"/>
    <w:rsid w:val="003265E6"/>
    <w:rsid w:val="00350F8D"/>
    <w:rsid w:val="00361C3F"/>
    <w:rsid w:val="00364C04"/>
    <w:rsid w:val="003656D1"/>
    <w:rsid w:val="00392E5A"/>
    <w:rsid w:val="0039400E"/>
    <w:rsid w:val="003A3AED"/>
    <w:rsid w:val="003B13EB"/>
    <w:rsid w:val="003B34DD"/>
    <w:rsid w:val="003B6A71"/>
    <w:rsid w:val="003C3221"/>
    <w:rsid w:val="003C4071"/>
    <w:rsid w:val="003C564C"/>
    <w:rsid w:val="003C56CF"/>
    <w:rsid w:val="003C6D94"/>
    <w:rsid w:val="003D2120"/>
    <w:rsid w:val="003E11D0"/>
    <w:rsid w:val="003E2ECA"/>
    <w:rsid w:val="003E3A44"/>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C2F51"/>
    <w:rsid w:val="004D5813"/>
    <w:rsid w:val="004D5DC8"/>
    <w:rsid w:val="004D5FF5"/>
    <w:rsid w:val="00505045"/>
    <w:rsid w:val="005165E7"/>
    <w:rsid w:val="005237AA"/>
    <w:rsid w:val="00524B78"/>
    <w:rsid w:val="005256A9"/>
    <w:rsid w:val="00526DDB"/>
    <w:rsid w:val="00527686"/>
    <w:rsid w:val="005338E6"/>
    <w:rsid w:val="00535548"/>
    <w:rsid w:val="00547305"/>
    <w:rsid w:val="00557B92"/>
    <w:rsid w:val="0057059A"/>
    <w:rsid w:val="00571545"/>
    <w:rsid w:val="005800BC"/>
    <w:rsid w:val="00583EDE"/>
    <w:rsid w:val="00584CB0"/>
    <w:rsid w:val="005A402E"/>
    <w:rsid w:val="005A48C2"/>
    <w:rsid w:val="005B19AD"/>
    <w:rsid w:val="005B3887"/>
    <w:rsid w:val="005B73A4"/>
    <w:rsid w:val="005C1D19"/>
    <w:rsid w:val="005D265F"/>
    <w:rsid w:val="005D5967"/>
    <w:rsid w:val="005F6633"/>
    <w:rsid w:val="005F717A"/>
    <w:rsid w:val="006110CA"/>
    <w:rsid w:val="00617A82"/>
    <w:rsid w:val="00632466"/>
    <w:rsid w:val="00633CDF"/>
    <w:rsid w:val="006413AE"/>
    <w:rsid w:val="00654EC1"/>
    <w:rsid w:val="00673385"/>
    <w:rsid w:val="00690A1B"/>
    <w:rsid w:val="006918DA"/>
    <w:rsid w:val="006962A4"/>
    <w:rsid w:val="006A5E5C"/>
    <w:rsid w:val="006A6434"/>
    <w:rsid w:val="006B2ED8"/>
    <w:rsid w:val="006C11CA"/>
    <w:rsid w:val="006C74D5"/>
    <w:rsid w:val="006D42BF"/>
    <w:rsid w:val="006D7E62"/>
    <w:rsid w:val="006E155C"/>
    <w:rsid w:val="006E2155"/>
    <w:rsid w:val="006F51F4"/>
    <w:rsid w:val="00706C2A"/>
    <w:rsid w:val="00714B8D"/>
    <w:rsid w:val="00732B32"/>
    <w:rsid w:val="007355F8"/>
    <w:rsid w:val="00752E18"/>
    <w:rsid w:val="00756E86"/>
    <w:rsid w:val="00767719"/>
    <w:rsid w:val="0079243B"/>
    <w:rsid w:val="007B170D"/>
    <w:rsid w:val="007D5C9A"/>
    <w:rsid w:val="007E75BA"/>
    <w:rsid w:val="007E79D6"/>
    <w:rsid w:val="007F4C35"/>
    <w:rsid w:val="007F6CE4"/>
    <w:rsid w:val="007F730D"/>
    <w:rsid w:val="00814B7E"/>
    <w:rsid w:val="00826BF1"/>
    <w:rsid w:val="00837A71"/>
    <w:rsid w:val="0084622D"/>
    <w:rsid w:val="00855648"/>
    <w:rsid w:val="00861EE8"/>
    <w:rsid w:val="008741D3"/>
    <w:rsid w:val="00880D03"/>
    <w:rsid w:val="00887593"/>
    <w:rsid w:val="008A72D8"/>
    <w:rsid w:val="008A74F7"/>
    <w:rsid w:val="008B5B88"/>
    <w:rsid w:val="008C7F5F"/>
    <w:rsid w:val="008D1F25"/>
    <w:rsid w:val="008E1B85"/>
    <w:rsid w:val="0090504D"/>
    <w:rsid w:val="00905466"/>
    <w:rsid w:val="00911ACD"/>
    <w:rsid w:val="0091436C"/>
    <w:rsid w:val="0093005F"/>
    <w:rsid w:val="00933404"/>
    <w:rsid w:val="0093478F"/>
    <w:rsid w:val="0094277C"/>
    <w:rsid w:val="009446C5"/>
    <w:rsid w:val="0094642D"/>
    <w:rsid w:val="009631BA"/>
    <w:rsid w:val="00971033"/>
    <w:rsid w:val="00994D0C"/>
    <w:rsid w:val="009A49D4"/>
    <w:rsid w:val="009C3937"/>
    <w:rsid w:val="009C713B"/>
    <w:rsid w:val="009D3950"/>
    <w:rsid w:val="009E4D95"/>
    <w:rsid w:val="009E777B"/>
    <w:rsid w:val="009E7E3D"/>
    <w:rsid w:val="009F6540"/>
    <w:rsid w:val="00A0162A"/>
    <w:rsid w:val="00A4268C"/>
    <w:rsid w:val="00A5166C"/>
    <w:rsid w:val="00A61FC8"/>
    <w:rsid w:val="00A66F99"/>
    <w:rsid w:val="00A71E07"/>
    <w:rsid w:val="00A730E3"/>
    <w:rsid w:val="00A846B7"/>
    <w:rsid w:val="00A916F9"/>
    <w:rsid w:val="00A921E2"/>
    <w:rsid w:val="00A95514"/>
    <w:rsid w:val="00AA1805"/>
    <w:rsid w:val="00AB1E91"/>
    <w:rsid w:val="00AC095F"/>
    <w:rsid w:val="00AC46B8"/>
    <w:rsid w:val="00AD11A2"/>
    <w:rsid w:val="00AD2120"/>
    <w:rsid w:val="00AD52FF"/>
    <w:rsid w:val="00AD55FF"/>
    <w:rsid w:val="00B0156E"/>
    <w:rsid w:val="00B07F98"/>
    <w:rsid w:val="00B127F4"/>
    <w:rsid w:val="00B17F4E"/>
    <w:rsid w:val="00B20258"/>
    <w:rsid w:val="00B21E66"/>
    <w:rsid w:val="00B60F30"/>
    <w:rsid w:val="00B71A47"/>
    <w:rsid w:val="00B76621"/>
    <w:rsid w:val="00B82E3B"/>
    <w:rsid w:val="00BA6D24"/>
    <w:rsid w:val="00BB0841"/>
    <w:rsid w:val="00BC087A"/>
    <w:rsid w:val="00BC37A0"/>
    <w:rsid w:val="00BD0DF3"/>
    <w:rsid w:val="00BE5B25"/>
    <w:rsid w:val="00C13545"/>
    <w:rsid w:val="00C20B7A"/>
    <w:rsid w:val="00C35F1D"/>
    <w:rsid w:val="00C378A3"/>
    <w:rsid w:val="00C40305"/>
    <w:rsid w:val="00C43197"/>
    <w:rsid w:val="00C556D7"/>
    <w:rsid w:val="00C56420"/>
    <w:rsid w:val="00C5653F"/>
    <w:rsid w:val="00C62B31"/>
    <w:rsid w:val="00C80495"/>
    <w:rsid w:val="00C8572B"/>
    <w:rsid w:val="00C87AD7"/>
    <w:rsid w:val="00C87DAA"/>
    <w:rsid w:val="00C9394F"/>
    <w:rsid w:val="00C95734"/>
    <w:rsid w:val="00CA0B60"/>
    <w:rsid w:val="00CA6977"/>
    <w:rsid w:val="00CD7165"/>
    <w:rsid w:val="00CE2B8A"/>
    <w:rsid w:val="00CE4576"/>
    <w:rsid w:val="00CE4A54"/>
    <w:rsid w:val="00CE5A19"/>
    <w:rsid w:val="00D25854"/>
    <w:rsid w:val="00D3084A"/>
    <w:rsid w:val="00D43E77"/>
    <w:rsid w:val="00D74DDA"/>
    <w:rsid w:val="00DA52F4"/>
    <w:rsid w:val="00DD6B36"/>
    <w:rsid w:val="00DD7C7C"/>
    <w:rsid w:val="00DE68FE"/>
    <w:rsid w:val="00DF201E"/>
    <w:rsid w:val="00DF317B"/>
    <w:rsid w:val="00DF6670"/>
    <w:rsid w:val="00DF6FFA"/>
    <w:rsid w:val="00E03AB8"/>
    <w:rsid w:val="00E058D9"/>
    <w:rsid w:val="00E26448"/>
    <w:rsid w:val="00E26687"/>
    <w:rsid w:val="00E34078"/>
    <w:rsid w:val="00E35FB6"/>
    <w:rsid w:val="00E71348"/>
    <w:rsid w:val="00E73492"/>
    <w:rsid w:val="00E81599"/>
    <w:rsid w:val="00E82016"/>
    <w:rsid w:val="00E9298E"/>
    <w:rsid w:val="00EA6189"/>
    <w:rsid w:val="00EB0728"/>
    <w:rsid w:val="00EB432A"/>
    <w:rsid w:val="00EB588E"/>
    <w:rsid w:val="00ED654A"/>
    <w:rsid w:val="00EE1166"/>
    <w:rsid w:val="00EE526E"/>
    <w:rsid w:val="00EF71B2"/>
    <w:rsid w:val="00F002D1"/>
    <w:rsid w:val="00F01E52"/>
    <w:rsid w:val="00F141E8"/>
    <w:rsid w:val="00F14345"/>
    <w:rsid w:val="00F14F23"/>
    <w:rsid w:val="00F21074"/>
    <w:rsid w:val="00F21C38"/>
    <w:rsid w:val="00F332CE"/>
    <w:rsid w:val="00F42C71"/>
    <w:rsid w:val="00F43ABE"/>
    <w:rsid w:val="00F62C11"/>
    <w:rsid w:val="00F65276"/>
    <w:rsid w:val="00FC7701"/>
    <w:rsid w:val="00FD543B"/>
    <w:rsid w:val="00FE3C38"/>
    <w:rsid w:val="00FF3465"/>
    <w:rsid w:val="00FF3F07"/>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unhideWhenUsed/>
    <w:rsid w:val="003B6A7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unhideWhenUsed/>
    <w:rsid w:val="003B6A7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843491">
      <w:bodyDiv w:val="1"/>
      <w:marLeft w:val="0"/>
      <w:marRight w:val="0"/>
      <w:marTop w:val="0"/>
      <w:marBottom w:val="0"/>
      <w:divBdr>
        <w:top w:val="none" w:sz="0" w:space="0" w:color="auto"/>
        <w:left w:val="none" w:sz="0" w:space="0" w:color="auto"/>
        <w:bottom w:val="none" w:sz="0" w:space="0" w:color="auto"/>
        <w:right w:val="none" w:sz="0" w:space="0" w:color="auto"/>
      </w:divBdr>
    </w:div>
    <w:div w:id="665978504">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22428732">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Users\TRUTECH\Desktop\Graph%20for%20Paper%20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RUTECH\Desktop\Graph%20for%20Paper%20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RUTECH\Desktop\Graph%20for%20Paper%20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RUTECH\Desktop\Graph%20for%20Paper%20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TRUTECH\Desktop\Graph%20for%20Paper%20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TRUTECH\Desktop\Graph%20for%20Paper%205.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TRUTECH\Desktop\Graph%20for%20Paper%20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5.643690499053472E-2"/>
          <c:y val="0.14118321871408876"/>
          <c:w val="0.86516984552265341"/>
          <c:h val="0.55677064481483896"/>
        </c:manualLayout>
      </c:layout>
      <c:bar3DChart>
        <c:barDir val="col"/>
        <c:grouping val="clustered"/>
        <c:varyColors val="0"/>
        <c:ser>
          <c:idx val="0"/>
          <c:order val="0"/>
          <c:tx>
            <c:strRef>
              <c:f>Sheet7!$A$2</c:f>
              <c:strCache>
                <c:ptCount val="1"/>
                <c:pt idx="0">
                  <c:v>pH</c:v>
                </c:pt>
              </c:strCache>
            </c:strRef>
          </c:tx>
          <c:invertIfNegative val="0"/>
          <c:cat>
            <c:strRef>
              <c:f>Sheet7!$B$1:$D$1</c:f>
              <c:strCache>
                <c:ptCount val="3"/>
                <c:pt idx="0">
                  <c:v>Sample A</c:v>
                </c:pt>
                <c:pt idx="1">
                  <c:v>Sample B</c:v>
                </c:pt>
                <c:pt idx="2">
                  <c:v>Sample C</c:v>
                </c:pt>
              </c:strCache>
            </c:strRef>
          </c:cat>
          <c:val>
            <c:numRef>
              <c:f>Sheet7!$B$2:$D$2</c:f>
              <c:numCache>
                <c:formatCode>General</c:formatCode>
                <c:ptCount val="3"/>
                <c:pt idx="0">
                  <c:v>7.41</c:v>
                </c:pt>
                <c:pt idx="1">
                  <c:v>7.3</c:v>
                </c:pt>
                <c:pt idx="2">
                  <c:v>7.31</c:v>
                </c:pt>
              </c:numCache>
            </c:numRef>
          </c:val>
        </c:ser>
        <c:ser>
          <c:idx val="1"/>
          <c:order val="1"/>
          <c:tx>
            <c:strRef>
              <c:f>Sheet7!$A$3</c:f>
              <c:strCache>
                <c:ptCount val="1"/>
                <c:pt idx="0">
                  <c:v>Turbidity(NTU)</c:v>
                </c:pt>
              </c:strCache>
            </c:strRef>
          </c:tx>
          <c:invertIfNegative val="0"/>
          <c:cat>
            <c:strRef>
              <c:f>Sheet7!$B$1:$D$1</c:f>
              <c:strCache>
                <c:ptCount val="3"/>
                <c:pt idx="0">
                  <c:v>Sample A</c:v>
                </c:pt>
                <c:pt idx="1">
                  <c:v>Sample B</c:v>
                </c:pt>
                <c:pt idx="2">
                  <c:v>Sample C</c:v>
                </c:pt>
              </c:strCache>
            </c:strRef>
          </c:cat>
          <c:val>
            <c:numRef>
              <c:f>Sheet7!$B$3:$D$3</c:f>
              <c:numCache>
                <c:formatCode>General</c:formatCode>
                <c:ptCount val="3"/>
                <c:pt idx="0">
                  <c:v>21</c:v>
                </c:pt>
                <c:pt idx="1">
                  <c:v>21</c:v>
                </c:pt>
                <c:pt idx="2">
                  <c:v>21</c:v>
                </c:pt>
              </c:numCache>
            </c:numRef>
          </c:val>
        </c:ser>
        <c:dLbls>
          <c:showLegendKey val="0"/>
          <c:showVal val="1"/>
          <c:showCatName val="0"/>
          <c:showSerName val="0"/>
          <c:showPercent val="0"/>
          <c:showBubbleSize val="0"/>
        </c:dLbls>
        <c:gapWidth val="75"/>
        <c:shape val="box"/>
        <c:axId val="603642112"/>
        <c:axId val="603844608"/>
        <c:axId val="0"/>
      </c:bar3DChart>
      <c:catAx>
        <c:axId val="603642112"/>
        <c:scaling>
          <c:orientation val="minMax"/>
        </c:scaling>
        <c:delete val="0"/>
        <c:axPos val="b"/>
        <c:majorTickMark val="none"/>
        <c:minorTickMark val="none"/>
        <c:tickLblPos val="nextTo"/>
        <c:crossAx val="603844608"/>
        <c:crosses val="autoZero"/>
        <c:auto val="1"/>
        <c:lblAlgn val="ctr"/>
        <c:lblOffset val="100"/>
        <c:noMultiLvlLbl val="0"/>
      </c:catAx>
      <c:valAx>
        <c:axId val="603844608"/>
        <c:scaling>
          <c:orientation val="minMax"/>
        </c:scaling>
        <c:delete val="0"/>
        <c:axPos val="l"/>
        <c:numFmt formatCode="General" sourceLinked="1"/>
        <c:majorTickMark val="none"/>
        <c:minorTickMark val="none"/>
        <c:tickLblPos val="nextTo"/>
        <c:crossAx val="603642112"/>
        <c:crosses val="autoZero"/>
        <c:crossBetween val="between"/>
      </c:valAx>
    </c:plotArea>
    <c:legend>
      <c:legendPos val="b"/>
      <c:overlay val="0"/>
    </c:legend>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Sheet8!$A$2</c:f>
              <c:strCache>
                <c:ptCount val="1"/>
                <c:pt idx="0">
                  <c:v>Total Dissolved Solid (mg/L)</c:v>
                </c:pt>
              </c:strCache>
            </c:strRef>
          </c:tx>
          <c:invertIfNegative val="0"/>
          <c:cat>
            <c:strRef>
              <c:f>Sheet8!$B$1:$D$1</c:f>
              <c:strCache>
                <c:ptCount val="3"/>
                <c:pt idx="0">
                  <c:v>Sample A</c:v>
                </c:pt>
                <c:pt idx="1">
                  <c:v>Sample B</c:v>
                </c:pt>
                <c:pt idx="2">
                  <c:v>Sample C</c:v>
                </c:pt>
              </c:strCache>
            </c:strRef>
          </c:cat>
          <c:val>
            <c:numRef>
              <c:f>Sheet8!$B$2:$D$2</c:f>
              <c:numCache>
                <c:formatCode>General</c:formatCode>
                <c:ptCount val="3"/>
                <c:pt idx="0">
                  <c:v>75.900000000000006</c:v>
                </c:pt>
                <c:pt idx="1">
                  <c:v>79</c:v>
                </c:pt>
                <c:pt idx="2">
                  <c:v>74.209999999999994</c:v>
                </c:pt>
              </c:numCache>
            </c:numRef>
          </c:val>
        </c:ser>
        <c:ser>
          <c:idx val="1"/>
          <c:order val="1"/>
          <c:tx>
            <c:strRef>
              <c:f>Sheet8!$A$3</c:f>
              <c:strCache>
                <c:ptCount val="1"/>
                <c:pt idx="0">
                  <c:v>Total Suspended Solid (mg/L)</c:v>
                </c:pt>
              </c:strCache>
            </c:strRef>
          </c:tx>
          <c:invertIfNegative val="0"/>
          <c:dLbls>
            <c:dLbl>
              <c:idx val="0"/>
              <c:layout>
                <c:manualLayout>
                  <c:x val="3.782765254098263E-2"/>
                  <c:y val="-5.6774803709684608E-2"/>
                </c:manualLayout>
              </c:layout>
              <c:showLegendKey val="0"/>
              <c:showVal val="1"/>
              <c:showCatName val="0"/>
              <c:showSerName val="0"/>
              <c:showPercent val="0"/>
              <c:showBubbleSize val="0"/>
            </c:dLbl>
            <c:dLbl>
              <c:idx val="1"/>
              <c:layout>
                <c:manualLayout>
                  <c:x val="4.6557110819670927E-2"/>
                  <c:y val="-5.6774803709684608E-2"/>
                </c:manualLayout>
              </c:layout>
              <c:showLegendKey val="0"/>
              <c:showVal val="1"/>
              <c:showCatName val="0"/>
              <c:showSerName val="0"/>
              <c:showPercent val="0"/>
              <c:showBubbleSize val="0"/>
            </c:dLbl>
            <c:dLbl>
              <c:idx val="2"/>
              <c:layout>
                <c:manualLayout>
                  <c:x val="7.5655305081965371E-2"/>
                  <c:y val="-0.11354960741936916"/>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Sheet8!$B$1:$D$1</c:f>
              <c:strCache>
                <c:ptCount val="3"/>
                <c:pt idx="0">
                  <c:v>Sample A</c:v>
                </c:pt>
                <c:pt idx="1">
                  <c:v>Sample B</c:v>
                </c:pt>
                <c:pt idx="2">
                  <c:v>Sample C</c:v>
                </c:pt>
              </c:strCache>
            </c:strRef>
          </c:cat>
          <c:val>
            <c:numRef>
              <c:f>Sheet8!$B$3:$D$3</c:f>
              <c:numCache>
                <c:formatCode>General</c:formatCode>
                <c:ptCount val="3"/>
                <c:pt idx="0">
                  <c:v>5.1000000000000004E-3</c:v>
                </c:pt>
                <c:pt idx="1">
                  <c:v>5.1000000000000004E-3</c:v>
                </c:pt>
                <c:pt idx="2">
                  <c:v>5.1000000000000004E-3</c:v>
                </c:pt>
              </c:numCache>
            </c:numRef>
          </c:val>
        </c:ser>
        <c:dLbls>
          <c:showLegendKey val="0"/>
          <c:showVal val="1"/>
          <c:showCatName val="0"/>
          <c:showSerName val="0"/>
          <c:showPercent val="0"/>
          <c:showBubbleSize val="0"/>
        </c:dLbls>
        <c:gapWidth val="75"/>
        <c:shape val="box"/>
        <c:axId val="617947136"/>
        <c:axId val="795418624"/>
        <c:axId val="0"/>
      </c:bar3DChart>
      <c:catAx>
        <c:axId val="617947136"/>
        <c:scaling>
          <c:orientation val="minMax"/>
        </c:scaling>
        <c:delete val="0"/>
        <c:axPos val="b"/>
        <c:majorTickMark val="none"/>
        <c:minorTickMark val="none"/>
        <c:tickLblPos val="nextTo"/>
        <c:crossAx val="795418624"/>
        <c:crosses val="autoZero"/>
        <c:auto val="1"/>
        <c:lblAlgn val="ctr"/>
        <c:lblOffset val="100"/>
        <c:noMultiLvlLbl val="0"/>
      </c:catAx>
      <c:valAx>
        <c:axId val="795418624"/>
        <c:scaling>
          <c:orientation val="minMax"/>
        </c:scaling>
        <c:delete val="0"/>
        <c:axPos val="l"/>
        <c:numFmt formatCode="General" sourceLinked="1"/>
        <c:majorTickMark val="none"/>
        <c:minorTickMark val="none"/>
        <c:tickLblPos val="nextTo"/>
        <c:crossAx val="617947136"/>
        <c:crosses val="autoZero"/>
        <c:crossBetween val="between"/>
      </c:valAx>
    </c:plotArea>
    <c:legend>
      <c:legendPos val="b"/>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8.607174103237096E-2"/>
          <c:y val="0.18565981335666376"/>
          <c:w val="0.84448381452318455"/>
          <c:h val="0.58686533974919797"/>
        </c:manualLayout>
      </c:layout>
      <c:bar3DChart>
        <c:barDir val="col"/>
        <c:grouping val="clustered"/>
        <c:varyColors val="0"/>
        <c:ser>
          <c:idx val="0"/>
          <c:order val="0"/>
          <c:tx>
            <c:strRef>
              <c:f>Sheet9!$A$2</c:f>
              <c:strCache>
                <c:ptCount val="1"/>
                <c:pt idx="0">
                  <c:v>Conductivity (us/cm)</c:v>
                </c:pt>
              </c:strCache>
            </c:strRef>
          </c:tx>
          <c:invertIfNegative val="0"/>
          <c:cat>
            <c:strRef>
              <c:f>Sheet9!$B$1:$D$1</c:f>
              <c:strCache>
                <c:ptCount val="3"/>
                <c:pt idx="0">
                  <c:v>Sample A</c:v>
                </c:pt>
                <c:pt idx="1">
                  <c:v>Sample B</c:v>
                </c:pt>
                <c:pt idx="2">
                  <c:v>Sample C</c:v>
                </c:pt>
              </c:strCache>
            </c:strRef>
          </c:cat>
          <c:val>
            <c:numRef>
              <c:f>Sheet9!$B$2:$D$2</c:f>
              <c:numCache>
                <c:formatCode>General</c:formatCode>
                <c:ptCount val="3"/>
                <c:pt idx="0">
                  <c:v>155.99</c:v>
                </c:pt>
                <c:pt idx="1">
                  <c:v>155.99</c:v>
                </c:pt>
                <c:pt idx="2">
                  <c:v>155.99</c:v>
                </c:pt>
              </c:numCache>
            </c:numRef>
          </c:val>
        </c:ser>
        <c:ser>
          <c:idx val="1"/>
          <c:order val="1"/>
          <c:tx>
            <c:strRef>
              <c:f>Sheet9!$A$3</c:f>
              <c:strCache>
                <c:ptCount val="1"/>
                <c:pt idx="0">
                  <c:v>Total Alkalinity (mg/L)</c:v>
                </c:pt>
              </c:strCache>
            </c:strRef>
          </c:tx>
          <c:invertIfNegative val="0"/>
          <c:dLbls>
            <c:dLbl>
              <c:idx val="0"/>
              <c:layout>
                <c:manualLayout>
                  <c:x val="3.888888888888889E-2"/>
                  <c:y val="-4.8295461747712619E-2"/>
                </c:manualLayout>
              </c:layout>
              <c:showLegendKey val="0"/>
              <c:showVal val="1"/>
              <c:showCatName val="0"/>
              <c:showSerName val="0"/>
              <c:showPercent val="0"/>
              <c:showBubbleSize val="0"/>
            </c:dLbl>
            <c:dLbl>
              <c:idx val="1"/>
              <c:layout>
                <c:manualLayout>
                  <c:x val="3.3333333333333333E-2"/>
                  <c:y val="-5.3661624164125135E-2"/>
                </c:manualLayout>
              </c:layout>
              <c:showLegendKey val="0"/>
              <c:showVal val="1"/>
              <c:showCatName val="0"/>
              <c:showSerName val="0"/>
              <c:showPercent val="0"/>
              <c:showBubbleSize val="0"/>
            </c:dLbl>
            <c:dLbl>
              <c:idx val="2"/>
              <c:layout>
                <c:manualLayout>
                  <c:x val="4.1666666666666567E-2"/>
                  <c:y val="-5.366162416412513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Sheet9!$B$1:$D$1</c:f>
              <c:strCache>
                <c:ptCount val="3"/>
                <c:pt idx="0">
                  <c:v>Sample A</c:v>
                </c:pt>
                <c:pt idx="1">
                  <c:v>Sample B</c:v>
                </c:pt>
                <c:pt idx="2">
                  <c:v>Sample C</c:v>
                </c:pt>
              </c:strCache>
            </c:strRef>
          </c:cat>
          <c:val>
            <c:numRef>
              <c:f>Sheet9!$B$3:$D$3</c:f>
              <c:numCache>
                <c:formatCode>General</c:formatCode>
                <c:ptCount val="3"/>
                <c:pt idx="0">
                  <c:v>0.76</c:v>
                </c:pt>
                <c:pt idx="1">
                  <c:v>0.74299999999999999</c:v>
                </c:pt>
                <c:pt idx="2">
                  <c:v>0.64</c:v>
                </c:pt>
              </c:numCache>
            </c:numRef>
          </c:val>
        </c:ser>
        <c:dLbls>
          <c:showLegendKey val="0"/>
          <c:showVal val="1"/>
          <c:showCatName val="0"/>
          <c:showSerName val="0"/>
          <c:showPercent val="0"/>
          <c:showBubbleSize val="0"/>
        </c:dLbls>
        <c:gapWidth val="75"/>
        <c:shape val="box"/>
        <c:axId val="862043520"/>
        <c:axId val="862047616"/>
        <c:axId val="0"/>
      </c:bar3DChart>
      <c:catAx>
        <c:axId val="862043520"/>
        <c:scaling>
          <c:orientation val="minMax"/>
        </c:scaling>
        <c:delete val="0"/>
        <c:axPos val="b"/>
        <c:majorTickMark val="none"/>
        <c:minorTickMark val="none"/>
        <c:tickLblPos val="nextTo"/>
        <c:crossAx val="862047616"/>
        <c:crosses val="autoZero"/>
        <c:auto val="1"/>
        <c:lblAlgn val="ctr"/>
        <c:lblOffset val="100"/>
        <c:noMultiLvlLbl val="0"/>
      </c:catAx>
      <c:valAx>
        <c:axId val="862047616"/>
        <c:scaling>
          <c:orientation val="minMax"/>
        </c:scaling>
        <c:delete val="0"/>
        <c:axPos val="l"/>
        <c:numFmt formatCode="General" sourceLinked="1"/>
        <c:majorTickMark val="none"/>
        <c:minorTickMark val="none"/>
        <c:tickLblPos val="nextTo"/>
        <c:crossAx val="862043520"/>
        <c:crosses val="autoZero"/>
        <c:crossBetween val="between"/>
      </c:valAx>
    </c:plotArea>
    <c:legend>
      <c:legendPos val="b"/>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8.607174103237096E-2"/>
          <c:y val="0.28288203557888597"/>
          <c:w val="0.88337270341207352"/>
          <c:h val="0.48964311752697581"/>
        </c:manualLayout>
      </c:layout>
      <c:bar3DChart>
        <c:barDir val="col"/>
        <c:grouping val="clustered"/>
        <c:varyColors val="0"/>
        <c:ser>
          <c:idx val="0"/>
          <c:order val="0"/>
          <c:tx>
            <c:strRef>
              <c:f>Sheet10!$A$2</c:f>
              <c:strCache>
                <c:ptCount val="1"/>
                <c:pt idx="0">
                  <c:v>Chloride (mg/L)</c:v>
                </c:pt>
              </c:strCache>
            </c:strRef>
          </c:tx>
          <c:invertIfNegative val="0"/>
          <c:cat>
            <c:strRef>
              <c:f>Sheet10!$B$1:$D$1</c:f>
              <c:strCache>
                <c:ptCount val="3"/>
                <c:pt idx="0">
                  <c:v>Sample A</c:v>
                </c:pt>
                <c:pt idx="1">
                  <c:v>Sample B</c:v>
                </c:pt>
                <c:pt idx="2">
                  <c:v>Sample C</c:v>
                </c:pt>
              </c:strCache>
            </c:strRef>
          </c:cat>
          <c:val>
            <c:numRef>
              <c:f>Sheet10!$B$2:$D$2</c:f>
              <c:numCache>
                <c:formatCode>General</c:formatCode>
                <c:ptCount val="3"/>
                <c:pt idx="0">
                  <c:v>592.19000000000005</c:v>
                </c:pt>
                <c:pt idx="1">
                  <c:v>592.19000000000005</c:v>
                </c:pt>
                <c:pt idx="2">
                  <c:v>592.19000000000005</c:v>
                </c:pt>
              </c:numCache>
            </c:numRef>
          </c:val>
        </c:ser>
        <c:ser>
          <c:idx val="1"/>
          <c:order val="1"/>
          <c:tx>
            <c:strRef>
              <c:f>Sheet10!$A$3</c:f>
              <c:strCache>
                <c:ptCount val="1"/>
                <c:pt idx="0">
                  <c:v>Total Hardness (mg/L)</c:v>
                </c:pt>
              </c:strCache>
            </c:strRef>
          </c:tx>
          <c:invertIfNegative val="0"/>
          <c:dLbls>
            <c:dLbl>
              <c:idx val="0"/>
              <c:layout>
                <c:manualLayout>
                  <c:x val="2.7777777777777776E-2"/>
                  <c:y val="-4.1666666666666664E-2"/>
                </c:manualLayout>
              </c:layout>
              <c:showLegendKey val="0"/>
              <c:showVal val="1"/>
              <c:showCatName val="0"/>
              <c:showSerName val="0"/>
              <c:showPercent val="0"/>
              <c:showBubbleSize val="0"/>
            </c:dLbl>
            <c:dLbl>
              <c:idx val="1"/>
              <c:layout>
                <c:manualLayout>
                  <c:x val="3.3333333333333333E-2"/>
                  <c:y val="-4.1666666666666664E-2"/>
                </c:manualLayout>
              </c:layout>
              <c:showLegendKey val="0"/>
              <c:showVal val="1"/>
              <c:showCatName val="0"/>
              <c:showSerName val="0"/>
              <c:showPercent val="0"/>
              <c:showBubbleSize val="0"/>
            </c:dLbl>
            <c:dLbl>
              <c:idx val="2"/>
              <c:layout>
                <c:manualLayout>
                  <c:x val="4.4444444444444543E-2"/>
                  <c:y val="-5.5555555555555469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Sheet10!$B$1:$D$1</c:f>
              <c:strCache>
                <c:ptCount val="3"/>
                <c:pt idx="0">
                  <c:v>Sample A</c:v>
                </c:pt>
                <c:pt idx="1">
                  <c:v>Sample B</c:v>
                </c:pt>
                <c:pt idx="2">
                  <c:v>Sample C</c:v>
                </c:pt>
              </c:strCache>
            </c:strRef>
          </c:cat>
          <c:val>
            <c:numRef>
              <c:f>Sheet10!$B$3:$D$3</c:f>
              <c:numCache>
                <c:formatCode>General</c:formatCode>
                <c:ptCount val="3"/>
                <c:pt idx="0">
                  <c:v>0.43</c:v>
                </c:pt>
                <c:pt idx="1">
                  <c:v>0.38</c:v>
                </c:pt>
                <c:pt idx="2">
                  <c:v>0.33</c:v>
                </c:pt>
              </c:numCache>
            </c:numRef>
          </c:val>
        </c:ser>
        <c:dLbls>
          <c:showLegendKey val="0"/>
          <c:showVal val="1"/>
          <c:showCatName val="0"/>
          <c:showSerName val="0"/>
          <c:showPercent val="0"/>
          <c:showBubbleSize val="0"/>
        </c:dLbls>
        <c:gapWidth val="75"/>
        <c:shape val="box"/>
        <c:axId val="1008016384"/>
        <c:axId val="1008442368"/>
        <c:axId val="0"/>
      </c:bar3DChart>
      <c:catAx>
        <c:axId val="1008016384"/>
        <c:scaling>
          <c:orientation val="minMax"/>
        </c:scaling>
        <c:delete val="0"/>
        <c:axPos val="b"/>
        <c:majorTickMark val="none"/>
        <c:minorTickMark val="none"/>
        <c:tickLblPos val="nextTo"/>
        <c:crossAx val="1008442368"/>
        <c:crosses val="autoZero"/>
        <c:auto val="1"/>
        <c:lblAlgn val="ctr"/>
        <c:lblOffset val="100"/>
        <c:noMultiLvlLbl val="0"/>
      </c:catAx>
      <c:valAx>
        <c:axId val="1008442368"/>
        <c:scaling>
          <c:orientation val="minMax"/>
        </c:scaling>
        <c:delete val="0"/>
        <c:axPos val="l"/>
        <c:numFmt formatCode="General" sourceLinked="1"/>
        <c:majorTickMark val="none"/>
        <c:minorTickMark val="none"/>
        <c:tickLblPos val="nextTo"/>
        <c:crossAx val="1008016384"/>
        <c:crosses val="autoZero"/>
        <c:crossBetween val="between"/>
      </c:valAx>
    </c:plotArea>
    <c:legend>
      <c:legendPos val="b"/>
      <c:layout>
        <c:manualLayout>
          <c:xMode val="edge"/>
          <c:yMode val="edge"/>
          <c:x val="0.208417104111986"/>
          <c:y val="0.79970696812871711"/>
          <c:w val="0.58316557305336836"/>
          <c:h val="0.2002928352964144"/>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1988407699037624E-2"/>
          <c:y val="0.31528944298629336"/>
          <c:w val="0.89745603674540686"/>
          <c:h val="0.45723571011956837"/>
        </c:manualLayout>
      </c:layout>
      <c:bar3DChart>
        <c:barDir val="col"/>
        <c:grouping val="clustered"/>
        <c:varyColors val="0"/>
        <c:ser>
          <c:idx val="0"/>
          <c:order val="0"/>
          <c:tx>
            <c:strRef>
              <c:f>Sheet11!$A$2</c:f>
              <c:strCache>
                <c:ptCount val="1"/>
                <c:pt idx="0">
                  <c:v>Biological Oxygen Demand (mg/L) </c:v>
                </c:pt>
              </c:strCache>
            </c:strRef>
          </c:tx>
          <c:invertIfNegative val="0"/>
          <c:dLbls>
            <c:dLbl>
              <c:idx val="0"/>
              <c:layout>
                <c:manualLayout>
                  <c:x val="8.3333333333333332E-3"/>
                  <c:y val="-6.9444444444444406E-2"/>
                </c:manualLayout>
              </c:layout>
              <c:showLegendKey val="0"/>
              <c:showVal val="1"/>
              <c:showCatName val="0"/>
              <c:showSerName val="0"/>
              <c:showPercent val="0"/>
              <c:showBubbleSize val="0"/>
            </c:dLbl>
            <c:dLbl>
              <c:idx val="1"/>
              <c:layout>
                <c:manualLayout>
                  <c:x val="-8.3333333333333835E-3"/>
                  <c:y val="-5.5555555555555552E-2"/>
                </c:manualLayout>
              </c:layout>
              <c:showLegendKey val="0"/>
              <c:showVal val="1"/>
              <c:showCatName val="0"/>
              <c:showSerName val="0"/>
              <c:showPercent val="0"/>
              <c:showBubbleSize val="0"/>
            </c:dLbl>
            <c:dLbl>
              <c:idx val="2"/>
              <c:layout>
                <c:manualLayout>
                  <c:x val="-8.3333333333333332E-3"/>
                  <c:y val="-5.555555555555555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Sheet11!$B$1:$D$1</c:f>
              <c:strCache>
                <c:ptCount val="3"/>
                <c:pt idx="0">
                  <c:v>Sample A</c:v>
                </c:pt>
                <c:pt idx="1">
                  <c:v>Sample B</c:v>
                </c:pt>
                <c:pt idx="2">
                  <c:v>Sample C</c:v>
                </c:pt>
              </c:strCache>
            </c:strRef>
          </c:cat>
          <c:val>
            <c:numRef>
              <c:f>Sheet11!$B$2:$D$2</c:f>
              <c:numCache>
                <c:formatCode>General</c:formatCode>
                <c:ptCount val="3"/>
                <c:pt idx="0">
                  <c:v>15.13</c:v>
                </c:pt>
                <c:pt idx="1">
                  <c:v>15.1</c:v>
                </c:pt>
                <c:pt idx="2">
                  <c:v>15.1</c:v>
                </c:pt>
              </c:numCache>
            </c:numRef>
          </c:val>
        </c:ser>
        <c:ser>
          <c:idx val="1"/>
          <c:order val="1"/>
          <c:tx>
            <c:strRef>
              <c:f>Sheet11!$A$3</c:f>
              <c:strCache>
                <c:ptCount val="1"/>
                <c:pt idx="0">
                  <c:v>Nitrate (mg/L)</c:v>
                </c:pt>
              </c:strCache>
            </c:strRef>
          </c:tx>
          <c:invertIfNegative val="0"/>
          <c:dLbls>
            <c:dLbl>
              <c:idx val="0"/>
              <c:layout>
                <c:manualLayout>
                  <c:x val="8.3333333333333332E-3"/>
                  <c:y val="-3.2407407407407364E-2"/>
                </c:manualLayout>
              </c:layout>
              <c:showLegendKey val="0"/>
              <c:showVal val="1"/>
              <c:showCatName val="0"/>
              <c:showSerName val="0"/>
              <c:showPercent val="0"/>
              <c:showBubbleSize val="0"/>
            </c:dLbl>
            <c:dLbl>
              <c:idx val="1"/>
              <c:layout>
                <c:manualLayout>
                  <c:x val="8.3333333333333332E-3"/>
                  <c:y val="-3.7037037037036993E-2"/>
                </c:manualLayout>
              </c:layout>
              <c:showLegendKey val="0"/>
              <c:showVal val="1"/>
              <c:showCatName val="0"/>
              <c:showSerName val="0"/>
              <c:showPercent val="0"/>
              <c:showBubbleSize val="0"/>
            </c:dLbl>
            <c:dLbl>
              <c:idx val="2"/>
              <c:layout>
                <c:manualLayout>
                  <c:x val="1.6666666666666566E-2"/>
                  <c:y val="-2.3148148148148105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Sheet11!$B$1:$D$1</c:f>
              <c:strCache>
                <c:ptCount val="3"/>
                <c:pt idx="0">
                  <c:v>Sample A</c:v>
                </c:pt>
                <c:pt idx="1">
                  <c:v>Sample B</c:v>
                </c:pt>
                <c:pt idx="2">
                  <c:v>Sample C</c:v>
                </c:pt>
              </c:strCache>
            </c:strRef>
          </c:cat>
          <c:val>
            <c:numRef>
              <c:f>Sheet11!$B$3:$D$3</c:f>
              <c:numCache>
                <c:formatCode>General</c:formatCode>
                <c:ptCount val="3"/>
                <c:pt idx="0">
                  <c:v>28</c:v>
                </c:pt>
                <c:pt idx="1">
                  <c:v>29</c:v>
                </c:pt>
                <c:pt idx="2">
                  <c:v>29</c:v>
                </c:pt>
              </c:numCache>
            </c:numRef>
          </c:val>
        </c:ser>
        <c:dLbls>
          <c:showLegendKey val="0"/>
          <c:showVal val="1"/>
          <c:showCatName val="0"/>
          <c:showSerName val="0"/>
          <c:showPercent val="0"/>
          <c:showBubbleSize val="0"/>
        </c:dLbls>
        <c:gapWidth val="75"/>
        <c:shape val="box"/>
        <c:axId val="1098429568"/>
        <c:axId val="1098431104"/>
        <c:axId val="0"/>
      </c:bar3DChart>
      <c:catAx>
        <c:axId val="1098429568"/>
        <c:scaling>
          <c:orientation val="minMax"/>
        </c:scaling>
        <c:delete val="0"/>
        <c:axPos val="b"/>
        <c:majorTickMark val="none"/>
        <c:minorTickMark val="none"/>
        <c:tickLblPos val="nextTo"/>
        <c:crossAx val="1098431104"/>
        <c:crosses val="autoZero"/>
        <c:auto val="1"/>
        <c:lblAlgn val="ctr"/>
        <c:lblOffset val="100"/>
        <c:noMultiLvlLbl val="0"/>
      </c:catAx>
      <c:valAx>
        <c:axId val="1098431104"/>
        <c:scaling>
          <c:orientation val="minMax"/>
        </c:scaling>
        <c:delete val="0"/>
        <c:axPos val="l"/>
        <c:numFmt formatCode="General" sourceLinked="1"/>
        <c:majorTickMark val="none"/>
        <c:minorTickMark val="none"/>
        <c:tickLblPos val="nextTo"/>
        <c:crossAx val="1098429568"/>
        <c:crosses val="autoZero"/>
        <c:crossBetween val="between"/>
      </c:valAx>
    </c:plotArea>
    <c:legend>
      <c:legendPos val="b"/>
      <c:layout>
        <c:manualLayout>
          <c:xMode val="edge"/>
          <c:yMode val="edge"/>
          <c:x val="0.13445034995625546"/>
          <c:y val="0.83749721062195159"/>
          <c:w val="0.73109930008748902"/>
          <c:h val="0.16250278937804838"/>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9002405949256338E-2"/>
          <c:y val="0.32917833187518225"/>
          <c:w val="0.8904420384951881"/>
          <c:h val="0.44334682123067948"/>
        </c:manualLayout>
      </c:layout>
      <c:bar3DChart>
        <c:barDir val="col"/>
        <c:grouping val="clustered"/>
        <c:varyColors val="0"/>
        <c:ser>
          <c:idx val="0"/>
          <c:order val="0"/>
          <c:tx>
            <c:strRef>
              <c:f>Sheet12!$A$2</c:f>
              <c:strCache>
                <c:ptCount val="1"/>
                <c:pt idx="0">
                  <c:v>Total Iron (mg/L)</c:v>
                </c:pt>
              </c:strCache>
            </c:strRef>
          </c:tx>
          <c:invertIfNegative val="0"/>
          <c:dLbls>
            <c:dLbl>
              <c:idx val="0"/>
              <c:layout>
                <c:manualLayout>
                  <c:x val="2.2222222222222223E-2"/>
                  <c:y val="-4.6296296296296294E-2"/>
                </c:manualLayout>
              </c:layout>
              <c:showLegendKey val="0"/>
              <c:showVal val="1"/>
              <c:showCatName val="0"/>
              <c:showSerName val="0"/>
              <c:showPercent val="0"/>
              <c:showBubbleSize val="0"/>
            </c:dLbl>
            <c:dLbl>
              <c:idx val="1"/>
              <c:layout>
                <c:manualLayout>
                  <c:x val="2.7777777777777776E-2"/>
                  <c:y val="-4.1666666666666664E-2"/>
                </c:manualLayout>
              </c:layout>
              <c:showLegendKey val="0"/>
              <c:showVal val="1"/>
              <c:showCatName val="0"/>
              <c:showSerName val="0"/>
              <c:showPercent val="0"/>
              <c:showBubbleSize val="0"/>
            </c:dLbl>
            <c:dLbl>
              <c:idx val="2"/>
              <c:layout>
                <c:manualLayout>
                  <c:x val="1.6666666666666666E-2"/>
                  <c:y val="-4.166666666666666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Sheet12!$B$1:$D$1</c:f>
              <c:strCache>
                <c:ptCount val="3"/>
                <c:pt idx="0">
                  <c:v>Sample A</c:v>
                </c:pt>
                <c:pt idx="1">
                  <c:v>Sample B</c:v>
                </c:pt>
                <c:pt idx="2">
                  <c:v>Sample C</c:v>
                </c:pt>
              </c:strCache>
            </c:strRef>
          </c:cat>
          <c:val>
            <c:numRef>
              <c:f>Sheet12!$B$2:$D$2</c:f>
              <c:numCache>
                <c:formatCode>General</c:formatCode>
                <c:ptCount val="3"/>
                <c:pt idx="0">
                  <c:v>1.49</c:v>
                </c:pt>
                <c:pt idx="1">
                  <c:v>1.49</c:v>
                </c:pt>
                <c:pt idx="2">
                  <c:v>1.49</c:v>
                </c:pt>
              </c:numCache>
            </c:numRef>
          </c:val>
        </c:ser>
        <c:ser>
          <c:idx val="1"/>
          <c:order val="1"/>
          <c:tx>
            <c:strRef>
              <c:f>Sheet12!$A$3</c:f>
              <c:strCache>
                <c:ptCount val="1"/>
                <c:pt idx="0">
                  <c:v>Zn (mg/L)</c:v>
                </c:pt>
              </c:strCache>
            </c:strRef>
          </c:tx>
          <c:invertIfNegative val="0"/>
          <c:dLbls>
            <c:dLbl>
              <c:idx val="0"/>
              <c:layout>
                <c:manualLayout>
                  <c:x val="4.7222222222222221E-2"/>
                  <c:y val="-5.5555555555555643E-2"/>
                </c:manualLayout>
              </c:layout>
              <c:showLegendKey val="0"/>
              <c:showVal val="1"/>
              <c:showCatName val="0"/>
              <c:showSerName val="0"/>
              <c:showPercent val="0"/>
              <c:showBubbleSize val="0"/>
            </c:dLbl>
            <c:dLbl>
              <c:idx val="1"/>
              <c:layout>
                <c:manualLayout>
                  <c:x val="4.1666666666666664E-2"/>
                  <c:y val="-4.1666666666666755E-2"/>
                </c:manualLayout>
              </c:layout>
              <c:showLegendKey val="0"/>
              <c:showVal val="1"/>
              <c:showCatName val="0"/>
              <c:showSerName val="0"/>
              <c:showPercent val="0"/>
              <c:showBubbleSize val="0"/>
            </c:dLbl>
            <c:dLbl>
              <c:idx val="2"/>
              <c:layout>
                <c:manualLayout>
                  <c:x val="6.6666666666666569E-2"/>
                  <c:y val="-5.5555555555555552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Sheet12!$B$1:$D$1</c:f>
              <c:strCache>
                <c:ptCount val="3"/>
                <c:pt idx="0">
                  <c:v>Sample A</c:v>
                </c:pt>
                <c:pt idx="1">
                  <c:v>Sample B</c:v>
                </c:pt>
                <c:pt idx="2">
                  <c:v>Sample C</c:v>
                </c:pt>
              </c:strCache>
            </c:strRef>
          </c:cat>
          <c:val>
            <c:numRef>
              <c:f>Sheet12!$B$3:$D$3</c:f>
              <c:numCache>
                <c:formatCode>General</c:formatCode>
                <c:ptCount val="3"/>
                <c:pt idx="0">
                  <c:v>8.1000000000000003E-2</c:v>
                </c:pt>
                <c:pt idx="1">
                  <c:v>8.0199999999999994E-2</c:v>
                </c:pt>
                <c:pt idx="2">
                  <c:v>8.0100000000000005E-2</c:v>
                </c:pt>
              </c:numCache>
            </c:numRef>
          </c:val>
        </c:ser>
        <c:dLbls>
          <c:showLegendKey val="0"/>
          <c:showVal val="1"/>
          <c:showCatName val="0"/>
          <c:showSerName val="0"/>
          <c:showPercent val="0"/>
          <c:showBubbleSize val="0"/>
        </c:dLbls>
        <c:gapWidth val="75"/>
        <c:shape val="box"/>
        <c:axId val="1103483648"/>
        <c:axId val="1103485184"/>
        <c:axId val="0"/>
      </c:bar3DChart>
      <c:catAx>
        <c:axId val="1103483648"/>
        <c:scaling>
          <c:orientation val="minMax"/>
        </c:scaling>
        <c:delete val="0"/>
        <c:axPos val="b"/>
        <c:majorTickMark val="none"/>
        <c:minorTickMark val="none"/>
        <c:tickLblPos val="nextTo"/>
        <c:crossAx val="1103485184"/>
        <c:crosses val="autoZero"/>
        <c:auto val="1"/>
        <c:lblAlgn val="ctr"/>
        <c:lblOffset val="100"/>
        <c:noMultiLvlLbl val="0"/>
      </c:catAx>
      <c:valAx>
        <c:axId val="1103485184"/>
        <c:scaling>
          <c:orientation val="minMax"/>
        </c:scaling>
        <c:delete val="0"/>
        <c:axPos val="l"/>
        <c:numFmt formatCode="General" sourceLinked="1"/>
        <c:majorTickMark val="none"/>
        <c:minorTickMark val="none"/>
        <c:tickLblPos val="nextTo"/>
        <c:crossAx val="1103483648"/>
        <c:crosses val="autoZero"/>
        <c:crossBetween val="between"/>
      </c:valAx>
    </c:plotArea>
    <c:legend>
      <c:legendPos val="b"/>
      <c:layout>
        <c:manualLayout>
          <c:xMode val="edge"/>
          <c:yMode val="edge"/>
          <c:x val="0.28425087489063866"/>
          <c:y val="0.82304986490942855"/>
          <c:w val="0.43149803149606297"/>
          <c:h val="0.17695013509057142"/>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1988407699037624E-2"/>
          <c:y val="0.29677092446777487"/>
          <c:w val="0.89745603674540686"/>
          <c:h val="0.47575422863808692"/>
        </c:manualLayout>
      </c:layout>
      <c:bar3DChart>
        <c:barDir val="col"/>
        <c:grouping val="clustered"/>
        <c:varyColors val="0"/>
        <c:ser>
          <c:idx val="0"/>
          <c:order val="0"/>
          <c:tx>
            <c:strRef>
              <c:f>Sheet13!$A$2</c:f>
              <c:strCache>
                <c:ptCount val="1"/>
                <c:pt idx="0">
                  <c:v>Lead (mg/L)</c:v>
                </c:pt>
              </c:strCache>
            </c:strRef>
          </c:tx>
          <c:invertIfNegative val="0"/>
          <c:dLbls>
            <c:dLbl>
              <c:idx val="0"/>
              <c:layout>
                <c:manualLayout>
                  <c:x val="-8.3333333333333072E-3"/>
                  <c:y val="-4.1666666666666664E-2"/>
                </c:manualLayout>
              </c:layout>
              <c:showLegendKey val="0"/>
              <c:showVal val="1"/>
              <c:showCatName val="0"/>
              <c:showSerName val="0"/>
              <c:showPercent val="0"/>
              <c:showBubbleSize val="0"/>
            </c:dLbl>
            <c:dLbl>
              <c:idx val="1"/>
              <c:layout>
                <c:manualLayout>
                  <c:x val="0"/>
                  <c:y val="-4.6296296296296294E-2"/>
                </c:manualLayout>
              </c:layout>
              <c:showLegendKey val="0"/>
              <c:showVal val="1"/>
              <c:showCatName val="0"/>
              <c:showSerName val="0"/>
              <c:showPercent val="0"/>
              <c:showBubbleSize val="0"/>
            </c:dLbl>
            <c:dLbl>
              <c:idx val="2"/>
              <c:layout>
                <c:manualLayout>
                  <c:x val="0"/>
                  <c:y val="-4.6296296296296294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Sheet13!$B$1:$D$1</c:f>
              <c:strCache>
                <c:ptCount val="3"/>
                <c:pt idx="0">
                  <c:v>Sample A</c:v>
                </c:pt>
                <c:pt idx="1">
                  <c:v>Sample B</c:v>
                </c:pt>
                <c:pt idx="2">
                  <c:v>Sample C</c:v>
                </c:pt>
              </c:strCache>
            </c:strRef>
          </c:cat>
          <c:val>
            <c:numRef>
              <c:f>Sheet13!$B$2:$D$2</c:f>
              <c:numCache>
                <c:formatCode>General</c:formatCode>
                <c:ptCount val="3"/>
                <c:pt idx="0">
                  <c:v>0.01</c:v>
                </c:pt>
                <c:pt idx="1">
                  <c:v>0.01</c:v>
                </c:pt>
                <c:pt idx="2">
                  <c:v>0.01</c:v>
                </c:pt>
              </c:numCache>
            </c:numRef>
          </c:val>
        </c:ser>
        <c:ser>
          <c:idx val="1"/>
          <c:order val="1"/>
          <c:tx>
            <c:strRef>
              <c:f>Sheet13!$A$3</c:f>
              <c:strCache>
                <c:ptCount val="1"/>
                <c:pt idx="0">
                  <c:v>Coliform Count (cfu/100ml)</c:v>
                </c:pt>
              </c:strCache>
            </c:strRef>
          </c:tx>
          <c:invertIfNegative val="0"/>
          <c:dLbls>
            <c:dLbl>
              <c:idx val="0"/>
              <c:layout>
                <c:manualLayout>
                  <c:x val="0"/>
                  <c:y val="-4.1666666666666664E-2"/>
                </c:manualLayout>
              </c:layout>
              <c:showLegendKey val="0"/>
              <c:showVal val="1"/>
              <c:showCatName val="0"/>
              <c:showSerName val="0"/>
              <c:showPercent val="0"/>
              <c:showBubbleSize val="0"/>
            </c:dLbl>
            <c:dLbl>
              <c:idx val="1"/>
              <c:layout>
                <c:manualLayout>
                  <c:x val="-2.7777777777777779E-3"/>
                  <c:y val="-3.7037037037037035E-2"/>
                </c:manualLayout>
              </c:layout>
              <c:showLegendKey val="0"/>
              <c:showVal val="1"/>
              <c:showCatName val="0"/>
              <c:showSerName val="0"/>
              <c:showPercent val="0"/>
              <c:showBubbleSize val="0"/>
            </c:dLbl>
            <c:dLbl>
              <c:idx val="2"/>
              <c:layout>
                <c:manualLayout>
                  <c:x val="2.7777777777777779E-3"/>
                  <c:y val="-2.7777777777777776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Sheet13!$B$1:$D$1</c:f>
              <c:strCache>
                <c:ptCount val="3"/>
                <c:pt idx="0">
                  <c:v>Sample A</c:v>
                </c:pt>
                <c:pt idx="1">
                  <c:v>Sample B</c:v>
                </c:pt>
                <c:pt idx="2">
                  <c:v>Sample C</c:v>
                </c:pt>
              </c:strCache>
            </c:strRef>
          </c:cat>
          <c:val>
            <c:numRef>
              <c:f>Sheet13!$B$3:$D$3</c:f>
              <c:numCache>
                <c:formatCode>General</c:formatCode>
                <c:ptCount val="3"/>
                <c:pt idx="0">
                  <c:v>50</c:v>
                </c:pt>
                <c:pt idx="1">
                  <c:v>50</c:v>
                </c:pt>
                <c:pt idx="2">
                  <c:v>50</c:v>
                </c:pt>
              </c:numCache>
            </c:numRef>
          </c:val>
        </c:ser>
        <c:dLbls>
          <c:showLegendKey val="0"/>
          <c:showVal val="1"/>
          <c:showCatName val="0"/>
          <c:showSerName val="0"/>
          <c:showPercent val="0"/>
          <c:showBubbleSize val="0"/>
        </c:dLbls>
        <c:gapWidth val="75"/>
        <c:shape val="box"/>
        <c:axId val="1115697536"/>
        <c:axId val="1115699072"/>
        <c:axId val="0"/>
      </c:bar3DChart>
      <c:catAx>
        <c:axId val="1115697536"/>
        <c:scaling>
          <c:orientation val="minMax"/>
        </c:scaling>
        <c:delete val="0"/>
        <c:axPos val="b"/>
        <c:majorTickMark val="none"/>
        <c:minorTickMark val="none"/>
        <c:tickLblPos val="nextTo"/>
        <c:crossAx val="1115699072"/>
        <c:crosses val="autoZero"/>
        <c:auto val="1"/>
        <c:lblAlgn val="ctr"/>
        <c:lblOffset val="100"/>
        <c:noMultiLvlLbl val="0"/>
      </c:catAx>
      <c:valAx>
        <c:axId val="1115699072"/>
        <c:scaling>
          <c:orientation val="minMax"/>
        </c:scaling>
        <c:delete val="0"/>
        <c:axPos val="l"/>
        <c:numFmt formatCode="General" sourceLinked="1"/>
        <c:majorTickMark val="none"/>
        <c:minorTickMark val="none"/>
        <c:tickLblPos val="nextTo"/>
        <c:crossAx val="1115697536"/>
        <c:crosses val="autoZero"/>
        <c:crossBetween val="between"/>
      </c:valAx>
    </c:plotArea>
    <c:legend>
      <c:legendPos val="b"/>
      <c:overlay val="0"/>
    </c:legend>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0.67314</cdr:x>
      <cdr:y>0</cdr:y>
    </cdr:from>
    <cdr:to>
      <cdr:x>0.99341</cdr:x>
      <cdr:y>0.20602</cdr:y>
    </cdr:to>
    <cdr:sp macro="" textlink="">
      <cdr:nvSpPr>
        <cdr:cNvPr id="2" name="Text Box 1"/>
        <cdr:cNvSpPr txBox="1"/>
      </cdr:nvSpPr>
      <cdr:spPr>
        <a:xfrm xmlns:a="http://schemas.openxmlformats.org/drawingml/2006/main">
          <a:off x="2971590" y="0"/>
          <a:ext cx="1413838" cy="4230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1">
              <a:latin typeface="Times New Roman" pitchFamily="18" charset="0"/>
              <a:cs typeface="Times New Roman" pitchFamily="18" charset="0"/>
            </a:rPr>
            <a:t>pH-</a:t>
          </a:r>
          <a:r>
            <a:rPr lang="en-US" sz="1000" b="1" baseline="0">
              <a:latin typeface="Times New Roman" pitchFamily="18" charset="0"/>
              <a:cs typeface="Times New Roman" pitchFamily="18" charset="0"/>
            </a:rPr>
            <a:t> 6.5 -8.5</a:t>
          </a:r>
        </a:p>
        <a:p xmlns:a="http://schemas.openxmlformats.org/drawingml/2006/main">
          <a:r>
            <a:rPr lang="en-US" sz="1000" b="1" baseline="0">
              <a:latin typeface="Times New Roman" pitchFamily="18" charset="0"/>
              <a:cs typeface="Times New Roman" pitchFamily="18" charset="0"/>
            </a:rPr>
            <a:t> Turbidity-50(NTU)</a:t>
          </a:r>
          <a:endParaRPr lang="en-US" sz="1000" b="1">
            <a:latin typeface="Times New Roman" pitchFamily="18" charset="0"/>
            <a:cs typeface="Times New Roman"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4B56AF-CB3B-47E1-9783-4D51102D3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3063</Words>
  <Characters>17463</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TRUTECH</cp:lastModifiedBy>
  <cp:revision>2</cp:revision>
  <cp:lastPrinted>2021-02-22T14:39:00Z</cp:lastPrinted>
  <dcterms:created xsi:type="dcterms:W3CDTF">2025-02-24T18:15:00Z</dcterms:created>
  <dcterms:modified xsi:type="dcterms:W3CDTF">2025-02-24T18:15:00Z</dcterms:modified>
</cp:coreProperties>
</file>