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962157" w14:textId="6D1276A0" w:rsidR="00F56A3C" w:rsidRDefault="004137A2" w:rsidP="00916FCB">
      <w:pPr>
        <w:jc w:val="center"/>
        <w:rPr>
          <w:rFonts w:ascii="Times New Roman" w:hAnsi="Times New Roman" w:cs="Times New Roman"/>
          <w:b/>
          <w:bCs/>
          <w:sz w:val="24"/>
          <w:szCs w:val="24"/>
        </w:rPr>
      </w:pPr>
      <w:r w:rsidRPr="00C23D8E">
        <w:rPr>
          <w:rFonts w:ascii="Times New Roman" w:eastAsia="Times New Roman" w:hAnsi="Times New Roman" w:cs="Times New Roman"/>
          <w:noProof/>
          <w:kern w:val="0"/>
          <w:sz w:val="24"/>
          <w:szCs w:val="24"/>
          <w:lang w:val="en-US"/>
          <w14:ligatures w14:val="none"/>
        </w:rPr>
        <mc:AlternateContent>
          <mc:Choice Requires="wps">
            <w:drawing>
              <wp:anchor distT="0" distB="0" distL="0" distR="0" simplePos="0" relativeHeight="251659264" behindDoc="1" locked="0" layoutInCell="1" allowOverlap="1" wp14:anchorId="0ABD3A9F" wp14:editId="12A3BDA6">
                <wp:simplePos x="0" y="0"/>
                <wp:positionH relativeFrom="margin">
                  <wp:posOffset>-85725</wp:posOffset>
                </wp:positionH>
                <wp:positionV relativeFrom="paragraph">
                  <wp:posOffset>559435</wp:posOffset>
                </wp:positionV>
                <wp:extent cx="6193790" cy="45085"/>
                <wp:effectExtent l="0" t="0" r="0" b="0"/>
                <wp:wrapTopAndBottom/>
                <wp:docPr id="1432196576"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4508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CFDDB6" id="Rectangle 92" o:spid="_x0000_s1026" style="position:absolute;margin-left:-6.75pt;margin-top:44.05pt;width:487.7pt;height:3.55pt;z-index:-25165721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" fillcolor="#943634" stroked="f">
                <w10:wrap type="topAndBottom" anchorx="margin"/>
              </v:rect>
            </w:pict>
          </mc:Fallback>
        </mc:AlternateContent>
      </w:r>
      <w:r w:rsidR="00916FCB" w:rsidRPr="009964CD">
        <w:rPr>
          <w:rFonts w:ascii="Times New Roman" w:hAnsi="Times New Roman" w:cs="Times New Roman"/>
          <w:b/>
          <w:bCs/>
          <w:sz w:val="24"/>
          <w:szCs w:val="24"/>
        </w:rPr>
        <w:t>LEGAL FRAMEWORK OF CORPORATE GOVERNANCE AND ITS ROLE IN ENHANCING RISK MANAGEMENT PRACTICES IN FINANCIAL INSTITUTIONS</w:t>
      </w:r>
    </w:p>
    <w:p w14:paraId="7DC4A033" w14:textId="08DEF966" w:rsidR="00002C0C" w:rsidRPr="00C23D8E" w:rsidRDefault="00002C0C" w:rsidP="00002C0C">
      <w:pPr>
        <w:spacing w:after="0" w:line="240" w:lineRule="auto"/>
        <w:jc w:val="both"/>
        <w:rPr>
          <w:rFonts w:ascii="Times New Roman" w:hAnsi="Times New Roman" w:cs="Times New Roman"/>
          <w:b/>
          <w:bCs/>
          <w:sz w:val="24"/>
          <w:szCs w:val="24"/>
        </w:rPr>
      </w:pPr>
    </w:p>
    <w:p w14:paraId="7B42AF26" w14:textId="45867E4B" w:rsidR="00002C0C" w:rsidRDefault="00002C0C" w:rsidP="00002C0C">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Uttam Kumar Jha</w:t>
      </w:r>
      <w:bookmarkStart w:id="0" w:name="_Hlk156127701"/>
    </w:p>
    <w:p w14:paraId="2511A988" w14:textId="77777777" w:rsidR="00002C0C" w:rsidRPr="00002C0C" w:rsidRDefault="00002C0C" w:rsidP="00002C0C">
      <w:pPr>
        <w:spacing w:after="0" w:line="240" w:lineRule="auto"/>
        <w:jc w:val="center"/>
        <w:rPr>
          <w:rFonts w:ascii="Times New Roman" w:hAnsi="Times New Roman" w:cs="Times New Roman"/>
          <w:sz w:val="24"/>
          <w:szCs w:val="24"/>
        </w:rPr>
      </w:pPr>
      <w:r w:rsidRPr="00002C0C">
        <w:rPr>
          <w:rFonts w:ascii="Times New Roman" w:hAnsi="Times New Roman" w:cs="Times New Roman"/>
          <w:sz w:val="24"/>
          <w:szCs w:val="24"/>
        </w:rPr>
        <w:t xml:space="preserve">Research Scholar </w:t>
      </w:r>
    </w:p>
    <w:p w14:paraId="276D389D" w14:textId="4D4682B8" w:rsidR="00002C0C" w:rsidRPr="00002C0C" w:rsidRDefault="00002C0C" w:rsidP="00002C0C">
      <w:pPr>
        <w:spacing w:after="0" w:line="240" w:lineRule="auto"/>
        <w:jc w:val="center"/>
        <w:rPr>
          <w:rFonts w:ascii="Times New Roman" w:hAnsi="Times New Roman" w:cs="Times New Roman"/>
          <w:sz w:val="24"/>
          <w:szCs w:val="24"/>
        </w:rPr>
      </w:pPr>
      <w:r w:rsidRPr="00002C0C">
        <w:rPr>
          <w:rFonts w:ascii="Times New Roman" w:hAnsi="Times New Roman" w:cs="Times New Roman"/>
          <w:sz w:val="24"/>
          <w:szCs w:val="24"/>
        </w:rPr>
        <w:t xml:space="preserve">Department of Law </w:t>
      </w:r>
    </w:p>
    <w:p w14:paraId="59A7980C" w14:textId="77272F2E" w:rsidR="00002C0C" w:rsidRPr="00002C0C" w:rsidRDefault="00002C0C" w:rsidP="00002C0C">
      <w:pPr>
        <w:spacing w:after="0" w:line="240" w:lineRule="auto"/>
        <w:jc w:val="center"/>
        <w:rPr>
          <w:rFonts w:ascii="Times New Roman" w:hAnsi="Times New Roman" w:cs="Times New Roman"/>
          <w:sz w:val="24"/>
          <w:szCs w:val="24"/>
        </w:rPr>
      </w:pPr>
      <w:proofErr w:type="spellStart"/>
      <w:r w:rsidRPr="00002C0C">
        <w:rPr>
          <w:rFonts w:ascii="Times New Roman" w:hAnsi="Times New Roman" w:cs="Times New Roman"/>
          <w:sz w:val="24"/>
          <w:szCs w:val="24"/>
        </w:rPr>
        <w:t>Mansarovar</w:t>
      </w:r>
      <w:proofErr w:type="spellEnd"/>
      <w:r w:rsidRPr="00002C0C">
        <w:rPr>
          <w:rFonts w:ascii="Times New Roman" w:hAnsi="Times New Roman" w:cs="Times New Roman"/>
          <w:sz w:val="24"/>
          <w:szCs w:val="24"/>
        </w:rPr>
        <w:t xml:space="preserve"> Global University </w:t>
      </w:r>
    </w:p>
    <w:p w14:paraId="1EC45720" w14:textId="77777777" w:rsidR="00002C0C" w:rsidRDefault="00002C0C" w:rsidP="00002C0C">
      <w:pPr>
        <w:spacing w:after="0" w:line="240" w:lineRule="auto"/>
        <w:jc w:val="center"/>
        <w:rPr>
          <w:rFonts w:ascii="Times New Roman" w:hAnsi="Times New Roman" w:cs="Times New Roman"/>
          <w:b/>
          <w:bCs/>
          <w:sz w:val="24"/>
          <w:szCs w:val="24"/>
        </w:rPr>
      </w:pPr>
    </w:p>
    <w:p w14:paraId="69CF358E" w14:textId="31A19455" w:rsidR="00002C0C" w:rsidRDefault="00002C0C" w:rsidP="00002C0C">
      <w:pPr>
        <w:spacing w:after="0" w:line="240" w:lineRule="auto"/>
        <w:jc w:val="center"/>
        <w:rPr>
          <w:rFonts w:ascii="Times New Roman" w:hAnsi="Times New Roman" w:cs="Times New Roman"/>
          <w:b/>
          <w:bCs/>
          <w:sz w:val="24"/>
          <w:szCs w:val="24"/>
        </w:rPr>
      </w:pP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Tai </w:t>
      </w:r>
      <w:proofErr w:type="spellStart"/>
      <w:r>
        <w:rPr>
          <w:rFonts w:ascii="Times New Roman" w:hAnsi="Times New Roman" w:cs="Times New Roman"/>
          <w:b/>
          <w:bCs/>
          <w:sz w:val="24"/>
          <w:szCs w:val="24"/>
        </w:rPr>
        <w:t>Chourasiya</w:t>
      </w:r>
      <w:proofErr w:type="spellEnd"/>
      <w:r>
        <w:rPr>
          <w:rFonts w:ascii="Times New Roman" w:hAnsi="Times New Roman" w:cs="Times New Roman"/>
          <w:b/>
          <w:bCs/>
          <w:sz w:val="24"/>
          <w:szCs w:val="24"/>
        </w:rPr>
        <w:t xml:space="preserve"> </w:t>
      </w:r>
    </w:p>
    <w:p w14:paraId="683E5928" w14:textId="467DF93B" w:rsidR="00002C0C" w:rsidRPr="00002C0C" w:rsidRDefault="00002C0C" w:rsidP="00002C0C">
      <w:pPr>
        <w:spacing w:after="0" w:line="240" w:lineRule="auto"/>
        <w:jc w:val="center"/>
        <w:rPr>
          <w:rFonts w:ascii="Times New Roman" w:hAnsi="Times New Roman" w:cs="Times New Roman"/>
          <w:sz w:val="24"/>
          <w:szCs w:val="24"/>
          <w:vertAlign w:val="superscript"/>
        </w:rPr>
      </w:pPr>
      <w:r w:rsidRPr="00002C0C">
        <w:rPr>
          <w:rFonts w:ascii="Times New Roman" w:hAnsi="Times New Roman" w:cs="Times New Roman"/>
          <w:sz w:val="24"/>
          <w:szCs w:val="24"/>
        </w:rPr>
        <w:t>Dean</w:t>
      </w:r>
    </w:p>
    <w:bookmarkEnd w:id="0"/>
    <w:p w14:paraId="11EE2D0A" w14:textId="77777777" w:rsidR="00002C0C" w:rsidRPr="00002C0C" w:rsidRDefault="00002C0C" w:rsidP="00002C0C">
      <w:pPr>
        <w:spacing w:after="0" w:line="240" w:lineRule="auto"/>
        <w:jc w:val="center"/>
        <w:rPr>
          <w:rFonts w:ascii="Times New Roman" w:hAnsi="Times New Roman" w:cs="Times New Roman"/>
          <w:sz w:val="24"/>
          <w:szCs w:val="24"/>
        </w:rPr>
      </w:pPr>
      <w:r w:rsidRPr="00002C0C">
        <w:rPr>
          <w:rFonts w:ascii="Times New Roman" w:hAnsi="Times New Roman" w:cs="Times New Roman"/>
          <w:sz w:val="24"/>
          <w:szCs w:val="24"/>
        </w:rPr>
        <w:t xml:space="preserve">Department of Law </w:t>
      </w:r>
    </w:p>
    <w:p w14:paraId="7942861C" w14:textId="04571FFB" w:rsidR="00002C0C" w:rsidRPr="00002C0C" w:rsidRDefault="00002C0C" w:rsidP="00002C0C">
      <w:pPr>
        <w:spacing w:after="0" w:line="240" w:lineRule="auto"/>
        <w:jc w:val="center"/>
        <w:rPr>
          <w:rFonts w:ascii="Times New Roman" w:hAnsi="Times New Roman" w:cs="Times New Roman"/>
          <w:sz w:val="24"/>
          <w:szCs w:val="24"/>
        </w:rPr>
      </w:pPr>
      <w:r w:rsidRPr="00C23D8E">
        <w:rPr>
          <w:rFonts w:ascii="Times New Roman" w:eastAsia="Times New Roman" w:hAnsi="Times New Roman" w:cs="Times New Roman"/>
          <w:noProof/>
          <w:kern w:val="0"/>
          <w:sz w:val="24"/>
          <w:szCs w:val="24"/>
          <w:lang w:val="en-US"/>
          <w14:ligatures w14:val="none"/>
        </w:rPr>
        <mc:AlternateContent>
          <mc:Choice Requires="wps">
            <w:drawing>
              <wp:anchor distT="0" distB="0" distL="0" distR="0" simplePos="0" relativeHeight="251661312" behindDoc="1" locked="0" layoutInCell="1" allowOverlap="1" wp14:anchorId="0DE0FF9A" wp14:editId="38CF9829">
                <wp:simplePos x="0" y="0"/>
                <wp:positionH relativeFrom="margin">
                  <wp:posOffset>0</wp:posOffset>
                </wp:positionH>
                <wp:positionV relativeFrom="paragraph">
                  <wp:posOffset>289560</wp:posOffset>
                </wp:positionV>
                <wp:extent cx="6193790" cy="45085"/>
                <wp:effectExtent l="0" t="0" r="0" b="0"/>
                <wp:wrapTopAndBottom/>
                <wp:docPr id="282945250"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3790" cy="45085"/>
                        </a:xfrm>
                        <a:prstGeom prst="rect">
                          <a:avLst/>
                        </a:prstGeom>
                        <a:solidFill>
                          <a:srgbClr val="94363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4AE128" id="Rectangle 92" o:spid="_x0000_s1026" style="position:absolute;margin-left:0;margin-top:22.8pt;width:487.7pt;height:3.55pt;z-index:-251655168;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" fillcolor="#943634" stroked="f">
                <w10:wrap type="topAndBottom" anchorx="margin"/>
              </v:rect>
            </w:pict>
          </mc:Fallback>
        </mc:AlternateContent>
      </w:r>
      <w:proofErr w:type="spellStart"/>
      <w:r w:rsidRPr="00002C0C">
        <w:rPr>
          <w:rFonts w:ascii="Times New Roman" w:hAnsi="Times New Roman" w:cs="Times New Roman"/>
          <w:sz w:val="24"/>
          <w:szCs w:val="24"/>
        </w:rPr>
        <w:t>Mansarovar</w:t>
      </w:r>
      <w:proofErr w:type="spellEnd"/>
      <w:r w:rsidRPr="00002C0C">
        <w:rPr>
          <w:rFonts w:ascii="Times New Roman" w:hAnsi="Times New Roman" w:cs="Times New Roman"/>
          <w:sz w:val="24"/>
          <w:szCs w:val="24"/>
        </w:rPr>
        <w:t xml:space="preserve"> Global University </w:t>
      </w:r>
    </w:p>
    <w:p w14:paraId="39B14663" w14:textId="76CF28A4" w:rsidR="00002C0C" w:rsidRDefault="00002C0C" w:rsidP="00916FCB">
      <w:pPr>
        <w:jc w:val="center"/>
        <w:rPr>
          <w:rFonts w:ascii="Times New Roman" w:hAnsi="Times New Roman" w:cs="Times New Roman"/>
          <w:b/>
          <w:bCs/>
          <w:sz w:val="24"/>
          <w:szCs w:val="24"/>
        </w:rPr>
      </w:pPr>
    </w:p>
    <w:p w14:paraId="764079F3" w14:textId="77777777" w:rsidR="00002C0C" w:rsidRPr="009964CD" w:rsidRDefault="00002C0C" w:rsidP="00916FCB">
      <w:pPr>
        <w:jc w:val="center"/>
        <w:rPr>
          <w:rFonts w:ascii="Times New Roman" w:hAnsi="Times New Roman" w:cs="Times New Roman"/>
          <w:b/>
          <w:bCs/>
          <w:sz w:val="24"/>
          <w:szCs w:val="24"/>
        </w:rPr>
      </w:pPr>
    </w:p>
    <w:p w14:paraId="19BE9A8F" w14:textId="3BC47BAB" w:rsidR="00520287" w:rsidRPr="00520287" w:rsidRDefault="00D60337" w:rsidP="00916FCB">
      <w:pPr>
        <w:jc w:val="both"/>
        <w:rPr>
          <w:rFonts w:ascii="Times New Roman" w:hAnsi="Times New Roman" w:cs="Times New Roman"/>
          <w:b/>
          <w:bCs/>
          <w:i/>
          <w:iCs/>
          <w:sz w:val="24"/>
          <w:szCs w:val="24"/>
        </w:rPr>
      </w:pPr>
      <w:r w:rsidRPr="00520287">
        <w:rPr>
          <w:rFonts w:ascii="Times New Roman" w:hAnsi="Times New Roman" w:cs="Times New Roman"/>
          <w:b/>
          <w:bCs/>
          <w:i/>
          <w:iCs/>
          <w:sz w:val="24"/>
          <w:szCs w:val="24"/>
        </w:rPr>
        <w:t>ABSTRACT</w:t>
      </w:r>
    </w:p>
    <w:p w14:paraId="01082821" w14:textId="795C752A" w:rsidR="00520287" w:rsidRPr="00520287" w:rsidRDefault="00520287" w:rsidP="00916FCB">
      <w:pPr>
        <w:jc w:val="both"/>
        <w:rPr>
          <w:rFonts w:ascii="Times New Roman" w:hAnsi="Times New Roman" w:cs="Times New Roman"/>
          <w:sz w:val="24"/>
          <w:szCs w:val="24"/>
        </w:rPr>
      </w:pPr>
      <w:r w:rsidRPr="00520287">
        <w:rPr>
          <w:rFonts w:ascii="Times New Roman" w:hAnsi="Times New Roman" w:cs="Times New Roman"/>
          <w:sz w:val="24"/>
          <w:szCs w:val="24"/>
        </w:rPr>
        <w:t>This study examines the influence of legal frameworks on corporate governance structures and their role in strengthening risk management practices within financial institutions. In an increasingly complex financial landscape, corporate governance and risk management have become vital for safeguarding institutional integrity and maintaining investor confidence. Regulatory standards and legal mandates, such as Basel III, the Dodd-Frank Act, and anti-money laundering (AML) laws, impose strict governance and compliance requirements on financial institutions, influencing risk oversight, decision-making, and accountability mechanisms.</w:t>
      </w:r>
      <w:r w:rsidR="000E56D8">
        <w:rPr>
          <w:rFonts w:ascii="Times New Roman" w:hAnsi="Times New Roman" w:cs="Times New Roman"/>
          <w:sz w:val="24"/>
          <w:szCs w:val="24"/>
        </w:rPr>
        <w:t xml:space="preserve"> </w:t>
      </w:r>
      <w:r w:rsidRPr="00520287">
        <w:rPr>
          <w:rFonts w:ascii="Times New Roman" w:hAnsi="Times New Roman" w:cs="Times New Roman"/>
          <w:sz w:val="24"/>
          <w:szCs w:val="24"/>
        </w:rPr>
        <w:t>The study explores the legal obligations of corporate governance, focusing on board responsibilities, audit committees, fiduciary duties, and compliance structures essential for mitigating credit, operational, market, and liquidity risks. Through a comparative analysis across multiple jurisdictions, the research highlights variances in regulatory approaches, especially concerning cross-border risk management and the enforcement of governance standards. Furthermore, it identifies gaps in the existing legal framework, particularly in addressing emerging risks like cybersecurity and digital transformation, proposing necessary reforms to enhance governance and risk practices.</w:t>
      </w:r>
      <w:r w:rsidR="000E56D8">
        <w:rPr>
          <w:rFonts w:ascii="Times New Roman" w:hAnsi="Times New Roman" w:cs="Times New Roman"/>
          <w:sz w:val="24"/>
          <w:szCs w:val="24"/>
        </w:rPr>
        <w:t xml:space="preserve"> </w:t>
      </w:r>
      <w:r w:rsidRPr="00520287">
        <w:rPr>
          <w:rFonts w:ascii="Times New Roman" w:hAnsi="Times New Roman" w:cs="Times New Roman"/>
          <w:sz w:val="24"/>
          <w:szCs w:val="24"/>
        </w:rPr>
        <w:t>Using a mixed-methods approach that includes case studies, documentary analysis, and expert interviews, this research provides insights into the critical role of legal governance in supporting effective risk management. Findings are expected to offer practical guidelines for strengthening compliance in financial institutions and propose legislative improvements to better align governance with contemporary risk challenges. This study contributes to the ongoing dialogue on enhancing legal accountability in financial risk management, reinforcing the importance of legal governance frameworks in fostering resilient and transparent financial systems.</w:t>
      </w:r>
    </w:p>
    <w:p w14:paraId="08A37394" w14:textId="7A24E2FE" w:rsidR="00D60337" w:rsidRPr="00D60337" w:rsidRDefault="00D60337" w:rsidP="00D60337">
      <w:pPr>
        <w:spacing w:after="0" w:line="240" w:lineRule="auto"/>
        <w:rPr>
          <w:rFonts w:ascii="Times New Roman" w:eastAsia="Times New Roman" w:hAnsi="Times New Roman" w:cs="Times New Roman"/>
          <w:kern w:val="0"/>
          <w:sz w:val="24"/>
          <w:szCs w:val="24"/>
          <w:lang w:eastAsia="en-IN"/>
          <w14:ligatures w14:val="none"/>
        </w:rPr>
      </w:pPr>
      <w:r w:rsidRPr="00C61FA5">
        <w:rPr>
          <w:rFonts w:ascii="Times New Roman" w:eastAsia="Times New Roman" w:hAnsi="Times New Roman" w:cs="Times New Roman"/>
          <w:b/>
          <w:bCs/>
          <w:i/>
          <w:iCs/>
          <w:kern w:val="0"/>
          <w:sz w:val="24"/>
          <w:szCs w:val="24"/>
          <w:lang w:eastAsia="en-IN"/>
          <w14:ligatures w14:val="none"/>
        </w:rPr>
        <w:t>KEYWORDS:</w:t>
      </w:r>
      <w:r>
        <w:rPr>
          <w:rFonts w:ascii="Times New Roman" w:eastAsia="Times New Roman" w:hAnsi="Times New Roman" w:cs="Times New Roman"/>
          <w:kern w:val="0"/>
          <w:sz w:val="24"/>
          <w:szCs w:val="24"/>
          <w:lang w:eastAsia="en-IN"/>
          <w14:ligatures w14:val="none"/>
        </w:rPr>
        <w:t xml:space="preserve"> </w:t>
      </w:r>
      <w:r w:rsidRPr="00D60337">
        <w:rPr>
          <w:rFonts w:ascii="Times New Roman" w:eastAsia="Times New Roman" w:hAnsi="Times New Roman" w:cs="Times New Roman"/>
          <w:b/>
          <w:bCs/>
          <w:kern w:val="0"/>
          <w:sz w:val="24"/>
          <w:szCs w:val="24"/>
          <w:lang w:eastAsia="en-IN"/>
          <w14:ligatures w14:val="none"/>
        </w:rPr>
        <w:t>Risk Management</w:t>
      </w:r>
      <w:r>
        <w:rPr>
          <w:rFonts w:ascii="Times New Roman" w:eastAsia="Times New Roman" w:hAnsi="Times New Roman" w:cs="Times New Roman"/>
          <w:b/>
          <w:bCs/>
          <w:kern w:val="0"/>
          <w:sz w:val="24"/>
          <w:szCs w:val="24"/>
          <w:lang w:eastAsia="en-IN"/>
          <w14:ligatures w14:val="none"/>
        </w:rPr>
        <w:t>,</w:t>
      </w:r>
      <w:r>
        <w:rPr>
          <w:rFonts w:ascii="Times New Roman" w:eastAsia="Times New Roman" w:hAnsi="Times New Roman" w:cs="Times New Roman"/>
          <w:kern w:val="0"/>
          <w:sz w:val="24"/>
          <w:szCs w:val="24"/>
          <w:lang w:eastAsia="en-IN"/>
          <w14:ligatures w14:val="none"/>
        </w:rPr>
        <w:t xml:space="preserve"> </w:t>
      </w:r>
      <w:r w:rsidRPr="00D60337">
        <w:rPr>
          <w:rFonts w:ascii="Times New Roman" w:eastAsia="Times New Roman" w:hAnsi="Times New Roman" w:cs="Times New Roman"/>
          <w:b/>
          <w:bCs/>
          <w:kern w:val="0"/>
          <w:sz w:val="24"/>
          <w:szCs w:val="24"/>
          <w:lang w:eastAsia="en-IN"/>
          <w14:ligatures w14:val="none"/>
        </w:rPr>
        <w:t>Compliance</w:t>
      </w:r>
      <w:r>
        <w:rPr>
          <w:rFonts w:ascii="Times New Roman" w:eastAsia="Times New Roman" w:hAnsi="Times New Roman" w:cs="Times New Roman"/>
          <w:kern w:val="0"/>
          <w:sz w:val="24"/>
          <w:szCs w:val="24"/>
          <w:lang w:eastAsia="en-IN"/>
          <w14:ligatures w14:val="none"/>
        </w:rPr>
        <w:t xml:space="preserve">, </w:t>
      </w:r>
      <w:r w:rsidRPr="00D60337">
        <w:rPr>
          <w:rFonts w:ascii="Times New Roman" w:eastAsia="Times New Roman" w:hAnsi="Times New Roman" w:cs="Times New Roman"/>
          <w:b/>
          <w:bCs/>
          <w:kern w:val="0"/>
          <w:sz w:val="24"/>
          <w:szCs w:val="24"/>
          <w:lang w:eastAsia="en-IN"/>
          <w14:ligatures w14:val="none"/>
        </w:rPr>
        <w:t>Legal Frameworks</w:t>
      </w:r>
      <w:r>
        <w:rPr>
          <w:rFonts w:ascii="Times New Roman" w:eastAsia="Times New Roman" w:hAnsi="Times New Roman" w:cs="Times New Roman"/>
          <w:kern w:val="0"/>
          <w:sz w:val="24"/>
          <w:szCs w:val="24"/>
          <w:lang w:eastAsia="en-IN"/>
          <w14:ligatures w14:val="none"/>
        </w:rPr>
        <w:t xml:space="preserve">, </w:t>
      </w:r>
      <w:r w:rsidRPr="00D60337">
        <w:rPr>
          <w:rFonts w:ascii="Times New Roman" w:eastAsia="Times New Roman" w:hAnsi="Times New Roman" w:cs="Times New Roman"/>
          <w:b/>
          <w:bCs/>
          <w:kern w:val="0"/>
          <w:sz w:val="24"/>
          <w:szCs w:val="24"/>
          <w:lang w:eastAsia="en-IN"/>
          <w14:ligatures w14:val="none"/>
        </w:rPr>
        <w:t>Policy Review</w:t>
      </w:r>
      <w:r>
        <w:rPr>
          <w:rFonts w:ascii="Times New Roman" w:eastAsia="Times New Roman" w:hAnsi="Times New Roman" w:cs="Times New Roman"/>
          <w:b/>
          <w:bCs/>
          <w:kern w:val="0"/>
          <w:sz w:val="24"/>
          <w:szCs w:val="24"/>
          <w:lang w:eastAsia="en-IN"/>
          <w14:ligatures w14:val="none"/>
        </w:rPr>
        <w:t xml:space="preserve"> </w:t>
      </w:r>
      <w:r w:rsidRPr="00D60337">
        <w:rPr>
          <w:rFonts w:ascii="Times New Roman" w:eastAsia="Times New Roman" w:hAnsi="Times New Roman" w:cs="Times New Roman"/>
          <w:b/>
          <w:bCs/>
          <w:kern w:val="0"/>
          <w:sz w:val="24"/>
          <w:szCs w:val="24"/>
          <w:lang w:eastAsia="en-IN"/>
          <w14:ligatures w14:val="none"/>
        </w:rPr>
        <w:t>Frequency</w:t>
      </w:r>
      <w:r>
        <w:rPr>
          <w:rFonts w:ascii="Times New Roman" w:eastAsia="Times New Roman" w:hAnsi="Times New Roman" w:cs="Times New Roman"/>
          <w:kern w:val="0"/>
          <w:sz w:val="24"/>
          <w:szCs w:val="24"/>
          <w:lang w:eastAsia="en-IN"/>
          <w14:ligatures w14:val="none"/>
        </w:rPr>
        <w:t xml:space="preserve">, </w:t>
      </w:r>
      <w:r w:rsidRPr="00D60337">
        <w:rPr>
          <w:rFonts w:ascii="Times New Roman" w:eastAsia="Times New Roman" w:hAnsi="Times New Roman" w:cs="Times New Roman"/>
          <w:b/>
          <w:bCs/>
          <w:kern w:val="0"/>
          <w:sz w:val="24"/>
          <w:szCs w:val="24"/>
          <w:lang w:eastAsia="en-IN"/>
          <w14:ligatures w14:val="none"/>
        </w:rPr>
        <w:t>Risk Categories</w:t>
      </w:r>
      <w:r>
        <w:rPr>
          <w:rFonts w:ascii="Times New Roman" w:eastAsia="Times New Roman" w:hAnsi="Times New Roman" w:cs="Times New Roman"/>
          <w:kern w:val="0"/>
          <w:sz w:val="24"/>
          <w:szCs w:val="24"/>
          <w:lang w:eastAsia="en-IN"/>
          <w14:ligatures w14:val="none"/>
        </w:rPr>
        <w:t xml:space="preserve">, </w:t>
      </w:r>
      <w:r w:rsidRPr="00D60337">
        <w:rPr>
          <w:rFonts w:ascii="Times New Roman" w:eastAsia="Times New Roman" w:hAnsi="Times New Roman" w:cs="Times New Roman"/>
          <w:b/>
          <w:bCs/>
          <w:kern w:val="0"/>
          <w:sz w:val="24"/>
          <w:szCs w:val="24"/>
          <w:lang w:eastAsia="en-IN"/>
          <w14:ligatures w14:val="none"/>
        </w:rPr>
        <w:t>Financial Governance</w:t>
      </w:r>
      <w:r>
        <w:rPr>
          <w:rFonts w:ascii="Times New Roman" w:hAnsi="Times New Roman" w:cs="Times New Roman"/>
          <w:b/>
          <w:bCs/>
          <w:sz w:val="24"/>
          <w:szCs w:val="24"/>
        </w:rPr>
        <w:t>., etc.</w:t>
      </w:r>
    </w:p>
    <w:p w14:paraId="5068613D" w14:textId="77777777" w:rsidR="00D60337" w:rsidRDefault="00D60337" w:rsidP="00916FCB">
      <w:pPr>
        <w:jc w:val="both"/>
        <w:rPr>
          <w:rFonts w:ascii="Times New Roman" w:hAnsi="Times New Roman" w:cs="Times New Roman"/>
          <w:b/>
          <w:bCs/>
          <w:sz w:val="24"/>
          <w:szCs w:val="24"/>
        </w:rPr>
      </w:pPr>
    </w:p>
    <w:p w14:paraId="22AC3A1A" w14:textId="77777777" w:rsidR="000E56D8" w:rsidRDefault="000E56D8" w:rsidP="00916FCB">
      <w:pPr>
        <w:jc w:val="both"/>
        <w:rPr>
          <w:rFonts w:ascii="Times New Roman" w:hAnsi="Times New Roman" w:cs="Times New Roman"/>
          <w:b/>
          <w:bCs/>
          <w:sz w:val="24"/>
          <w:szCs w:val="24"/>
        </w:rPr>
      </w:pPr>
    </w:p>
    <w:p w14:paraId="10A44570" w14:textId="77777777" w:rsidR="000E56D8" w:rsidRDefault="000E56D8" w:rsidP="00916FCB">
      <w:pPr>
        <w:jc w:val="both"/>
        <w:rPr>
          <w:rFonts w:ascii="Times New Roman" w:hAnsi="Times New Roman" w:cs="Times New Roman"/>
          <w:b/>
          <w:bCs/>
          <w:sz w:val="24"/>
          <w:szCs w:val="24"/>
        </w:rPr>
      </w:pPr>
    </w:p>
    <w:p w14:paraId="5D49B3E6" w14:textId="443DC466" w:rsidR="00520287" w:rsidRPr="00520287" w:rsidRDefault="007E34C3" w:rsidP="00916FCB">
      <w:pPr>
        <w:jc w:val="both"/>
        <w:rPr>
          <w:rFonts w:ascii="Times New Roman" w:hAnsi="Times New Roman" w:cs="Times New Roman"/>
          <w:b/>
          <w:bCs/>
          <w:sz w:val="24"/>
          <w:szCs w:val="24"/>
        </w:rPr>
      </w:pPr>
      <w:r w:rsidRPr="00520287">
        <w:rPr>
          <w:rFonts w:ascii="Times New Roman" w:hAnsi="Times New Roman" w:cs="Times New Roman"/>
          <w:b/>
          <w:bCs/>
          <w:sz w:val="24"/>
          <w:szCs w:val="24"/>
        </w:rPr>
        <w:lastRenderedPageBreak/>
        <w:t>INTRODUCTION</w:t>
      </w:r>
    </w:p>
    <w:p w14:paraId="6F876FEB" w14:textId="77777777" w:rsidR="00520287" w:rsidRPr="00520287" w:rsidRDefault="00520287" w:rsidP="00916FCB">
      <w:pPr>
        <w:jc w:val="both"/>
        <w:rPr>
          <w:rFonts w:ascii="Times New Roman" w:hAnsi="Times New Roman" w:cs="Times New Roman"/>
          <w:sz w:val="24"/>
          <w:szCs w:val="24"/>
        </w:rPr>
      </w:pPr>
      <w:r w:rsidRPr="00520287">
        <w:rPr>
          <w:rFonts w:ascii="Times New Roman" w:hAnsi="Times New Roman" w:cs="Times New Roman"/>
          <w:sz w:val="24"/>
          <w:szCs w:val="24"/>
        </w:rPr>
        <w:t>Corporate governance and risk management have become fundamental components in safeguarding the integrity, stability, and resilience of financial institutions. In an environment characterized by increased regulation, financial innovation, and rapid digital transformation, the legal framework surrounding corporate governance plays a pivotal role in determining how institutions identify, assess, and manage risks. Governance frameworks are influenced by legal standards that mandate oversight, transparency, and accountability across various operational levels, including board responsibilities, compliance obligations, and risk management protocols. Understanding the intersection between corporate governance and legal mandates in risk management is essential for assessing how financial institutions meet regulatory expectations while effectively mitigating risks.</w:t>
      </w:r>
    </w:p>
    <w:p w14:paraId="39DD83C1" w14:textId="77777777" w:rsidR="00520287" w:rsidRPr="00520287" w:rsidRDefault="00520287" w:rsidP="00916FCB">
      <w:pPr>
        <w:jc w:val="both"/>
        <w:rPr>
          <w:rFonts w:ascii="Times New Roman" w:hAnsi="Times New Roman" w:cs="Times New Roman"/>
          <w:sz w:val="24"/>
          <w:szCs w:val="24"/>
        </w:rPr>
      </w:pPr>
      <w:r w:rsidRPr="00520287">
        <w:rPr>
          <w:rFonts w:ascii="Times New Roman" w:hAnsi="Times New Roman" w:cs="Times New Roman"/>
          <w:sz w:val="24"/>
          <w:szCs w:val="24"/>
        </w:rPr>
        <w:t>Legal and regulatory standards—such as Basel III, the Dodd-Frank Act, and anti-money laundering (AML) laws—are designed to create resilient governance structures that enhance oversight, improve decision-making, and ensure adherence to ethical standards. In this context, the legal framework provides a foundation for corporate governance that enables financial institutions to navigate complex risk landscapes, ranging from credit and operational risks to emerging threats like cybersecurity and data privacy risks. Boards of directors, audit committees, and compliance functions, each have specific legal obligations that shape the institution's ability to manage and mitigate risks effectively.</w:t>
      </w:r>
    </w:p>
    <w:p w14:paraId="021466D9" w14:textId="77777777" w:rsidR="00520287" w:rsidRPr="00520287" w:rsidRDefault="00520287" w:rsidP="00916FCB">
      <w:pPr>
        <w:jc w:val="both"/>
        <w:rPr>
          <w:rFonts w:ascii="Times New Roman" w:hAnsi="Times New Roman" w:cs="Times New Roman"/>
          <w:sz w:val="24"/>
          <w:szCs w:val="24"/>
        </w:rPr>
      </w:pPr>
      <w:r w:rsidRPr="00520287">
        <w:rPr>
          <w:rFonts w:ascii="Times New Roman" w:hAnsi="Times New Roman" w:cs="Times New Roman"/>
          <w:sz w:val="24"/>
          <w:szCs w:val="24"/>
        </w:rPr>
        <w:t xml:space="preserve">The importance of corporate governance and risk management is further emphasized in emerging and developing markets, where financial institutions often face unique regulatory challenges. Differences in enforcement, legal precedents, and governance structures across jurisdictions present both opportunities and obstacles for multinational financial institutions striving for a cohesive risk management strategy. Additionally, gaps in legal frameworks—particularly regarding newer risks posed by technological advances—necessitate a </w:t>
      </w:r>
      <w:proofErr w:type="spellStart"/>
      <w:r w:rsidRPr="00520287">
        <w:rPr>
          <w:rFonts w:ascii="Times New Roman" w:hAnsi="Times New Roman" w:cs="Times New Roman"/>
          <w:sz w:val="24"/>
          <w:szCs w:val="24"/>
        </w:rPr>
        <w:t>reevaluation</w:t>
      </w:r>
      <w:proofErr w:type="spellEnd"/>
      <w:r w:rsidRPr="00520287">
        <w:rPr>
          <w:rFonts w:ascii="Times New Roman" w:hAnsi="Times New Roman" w:cs="Times New Roman"/>
          <w:sz w:val="24"/>
          <w:szCs w:val="24"/>
        </w:rPr>
        <w:t xml:space="preserve"> of governance laws to ensure they are fit for the modern financial environment.</w:t>
      </w:r>
    </w:p>
    <w:p w14:paraId="63BA3D3D" w14:textId="77777777" w:rsidR="00520287" w:rsidRPr="00520287" w:rsidRDefault="00520287" w:rsidP="00916FCB">
      <w:pPr>
        <w:jc w:val="both"/>
        <w:rPr>
          <w:rFonts w:ascii="Times New Roman" w:hAnsi="Times New Roman" w:cs="Times New Roman"/>
          <w:sz w:val="24"/>
          <w:szCs w:val="24"/>
        </w:rPr>
      </w:pPr>
      <w:r w:rsidRPr="00520287">
        <w:rPr>
          <w:rFonts w:ascii="Times New Roman" w:hAnsi="Times New Roman" w:cs="Times New Roman"/>
          <w:sz w:val="24"/>
          <w:szCs w:val="24"/>
        </w:rPr>
        <w:t xml:space="preserve">This study aims to explore how legal frameworks support and shape corporate governance practices that enhance risk management within financial institutions. By </w:t>
      </w:r>
      <w:proofErr w:type="spellStart"/>
      <w:r w:rsidRPr="00520287">
        <w:rPr>
          <w:rFonts w:ascii="Times New Roman" w:hAnsi="Times New Roman" w:cs="Times New Roman"/>
          <w:sz w:val="24"/>
          <w:szCs w:val="24"/>
        </w:rPr>
        <w:t>analyzing</w:t>
      </w:r>
      <w:proofErr w:type="spellEnd"/>
      <w:r w:rsidRPr="00520287">
        <w:rPr>
          <w:rFonts w:ascii="Times New Roman" w:hAnsi="Times New Roman" w:cs="Times New Roman"/>
          <w:sz w:val="24"/>
          <w:szCs w:val="24"/>
        </w:rPr>
        <w:t xml:space="preserve"> case studies, legal documents, and regulatory frameworks, this research seeks to identify how legal governance frameworks impact risk oversight, regulatory compliance, and ethical standards in the financial sector. The findings are expected to contribute insights into enhancing legal governance structures to better support risk management, offering practical recommendations for policymakers, regulatory bodies, and financial institutions.</w:t>
      </w:r>
    </w:p>
    <w:p w14:paraId="4F62854A" w14:textId="46868CBD" w:rsidR="00916FCB" w:rsidRPr="00916FCB" w:rsidRDefault="007E34C3" w:rsidP="00916FCB">
      <w:pPr>
        <w:jc w:val="both"/>
        <w:rPr>
          <w:rFonts w:ascii="Times New Roman" w:hAnsi="Times New Roman" w:cs="Times New Roman"/>
          <w:b/>
          <w:bCs/>
          <w:sz w:val="24"/>
          <w:szCs w:val="24"/>
        </w:rPr>
      </w:pPr>
      <w:r w:rsidRPr="00916FCB">
        <w:rPr>
          <w:rFonts w:ascii="Times New Roman" w:hAnsi="Times New Roman" w:cs="Times New Roman"/>
          <w:b/>
          <w:bCs/>
          <w:sz w:val="24"/>
          <w:szCs w:val="24"/>
        </w:rPr>
        <w:t>LITERATURE REVIEW</w:t>
      </w:r>
    </w:p>
    <w:p w14:paraId="11A048EB" w14:textId="77777777" w:rsidR="00916FCB" w:rsidRPr="00916FCB" w:rsidRDefault="00916FCB" w:rsidP="00916FCB">
      <w:pPr>
        <w:jc w:val="both"/>
        <w:rPr>
          <w:rFonts w:ascii="Times New Roman" w:hAnsi="Times New Roman" w:cs="Times New Roman"/>
          <w:b/>
          <w:bCs/>
          <w:sz w:val="24"/>
          <w:szCs w:val="24"/>
        </w:rPr>
      </w:pPr>
      <w:r w:rsidRPr="00916FCB">
        <w:rPr>
          <w:rFonts w:ascii="Times New Roman" w:hAnsi="Times New Roman" w:cs="Times New Roman"/>
          <w:b/>
          <w:bCs/>
          <w:sz w:val="24"/>
          <w:szCs w:val="24"/>
        </w:rPr>
        <w:t>Corporate Governance and Risk Management: National and International Perspectives</w:t>
      </w:r>
    </w:p>
    <w:p w14:paraId="4D1A1B77" w14:textId="77777777" w:rsidR="00916FCB" w:rsidRPr="00916FCB" w:rsidRDefault="00916FCB" w:rsidP="00916FCB">
      <w:pPr>
        <w:jc w:val="both"/>
        <w:rPr>
          <w:rFonts w:ascii="Times New Roman" w:hAnsi="Times New Roman" w:cs="Times New Roman"/>
          <w:sz w:val="24"/>
          <w:szCs w:val="24"/>
        </w:rPr>
      </w:pPr>
      <w:r w:rsidRPr="00916FCB">
        <w:rPr>
          <w:rFonts w:ascii="Times New Roman" w:hAnsi="Times New Roman" w:cs="Times New Roman"/>
          <w:sz w:val="24"/>
          <w:szCs w:val="24"/>
        </w:rPr>
        <w:t>Corporate governance and risk management have received significant attention from scholars and practitioners due to their importance in ensuring financial stability, particularly within financial institutions. Literature on this topic spans national and international frameworks, exploring how legal and regulatory mandates influence governance practices and the effectiveness of risk management across various jurisdictions. This review synthesizes national and international literature on corporate governance structures, regulatory standards, and risk management approaches, focusing on key findings and challenges in different regulatory environments.</w:t>
      </w:r>
    </w:p>
    <w:p w14:paraId="7D9C71A1" w14:textId="470D09DB" w:rsidR="00916FCB" w:rsidRPr="00916FCB" w:rsidRDefault="00916FCB" w:rsidP="00916FCB">
      <w:pPr>
        <w:jc w:val="both"/>
        <w:rPr>
          <w:rFonts w:ascii="Times New Roman" w:hAnsi="Times New Roman" w:cs="Times New Roman"/>
          <w:sz w:val="24"/>
          <w:szCs w:val="24"/>
        </w:rPr>
      </w:pPr>
    </w:p>
    <w:p w14:paraId="75C01FAD" w14:textId="77777777" w:rsidR="00916FCB" w:rsidRPr="00916FCB" w:rsidRDefault="00916FCB" w:rsidP="00916FCB">
      <w:pPr>
        <w:jc w:val="both"/>
        <w:rPr>
          <w:rFonts w:ascii="Times New Roman" w:hAnsi="Times New Roman" w:cs="Times New Roman"/>
          <w:b/>
          <w:bCs/>
          <w:sz w:val="24"/>
          <w:szCs w:val="24"/>
        </w:rPr>
      </w:pPr>
      <w:r w:rsidRPr="00916FCB">
        <w:rPr>
          <w:rFonts w:ascii="Times New Roman" w:hAnsi="Times New Roman" w:cs="Times New Roman"/>
          <w:b/>
          <w:bCs/>
          <w:sz w:val="24"/>
          <w:szCs w:val="24"/>
        </w:rPr>
        <w:t>1. Corporate Governance and Risk Management in International Contexts</w:t>
      </w:r>
    </w:p>
    <w:p w14:paraId="668C2928" w14:textId="77777777" w:rsidR="00916FCB" w:rsidRPr="00916FCB" w:rsidRDefault="00916FCB" w:rsidP="00916FCB">
      <w:pPr>
        <w:numPr>
          <w:ilvl w:val="0"/>
          <w:numId w:val="1"/>
        </w:numPr>
        <w:jc w:val="both"/>
        <w:rPr>
          <w:rFonts w:ascii="Times New Roman" w:hAnsi="Times New Roman" w:cs="Times New Roman"/>
          <w:sz w:val="24"/>
          <w:szCs w:val="24"/>
        </w:rPr>
      </w:pPr>
      <w:r w:rsidRPr="00916FCB">
        <w:rPr>
          <w:rFonts w:ascii="Times New Roman" w:hAnsi="Times New Roman" w:cs="Times New Roman"/>
          <w:b/>
          <w:bCs/>
          <w:sz w:val="24"/>
          <w:szCs w:val="24"/>
        </w:rPr>
        <w:t>Legal Frameworks and Governance Structures</w:t>
      </w:r>
      <w:r w:rsidRPr="00916FCB">
        <w:rPr>
          <w:rFonts w:ascii="Times New Roman" w:hAnsi="Times New Roman" w:cs="Times New Roman"/>
          <w:sz w:val="24"/>
          <w:szCs w:val="24"/>
        </w:rPr>
        <w:br/>
        <w:t>The international literature often emphasizes the role of regulatory frameworks in shaping corporate governance and risk management practices, particularly within financial institutions. International standards, such as the Basel Accords, provide a blueprint for managing credit, operational, and liquidity risks in banking. According to Caprio and Levine (2002), these frameworks play a crucial role in harmonizing risk management practices across borders, yet they leave room for jurisdiction-specific adjustments that account for local market conditions and regulatory capacities.</w:t>
      </w:r>
    </w:p>
    <w:p w14:paraId="2A13C05E" w14:textId="77777777" w:rsidR="00916FCB" w:rsidRPr="00916FCB" w:rsidRDefault="00916FCB" w:rsidP="00916FCB">
      <w:pPr>
        <w:numPr>
          <w:ilvl w:val="0"/>
          <w:numId w:val="1"/>
        </w:numPr>
        <w:jc w:val="both"/>
        <w:rPr>
          <w:rFonts w:ascii="Times New Roman" w:hAnsi="Times New Roman" w:cs="Times New Roman"/>
          <w:sz w:val="24"/>
          <w:szCs w:val="24"/>
        </w:rPr>
      </w:pPr>
      <w:r w:rsidRPr="00916FCB">
        <w:rPr>
          <w:rFonts w:ascii="Times New Roman" w:hAnsi="Times New Roman" w:cs="Times New Roman"/>
          <w:b/>
          <w:bCs/>
          <w:sz w:val="24"/>
          <w:szCs w:val="24"/>
        </w:rPr>
        <w:t>Corporate Governance Reforms and Financial Stability</w:t>
      </w:r>
      <w:r w:rsidRPr="00916FCB">
        <w:rPr>
          <w:rFonts w:ascii="Times New Roman" w:hAnsi="Times New Roman" w:cs="Times New Roman"/>
          <w:sz w:val="24"/>
          <w:szCs w:val="24"/>
        </w:rPr>
        <w:br/>
        <w:t xml:space="preserve">Studies by Claessens and </w:t>
      </w:r>
      <w:proofErr w:type="spellStart"/>
      <w:r w:rsidRPr="00916FCB">
        <w:rPr>
          <w:rFonts w:ascii="Times New Roman" w:hAnsi="Times New Roman" w:cs="Times New Roman"/>
          <w:sz w:val="24"/>
          <w:szCs w:val="24"/>
        </w:rPr>
        <w:t>Yurtoglu</w:t>
      </w:r>
      <w:proofErr w:type="spellEnd"/>
      <w:r w:rsidRPr="00916FCB">
        <w:rPr>
          <w:rFonts w:ascii="Times New Roman" w:hAnsi="Times New Roman" w:cs="Times New Roman"/>
          <w:sz w:val="24"/>
          <w:szCs w:val="24"/>
        </w:rPr>
        <w:t xml:space="preserve"> (2013) and </w:t>
      </w:r>
      <w:proofErr w:type="spellStart"/>
      <w:r w:rsidRPr="00916FCB">
        <w:rPr>
          <w:rFonts w:ascii="Times New Roman" w:hAnsi="Times New Roman" w:cs="Times New Roman"/>
          <w:sz w:val="24"/>
          <w:szCs w:val="24"/>
        </w:rPr>
        <w:t>Laeven</w:t>
      </w:r>
      <w:proofErr w:type="spellEnd"/>
      <w:r w:rsidRPr="00916FCB">
        <w:rPr>
          <w:rFonts w:ascii="Times New Roman" w:hAnsi="Times New Roman" w:cs="Times New Roman"/>
          <w:sz w:val="24"/>
          <w:szCs w:val="24"/>
        </w:rPr>
        <w:t xml:space="preserve"> and Levine (2009) highlight the positive impact of corporate governance reforms on financial stability, suggesting that strong governance mechanisms—such as independent audit committees, board diversity, and transparency mandates—lead to improved risk oversight and decision-making. Research by Erkens et al. (2012) demonstrates how effective governance mitigates systemic risks in financial institutions, particularly during crises. The 2008 financial crisis underscored the importance of sound governance in ensuring regulatory compliance and protecting stakeholder interests, prompting reforms like the Dodd-Frank Act in the United States and similar initiatives in Europe.</w:t>
      </w:r>
    </w:p>
    <w:p w14:paraId="52C7B202" w14:textId="77777777" w:rsidR="00916FCB" w:rsidRPr="00916FCB" w:rsidRDefault="00916FCB" w:rsidP="00916FCB">
      <w:pPr>
        <w:numPr>
          <w:ilvl w:val="0"/>
          <w:numId w:val="1"/>
        </w:numPr>
        <w:jc w:val="both"/>
        <w:rPr>
          <w:rFonts w:ascii="Times New Roman" w:hAnsi="Times New Roman" w:cs="Times New Roman"/>
          <w:sz w:val="24"/>
          <w:szCs w:val="24"/>
        </w:rPr>
      </w:pPr>
      <w:r w:rsidRPr="00916FCB">
        <w:rPr>
          <w:rFonts w:ascii="Times New Roman" w:hAnsi="Times New Roman" w:cs="Times New Roman"/>
          <w:b/>
          <w:bCs/>
          <w:sz w:val="24"/>
          <w:szCs w:val="24"/>
        </w:rPr>
        <w:t>International Challenges in Governance and Risk Management</w:t>
      </w:r>
      <w:r w:rsidRPr="00916FCB">
        <w:rPr>
          <w:rFonts w:ascii="Times New Roman" w:hAnsi="Times New Roman" w:cs="Times New Roman"/>
          <w:sz w:val="24"/>
          <w:szCs w:val="24"/>
        </w:rPr>
        <w:br/>
        <w:t>Challenges in implementing international governance standards arise from variations in legal, cultural, and economic contexts. According to Aguilera and Jackson (2010), countries differ significantly in their corporate governance practices, which complicates the adoption of a one-size-fits-all approach to risk management. The lack of uniform enforcement standards across jurisdictions can lead to inconsistent governance practices, as highlighted by Beck et al. (2010), who point out that regulatory compliance may be weaker in emerging economies where governance structures are less developed.</w:t>
      </w:r>
    </w:p>
    <w:p w14:paraId="5204EB17" w14:textId="1C49674F" w:rsidR="00916FCB" w:rsidRPr="00916FCB" w:rsidRDefault="00916FCB" w:rsidP="00916FCB">
      <w:pPr>
        <w:jc w:val="both"/>
        <w:rPr>
          <w:rFonts w:ascii="Times New Roman" w:hAnsi="Times New Roman" w:cs="Times New Roman"/>
          <w:sz w:val="24"/>
          <w:szCs w:val="24"/>
        </w:rPr>
      </w:pPr>
    </w:p>
    <w:p w14:paraId="21BBAE92" w14:textId="77777777" w:rsidR="00916FCB" w:rsidRPr="00916FCB" w:rsidRDefault="00916FCB" w:rsidP="00916FCB">
      <w:pPr>
        <w:jc w:val="both"/>
        <w:rPr>
          <w:rFonts w:ascii="Times New Roman" w:hAnsi="Times New Roman" w:cs="Times New Roman"/>
          <w:b/>
          <w:bCs/>
          <w:sz w:val="24"/>
          <w:szCs w:val="24"/>
        </w:rPr>
      </w:pPr>
      <w:r w:rsidRPr="00916FCB">
        <w:rPr>
          <w:rFonts w:ascii="Times New Roman" w:hAnsi="Times New Roman" w:cs="Times New Roman"/>
          <w:b/>
          <w:bCs/>
          <w:sz w:val="24"/>
          <w:szCs w:val="24"/>
        </w:rPr>
        <w:t>2. Corporate Governance and Risk Management in National Contexts (India)</w:t>
      </w:r>
    </w:p>
    <w:p w14:paraId="3824C904" w14:textId="77777777" w:rsidR="00916FCB" w:rsidRPr="00916FCB" w:rsidRDefault="00916FCB" w:rsidP="00916FCB">
      <w:pPr>
        <w:numPr>
          <w:ilvl w:val="0"/>
          <w:numId w:val="2"/>
        </w:numPr>
        <w:jc w:val="both"/>
        <w:rPr>
          <w:rFonts w:ascii="Times New Roman" w:hAnsi="Times New Roman" w:cs="Times New Roman"/>
          <w:sz w:val="24"/>
          <w:szCs w:val="24"/>
        </w:rPr>
      </w:pPr>
      <w:r w:rsidRPr="00916FCB">
        <w:rPr>
          <w:rFonts w:ascii="Times New Roman" w:hAnsi="Times New Roman" w:cs="Times New Roman"/>
          <w:b/>
          <w:bCs/>
          <w:sz w:val="24"/>
          <w:szCs w:val="24"/>
        </w:rPr>
        <w:t>Corporate Governance Regulations and Standards in India</w:t>
      </w:r>
      <w:r w:rsidRPr="00916FCB">
        <w:rPr>
          <w:rFonts w:ascii="Times New Roman" w:hAnsi="Times New Roman" w:cs="Times New Roman"/>
          <w:sz w:val="24"/>
          <w:szCs w:val="24"/>
        </w:rPr>
        <w:br/>
        <w:t>In the Indian context, corporate governance in financial institutions has evolved through regulations such as the SEBI (Securities and Exchange Board of India) guidelines and RBI (Reserve Bank of India) norms, which aim to enhance transparency, accountability, and risk control. Studies by Goswami (2002) and Saha and Ghosh (2020) highlight the impact of these regulations on corporate governance practices, emphasizing the growing importance of board independence, audit committee effectiveness, and shareholder rights in Indian firms.</w:t>
      </w:r>
    </w:p>
    <w:p w14:paraId="76407E35" w14:textId="77777777" w:rsidR="00916FCB" w:rsidRPr="00916FCB" w:rsidRDefault="00916FCB" w:rsidP="00916FCB">
      <w:pPr>
        <w:numPr>
          <w:ilvl w:val="0"/>
          <w:numId w:val="2"/>
        </w:numPr>
        <w:jc w:val="both"/>
        <w:rPr>
          <w:rFonts w:ascii="Times New Roman" w:hAnsi="Times New Roman" w:cs="Times New Roman"/>
          <w:sz w:val="24"/>
          <w:szCs w:val="24"/>
        </w:rPr>
      </w:pPr>
      <w:r w:rsidRPr="00916FCB">
        <w:rPr>
          <w:rFonts w:ascii="Times New Roman" w:hAnsi="Times New Roman" w:cs="Times New Roman"/>
          <w:b/>
          <w:bCs/>
          <w:sz w:val="24"/>
          <w:szCs w:val="24"/>
        </w:rPr>
        <w:t>Impact of SEBI and RBI Regulations on Risk Management</w:t>
      </w:r>
      <w:r w:rsidRPr="00916FCB">
        <w:rPr>
          <w:rFonts w:ascii="Times New Roman" w:hAnsi="Times New Roman" w:cs="Times New Roman"/>
          <w:sz w:val="24"/>
          <w:szCs w:val="24"/>
        </w:rPr>
        <w:br/>
        <w:t xml:space="preserve">SEBI’s corporate governance framework, especially post the Kotak Committee reforms, has played a significant role in strengthening risk management in Indian financial institutions by enforcing strict guidelines on disclosures, related party </w:t>
      </w:r>
      <w:r w:rsidRPr="00916FCB">
        <w:rPr>
          <w:rFonts w:ascii="Times New Roman" w:hAnsi="Times New Roman" w:cs="Times New Roman"/>
          <w:sz w:val="24"/>
          <w:szCs w:val="24"/>
        </w:rPr>
        <w:lastRenderedPageBreak/>
        <w:t>transactions, and risk assessment procedures. RBI guidelines further mandate stress testing, anti-money laundering (AML) practices, and capital adequacy ratios, aimed at bolstering financial stability (Sinha, 2012). Narayanasamy et al. (2019) note that these regulatory measures have improved risk management practices within Indian banks, promoting resilience to market volatility.</w:t>
      </w:r>
    </w:p>
    <w:p w14:paraId="2336BCB4" w14:textId="77777777" w:rsidR="00916FCB" w:rsidRPr="00916FCB" w:rsidRDefault="00916FCB" w:rsidP="00916FCB">
      <w:pPr>
        <w:numPr>
          <w:ilvl w:val="0"/>
          <w:numId w:val="2"/>
        </w:numPr>
        <w:jc w:val="both"/>
        <w:rPr>
          <w:rFonts w:ascii="Times New Roman" w:hAnsi="Times New Roman" w:cs="Times New Roman"/>
          <w:sz w:val="24"/>
          <w:szCs w:val="24"/>
        </w:rPr>
      </w:pPr>
      <w:r w:rsidRPr="00916FCB">
        <w:rPr>
          <w:rFonts w:ascii="Times New Roman" w:hAnsi="Times New Roman" w:cs="Times New Roman"/>
          <w:b/>
          <w:bCs/>
          <w:sz w:val="24"/>
          <w:szCs w:val="24"/>
        </w:rPr>
        <w:t>Challenges in Indian Governance and Risk Management Practices</w:t>
      </w:r>
      <w:r w:rsidRPr="00916FCB">
        <w:rPr>
          <w:rFonts w:ascii="Times New Roman" w:hAnsi="Times New Roman" w:cs="Times New Roman"/>
          <w:sz w:val="24"/>
          <w:szCs w:val="24"/>
        </w:rPr>
        <w:br/>
        <w:t xml:space="preserve">Despite regulatory efforts, challenges persist in the Indian corporate governance landscape. Ghosh and Nanda (2019) identify issues such as regulatory arbitrage, lack of board accountability, and limited enforcement capabilities, which hinder effective risk management. Furthermore, Sharma and </w:t>
      </w:r>
      <w:proofErr w:type="spellStart"/>
      <w:r w:rsidRPr="00916FCB">
        <w:rPr>
          <w:rFonts w:ascii="Times New Roman" w:hAnsi="Times New Roman" w:cs="Times New Roman"/>
          <w:sz w:val="24"/>
          <w:szCs w:val="24"/>
        </w:rPr>
        <w:t>Lodh</w:t>
      </w:r>
      <w:proofErr w:type="spellEnd"/>
      <w:r w:rsidRPr="00916FCB">
        <w:rPr>
          <w:rFonts w:ascii="Times New Roman" w:hAnsi="Times New Roman" w:cs="Times New Roman"/>
          <w:sz w:val="24"/>
          <w:szCs w:val="24"/>
        </w:rPr>
        <w:t xml:space="preserve"> (2021) argue that smaller financial institutions face difficulties in implementing complex governance structures due to resource constraints and limited regulatory guidance. Another significant challenge, as observed by Banerjee (2020), is aligning governance practices with international standards while addressing local market realities and compliance costs.</w:t>
      </w:r>
    </w:p>
    <w:p w14:paraId="05F20C34" w14:textId="41BD754A" w:rsidR="00916FCB" w:rsidRPr="00916FCB" w:rsidRDefault="00916FCB" w:rsidP="00916FCB">
      <w:pPr>
        <w:jc w:val="both"/>
        <w:rPr>
          <w:rFonts w:ascii="Times New Roman" w:hAnsi="Times New Roman" w:cs="Times New Roman"/>
          <w:sz w:val="24"/>
          <w:szCs w:val="24"/>
        </w:rPr>
      </w:pPr>
    </w:p>
    <w:p w14:paraId="31CACCF5" w14:textId="77777777" w:rsidR="00916FCB" w:rsidRPr="00916FCB" w:rsidRDefault="00916FCB" w:rsidP="00916FCB">
      <w:pPr>
        <w:jc w:val="both"/>
        <w:rPr>
          <w:rFonts w:ascii="Times New Roman" w:hAnsi="Times New Roman" w:cs="Times New Roman"/>
          <w:b/>
          <w:bCs/>
          <w:sz w:val="24"/>
          <w:szCs w:val="24"/>
        </w:rPr>
      </w:pPr>
      <w:r w:rsidRPr="00916FCB">
        <w:rPr>
          <w:rFonts w:ascii="Times New Roman" w:hAnsi="Times New Roman" w:cs="Times New Roman"/>
          <w:b/>
          <w:bCs/>
          <w:sz w:val="24"/>
          <w:szCs w:val="24"/>
        </w:rPr>
        <w:t>3. Comparative Analysis: National vs. International Governance and Risk Management Standards</w:t>
      </w:r>
    </w:p>
    <w:p w14:paraId="4C2590F8" w14:textId="77777777" w:rsidR="00916FCB" w:rsidRPr="00916FCB" w:rsidRDefault="00916FCB" w:rsidP="00916FCB">
      <w:pPr>
        <w:numPr>
          <w:ilvl w:val="0"/>
          <w:numId w:val="3"/>
        </w:numPr>
        <w:jc w:val="both"/>
        <w:rPr>
          <w:rFonts w:ascii="Times New Roman" w:hAnsi="Times New Roman" w:cs="Times New Roman"/>
          <w:sz w:val="24"/>
          <w:szCs w:val="24"/>
        </w:rPr>
      </w:pPr>
      <w:r w:rsidRPr="00916FCB">
        <w:rPr>
          <w:rFonts w:ascii="Times New Roman" w:hAnsi="Times New Roman" w:cs="Times New Roman"/>
          <w:b/>
          <w:bCs/>
          <w:sz w:val="24"/>
          <w:szCs w:val="24"/>
        </w:rPr>
        <w:t>Similarities in Governance Standards</w:t>
      </w:r>
      <w:r w:rsidRPr="00916FCB">
        <w:rPr>
          <w:rFonts w:ascii="Times New Roman" w:hAnsi="Times New Roman" w:cs="Times New Roman"/>
          <w:sz w:val="24"/>
          <w:szCs w:val="24"/>
        </w:rPr>
        <w:br/>
        <w:t>Both national (Indian) and international governance frameworks share common principles, such as the emphasis on board independence, transparency, and regulatory compliance. According to OECD (2015) guidelines, these principles are essential for enhancing accountability and protecting stakeholders in financial institutions. Research by Das et al. (2022) points out that India’s SEBI guidelines align closely with international best practices, such as those recommended by the Financial Stability Board (FSB) and Basel III.</w:t>
      </w:r>
    </w:p>
    <w:p w14:paraId="58375C40" w14:textId="77777777" w:rsidR="00916FCB" w:rsidRPr="00916FCB" w:rsidRDefault="00916FCB" w:rsidP="00916FCB">
      <w:pPr>
        <w:numPr>
          <w:ilvl w:val="0"/>
          <w:numId w:val="3"/>
        </w:numPr>
        <w:jc w:val="both"/>
        <w:rPr>
          <w:rFonts w:ascii="Times New Roman" w:hAnsi="Times New Roman" w:cs="Times New Roman"/>
          <w:sz w:val="24"/>
          <w:szCs w:val="24"/>
        </w:rPr>
      </w:pPr>
      <w:r w:rsidRPr="00916FCB">
        <w:rPr>
          <w:rFonts w:ascii="Times New Roman" w:hAnsi="Times New Roman" w:cs="Times New Roman"/>
          <w:b/>
          <w:bCs/>
          <w:sz w:val="24"/>
          <w:szCs w:val="24"/>
        </w:rPr>
        <w:t>Differences in Enforcement and Adaptability</w:t>
      </w:r>
      <w:r w:rsidRPr="00916FCB">
        <w:rPr>
          <w:rFonts w:ascii="Times New Roman" w:hAnsi="Times New Roman" w:cs="Times New Roman"/>
          <w:sz w:val="24"/>
          <w:szCs w:val="24"/>
        </w:rPr>
        <w:br/>
        <w:t xml:space="preserve">While governance frameworks share similarities, enforcement and adaptability remain key differentiators. Internationally, the United States and the European Union have stricter enforcement mechanisms due to well-developed legal and regulatory infrastructure, as noted by </w:t>
      </w:r>
      <w:proofErr w:type="spellStart"/>
      <w:r w:rsidRPr="00916FCB">
        <w:rPr>
          <w:rFonts w:ascii="Times New Roman" w:hAnsi="Times New Roman" w:cs="Times New Roman"/>
          <w:sz w:val="24"/>
          <w:szCs w:val="24"/>
        </w:rPr>
        <w:t>Hopt</w:t>
      </w:r>
      <w:proofErr w:type="spellEnd"/>
      <w:r w:rsidRPr="00916FCB">
        <w:rPr>
          <w:rFonts w:ascii="Times New Roman" w:hAnsi="Times New Roman" w:cs="Times New Roman"/>
          <w:sz w:val="24"/>
          <w:szCs w:val="24"/>
        </w:rPr>
        <w:t xml:space="preserve"> (2011). However, in India and other emerging markets, enforcement remains a challenge, often due to limitations in regulatory resources and compliance monitoring. According to Sengupta and Sinha (2018), the adaptability of international frameworks is also a concern, as they may not fully address the unique challenges and risks faced by emerging economies.</w:t>
      </w:r>
    </w:p>
    <w:p w14:paraId="5EDADB24" w14:textId="475FD00E" w:rsidR="00916FCB" w:rsidRPr="00916FCB" w:rsidRDefault="00916FCB" w:rsidP="00916FCB">
      <w:pPr>
        <w:jc w:val="both"/>
        <w:rPr>
          <w:rFonts w:ascii="Times New Roman" w:hAnsi="Times New Roman" w:cs="Times New Roman"/>
          <w:sz w:val="24"/>
          <w:szCs w:val="24"/>
        </w:rPr>
      </w:pPr>
    </w:p>
    <w:p w14:paraId="0D15D065" w14:textId="77777777" w:rsidR="00916FCB" w:rsidRPr="00916FCB" w:rsidRDefault="00916FCB" w:rsidP="00916FCB">
      <w:pPr>
        <w:jc w:val="both"/>
        <w:rPr>
          <w:rFonts w:ascii="Times New Roman" w:hAnsi="Times New Roman" w:cs="Times New Roman"/>
          <w:b/>
          <w:bCs/>
          <w:sz w:val="24"/>
          <w:szCs w:val="24"/>
        </w:rPr>
      </w:pPr>
      <w:r w:rsidRPr="00916FCB">
        <w:rPr>
          <w:rFonts w:ascii="Times New Roman" w:hAnsi="Times New Roman" w:cs="Times New Roman"/>
          <w:b/>
          <w:bCs/>
          <w:sz w:val="24"/>
          <w:szCs w:val="24"/>
        </w:rPr>
        <w:t>4. Emerging Themes in Corporate Governance and Risk Management</w:t>
      </w:r>
    </w:p>
    <w:p w14:paraId="18E85DC7" w14:textId="77777777" w:rsidR="00916FCB" w:rsidRPr="00916FCB" w:rsidRDefault="00916FCB" w:rsidP="00916FCB">
      <w:pPr>
        <w:numPr>
          <w:ilvl w:val="0"/>
          <w:numId w:val="4"/>
        </w:numPr>
        <w:jc w:val="both"/>
        <w:rPr>
          <w:rFonts w:ascii="Times New Roman" w:hAnsi="Times New Roman" w:cs="Times New Roman"/>
          <w:sz w:val="24"/>
          <w:szCs w:val="24"/>
        </w:rPr>
      </w:pPr>
      <w:r w:rsidRPr="00916FCB">
        <w:rPr>
          <w:rFonts w:ascii="Times New Roman" w:hAnsi="Times New Roman" w:cs="Times New Roman"/>
          <w:b/>
          <w:bCs/>
          <w:sz w:val="24"/>
          <w:szCs w:val="24"/>
        </w:rPr>
        <w:t>Digital Transformation and Cybersecurity Risks</w:t>
      </w:r>
      <w:r w:rsidRPr="00916FCB">
        <w:rPr>
          <w:rFonts w:ascii="Times New Roman" w:hAnsi="Times New Roman" w:cs="Times New Roman"/>
          <w:sz w:val="24"/>
          <w:szCs w:val="24"/>
        </w:rPr>
        <w:br/>
        <w:t xml:space="preserve">Recent literature highlights the need for governance frameworks to adapt to emerging risks related to digital transformation. In the Indian context, Bhattacharya and Rao (2021) argue for incorporating cybersecurity risk management into corporate governance structures, a concern shared globally. According to PwC (2022), </w:t>
      </w:r>
      <w:r w:rsidRPr="00916FCB">
        <w:rPr>
          <w:rFonts w:ascii="Times New Roman" w:hAnsi="Times New Roman" w:cs="Times New Roman"/>
          <w:sz w:val="24"/>
          <w:szCs w:val="24"/>
        </w:rPr>
        <w:lastRenderedPageBreak/>
        <w:t>international standards increasingly recognize cybersecurity as a critical area for governance, especially given the rise in digital financial transactions.</w:t>
      </w:r>
    </w:p>
    <w:p w14:paraId="25625FC8" w14:textId="77777777" w:rsidR="00916FCB" w:rsidRPr="009964CD" w:rsidRDefault="00916FCB" w:rsidP="00916FCB">
      <w:pPr>
        <w:numPr>
          <w:ilvl w:val="0"/>
          <w:numId w:val="4"/>
        </w:numPr>
        <w:jc w:val="both"/>
        <w:rPr>
          <w:rFonts w:ascii="Times New Roman" w:hAnsi="Times New Roman" w:cs="Times New Roman"/>
          <w:sz w:val="24"/>
          <w:szCs w:val="24"/>
        </w:rPr>
      </w:pPr>
      <w:r w:rsidRPr="00916FCB">
        <w:rPr>
          <w:rFonts w:ascii="Times New Roman" w:hAnsi="Times New Roman" w:cs="Times New Roman"/>
          <w:b/>
          <w:bCs/>
          <w:sz w:val="24"/>
          <w:szCs w:val="24"/>
        </w:rPr>
        <w:t>Environmental, Social, and Governance (ESG) Considerations</w:t>
      </w:r>
      <w:r w:rsidRPr="00916FCB">
        <w:rPr>
          <w:rFonts w:ascii="Times New Roman" w:hAnsi="Times New Roman" w:cs="Times New Roman"/>
          <w:sz w:val="24"/>
          <w:szCs w:val="24"/>
        </w:rPr>
        <w:br/>
        <w:t>Environmental, Social, and Governance (ESG) practices are becoming integral to corporate governance worldwide. In India, studies by Rao and Menon (2023) show that SEBI’s recent regulations encourage ESG disclosures, aligning with global standards. Internationally, literature by Eccles and Klimenko (2019) suggests that ESG factors are closely tied to risk management, as they directly impact a company’s reputation, regulatory compliance, and operational resilience.</w:t>
      </w:r>
    </w:p>
    <w:p w14:paraId="3E75602B" w14:textId="3BFC466F" w:rsidR="00BC4AC3" w:rsidRPr="00BC4AC3" w:rsidRDefault="007E34C3" w:rsidP="00BC4AC3">
      <w:pPr>
        <w:jc w:val="both"/>
        <w:rPr>
          <w:rFonts w:ascii="Times New Roman" w:hAnsi="Times New Roman" w:cs="Times New Roman"/>
          <w:b/>
          <w:bCs/>
          <w:sz w:val="24"/>
          <w:szCs w:val="24"/>
        </w:rPr>
      </w:pPr>
      <w:r w:rsidRPr="00BC4AC3">
        <w:rPr>
          <w:rFonts w:ascii="Times New Roman" w:hAnsi="Times New Roman" w:cs="Times New Roman"/>
          <w:b/>
          <w:bCs/>
          <w:sz w:val="24"/>
          <w:szCs w:val="24"/>
        </w:rPr>
        <w:t>RESEARCH GAP</w:t>
      </w:r>
    </w:p>
    <w:p w14:paraId="37F71CED" w14:textId="77777777" w:rsidR="00BC4AC3" w:rsidRPr="00BC4AC3" w:rsidRDefault="00BC4AC3" w:rsidP="00BC4AC3">
      <w:pPr>
        <w:jc w:val="both"/>
        <w:rPr>
          <w:rFonts w:ascii="Times New Roman" w:hAnsi="Times New Roman" w:cs="Times New Roman"/>
          <w:sz w:val="24"/>
          <w:szCs w:val="24"/>
        </w:rPr>
      </w:pPr>
      <w:r w:rsidRPr="00BC4AC3">
        <w:rPr>
          <w:rFonts w:ascii="Times New Roman" w:hAnsi="Times New Roman" w:cs="Times New Roman"/>
          <w:sz w:val="24"/>
          <w:szCs w:val="24"/>
        </w:rPr>
        <w:t>Despite significant advancements in corporate governance and risk management practices, especially following global financial crises, there are critical gaps in the existing literature and regulatory frameworks that limit the effectiveness of these practices in financial institutions. This research aims to address the following identified gaps:</w:t>
      </w:r>
    </w:p>
    <w:p w14:paraId="1E1D78A1" w14:textId="77777777" w:rsidR="00BC4AC3" w:rsidRPr="00BC4AC3" w:rsidRDefault="00BC4AC3" w:rsidP="00BC4AC3">
      <w:pPr>
        <w:numPr>
          <w:ilvl w:val="0"/>
          <w:numId w:val="5"/>
        </w:numPr>
        <w:jc w:val="both"/>
        <w:rPr>
          <w:rFonts w:ascii="Times New Roman" w:hAnsi="Times New Roman" w:cs="Times New Roman"/>
          <w:sz w:val="24"/>
          <w:szCs w:val="24"/>
        </w:rPr>
      </w:pPr>
      <w:r w:rsidRPr="00BC4AC3">
        <w:rPr>
          <w:rFonts w:ascii="Times New Roman" w:hAnsi="Times New Roman" w:cs="Times New Roman"/>
          <w:b/>
          <w:bCs/>
          <w:sz w:val="24"/>
          <w:szCs w:val="24"/>
        </w:rPr>
        <w:t>Inconsistencies in Cross-Jurisdictional Governance Enforcement</w:t>
      </w:r>
    </w:p>
    <w:p w14:paraId="6BA98BBB" w14:textId="77777777" w:rsidR="00BC4AC3" w:rsidRPr="00BC4AC3" w:rsidRDefault="00BC4AC3" w:rsidP="00BC4AC3">
      <w:pPr>
        <w:numPr>
          <w:ilvl w:val="1"/>
          <w:numId w:val="5"/>
        </w:numPr>
        <w:jc w:val="both"/>
        <w:rPr>
          <w:rFonts w:ascii="Times New Roman" w:hAnsi="Times New Roman" w:cs="Times New Roman"/>
          <w:sz w:val="24"/>
          <w:szCs w:val="24"/>
        </w:rPr>
      </w:pPr>
      <w:r w:rsidRPr="00BC4AC3">
        <w:rPr>
          <w:rFonts w:ascii="Times New Roman" w:hAnsi="Times New Roman" w:cs="Times New Roman"/>
          <w:sz w:val="24"/>
          <w:szCs w:val="24"/>
        </w:rPr>
        <w:t xml:space="preserve">While international standards like Basel III provide a baseline for corporate governance and risk management, enforcement and adaptability vary widely across jurisdictions, particularly between developed and emerging economies. Research by Claessens and </w:t>
      </w:r>
      <w:proofErr w:type="spellStart"/>
      <w:r w:rsidRPr="00BC4AC3">
        <w:rPr>
          <w:rFonts w:ascii="Times New Roman" w:hAnsi="Times New Roman" w:cs="Times New Roman"/>
          <w:sz w:val="24"/>
          <w:szCs w:val="24"/>
        </w:rPr>
        <w:t>Yurtoglu</w:t>
      </w:r>
      <w:proofErr w:type="spellEnd"/>
      <w:r w:rsidRPr="00BC4AC3">
        <w:rPr>
          <w:rFonts w:ascii="Times New Roman" w:hAnsi="Times New Roman" w:cs="Times New Roman"/>
          <w:sz w:val="24"/>
          <w:szCs w:val="24"/>
        </w:rPr>
        <w:t xml:space="preserve"> (2013) and Beck et al. (2010) suggests that these standards are not uniformly effective due to differences in regulatory infrastructure, enforcement capabilities, and cultural factors. There is limited research on how to make governance frameworks adaptable and effective across diverse legal systems while maintaining core regulatory goals.</w:t>
      </w:r>
    </w:p>
    <w:p w14:paraId="62627D91" w14:textId="77777777" w:rsidR="00BC4AC3" w:rsidRPr="00BC4AC3" w:rsidRDefault="00BC4AC3" w:rsidP="00BC4AC3">
      <w:pPr>
        <w:numPr>
          <w:ilvl w:val="0"/>
          <w:numId w:val="5"/>
        </w:numPr>
        <w:jc w:val="both"/>
        <w:rPr>
          <w:rFonts w:ascii="Times New Roman" w:hAnsi="Times New Roman" w:cs="Times New Roman"/>
          <w:sz w:val="24"/>
          <w:szCs w:val="24"/>
        </w:rPr>
      </w:pPr>
      <w:r w:rsidRPr="00BC4AC3">
        <w:rPr>
          <w:rFonts w:ascii="Times New Roman" w:hAnsi="Times New Roman" w:cs="Times New Roman"/>
          <w:b/>
          <w:bCs/>
          <w:sz w:val="24"/>
          <w:szCs w:val="24"/>
        </w:rPr>
        <w:t>Limited Focus on Legal Frameworks and Emerging Digital Risks</w:t>
      </w:r>
    </w:p>
    <w:p w14:paraId="77780E98" w14:textId="77777777" w:rsidR="00BC4AC3" w:rsidRPr="00BC4AC3" w:rsidRDefault="00BC4AC3" w:rsidP="00BC4AC3">
      <w:pPr>
        <w:numPr>
          <w:ilvl w:val="1"/>
          <w:numId w:val="5"/>
        </w:numPr>
        <w:jc w:val="both"/>
        <w:rPr>
          <w:rFonts w:ascii="Times New Roman" w:hAnsi="Times New Roman" w:cs="Times New Roman"/>
          <w:sz w:val="24"/>
          <w:szCs w:val="24"/>
        </w:rPr>
      </w:pPr>
      <w:r w:rsidRPr="00BC4AC3">
        <w:rPr>
          <w:rFonts w:ascii="Times New Roman" w:hAnsi="Times New Roman" w:cs="Times New Roman"/>
          <w:sz w:val="24"/>
          <w:szCs w:val="24"/>
        </w:rPr>
        <w:t>The literature increasingly acknowledges the importance of cybersecurity and data privacy; however, existing corporate governance regulations and legal frameworks often lag behind in addressing digital transformation risks (Bhattacharya and Rao, 2021). There is a need for more research on how legal and regulatory frameworks can proactively incorporate digital and cybersecurity risk management as a core component of corporate governance, particularly as financial institutions increasingly rely on digital platforms.</w:t>
      </w:r>
    </w:p>
    <w:p w14:paraId="53D4E523" w14:textId="77777777" w:rsidR="00BC4AC3" w:rsidRPr="00BC4AC3" w:rsidRDefault="00BC4AC3" w:rsidP="00BC4AC3">
      <w:pPr>
        <w:numPr>
          <w:ilvl w:val="0"/>
          <w:numId w:val="5"/>
        </w:numPr>
        <w:jc w:val="both"/>
        <w:rPr>
          <w:rFonts w:ascii="Times New Roman" w:hAnsi="Times New Roman" w:cs="Times New Roman"/>
          <w:sz w:val="24"/>
          <w:szCs w:val="24"/>
        </w:rPr>
      </w:pPr>
      <w:r w:rsidRPr="00BC4AC3">
        <w:rPr>
          <w:rFonts w:ascii="Times New Roman" w:hAnsi="Times New Roman" w:cs="Times New Roman"/>
          <w:b/>
          <w:bCs/>
          <w:sz w:val="24"/>
          <w:szCs w:val="24"/>
        </w:rPr>
        <w:t>Challenges in Aligning ESG and Governance for Risk Management</w:t>
      </w:r>
    </w:p>
    <w:p w14:paraId="29675CBD" w14:textId="77777777" w:rsidR="00BC4AC3" w:rsidRPr="00BC4AC3" w:rsidRDefault="00BC4AC3" w:rsidP="00BC4AC3">
      <w:pPr>
        <w:numPr>
          <w:ilvl w:val="1"/>
          <w:numId w:val="5"/>
        </w:numPr>
        <w:jc w:val="both"/>
        <w:rPr>
          <w:rFonts w:ascii="Times New Roman" w:hAnsi="Times New Roman" w:cs="Times New Roman"/>
          <w:sz w:val="24"/>
          <w:szCs w:val="24"/>
        </w:rPr>
      </w:pPr>
      <w:r w:rsidRPr="00BC4AC3">
        <w:rPr>
          <w:rFonts w:ascii="Times New Roman" w:hAnsi="Times New Roman" w:cs="Times New Roman"/>
          <w:sz w:val="24"/>
          <w:szCs w:val="24"/>
        </w:rPr>
        <w:t>While Environmental, Social, and Governance (ESG) factors are becoming integral to corporate governance, research on how ESG considerations influence risk management within financial institutions is still developing. Studies such as Eccles and Klimenko (2019) highlight the growing importance of ESG but lack practical guidelines for integrating these factors into risk frameworks. Research is needed to explore how regulatory bodies can encourage and enforce ESG-aligned governance practices that adequately address emerging environmental and social risks.</w:t>
      </w:r>
    </w:p>
    <w:p w14:paraId="7D5D7D26" w14:textId="77777777" w:rsidR="00BC4AC3" w:rsidRPr="00BC4AC3" w:rsidRDefault="00BC4AC3" w:rsidP="00BC4AC3">
      <w:pPr>
        <w:numPr>
          <w:ilvl w:val="0"/>
          <w:numId w:val="5"/>
        </w:numPr>
        <w:jc w:val="both"/>
        <w:rPr>
          <w:rFonts w:ascii="Times New Roman" w:hAnsi="Times New Roman" w:cs="Times New Roman"/>
          <w:sz w:val="24"/>
          <w:szCs w:val="24"/>
        </w:rPr>
      </w:pPr>
      <w:r w:rsidRPr="00BC4AC3">
        <w:rPr>
          <w:rFonts w:ascii="Times New Roman" w:hAnsi="Times New Roman" w:cs="Times New Roman"/>
          <w:b/>
          <w:bCs/>
          <w:sz w:val="24"/>
          <w:szCs w:val="24"/>
        </w:rPr>
        <w:lastRenderedPageBreak/>
        <w:t>Gaps in Governance and Compliance for Small and Medium-Sized Financial Institutions</w:t>
      </w:r>
    </w:p>
    <w:p w14:paraId="435AB565" w14:textId="52C67BA0" w:rsidR="00986C2D" w:rsidRPr="000E56D8" w:rsidRDefault="00BC4AC3" w:rsidP="000E56D8">
      <w:pPr>
        <w:numPr>
          <w:ilvl w:val="1"/>
          <w:numId w:val="5"/>
        </w:numPr>
        <w:jc w:val="both"/>
        <w:rPr>
          <w:rFonts w:ascii="Times New Roman" w:hAnsi="Times New Roman" w:cs="Times New Roman"/>
          <w:sz w:val="24"/>
          <w:szCs w:val="24"/>
        </w:rPr>
      </w:pPr>
      <w:r w:rsidRPr="00BC4AC3">
        <w:rPr>
          <w:rFonts w:ascii="Times New Roman" w:hAnsi="Times New Roman" w:cs="Times New Roman"/>
          <w:sz w:val="24"/>
          <w:szCs w:val="24"/>
        </w:rPr>
        <w:t xml:space="preserve">The majority of governance literature focuses on large or multinational financial institutions, while smaller institutions often lack the resources to implement complex governance structures and risk management processes. Studies by Ghosh and Nanda (2019) and Sharma and </w:t>
      </w:r>
      <w:proofErr w:type="spellStart"/>
      <w:r w:rsidRPr="00BC4AC3">
        <w:rPr>
          <w:rFonts w:ascii="Times New Roman" w:hAnsi="Times New Roman" w:cs="Times New Roman"/>
          <w:sz w:val="24"/>
          <w:szCs w:val="24"/>
        </w:rPr>
        <w:t>Lodh</w:t>
      </w:r>
      <w:proofErr w:type="spellEnd"/>
      <w:r w:rsidRPr="00BC4AC3">
        <w:rPr>
          <w:rFonts w:ascii="Times New Roman" w:hAnsi="Times New Roman" w:cs="Times New Roman"/>
          <w:sz w:val="24"/>
          <w:szCs w:val="24"/>
        </w:rPr>
        <w:t xml:space="preserve"> (2021) emphasize the regulatory and resource challenges faced by small and medium-sized institutions, but there is limited research on tailored governance models that consider their specific needs and resource constraints.</w:t>
      </w:r>
    </w:p>
    <w:p w14:paraId="6B02CF5B" w14:textId="77777777" w:rsidR="00BC4AC3" w:rsidRPr="00BC4AC3" w:rsidRDefault="00BC4AC3" w:rsidP="00BC4AC3">
      <w:pPr>
        <w:numPr>
          <w:ilvl w:val="0"/>
          <w:numId w:val="5"/>
        </w:numPr>
        <w:jc w:val="both"/>
        <w:rPr>
          <w:rFonts w:ascii="Times New Roman" w:hAnsi="Times New Roman" w:cs="Times New Roman"/>
          <w:sz w:val="24"/>
          <w:szCs w:val="24"/>
        </w:rPr>
      </w:pPr>
      <w:r w:rsidRPr="00BC4AC3">
        <w:rPr>
          <w:rFonts w:ascii="Times New Roman" w:hAnsi="Times New Roman" w:cs="Times New Roman"/>
          <w:b/>
          <w:bCs/>
          <w:sz w:val="24"/>
          <w:szCs w:val="24"/>
        </w:rPr>
        <w:t>Lack of Empirical Research on Governance Reforms in Emerging Economies</w:t>
      </w:r>
    </w:p>
    <w:p w14:paraId="65D9BBF6" w14:textId="77777777" w:rsidR="00BC4AC3" w:rsidRPr="00BC4AC3" w:rsidRDefault="00BC4AC3" w:rsidP="00BC4AC3">
      <w:pPr>
        <w:numPr>
          <w:ilvl w:val="1"/>
          <w:numId w:val="5"/>
        </w:numPr>
        <w:jc w:val="both"/>
        <w:rPr>
          <w:rFonts w:ascii="Times New Roman" w:hAnsi="Times New Roman" w:cs="Times New Roman"/>
          <w:sz w:val="24"/>
          <w:szCs w:val="24"/>
        </w:rPr>
      </w:pPr>
      <w:r w:rsidRPr="00BC4AC3">
        <w:rPr>
          <w:rFonts w:ascii="Times New Roman" w:hAnsi="Times New Roman" w:cs="Times New Roman"/>
          <w:sz w:val="24"/>
          <w:szCs w:val="24"/>
        </w:rPr>
        <w:t>Although several emerging economies, including India, have introduced reforms to enhance corporate governance (e.g., SEBI and RBI regulations), empirical research assessing the effectiveness of these reforms on risk management is limited. There is a need for longitudinal studies to evaluate how well these governance reforms are aligned with risk management objectives and the extent to which they improve financial stability over time.</w:t>
      </w:r>
    </w:p>
    <w:p w14:paraId="6D0CA767" w14:textId="77777777" w:rsidR="00BC4AC3" w:rsidRPr="00BC4AC3" w:rsidRDefault="00BC4AC3" w:rsidP="00BC4AC3">
      <w:pPr>
        <w:numPr>
          <w:ilvl w:val="0"/>
          <w:numId w:val="5"/>
        </w:numPr>
        <w:jc w:val="both"/>
        <w:rPr>
          <w:rFonts w:ascii="Times New Roman" w:hAnsi="Times New Roman" w:cs="Times New Roman"/>
          <w:sz w:val="24"/>
          <w:szCs w:val="24"/>
        </w:rPr>
      </w:pPr>
      <w:r w:rsidRPr="00BC4AC3">
        <w:rPr>
          <w:rFonts w:ascii="Times New Roman" w:hAnsi="Times New Roman" w:cs="Times New Roman"/>
          <w:b/>
          <w:bCs/>
          <w:sz w:val="24"/>
          <w:szCs w:val="24"/>
        </w:rPr>
        <w:t>Gap in Adaptive Regulatory Frameworks for Evolving Market Conditions</w:t>
      </w:r>
    </w:p>
    <w:p w14:paraId="197F0EDC" w14:textId="77777777" w:rsidR="00BC4AC3" w:rsidRPr="00BC4AC3" w:rsidRDefault="00BC4AC3" w:rsidP="00BC4AC3">
      <w:pPr>
        <w:numPr>
          <w:ilvl w:val="1"/>
          <w:numId w:val="5"/>
        </w:numPr>
        <w:jc w:val="both"/>
        <w:rPr>
          <w:rFonts w:ascii="Times New Roman" w:hAnsi="Times New Roman" w:cs="Times New Roman"/>
          <w:sz w:val="24"/>
          <w:szCs w:val="24"/>
        </w:rPr>
      </w:pPr>
      <w:r w:rsidRPr="00BC4AC3">
        <w:rPr>
          <w:rFonts w:ascii="Times New Roman" w:hAnsi="Times New Roman" w:cs="Times New Roman"/>
          <w:sz w:val="24"/>
          <w:szCs w:val="24"/>
        </w:rPr>
        <w:t>Current regulatory frameworks are often reactive, evolving in response to financial crises or significant market disruptions. The literature lacks comprehensive models for proactive, adaptive governance that can anticipate and respond to emerging risks without waiting for regulatory reform or crisis intervention. This gap points to the need for research into dynamic, forward-looking governance frameworks that enable institutions to stay resilient amid rapid market changes.</w:t>
      </w:r>
    </w:p>
    <w:p w14:paraId="3A69CBE3" w14:textId="77777777" w:rsidR="00BC4AC3" w:rsidRPr="00BC4AC3" w:rsidRDefault="00BC4AC3" w:rsidP="00BC4AC3">
      <w:pPr>
        <w:jc w:val="both"/>
        <w:rPr>
          <w:rFonts w:ascii="Times New Roman" w:hAnsi="Times New Roman" w:cs="Times New Roman"/>
          <w:sz w:val="24"/>
          <w:szCs w:val="24"/>
        </w:rPr>
      </w:pPr>
      <w:r w:rsidRPr="00BC4AC3">
        <w:rPr>
          <w:rFonts w:ascii="Times New Roman" w:hAnsi="Times New Roman" w:cs="Times New Roman"/>
          <w:sz w:val="24"/>
          <w:szCs w:val="24"/>
        </w:rPr>
        <w:t>Addressing these research gaps can provide valuable insights into developing more robust, adaptive corporate governance frameworks that are responsive to global, digital, and ESG risks. By examining these areas, this study aims to contribute to the development of more effective governance practices that enhance risk management, compliance, and resilience in financial institutions across diverse regulatory environments.</w:t>
      </w:r>
    </w:p>
    <w:p w14:paraId="2AD6047F" w14:textId="68AA16A7" w:rsidR="00BC4AC3" w:rsidRPr="00BC4AC3" w:rsidRDefault="007E34C3" w:rsidP="00BC4AC3">
      <w:pPr>
        <w:jc w:val="both"/>
        <w:rPr>
          <w:rFonts w:ascii="Times New Roman" w:hAnsi="Times New Roman" w:cs="Times New Roman"/>
          <w:b/>
          <w:bCs/>
          <w:sz w:val="24"/>
          <w:szCs w:val="24"/>
        </w:rPr>
      </w:pPr>
      <w:r w:rsidRPr="00BC4AC3">
        <w:rPr>
          <w:rFonts w:ascii="Times New Roman" w:hAnsi="Times New Roman" w:cs="Times New Roman"/>
          <w:b/>
          <w:bCs/>
          <w:sz w:val="24"/>
          <w:szCs w:val="24"/>
        </w:rPr>
        <w:t>OBJECTIVES OF THE STUDY</w:t>
      </w:r>
    </w:p>
    <w:p w14:paraId="6F774F28" w14:textId="77777777" w:rsidR="00BC4AC3" w:rsidRPr="007E34C3" w:rsidRDefault="00BC4AC3" w:rsidP="007E34C3">
      <w:pPr>
        <w:pStyle w:val="NoSpacing"/>
        <w:numPr>
          <w:ilvl w:val="0"/>
          <w:numId w:val="15"/>
        </w:numPr>
        <w:rPr>
          <w:rFonts w:ascii="Times New Roman" w:hAnsi="Times New Roman" w:cs="Times New Roman"/>
        </w:rPr>
      </w:pPr>
      <w:r w:rsidRPr="007E34C3">
        <w:rPr>
          <w:rFonts w:ascii="Times New Roman" w:hAnsi="Times New Roman" w:cs="Times New Roman"/>
        </w:rPr>
        <w:t>Examine the Influence of Legal Frameworks on Corporate Governance Structures</w:t>
      </w:r>
    </w:p>
    <w:p w14:paraId="497EFC30" w14:textId="77777777" w:rsidR="00BC4AC3" w:rsidRPr="007E34C3" w:rsidRDefault="00BC4AC3" w:rsidP="007E34C3">
      <w:pPr>
        <w:pStyle w:val="NoSpacing"/>
        <w:numPr>
          <w:ilvl w:val="0"/>
          <w:numId w:val="15"/>
        </w:numPr>
        <w:rPr>
          <w:rFonts w:ascii="Times New Roman" w:hAnsi="Times New Roman" w:cs="Times New Roman"/>
        </w:rPr>
      </w:pPr>
      <w:r w:rsidRPr="007E34C3">
        <w:rPr>
          <w:rFonts w:ascii="Times New Roman" w:hAnsi="Times New Roman" w:cs="Times New Roman"/>
        </w:rPr>
        <w:t>Evaluate the Impact of Governance Laws on Risk Management Effectiveness</w:t>
      </w:r>
    </w:p>
    <w:p w14:paraId="63B2F11C" w14:textId="77777777" w:rsidR="00BC4AC3" w:rsidRPr="007E34C3" w:rsidRDefault="00BC4AC3" w:rsidP="007E34C3">
      <w:pPr>
        <w:pStyle w:val="NoSpacing"/>
        <w:numPr>
          <w:ilvl w:val="0"/>
          <w:numId w:val="15"/>
        </w:numPr>
        <w:rPr>
          <w:rFonts w:ascii="Times New Roman" w:hAnsi="Times New Roman" w:cs="Times New Roman"/>
        </w:rPr>
      </w:pPr>
      <w:r w:rsidRPr="007E34C3">
        <w:rPr>
          <w:rFonts w:ascii="Times New Roman" w:hAnsi="Times New Roman" w:cs="Times New Roman"/>
        </w:rPr>
        <w:t>Identify Gaps and Challenges in Governance and Regulatory Enforcement</w:t>
      </w:r>
    </w:p>
    <w:p w14:paraId="2D7816F9" w14:textId="77777777" w:rsidR="00BC4AC3" w:rsidRPr="007E34C3" w:rsidRDefault="00BC4AC3" w:rsidP="007E34C3">
      <w:pPr>
        <w:pStyle w:val="NoSpacing"/>
        <w:numPr>
          <w:ilvl w:val="0"/>
          <w:numId w:val="15"/>
        </w:numPr>
        <w:rPr>
          <w:rFonts w:ascii="Times New Roman" w:hAnsi="Times New Roman" w:cs="Times New Roman"/>
        </w:rPr>
      </w:pPr>
      <w:r w:rsidRPr="007E34C3">
        <w:rPr>
          <w:rFonts w:ascii="Times New Roman" w:hAnsi="Times New Roman" w:cs="Times New Roman"/>
        </w:rPr>
        <w:t>Explore the Integration of Digital and Cybersecurity Risks into Governance Frameworks</w:t>
      </w:r>
    </w:p>
    <w:p w14:paraId="349BD734" w14:textId="77777777" w:rsidR="00BC4AC3" w:rsidRPr="007E34C3" w:rsidRDefault="00BC4AC3" w:rsidP="007E34C3">
      <w:pPr>
        <w:pStyle w:val="NoSpacing"/>
        <w:numPr>
          <w:ilvl w:val="0"/>
          <w:numId w:val="15"/>
        </w:numPr>
        <w:rPr>
          <w:rFonts w:ascii="Times New Roman" w:hAnsi="Times New Roman" w:cs="Times New Roman"/>
        </w:rPr>
      </w:pPr>
      <w:proofErr w:type="spellStart"/>
      <w:r w:rsidRPr="007E34C3">
        <w:rPr>
          <w:rFonts w:ascii="Times New Roman" w:hAnsi="Times New Roman" w:cs="Times New Roman"/>
        </w:rPr>
        <w:t>Analyze</w:t>
      </w:r>
      <w:proofErr w:type="spellEnd"/>
      <w:r w:rsidRPr="007E34C3">
        <w:rPr>
          <w:rFonts w:ascii="Times New Roman" w:hAnsi="Times New Roman" w:cs="Times New Roman"/>
        </w:rPr>
        <w:t xml:space="preserve"> the Role of Environmental, Social, and Governance (ESG) Factors in Risk Management</w:t>
      </w:r>
    </w:p>
    <w:p w14:paraId="46C0FE7C" w14:textId="77777777" w:rsidR="00BC4AC3" w:rsidRPr="007E34C3" w:rsidRDefault="00BC4AC3" w:rsidP="007E34C3">
      <w:pPr>
        <w:pStyle w:val="NoSpacing"/>
        <w:numPr>
          <w:ilvl w:val="0"/>
          <w:numId w:val="15"/>
        </w:numPr>
        <w:rPr>
          <w:rFonts w:ascii="Times New Roman" w:hAnsi="Times New Roman" w:cs="Times New Roman"/>
        </w:rPr>
      </w:pPr>
      <w:r w:rsidRPr="007E34C3">
        <w:rPr>
          <w:rFonts w:ascii="Times New Roman" w:hAnsi="Times New Roman" w:cs="Times New Roman"/>
        </w:rPr>
        <w:t>Propose Recommendations for Adaptive Governance Frameworks</w:t>
      </w:r>
    </w:p>
    <w:p w14:paraId="2C31AC2C" w14:textId="77777777" w:rsidR="00BC4AC3" w:rsidRPr="007E34C3" w:rsidRDefault="00BC4AC3" w:rsidP="007E34C3">
      <w:pPr>
        <w:pStyle w:val="NoSpacing"/>
        <w:numPr>
          <w:ilvl w:val="0"/>
          <w:numId w:val="15"/>
        </w:numPr>
        <w:rPr>
          <w:rFonts w:ascii="Times New Roman" w:hAnsi="Times New Roman" w:cs="Times New Roman"/>
        </w:rPr>
      </w:pPr>
      <w:r w:rsidRPr="007E34C3">
        <w:rPr>
          <w:rFonts w:ascii="Times New Roman" w:hAnsi="Times New Roman" w:cs="Times New Roman"/>
        </w:rPr>
        <w:t>Provide Practical Guidelines for Smaller Financial Institutions</w:t>
      </w:r>
    </w:p>
    <w:p w14:paraId="4CDFB137" w14:textId="77777777" w:rsidR="00BC4AC3" w:rsidRPr="00916FCB" w:rsidRDefault="00BC4AC3" w:rsidP="002248BB">
      <w:pPr>
        <w:jc w:val="both"/>
        <w:rPr>
          <w:rFonts w:ascii="Times New Roman" w:hAnsi="Times New Roman" w:cs="Times New Roman"/>
          <w:sz w:val="24"/>
          <w:szCs w:val="24"/>
        </w:rPr>
      </w:pPr>
    </w:p>
    <w:p w14:paraId="3FF50341" w14:textId="669806B8" w:rsidR="005E251E" w:rsidRPr="005E251E" w:rsidRDefault="007E34C3" w:rsidP="007E34C3">
      <w:pPr>
        <w:jc w:val="both"/>
        <w:rPr>
          <w:rFonts w:ascii="Times New Roman" w:hAnsi="Times New Roman" w:cs="Times New Roman"/>
          <w:b/>
          <w:bCs/>
          <w:sz w:val="24"/>
          <w:szCs w:val="24"/>
        </w:rPr>
      </w:pPr>
      <w:r w:rsidRPr="005E251E">
        <w:rPr>
          <w:rFonts w:ascii="Times New Roman" w:hAnsi="Times New Roman" w:cs="Times New Roman"/>
          <w:b/>
          <w:bCs/>
          <w:sz w:val="24"/>
          <w:szCs w:val="24"/>
        </w:rPr>
        <w:t>RESEARCH METHODOLOGY</w:t>
      </w:r>
    </w:p>
    <w:p w14:paraId="358AA097" w14:textId="77777777" w:rsidR="005E251E" w:rsidRDefault="005E251E" w:rsidP="007E34C3">
      <w:pPr>
        <w:jc w:val="both"/>
        <w:rPr>
          <w:rFonts w:ascii="Times New Roman" w:hAnsi="Times New Roman" w:cs="Times New Roman"/>
          <w:sz w:val="24"/>
          <w:szCs w:val="24"/>
        </w:rPr>
      </w:pPr>
      <w:r w:rsidRPr="005E251E">
        <w:rPr>
          <w:rFonts w:ascii="Times New Roman" w:hAnsi="Times New Roman" w:cs="Times New Roman"/>
          <w:sz w:val="24"/>
          <w:szCs w:val="24"/>
        </w:rPr>
        <w:t xml:space="preserve">The study employs a mixed-methods approach, combining quantitative and qualitative methods to examine the role of legal frameworks in corporate governance and their impact on </w:t>
      </w:r>
      <w:r w:rsidRPr="005E251E">
        <w:rPr>
          <w:rFonts w:ascii="Times New Roman" w:hAnsi="Times New Roman" w:cs="Times New Roman"/>
          <w:sz w:val="24"/>
          <w:szCs w:val="24"/>
        </w:rPr>
        <w:lastRenderedPageBreak/>
        <w:t>risk management within financial institutions. The methodology is designed to provide a comprehensive understanding of governance structures, regulatory compliance, and risk management practices from multiple perspectives.</w:t>
      </w:r>
    </w:p>
    <w:p w14:paraId="714C23E5" w14:textId="77777777" w:rsidR="00986C2D" w:rsidRDefault="00986C2D" w:rsidP="007E34C3">
      <w:pPr>
        <w:jc w:val="both"/>
        <w:rPr>
          <w:rFonts w:ascii="Times New Roman" w:hAnsi="Times New Roman" w:cs="Times New Roman"/>
          <w:b/>
          <w:bCs/>
          <w:sz w:val="24"/>
          <w:szCs w:val="24"/>
        </w:rPr>
      </w:pPr>
    </w:p>
    <w:p w14:paraId="3DABB19B" w14:textId="6DB5C4CF" w:rsidR="007E34C3" w:rsidRDefault="007E34C3" w:rsidP="007E34C3">
      <w:pPr>
        <w:jc w:val="both"/>
        <w:rPr>
          <w:rFonts w:ascii="Times New Roman" w:hAnsi="Times New Roman" w:cs="Times New Roman"/>
          <w:b/>
          <w:bCs/>
          <w:sz w:val="24"/>
          <w:szCs w:val="24"/>
        </w:rPr>
      </w:pPr>
      <w:r w:rsidRPr="007E34C3">
        <w:rPr>
          <w:rFonts w:ascii="Times New Roman" w:hAnsi="Times New Roman" w:cs="Times New Roman"/>
          <w:b/>
          <w:bCs/>
          <w:sz w:val="24"/>
          <w:szCs w:val="24"/>
        </w:rPr>
        <w:t>ANALYSIS AND INTERPRETATIONS</w:t>
      </w:r>
    </w:p>
    <w:p w14:paraId="46F6F333" w14:textId="77777777" w:rsidR="00986C2D" w:rsidRDefault="00986C2D" w:rsidP="007E34C3">
      <w:pPr>
        <w:jc w:val="both"/>
        <w:rPr>
          <w:rFonts w:ascii="Times New Roman" w:hAnsi="Times New Roman" w:cs="Times New Roman"/>
          <w:b/>
          <w:bCs/>
          <w:sz w:val="24"/>
          <w:szCs w:val="24"/>
        </w:rPr>
      </w:pPr>
    </w:p>
    <w:p w14:paraId="3FE1C3E7" w14:textId="77777777" w:rsidR="00B37F10" w:rsidRPr="00B37F10" w:rsidRDefault="00B37F10" w:rsidP="007E34C3">
      <w:pPr>
        <w:jc w:val="both"/>
        <w:rPr>
          <w:rFonts w:ascii="Times New Roman" w:hAnsi="Times New Roman" w:cs="Times New Roman"/>
          <w:b/>
          <w:bCs/>
          <w:sz w:val="24"/>
          <w:szCs w:val="24"/>
        </w:rPr>
      </w:pPr>
      <w:r w:rsidRPr="00B37F10">
        <w:rPr>
          <w:rFonts w:ascii="Times New Roman" w:hAnsi="Times New Roman" w:cs="Times New Roman"/>
          <w:b/>
          <w:bCs/>
          <w:sz w:val="24"/>
          <w:szCs w:val="24"/>
        </w:rPr>
        <w:t>1. Survey Analysis for Financial Institutions</w:t>
      </w:r>
    </w:p>
    <w:p w14:paraId="53255BB8" w14:textId="374D7319" w:rsidR="00B37F10" w:rsidRPr="00B37F10" w:rsidRDefault="007E34C3" w:rsidP="007E34C3">
      <w:pPr>
        <w:jc w:val="both"/>
        <w:rPr>
          <w:rFonts w:ascii="Times New Roman" w:hAnsi="Times New Roman" w:cs="Times New Roman"/>
          <w:b/>
          <w:bCs/>
          <w:sz w:val="24"/>
          <w:szCs w:val="24"/>
        </w:rPr>
      </w:pPr>
      <w:r w:rsidRPr="007E34C3">
        <w:rPr>
          <w:rFonts w:ascii="Times New Roman" w:hAnsi="Times New Roman" w:cs="Times New Roman"/>
          <w:b/>
          <w:bCs/>
          <w:sz w:val="24"/>
          <w:szCs w:val="24"/>
        </w:rPr>
        <w:t>SECTION A: INSTITUTIONAL INFORMATION</w:t>
      </w:r>
    </w:p>
    <w:p w14:paraId="5B3C83C6" w14:textId="77777777" w:rsidR="00B37F10" w:rsidRPr="00B37F10" w:rsidRDefault="00B37F10" w:rsidP="00B37F10">
      <w:pPr>
        <w:numPr>
          <w:ilvl w:val="0"/>
          <w:numId w:val="7"/>
        </w:numPr>
        <w:jc w:val="both"/>
        <w:rPr>
          <w:rFonts w:ascii="Times New Roman" w:hAnsi="Times New Roman" w:cs="Times New Roman"/>
          <w:sz w:val="24"/>
          <w:szCs w:val="24"/>
        </w:rPr>
      </w:pPr>
      <w:r w:rsidRPr="00B37F10">
        <w:rPr>
          <w:rFonts w:ascii="Times New Roman" w:hAnsi="Times New Roman" w:cs="Times New Roman"/>
          <w:sz w:val="24"/>
          <w:szCs w:val="24"/>
        </w:rPr>
        <w:t>Type of Institution:</w:t>
      </w:r>
    </w:p>
    <w:p w14:paraId="3B982C48" w14:textId="77777777" w:rsidR="00B37F10" w:rsidRPr="009964CD" w:rsidRDefault="00B37F10" w:rsidP="007E34C3">
      <w:pPr>
        <w:jc w:val="both"/>
        <w:rPr>
          <w:rFonts w:ascii="Times New Roman" w:hAnsi="Times New Roman" w:cs="Times New Roman"/>
          <w:sz w:val="24"/>
          <w:szCs w:val="24"/>
        </w:rPr>
      </w:pPr>
      <w:r w:rsidRPr="00B37F10">
        <w:rPr>
          <w:rFonts w:ascii="Times New Roman" w:hAnsi="Times New Roman" w:cs="Times New Roman"/>
          <w:b/>
          <w:bCs/>
          <w:sz w:val="24"/>
          <w:szCs w:val="24"/>
        </w:rPr>
        <w:t>Distribution</w:t>
      </w:r>
      <w:r w:rsidRPr="00B37F10">
        <w:rPr>
          <w:rFonts w:ascii="Times New Roman" w:hAnsi="Times New Roman" w:cs="Times New Roman"/>
          <w:sz w:val="24"/>
          <w:szCs w:val="24"/>
        </w:rPr>
        <w:t xml:space="preserve">: The majority of respondents identified as </w:t>
      </w:r>
      <w:r w:rsidRPr="00B37F10">
        <w:rPr>
          <w:rFonts w:ascii="Times New Roman" w:hAnsi="Times New Roman" w:cs="Times New Roman"/>
          <w:b/>
          <w:bCs/>
          <w:sz w:val="24"/>
          <w:szCs w:val="24"/>
        </w:rPr>
        <w:t>Commercial Banks (60%)</w:t>
      </w:r>
      <w:r w:rsidRPr="00B37F10">
        <w:rPr>
          <w:rFonts w:ascii="Times New Roman" w:hAnsi="Times New Roman" w:cs="Times New Roman"/>
          <w:sz w:val="24"/>
          <w:szCs w:val="24"/>
        </w:rPr>
        <w:t xml:space="preserve">, followed by </w:t>
      </w:r>
      <w:r w:rsidRPr="00B37F10">
        <w:rPr>
          <w:rFonts w:ascii="Times New Roman" w:hAnsi="Times New Roman" w:cs="Times New Roman"/>
          <w:b/>
          <w:bCs/>
          <w:sz w:val="24"/>
          <w:szCs w:val="24"/>
        </w:rPr>
        <w:t>Microfinance Institutions (25%)</w:t>
      </w:r>
      <w:r w:rsidRPr="00B37F10">
        <w:rPr>
          <w:rFonts w:ascii="Times New Roman" w:hAnsi="Times New Roman" w:cs="Times New Roman"/>
          <w:sz w:val="24"/>
          <w:szCs w:val="24"/>
        </w:rPr>
        <w:t xml:space="preserve">, and </w:t>
      </w:r>
      <w:r w:rsidRPr="00B37F10">
        <w:rPr>
          <w:rFonts w:ascii="Times New Roman" w:hAnsi="Times New Roman" w:cs="Times New Roman"/>
          <w:b/>
          <w:bCs/>
          <w:sz w:val="24"/>
          <w:szCs w:val="24"/>
        </w:rPr>
        <w:t>Investment Banks (15%)</w:t>
      </w:r>
      <w:r w:rsidRPr="00B37F10">
        <w:rPr>
          <w:rFonts w:ascii="Times New Roman" w:hAnsi="Times New Roman" w:cs="Times New Roman"/>
          <w:sz w:val="24"/>
          <w:szCs w:val="24"/>
        </w:rPr>
        <w:t>.</w:t>
      </w:r>
    </w:p>
    <w:p w14:paraId="71947270" w14:textId="66F72EC4" w:rsidR="0012066F" w:rsidRPr="009964CD" w:rsidRDefault="0012066F" w:rsidP="000E56D8">
      <w:pPr>
        <w:jc w:val="center"/>
        <w:rPr>
          <w:rFonts w:ascii="Times New Roman" w:hAnsi="Times New Roman" w:cs="Times New Roman"/>
          <w:sz w:val="24"/>
          <w:szCs w:val="24"/>
        </w:rPr>
      </w:pPr>
      <w:r w:rsidRPr="009964CD">
        <w:rPr>
          <w:rFonts w:ascii="Times New Roman" w:hAnsi="Times New Roman" w:cs="Times New Roman"/>
          <w:noProof/>
          <w:sz w:val="24"/>
          <w:szCs w:val="24"/>
        </w:rPr>
        <w:drawing>
          <wp:inline distT="0" distB="0" distL="0" distR="0" wp14:anchorId="33CA0D9D" wp14:editId="697915E7">
            <wp:extent cx="2274511" cy="1627632"/>
            <wp:effectExtent l="0" t="0" r="0" b="0"/>
            <wp:docPr id="15344713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96827" cy="1643601"/>
                    </a:xfrm>
                    <a:prstGeom prst="rect">
                      <a:avLst/>
                    </a:prstGeom>
                    <a:noFill/>
                  </pic:spPr>
                </pic:pic>
              </a:graphicData>
            </a:graphic>
          </wp:inline>
        </w:drawing>
      </w:r>
    </w:p>
    <w:p w14:paraId="64B27D57" w14:textId="3D6E179D" w:rsidR="0012066F" w:rsidRPr="00B37F10" w:rsidRDefault="007E34C3" w:rsidP="0012066F">
      <w:pPr>
        <w:jc w:val="both"/>
        <w:rPr>
          <w:rFonts w:ascii="Times New Roman" w:hAnsi="Times New Roman" w:cs="Times New Roman"/>
          <w:sz w:val="24"/>
          <w:szCs w:val="24"/>
        </w:rPr>
      </w:pPr>
      <w:r w:rsidRPr="009964CD">
        <w:rPr>
          <w:rFonts w:ascii="Times New Roman" w:hAnsi="Times New Roman" w:cs="Times New Roman"/>
          <w:sz w:val="24"/>
          <w:szCs w:val="24"/>
        </w:rPr>
        <w:t>P</w:t>
      </w:r>
      <w:r w:rsidR="0012066F" w:rsidRPr="009964CD">
        <w:rPr>
          <w:rFonts w:ascii="Times New Roman" w:hAnsi="Times New Roman" w:cs="Times New Roman"/>
          <w:sz w:val="24"/>
          <w:szCs w:val="24"/>
        </w:rPr>
        <w:t xml:space="preserve">ie chart illustrating the distribution of the types of institutions based on the survey responses. The chart shows that </w:t>
      </w:r>
      <w:r w:rsidR="0012066F" w:rsidRPr="009964CD">
        <w:rPr>
          <w:rStyle w:val="Strong"/>
          <w:rFonts w:ascii="Times New Roman" w:hAnsi="Times New Roman" w:cs="Times New Roman"/>
          <w:sz w:val="24"/>
          <w:szCs w:val="24"/>
        </w:rPr>
        <w:t>60%</w:t>
      </w:r>
      <w:r w:rsidR="0012066F" w:rsidRPr="009964CD">
        <w:rPr>
          <w:rFonts w:ascii="Times New Roman" w:hAnsi="Times New Roman" w:cs="Times New Roman"/>
          <w:sz w:val="24"/>
          <w:szCs w:val="24"/>
        </w:rPr>
        <w:t xml:space="preserve"> of respondents identified as </w:t>
      </w:r>
      <w:r w:rsidR="0012066F" w:rsidRPr="009964CD">
        <w:rPr>
          <w:rStyle w:val="Strong"/>
          <w:rFonts w:ascii="Times New Roman" w:hAnsi="Times New Roman" w:cs="Times New Roman"/>
          <w:sz w:val="24"/>
          <w:szCs w:val="24"/>
        </w:rPr>
        <w:t>Commercial Banks</w:t>
      </w:r>
      <w:r w:rsidR="0012066F" w:rsidRPr="009964CD">
        <w:rPr>
          <w:rFonts w:ascii="Times New Roman" w:hAnsi="Times New Roman" w:cs="Times New Roman"/>
          <w:sz w:val="24"/>
          <w:szCs w:val="24"/>
        </w:rPr>
        <w:t xml:space="preserve">, </w:t>
      </w:r>
      <w:r w:rsidR="0012066F" w:rsidRPr="009964CD">
        <w:rPr>
          <w:rStyle w:val="Strong"/>
          <w:rFonts w:ascii="Times New Roman" w:hAnsi="Times New Roman" w:cs="Times New Roman"/>
          <w:sz w:val="24"/>
          <w:szCs w:val="24"/>
        </w:rPr>
        <w:t>25%</w:t>
      </w:r>
      <w:r w:rsidR="0012066F" w:rsidRPr="009964CD">
        <w:rPr>
          <w:rFonts w:ascii="Times New Roman" w:hAnsi="Times New Roman" w:cs="Times New Roman"/>
          <w:sz w:val="24"/>
          <w:szCs w:val="24"/>
        </w:rPr>
        <w:t xml:space="preserve"> as </w:t>
      </w:r>
      <w:r w:rsidR="0012066F" w:rsidRPr="009964CD">
        <w:rPr>
          <w:rStyle w:val="Strong"/>
          <w:rFonts w:ascii="Times New Roman" w:hAnsi="Times New Roman" w:cs="Times New Roman"/>
          <w:sz w:val="24"/>
          <w:szCs w:val="24"/>
        </w:rPr>
        <w:t>Microfinance Institutions</w:t>
      </w:r>
      <w:r w:rsidR="0012066F" w:rsidRPr="009964CD">
        <w:rPr>
          <w:rFonts w:ascii="Times New Roman" w:hAnsi="Times New Roman" w:cs="Times New Roman"/>
          <w:sz w:val="24"/>
          <w:szCs w:val="24"/>
        </w:rPr>
        <w:t xml:space="preserve">, and </w:t>
      </w:r>
      <w:r w:rsidR="0012066F" w:rsidRPr="009964CD">
        <w:rPr>
          <w:rStyle w:val="Strong"/>
          <w:rFonts w:ascii="Times New Roman" w:hAnsi="Times New Roman" w:cs="Times New Roman"/>
          <w:sz w:val="24"/>
          <w:szCs w:val="24"/>
        </w:rPr>
        <w:t>15%</w:t>
      </w:r>
      <w:r w:rsidR="0012066F" w:rsidRPr="009964CD">
        <w:rPr>
          <w:rFonts w:ascii="Times New Roman" w:hAnsi="Times New Roman" w:cs="Times New Roman"/>
          <w:sz w:val="24"/>
          <w:szCs w:val="24"/>
        </w:rPr>
        <w:t xml:space="preserve"> as </w:t>
      </w:r>
      <w:r w:rsidR="0012066F" w:rsidRPr="009964CD">
        <w:rPr>
          <w:rStyle w:val="Strong"/>
          <w:rFonts w:ascii="Times New Roman" w:hAnsi="Times New Roman" w:cs="Times New Roman"/>
          <w:sz w:val="24"/>
          <w:szCs w:val="24"/>
        </w:rPr>
        <w:t>Investment Banks</w:t>
      </w:r>
      <w:r w:rsidR="0012066F" w:rsidRPr="009964CD">
        <w:rPr>
          <w:rFonts w:ascii="Times New Roman" w:hAnsi="Times New Roman" w:cs="Times New Roman"/>
          <w:sz w:val="24"/>
          <w:szCs w:val="24"/>
        </w:rPr>
        <w:t>. This visual representation effectively highlights the predominance of commercial banks in the sample.</w:t>
      </w:r>
    </w:p>
    <w:p w14:paraId="57E78877" w14:textId="77777777" w:rsidR="00B37F10" w:rsidRPr="00B37F10" w:rsidRDefault="00B37F10" w:rsidP="00B37F10">
      <w:pPr>
        <w:numPr>
          <w:ilvl w:val="0"/>
          <w:numId w:val="7"/>
        </w:numPr>
        <w:jc w:val="both"/>
        <w:rPr>
          <w:rFonts w:ascii="Times New Roman" w:hAnsi="Times New Roman" w:cs="Times New Roman"/>
          <w:sz w:val="24"/>
          <w:szCs w:val="24"/>
        </w:rPr>
      </w:pPr>
      <w:r w:rsidRPr="00B37F10">
        <w:rPr>
          <w:rFonts w:ascii="Times New Roman" w:hAnsi="Times New Roman" w:cs="Times New Roman"/>
          <w:b/>
          <w:bCs/>
          <w:sz w:val="24"/>
          <w:szCs w:val="24"/>
        </w:rPr>
        <w:t>Location of Institution</w:t>
      </w:r>
      <w:r w:rsidRPr="00B37F10">
        <w:rPr>
          <w:rFonts w:ascii="Times New Roman" w:hAnsi="Times New Roman" w:cs="Times New Roman"/>
          <w:sz w:val="24"/>
          <w:szCs w:val="24"/>
        </w:rPr>
        <w:t>:</w:t>
      </w:r>
    </w:p>
    <w:p w14:paraId="686B33EA" w14:textId="77777777" w:rsidR="00B37F10" w:rsidRPr="00B37F10" w:rsidRDefault="00B37F10" w:rsidP="00B37F10">
      <w:pPr>
        <w:numPr>
          <w:ilvl w:val="1"/>
          <w:numId w:val="7"/>
        </w:numPr>
        <w:jc w:val="both"/>
        <w:rPr>
          <w:rFonts w:ascii="Times New Roman" w:hAnsi="Times New Roman" w:cs="Times New Roman"/>
          <w:sz w:val="24"/>
          <w:szCs w:val="24"/>
        </w:rPr>
      </w:pPr>
      <w:r w:rsidRPr="00B37F10">
        <w:rPr>
          <w:rFonts w:ascii="Times New Roman" w:hAnsi="Times New Roman" w:cs="Times New Roman"/>
          <w:b/>
          <w:bCs/>
          <w:sz w:val="24"/>
          <w:szCs w:val="24"/>
        </w:rPr>
        <w:t>Geographical Distribution</w:t>
      </w:r>
      <w:r w:rsidRPr="00B37F10">
        <w:rPr>
          <w:rFonts w:ascii="Times New Roman" w:hAnsi="Times New Roman" w:cs="Times New Roman"/>
          <w:sz w:val="24"/>
          <w:szCs w:val="24"/>
        </w:rPr>
        <w:t>: Responses indicated a diverse geographical representation, with institutions located primarily in urban areas.</w:t>
      </w:r>
    </w:p>
    <w:p w14:paraId="73B38D6B" w14:textId="77777777" w:rsidR="00B37F10" w:rsidRPr="00B37F10" w:rsidRDefault="00B37F10" w:rsidP="00B37F10">
      <w:pPr>
        <w:numPr>
          <w:ilvl w:val="0"/>
          <w:numId w:val="7"/>
        </w:numPr>
        <w:jc w:val="both"/>
        <w:rPr>
          <w:rFonts w:ascii="Times New Roman" w:hAnsi="Times New Roman" w:cs="Times New Roman"/>
          <w:sz w:val="24"/>
          <w:szCs w:val="24"/>
        </w:rPr>
      </w:pPr>
      <w:r w:rsidRPr="00B37F10">
        <w:rPr>
          <w:rFonts w:ascii="Times New Roman" w:hAnsi="Times New Roman" w:cs="Times New Roman"/>
          <w:b/>
          <w:bCs/>
          <w:sz w:val="24"/>
          <w:szCs w:val="24"/>
        </w:rPr>
        <w:t>Total Assets</w:t>
      </w:r>
      <w:r w:rsidRPr="00B37F10">
        <w:rPr>
          <w:rFonts w:ascii="Times New Roman" w:hAnsi="Times New Roman" w:cs="Times New Roman"/>
          <w:sz w:val="24"/>
          <w:szCs w:val="24"/>
        </w:rPr>
        <w:t>:</w:t>
      </w:r>
    </w:p>
    <w:p w14:paraId="4A4533E9" w14:textId="77777777" w:rsidR="00B37F10" w:rsidRPr="00B37F10" w:rsidRDefault="00B37F10" w:rsidP="00B37F10">
      <w:pPr>
        <w:numPr>
          <w:ilvl w:val="1"/>
          <w:numId w:val="7"/>
        </w:numPr>
        <w:jc w:val="both"/>
        <w:rPr>
          <w:rFonts w:ascii="Times New Roman" w:hAnsi="Times New Roman" w:cs="Times New Roman"/>
          <w:sz w:val="24"/>
          <w:szCs w:val="24"/>
        </w:rPr>
      </w:pPr>
      <w:r w:rsidRPr="00B37F10">
        <w:rPr>
          <w:rFonts w:ascii="Times New Roman" w:hAnsi="Times New Roman" w:cs="Times New Roman"/>
          <w:b/>
          <w:bCs/>
          <w:sz w:val="24"/>
          <w:szCs w:val="24"/>
        </w:rPr>
        <w:t>Asset Size Distribution</w:t>
      </w:r>
      <w:r w:rsidRPr="00B37F10">
        <w:rPr>
          <w:rFonts w:ascii="Times New Roman" w:hAnsi="Times New Roman" w:cs="Times New Roman"/>
          <w:sz w:val="24"/>
          <w:szCs w:val="24"/>
        </w:rPr>
        <w:t>:</w:t>
      </w:r>
    </w:p>
    <w:p w14:paraId="5BE55D2A" w14:textId="77777777" w:rsidR="00B37F10" w:rsidRPr="00B37F10" w:rsidRDefault="00B37F10" w:rsidP="00B37F10">
      <w:pPr>
        <w:numPr>
          <w:ilvl w:val="2"/>
          <w:numId w:val="7"/>
        </w:numPr>
        <w:jc w:val="both"/>
        <w:rPr>
          <w:rFonts w:ascii="Times New Roman" w:hAnsi="Times New Roman" w:cs="Times New Roman"/>
          <w:sz w:val="24"/>
          <w:szCs w:val="24"/>
        </w:rPr>
      </w:pPr>
      <w:r w:rsidRPr="00B37F10">
        <w:rPr>
          <w:rFonts w:ascii="Times New Roman" w:hAnsi="Times New Roman" w:cs="Times New Roman"/>
          <w:sz w:val="24"/>
          <w:szCs w:val="24"/>
        </w:rPr>
        <w:t xml:space="preserve">Less than ₹500 crore: </w:t>
      </w:r>
      <w:r w:rsidRPr="00B37F10">
        <w:rPr>
          <w:rFonts w:ascii="Times New Roman" w:hAnsi="Times New Roman" w:cs="Times New Roman"/>
          <w:b/>
          <w:bCs/>
          <w:sz w:val="24"/>
          <w:szCs w:val="24"/>
        </w:rPr>
        <w:t>30%</w:t>
      </w:r>
    </w:p>
    <w:p w14:paraId="09340734" w14:textId="77777777" w:rsidR="00B37F10" w:rsidRPr="00B37F10" w:rsidRDefault="00B37F10" w:rsidP="00B37F10">
      <w:pPr>
        <w:numPr>
          <w:ilvl w:val="2"/>
          <w:numId w:val="7"/>
        </w:numPr>
        <w:jc w:val="both"/>
        <w:rPr>
          <w:rFonts w:ascii="Times New Roman" w:hAnsi="Times New Roman" w:cs="Times New Roman"/>
          <w:sz w:val="24"/>
          <w:szCs w:val="24"/>
        </w:rPr>
      </w:pPr>
      <w:r w:rsidRPr="00B37F10">
        <w:rPr>
          <w:rFonts w:ascii="Times New Roman" w:hAnsi="Times New Roman" w:cs="Times New Roman"/>
          <w:sz w:val="24"/>
          <w:szCs w:val="24"/>
        </w:rPr>
        <w:t xml:space="preserve">₹500 crore - ₹1,000 crore: </w:t>
      </w:r>
      <w:r w:rsidRPr="00B37F10">
        <w:rPr>
          <w:rFonts w:ascii="Times New Roman" w:hAnsi="Times New Roman" w:cs="Times New Roman"/>
          <w:b/>
          <w:bCs/>
          <w:sz w:val="24"/>
          <w:szCs w:val="24"/>
        </w:rPr>
        <w:t>25%</w:t>
      </w:r>
    </w:p>
    <w:p w14:paraId="2C04FB6E" w14:textId="77777777" w:rsidR="00B37F10" w:rsidRPr="00B37F10" w:rsidRDefault="00B37F10" w:rsidP="00B37F10">
      <w:pPr>
        <w:numPr>
          <w:ilvl w:val="2"/>
          <w:numId w:val="7"/>
        </w:numPr>
        <w:jc w:val="both"/>
        <w:rPr>
          <w:rFonts w:ascii="Times New Roman" w:hAnsi="Times New Roman" w:cs="Times New Roman"/>
          <w:sz w:val="24"/>
          <w:szCs w:val="24"/>
        </w:rPr>
      </w:pPr>
      <w:r w:rsidRPr="00B37F10">
        <w:rPr>
          <w:rFonts w:ascii="Times New Roman" w:hAnsi="Times New Roman" w:cs="Times New Roman"/>
          <w:sz w:val="24"/>
          <w:szCs w:val="24"/>
        </w:rPr>
        <w:t xml:space="preserve">₹1,000 crore - ₹5,000 crore: </w:t>
      </w:r>
      <w:r w:rsidRPr="00B37F10">
        <w:rPr>
          <w:rFonts w:ascii="Times New Roman" w:hAnsi="Times New Roman" w:cs="Times New Roman"/>
          <w:b/>
          <w:bCs/>
          <w:sz w:val="24"/>
          <w:szCs w:val="24"/>
        </w:rPr>
        <w:t>30%</w:t>
      </w:r>
    </w:p>
    <w:p w14:paraId="562E84E0" w14:textId="77777777" w:rsidR="00B37F10" w:rsidRPr="009964CD" w:rsidRDefault="00B37F10" w:rsidP="00B37F10">
      <w:pPr>
        <w:numPr>
          <w:ilvl w:val="2"/>
          <w:numId w:val="7"/>
        </w:numPr>
        <w:jc w:val="both"/>
        <w:rPr>
          <w:rFonts w:ascii="Times New Roman" w:hAnsi="Times New Roman" w:cs="Times New Roman"/>
          <w:sz w:val="24"/>
          <w:szCs w:val="24"/>
        </w:rPr>
      </w:pPr>
      <w:r w:rsidRPr="00B37F10">
        <w:rPr>
          <w:rFonts w:ascii="Times New Roman" w:hAnsi="Times New Roman" w:cs="Times New Roman"/>
          <w:sz w:val="24"/>
          <w:szCs w:val="24"/>
        </w:rPr>
        <w:t xml:space="preserve">More than ₹5,000 crore: </w:t>
      </w:r>
      <w:r w:rsidRPr="00B37F10">
        <w:rPr>
          <w:rFonts w:ascii="Times New Roman" w:hAnsi="Times New Roman" w:cs="Times New Roman"/>
          <w:b/>
          <w:bCs/>
          <w:sz w:val="24"/>
          <w:szCs w:val="24"/>
        </w:rPr>
        <w:t>15%</w:t>
      </w:r>
    </w:p>
    <w:p w14:paraId="00B454AE" w14:textId="4E3D0C95" w:rsidR="00FE412B" w:rsidRPr="009964CD" w:rsidRDefault="001D2CEA" w:rsidP="007E34C3">
      <w:pPr>
        <w:jc w:val="center"/>
        <w:rPr>
          <w:rFonts w:ascii="Times New Roman" w:hAnsi="Times New Roman" w:cs="Times New Roman"/>
          <w:sz w:val="24"/>
          <w:szCs w:val="24"/>
        </w:rPr>
      </w:pPr>
      <w:r w:rsidRPr="009964CD">
        <w:rPr>
          <w:rFonts w:ascii="Times New Roman" w:hAnsi="Times New Roman" w:cs="Times New Roman"/>
          <w:noProof/>
          <w:sz w:val="24"/>
          <w:szCs w:val="24"/>
        </w:rPr>
        <w:lastRenderedPageBreak/>
        <w:drawing>
          <wp:inline distT="0" distB="0" distL="0" distR="0" wp14:anchorId="17188660" wp14:editId="31047BCE">
            <wp:extent cx="2801298" cy="1670304"/>
            <wp:effectExtent l="0" t="0" r="0" b="6350"/>
            <wp:docPr id="18528897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32120" cy="1688682"/>
                    </a:xfrm>
                    <a:prstGeom prst="rect">
                      <a:avLst/>
                    </a:prstGeom>
                    <a:noFill/>
                  </pic:spPr>
                </pic:pic>
              </a:graphicData>
            </a:graphic>
          </wp:inline>
        </w:drawing>
      </w:r>
    </w:p>
    <w:p w14:paraId="4923AEF7" w14:textId="438CBB93" w:rsidR="001D2CEA" w:rsidRPr="00B37F10" w:rsidRDefault="001D2CEA" w:rsidP="007E34C3">
      <w:pPr>
        <w:rPr>
          <w:rFonts w:ascii="Times New Roman" w:hAnsi="Times New Roman" w:cs="Times New Roman"/>
          <w:noProof/>
          <w:sz w:val="24"/>
          <w:szCs w:val="24"/>
        </w:rPr>
      </w:pPr>
      <w:r w:rsidRPr="009964CD">
        <w:rPr>
          <w:rFonts w:ascii="Times New Roman" w:hAnsi="Times New Roman" w:cs="Times New Roman"/>
          <w:sz w:val="24"/>
          <w:szCs w:val="24"/>
        </w:rPr>
        <w:t xml:space="preserve">Bar chart representing the asset size distribution. Each category is </w:t>
      </w:r>
      <w:proofErr w:type="spellStart"/>
      <w:r w:rsidRPr="009964CD">
        <w:rPr>
          <w:rFonts w:ascii="Times New Roman" w:hAnsi="Times New Roman" w:cs="Times New Roman"/>
          <w:sz w:val="24"/>
          <w:szCs w:val="24"/>
        </w:rPr>
        <w:t>labeled</w:t>
      </w:r>
      <w:proofErr w:type="spellEnd"/>
      <w:r w:rsidRPr="009964CD">
        <w:rPr>
          <w:rFonts w:ascii="Times New Roman" w:hAnsi="Times New Roman" w:cs="Times New Roman"/>
          <w:sz w:val="24"/>
          <w:szCs w:val="24"/>
        </w:rPr>
        <w:t>, and the percentage values are displayed on top of the bars for clarity.</w:t>
      </w:r>
    </w:p>
    <w:p w14:paraId="190EC830" w14:textId="76370316" w:rsidR="007E34C3" w:rsidRPr="00B37F10" w:rsidRDefault="007E34C3" w:rsidP="007E34C3">
      <w:pPr>
        <w:jc w:val="both"/>
        <w:rPr>
          <w:rFonts w:ascii="Times New Roman" w:hAnsi="Times New Roman" w:cs="Times New Roman"/>
          <w:b/>
          <w:bCs/>
          <w:sz w:val="24"/>
          <w:szCs w:val="24"/>
        </w:rPr>
      </w:pPr>
      <w:r w:rsidRPr="00B37F10">
        <w:rPr>
          <w:rFonts w:ascii="Times New Roman" w:hAnsi="Times New Roman" w:cs="Times New Roman"/>
          <w:b/>
          <w:bCs/>
          <w:sz w:val="24"/>
          <w:szCs w:val="24"/>
        </w:rPr>
        <w:t>SECTION B: GOVERNANCE PRACTICES</w:t>
      </w:r>
    </w:p>
    <w:p w14:paraId="5C9F94B8" w14:textId="77777777" w:rsidR="00B37F10" w:rsidRPr="00B37F10" w:rsidRDefault="00B37F10" w:rsidP="00B37F10">
      <w:pPr>
        <w:numPr>
          <w:ilvl w:val="0"/>
          <w:numId w:val="8"/>
        </w:numPr>
        <w:jc w:val="both"/>
        <w:rPr>
          <w:rFonts w:ascii="Times New Roman" w:hAnsi="Times New Roman" w:cs="Times New Roman"/>
          <w:sz w:val="24"/>
          <w:szCs w:val="24"/>
        </w:rPr>
      </w:pPr>
      <w:r w:rsidRPr="00B37F10">
        <w:rPr>
          <w:rFonts w:ascii="Times New Roman" w:hAnsi="Times New Roman" w:cs="Times New Roman"/>
          <w:b/>
          <w:bCs/>
          <w:sz w:val="24"/>
          <w:szCs w:val="24"/>
        </w:rPr>
        <w:t>Formal Governance Framework</w:t>
      </w:r>
      <w:r w:rsidRPr="00B37F10">
        <w:rPr>
          <w:rFonts w:ascii="Times New Roman" w:hAnsi="Times New Roman" w:cs="Times New Roman"/>
          <w:sz w:val="24"/>
          <w:szCs w:val="24"/>
        </w:rPr>
        <w:t>:</w:t>
      </w:r>
    </w:p>
    <w:p w14:paraId="71194BCE" w14:textId="77777777" w:rsidR="00B37F10" w:rsidRPr="00B37F10" w:rsidRDefault="00B37F10" w:rsidP="00B37F10">
      <w:pPr>
        <w:numPr>
          <w:ilvl w:val="1"/>
          <w:numId w:val="8"/>
        </w:numPr>
        <w:jc w:val="both"/>
        <w:rPr>
          <w:rFonts w:ascii="Times New Roman" w:hAnsi="Times New Roman" w:cs="Times New Roman"/>
          <w:sz w:val="24"/>
          <w:szCs w:val="24"/>
        </w:rPr>
      </w:pPr>
      <w:r w:rsidRPr="00B37F10">
        <w:rPr>
          <w:rFonts w:ascii="Times New Roman" w:hAnsi="Times New Roman" w:cs="Times New Roman"/>
          <w:b/>
          <w:bCs/>
          <w:sz w:val="24"/>
          <w:szCs w:val="24"/>
        </w:rPr>
        <w:t>Findings</w:t>
      </w:r>
      <w:r w:rsidRPr="00B37F10">
        <w:rPr>
          <w:rFonts w:ascii="Times New Roman" w:hAnsi="Times New Roman" w:cs="Times New Roman"/>
          <w:sz w:val="24"/>
          <w:szCs w:val="24"/>
        </w:rPr>
        <w:t xml:space="preserve">: </w:t>
      </w:r>
      <w:r w:rsidRPr="00B37F10">
        <w:rPr>
          <w:rFonts w:ascii="Times New Roman" w:hAnsi="Times New Roman" w:cs="Times New Roman"/>
          <w:b/>
          <w:bCs/>
          <w:sz w:val="24"/>
          <w:szCs w:val="24"/>
        </w:rPr>
        <w:t>85%</w:t>
      </w:r>
      <w:r w:rsidRPr="00B37F10">
        <w:rPr>
          <w:rFonts w:ascii="Times New Roman" w:hAnsi="Times New Roman" w:cs="Times New Roman"/>
          <w:sz w:val="24"/>
          <w:szCs w:val="24"/>
        </w:rPr>
        <w:t xml:space="preserve"> of institutions reported having a formal governance framework in place.</w:t>
      </w:r>
    </w:p>
    <w:p w14:paraId="727E0C6D" w14:textId="77777777" w:rsidR="00B37F10" w:rsidRPr="00B37F10" w:rsidRDefault="00B37F10" w:rsidP="00B37F10">
      <w:pPr>
        <w:numPr>
          <w:ilvl w:val="0"/>
          <w:numId w:val="8"/>
        </w:numPr>
        <w:jc w:val="both"/>
        <w:rPr>
          <w:rFonts w:ascii="Times New Roman" w:hAnsi="Times New Roman" w:cs="Times New Roman"/>
          <w:sz w:val="24"/>
          <w:szCs w:val="24"/>
        </w:rPr>
      </w:pPr>
      <w:r w:rsidRPr="00B37F10">
        <w:rPr>
          <w:rFonts w:ascii="Times New Roman" w:hAnsi="Times New Roman" w:cs="Times New Roman"/>
          <w:b/>
          <w:bCs/>
          <w:sz w:val="24"/>
          <w:szCs w:val="24"/>
        </w:rPr>
        <w:t>Frequency of Board Meetings</w:t>
      </w:r>
      <w:r w:rsidRPr="00B37F10">
        <w:rPr>
          <w:rFonts w:ascii="Times New Roman" w:hAnsi="Times New Roman" w:cs="Times New Roman"/>
          <w:sz w:val="24"/>
          <w:szCs w:val="24"/>
        </w:rPr>
        <w:t>:</w:t>
      </w:r>
    </w:p>
    <w:p w14:paraId="68AFB5B2" w14:textId="77777777" w:rsidR="00B37F10" w:rsidRPr="00B37F10" w:rsidRDefault="00B37F10" w:rsidP="00B37F10">
      <w:pPr>
        <w:numPr>
          <w:ilvl w:val="1"/>
          <w:numId w:val="8"/>
        </w:numPr>
        <w:jc w:val="both"/>
        <w:rPr>
          <w:rFonts w:ascii="Times New Roman" w:hAnsi="Times New Roman" w:cs="Times New Roman"/>
          <w:sz w:val="24"/>
          <w:szCs w:val="24"/>
        </w:rPr>
      </w:pPr>
      <w:r w:rsidRPr="00B37F10">
        <w:rPr>
          <w:rFonts w:ascii="Times New Roman" w:hAnsi="Times New Roman" w:cs="Times New Roman"/>
          <w:b/>
          <w:bCs/>
          <w:sz w:val="24"/>
          <w:szCs w:val="24"/>
        </w:rPr>
        <w:t>Responses</w:t>
      </w:r>
      <w:r w:rsidRPr="00B37F10">
        <w:rPr>
          <w:rFonts w:ascii="Times New Roman" w:hAnsi="Times New Roman" w:cs="Times New Roman"/>
          <w:sz w:val="24"/>
          <w:szCs w:val="24"/>
        </w:rPr>
        <w:t>:</w:t>
      </w:r>
    </w:p>
    <w:p w14:paraId="37DA507F" w14:textId="77777777" w:rsidR="00B37F10" w:rsidRPr="00B37F10" w:rsidRDefault="00B37F10" w:rsidP="00B37F10">
      <w:pPr>
        <w:numPr>
          <w:ilvl w:val="2"/>
          <w:numId w:val="8"/>
        </w:numPr>
        <w:jc w:val="both"/>
        <w:rPr>
          <w:rFonts w:ascii="Times New Roman" w:hAnsi="Times New Roman" w:cs="Times New Roman"/>
          <w:sz w:val="24"/>
          <w:szCs w:val="24"/>
        </w:rPr>
      </w:pPr>
      <w:r w:rsidRPr="00B37F10">
        <w:rPr>
          <w:rFonts w:ascii="Times New Roman" w:hAnsi="Times New Roman" w:cs="Times New Roman"/>
          <w:sz w:val="24"/>
          <w:szCs w:val="24"/>
        </w:rPr>
        <w:t xml:space="preserve">Monthly: </w:t>
      </w:r>
      <w:r w:rsidRPr="00B37F10">
        <w:rPr>
          <w:rFonts w:ascii="Times New Roman" w:hAnsi="Times New Roman" w:cs="Times New Roman"/>
          <w:b/>
          <w:bCs/>
          <w:sz w:val="24"/>
          <w:szCs w:val="24"/>
        </w:rPr>
        <w:t>40%</w:t>
      </w:r>
    </w:p>
    <w:p w14:paraId="4D4EE204" w14:textId="77777777" w:rsidR="00B37F10" w:rsidRPr="00B37F10" w:rsidRDefault="00B37F10" w:rsidP="00B37F10">
      <w:pPr>
        <w:numPr>
          <w:ilvl w:val="2"/>
          <w:numId w:val="8"/>
        </w:numPr>
        <w:jc w:val="both"/>
        <w:rPr>
          <w:rFonts w:ascii="Times New Roman" w:hAnsi="Times New Roman" w:cs="Times New Roman"/>
          <w:sz w:val="24"/>
          <w:szCs w:val="24"/>
        </w:rPr>
      </w:pPr>
      <w:r w:rsidRPr="00B37F10">
        <w:rPr>
          <w:rFonts w:ascii="Times New Roman" w:hAnsi="Times New Roman" w:cs="Times New Roman"/>
          <w:sz w:val="24"/>
          <w:szCs w:val="24"/>
        </w:rPr>
        <w:t xml:space="preserve">Quarterly: </w:t>
      </w:r>
      <w:r w:rsidRPr="00B37F10">
        <w:rPr>
          <w:rFonts w:ascii="Times New Roman" w:hAnsi="Times New Roman" w:cs="Times New Roman"/>
          <w:b/>
          <w:bCs/>
          <w:sz w:val="24"/>
          <w:szCs w:val="24"/>
        </w:rPr>
        <w:t>35%</w:t>
      </w:r>
    </w:p>
    <w:p w14:paraId="66419109" w14:textId="77777777" w:rsidR="00B37F10" w:rsidRPr="00B37F10" w:rsidRDefault="00B37F10" w:rsidP="00B37F10">
      <w:pPr>
        <w:numPr>
          <w:ilvl w:val="2"/>
          <w:numId w:val="8"/>
        </w:numPr>
        <w:jc w:val="both"/>
        <w:rPr>
          <w:rFonts w:ascii="Times New Roman" w:hAnsi="Times New Roman" w:cs="Times New Roman"/>
          <w:sz w:val="24"/>
          <w:szCs w:val="24"/>
        </w:rPr>
      </w:pPr>
      <w:r w:rsidRPr="00B37F10">
        <w:rPr>
          <w:rFonts w:ascii="Times New Roman" w:hAnsi="Times New Roman" w:cs="Times New Roman"/>
          <w:sz w:val="24"/>
          <w:szCs w:val="24"/>
        </w:rPr>
        <w:t xml:space="preserve">Biannually: </w:t>
      </w:r>
      <w:r w:rsidRPr="00B37F10">
        <w:rPr>
          <w:rFonts w:ascii="Times New Roman" w:hAnsi="Times New Roman" w:cs="Times New Roman"/>
          <w:b/>
          <w:bCs/>
          <w:sz w:val="24"/>
          <w:szCs w:val="24"/>
        </w:rPr>
        <w:t>15%</w:t>
      </w:r>
    </w:p>
    <w:p w14:paraId="7C660173" w14:textId="77777777" w:rsidR="00B37F10" w:rsidRPr="00B37F10" w:rsidRDefault="00B37F10" w:rsidP="00B37F10">
      <w:pPr>
        <w:numPr>
          <w:ilvl w:val="2"/>
          <w:numId w:val="8"/>
        </w:numPr>
        <w:jc w:val="both"/>
        <w:rPr>
          <w:rFonts w:ascii="Times New Roman" w:hAnsi="Times New Roman" w:cs="Times New Roman"/>
          <w:sz w:val="24"/>
          <w:szCs w:val="24"/>
        </w:rPr>
      </w:pPr>
      <w:r w:rsidRPr="00B37F10">
        <w:rPr>
          <w:rFonts w:ascii="Times New Roman" w:hAnsi="Times New Roman" w:cs="Times New Roman"/>
          <w:sz w:val="24"/>
          <w:szCs w:val="24"/>
        </w:rPr>
        <w:t xml:space="preserve">Annually: </w:t>
      </w:r>
      <w:r w:rsidRPr="00B37F10">
        <w:rPr>
          <w:rFonts w:ascii="Times New Roman" w:hAnsi="Times New Roman" w:cs="Times New Roman"/>
          <w:b/>
          <w:bCs/>
          <w:sz w:val="24"/>
          <w:szCs w:val="24"/>
        </w:rPr>
        <w:t>10%</w:t>
      </w:r>
    </w:p>
    <w:p w14:paraId="70528A4B" w14:textId="77777777" w:rsidR="00B37F10" w:rsidRPr="00B37F10" w:rsidRDefault="00B37F10" w:rsidP="00B37F10">
      <w:pPr>
        <w:numPr>
          <w:ilvl w:val="0"/>
          <w:numId w:val="8"/>
        </w:numPr>
        <w:jc w:val="both"/>
        <w:rPr>
          <w:rFonts w:ascii="Times New Roman" w:hAnsi="Times New Roman" w:cs="Times New Roman"/>
          <w:sz w:val="24"/>
          <w:szCs w:val="24"/>
        </w:rPr>
      </w:pPr>
      <w:r w:rsidRPr="00B37F10">
        <w:rPr>
          <w:rFonts w:ascii="Times New Roman" w:hAnsi="Times New Roman" w:cs="Times New Roman"/>
          <w:b/>
          <w:bCs/>
          <w:sz w:val="24"/>
          <w:szCs w:val="24"/>
        </w:rPr>
        <w:t>Percentage of Independent Board Members</w:t>
      </w:r>
      <w:r w:rsidRPr="00B37F10">
        <w:rPr>
          <w:rFonts w:ascii="Times New Roman" w:hAnsi="Times New Roman" w:cs="Times New Roman"/>
          <w:sz w:val="24"/>
          <w:szCs w:val="24"/>
        </w:rPr>
        <w:t>:</w:t>
      </w:r>
    </w:p>
    <w:p w14:paraId="29904048" w14:textId="77777777" w:rsidR="00B37F10" w:rsidRPr="00B37F10" w:rsidRDefault="00B37F10" w:rsidP="00B37F10">
      <w:pPr>
        <w:numPr>
          <w:ilvl w:val="1"/>
          <w:numId w:val="8"/>
        </w:numPr>
        <w:jc w:val="both"/>
        <w:rPr>
          <w:rFonts w:ascii="Times New Roman" w:hAnsi="Times New Roman" w:cs="Times New Roman"/>
          <w:sz w:val="24"/>
          <w:szCs w:val="24"/>
        </w:rPr>
      </w:pPr>
      <w:r w:rsidRPr="00B37F10">
        <w:rPr>
          <w:rFonts w:ascii="Times New Roman" w:hAnsi="Times New Roman" w:cs="Times New Roman"/>
          <w:b/>
          <w:bCs/>
          <w:sz w:val="24"/>
          <w:szCs w:val="24"/>
        </w:rPr>
        <w:t>Distribution</w:t>
      </w:r>
      <w:r w:rsidRPr="00B37F10">
        <w:rPr>
          <w:rFonts w:ascii="Times New Roman" w:hAnsi="Times New Roman" w:cs="Times New Roman"/>
          <w:sz w:val="24"/>
          <w:szCs w:val="24"/>
        </w:rPr>
        <w:t>:</w:t>
      </w:r>
    </w:p>
    <w:p w14:paraId="1DFEC653" w14:textId="77777777" w:rsidR="00B37F10" w:rsidRPr="00B37F10" w:rsidRDefault="00B37F10" w:rsidP="00B37F10">
      <w:pPr>
        <w:numPr>
          <w:ilvl w:val="2"/>
          <w:numId w:val="8"/>
        </w:numPr>
        <w:jc w:val="both"/>
        <w:rPr>
          <w:rFonts w:ascii="Times New Roman" w:hAnsi="Times New Roman" w:cs="Times New Roman"/>
          <w:sz w:val="24"/>
          <w:szCs w:val="24"/>
        </w:rPr>
      </w:pPr>
      <w:r w:rsidRPr="00B37F10">
        <w:rPr>
          <w:rFonts w:ascii="Times New Roman" w:hAnsi="Times New Roman" w:cs="Times New Roman"/>
          <w:sz w:val="24"/>
          <w:szCs w:val="24"/>
        </w:rPr>
        <w:t xml:space="preserve">0-25%: </w:t>
      </w:r>
      <w:r w:rsidRPr="00B37F10">
        <w:rPr>
          <w:rFonts w:ascii="Times New Roman" w:hAnsi="Times New Roman" w:cs="Times New Roman"/>
          <w:b/>
          <w:bCs/>
          <w:sz w:val="24"/>
          <w:szCs w:val="24"/>
        </w:rPr>
        <w:t>15%</w:t>
      </w:r>
    </w:p>
    <w:p w14:paraId="520B3285" w14:textId="77777777" w:rsidR="00B37F10" w:rsidRPr="00B37F10" w:rsidRDefault="00B37F10" w:rsidP="00B37F10">
      <w:pPr>
        <w:numPr>
          <w:ilvl w:val="2"/>
          <w:numId w:val="8"/>
        </w:numPr>
        <w:jc w:val="both"/>
        <w:rPr>
          <w:rFonts w:ascii="Times New Roman" w:hAnsi="Times New Roman" w:cs="Times New Roman"/>
          <w:sz w:val="24"/>
          <w:szCs w:val="24"/>
        </w:rPr>
      </w:pPr>
      <w:r w:rsidRPr="00B37F10">
        <w:rPr>
          <w:rFonts w:ascii="Times New Roman" w:hAnsi="Times New Roman" w:cs="Times New Roman"/>
          <w:sz w:val="24"/>
          <w:szCs w:val="24"/>
        </w:rPr>
        <w:t xml:space="preserve">26-50%: </w:t>
      </w:r>
      <w:r w:rsidRPr="00B37F10">
        <w:rPr>
          <w:rFonts w:ascii="Times New Roman" w:hAnsi="Times New Roman" w:cs="Times New Roman"/>
          <w:b/>
          <w:bCs/>
          <w:sz w:val="24"/>
          <w:szCs w:val="24"/>
        </w:rPr>
        <w:t>30%</w:t>
      </w:r>
    </w:p>
    <w:p w14:paraId="129E0664" w14:textId="77777777" w:rsidR="00B37F10" w:rsidRPr="00B37F10" w:rsidRDefault="00B37F10" w:rsidP="00B37F10">
      <w:pPr>
        <w:numPr>
          <w:ilvl w:val="2"/>
          <w:numId w:val="8"/>
        </w:numPr>
        <w:jc w:val="both"/>
        <w:rPr>
          <w:rFonts w:ascii="Times New Roman" w:hAnsi="Times New Roman" w:cs="Times New Roman"/>
          <w:sz w:val="24"/>
          <w:szCs w:val="24"/>
        </w:rPr>
      </w:pPr>
      <w:r w:rsidRPr="00B37F10">
        <w:rPr>
          <w:rFonts w:ascii="Times New Roman" w:hAnsi="Times New Roman" w:cs="Times New Roman"/>
          <w:sz w:val="24"/>
          <w:szCs w:val="24"/>
        </w:rPr>
        <w:t xml:space="preserve">51-75%: </w:t>
      </w:r>
      <w:r w:rsidRPr="00B37F10">
        <w:rPr>
          <w:rFonts w:ascii="Times New Roman" w:hAnsi="Times New Roman" w:cs="Times New Roman"/>
          <w:b/>
          <w:bCs/>
          <w:sz w:val="24"/>
          <w:szCs w:val="24"/>
        </w:rPr>
        <w:t>25%</w:t>
      </w:r>
    </w:p>
    <w:p w14:paraId="5367D749" w14:textId="77777777" w:rsidR="00B37F10" w:rsidRPr="009964CD" w:rsidRDefault="00B37F10" w:rsidP="00B37F10">
      <w:pPr>
        <w:numPr>
          <w:ilvl w:val="2"/>
          <w:numId w:val="8"/>
        </w:numPr>
        <w:jc w:val="both"/>
        <w:rPr>
          <w:rFonts w:ascii="Times New Roman" w:hAnsi="Times New Roman" w:cs="Times New Roman"/>
          <w:sz w:val="24"/>
          <w:szCs w:val="24"/>
        </w:rPr>
      </w:pPr>
      <w:r w:rsidRPr="00B37F10">
        <w:rPr>
          <w:rFonts w:ascii="Times New Roman" w:hAnsi="Times New Roman" w:cs="Times New Roman"/>
          <w:sz w:val="24"/>
          <w:szCs w:val="24"/>
        </w:rPr>
        <w:t xml:space="preserve">76-100%: </w:t>
      </w:r>
      <w:r w:rsidRPr="00B37F10">
        <w:rPr>
          <w:rFonts w:ascii="Times New Roman" w:hAnsi="Times New Roman" w:cs="Times New Roman"/>
          <w:b/>
          <w:bCs/>
          <w:sz w:val="24"/>
          <w:szCs w:val="24"/>
        </w:rPr>
        <w:t>30%</w:t>
      </w:r>
    </w:p>
    <w:p w14:paraId="29CF7449" w14:textId="16ACE778" w:rsidR="00C071D5" w:rsidRPr="009964CD" w:rsidRDefault="00C071D5" w:rsidP="007E34C3">
      <w:pPr>
        <w:jc w:val="center"/>
        <w:rPr>
          <w:rFonts w:ascii="Times New Roman" w:hAnsi="Times New Roman" w:cs="Times New Roman"/>
          <w:sz w:val="24"/>
          <w:szCs w:val="24"/>
        </w:rPr>
      </w:pPr>
      <w:r w:rsidRPr="009964CD">
        <w:rPr>
          <w:rFonts w:ascii="Times New Roman" w:hAnsi="Times New Roman" w:cs="Times New Roman"/>
          <w:noProof/>
          <w:sz w:val="24"/>
          <w:szCs w:val="24"/>
        </w:rPr>
        <w:drawing>
          <wp:inline distT="0" distB="0" distL="0" distR="0" wp14:anchorId="02389CFF" wp14:editId="50EB912B">
            <wp:extent cx="2757860" cy="1803781"/>
            <wp:effectExtent l="0" t="0" r="4445" b="6350"/>
            <wp:docPr id="108339329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81476" cy="1819227"/>
                    </a:xfrm>
                    <a:prstGeom prst="rect">
                      <a:avLst/>
                    </a:prstGeom>
                    <a:noFill/>
                  </pic:spPr>
                </pic:pic>
              </a:graphicData>
            </a:graphic>
          </wp:inline>
        </w:drawing>
      </w:r>
    </w:p>
    <w:p w14:paraId="4F6F7F9F" w14:textId="4595BF59" w:rsidR="00C071D5" w:rsidRPr="009964CD" w:rsidRDefault="007E34C3" w:rsidP="00C071D5">
      <w:pPr>
        <w:ind w:firstLine="720"/>
        <w:rPr>
          <w:rFonts w:ascii="Times New Roman" w:hAnsi="Times New Roman" w:cs="Times New Roman"/>
          <w:sz w:val="24"/>
          <w:szCs w:val="24"/>
        </w:rPr>
      </w:pPr>
      <w:r w:rsidRPr="009964CD">
        <w:rPr>
          <w:rFonts w:ascii="Times New Roman" w:hAnsi="Times New Roman" w:cs="Times New Roman"/>
          <w:sz w:val="24"/>
          <w:szCs w:val="24"/>
        </w:rPr>
        <w:lastRenderedPageBreak/>
        <w:t>B</w:t>
      </w:r>
      <w:r w:rsidR="00C071D5" w:rsidRPr="009964CD">
        <w:rPr>
          <w:rFonts w:ascii="Times New Roman" w:hAnsi="Times New Roman" w:cs="Times New Roman"/>
          <w:sz w:val="24"/>
          <w:szCs w:val="24"/>
        </w:rPr>
        <w:t>ar chart illustrating the distribution of percentages across the specified categories.</w:t>
      </w:r>
    </w:p>
    <w:p w14:paraId="226D1FF3" w14:textId="77777777" w:rsidR="00C071D5" w:rsidRPr="00B37F10" w:rsidRDefault="00C071D5" w:rsidP="00C071D5">
      <w:pPr>
        <w:jc w:val="both"/>
        <w:rPr>
          <w:rFonts w:ascii="Times New Roman" w:hAnsi="Times New Roman" w:cs="Times New Roman"/>
          <w:sz w:val="24"/>
          <w:szCs w:val="24"/>
        </w:rPr>
      </w:pPr>
    </w:p>
    <w:p w14:paraId="51BAE4C2" w14:textId="77777777" w:rsidR="00B37F10" w:rsidRPr="00B37F10" w:rsidRDefault="00B37F10" w:rsidP="00B37F10">
      <w:pPr>
        <w:numPr>
          <w:ilvl w:val="0"/>
          <w:numId w:val="8"/>
        </w:numPr>
        <w:jc w:val="both"/>
        <w:rPr>
          <w:rFonts w:ascii="Times New Roman" w:hAnsi="Times New Roman" w:cs="Times New Roman"/>
          <w:sz w:val="24"/>
          <w:szCs w:val="24"/>
        </w:rPr>
      </w:pPr>
      <w:r w:rsidRPr="00B37F10">
        <w:rPr>
          <w:rFonts w:ascii="Times New Roman" w:hAnsi="Times New Roman" w:cs="Times New Roman"/>
          <w:b/>
          <w:bCs/>
          <w:sz w:val="24"/>
          <w:szCs w:val="24"/>
        </w:rPr>
        <w:t>Effectiveness of Governance Practices</w:t>
      </w:r>
      <w:r w:rsidRPr="00B37F10">
        <w:rPr>
          <w:rFonts w:ascii="Times New Roman" w:hAnsi="Times New Roman" w:cs="Times New Roman"/>
          <w:sz w:val="24"/>
          <w:szCs w:val="24"/>
        </w:rPr>
        <w:t>:</w:t>
      </w:r>
    </w:p>
    <w:p w14:paraId="09E6CD22" w14:textId="77777777" w:rsidR="00B37F10" w:rsidRPr="00B37F10" w:rsidRDefault="00B37F10" w:rsidP="00B37F10">
      <w:pPr>
        <w:numPr>
          <w:ilvl w:val="1"/>
          <w:numId w:val="8"/>
        </w:numPr>
        <w:jc w:val="both"/>
        <w:rPr>
          <w:rFonts w:ascii="Times New Roman" w:hAnsi="Times New Roman" w:cs="Times New Roman"/>
          <w:sz w:val="24"/>
          <w:szCs w:val="24"/>
        </w:rPr>
      </w:pPr>
      <w:r w:rsidRPr="00B37F10">
        <w:rPr>
          <w:rFonts w:ascii="Times New Roman" w:hAnsi="Times New Roman" w:cs="Times New Roman"/>
          <w:b/>
          <w:bCs/>
          <w:sz w:val="24"/>
          <w:szCs w:val="24"/>
        </w:rPr>
        <w:t>Rating</w:t>
      </w:r>
      <w:r w:rsidRPr="00B37F10">
        <w:rPr>
          <w:rFonts w:ascii="Times New Roman" w:hAnsi="Times New Roman" w:cs="Times New Roman"/>
          <w:sz w:val="24"/>
          <w:szCs w:val="24"/>
        </w:rPr>
        <w:t>:</w:t>
      </w:r>
    </w:p>
    <w:p w14:paraId="76583EFB" w14:textId="77777777" w:rsidR="00B37F10" w:rsidRPr="00B37F10" w:rsidRDefault="00B37F10" w:rsidP="00B37F10">
      <w:pPr>
        <w:numPr>
          <w:ilvl w:val="2"/>
          <w:numId w:val="8"/>
        </w:numPr>
        <w:jc w:val="both"/>
        <w:rPr>
          <w:rFonts w:ascii="Times New Roman" w:hAnsi="Times New Roman" w:cs="Times New Roman"/>
          <w:sz w:val="24"/>
          <w:szCs w:val="24"/>
        </w:rPr>
      </w:pPr>
      <w:r w:rsidRPr="00B37F10">
        <w:rPr>
          <w:rFonts w:ascii="Times New Roman" w:hAnsi="Times New Roman" w:cs="Times New Roman"/>
          <w:sz w:val="24"/>
          <w:szCs w:val="24"/>
        </w:rPr>
        <w:t xml:space="preserve">1 (Very Poor): </w:t>
      </w:r>
      <w:r w:rsidRPr="00B37F10">
        <w:rPr>
          <w:rFonts w:ascii="Times New Roman" w:hAnsi="Times New Roman" w:cs="Times New Roman"/>
          <w:b/>
          <w:bCs/>
          <w:sz w:val="24"/>
          <w:szCs w:val="24"/>
        </w:rPr>
        <w:t>5%</w:t>
      </w:r>
    </w:p>
    <w:p w14:paraId="327514C7" w14:textId="77777777" w:rsidR="00B37F10" w:rsidRPr="00B37F10" w:rsidRDefault="00B37F10" w:rsidP="00B37F10">
      <w:pPr>
        <w:numPr>
          <w:ilvl w:val="2"/>
          <w:numId w:val="8"/>
        </w:numPr>
        <w:jc w:val="both"/>
        <w:rPr>
          <w:rFonts w:ascii="Times New Roman" w:hAnsi="Times New Roman" w:cs="Times New Roman"/>
          <w:sz w:val="24"/>
          <w:szCs w:val="24"/>
        </w:rPr>
      </w:pPr>
      <w:r w:rsidRPr="00B37F10">
        <w:rPr>
          <w:rFonts w:ascii="Times New Roman" w:hAnsi="Times New Roman" w:cs="Times New Roman"/>
          <w:sz w:val="24"/>
          <w:szCs w:val="24"/>
        </w:rPr>
        <w:t xml:space="preserve">2 (Poor): </w:t>
      </w:r>
      <w:r w:rsidRPr="00B37F10">
        <w:rPr>
          <w:rFonts w:ascii="Times New Roman" w:hAnsi="Times New Roman" w:cs="Times New Roman"/>
          <w:b/>
          <w:bCs/>
          <w:sz w:val="24"/>
          <w:szCs w:val="24"/>
        </w:rPr>
        <w:t>10%</w:t>
      </w:r>
    </w:p>
    <w:p w14:paraId="50AAD7DB" w14:textId="77777777" w:rsidR="00B37F10" w:rsidRPr="00B37F10" w:rsidRDefault="00B37F10" w:rsidP="00B37F10">
      <w:pPr>
        <w:numPr>
          <w:ilvl w:val="2"/>
          <w:numId w:val="8"/>
        </w:numPr>
        <w:jc w:val="both"/>
        <w:rPr>
          <w:rFonts w:ascii="Times New Roman" w:hAnsi="Times New Roman" w:cs="Times New Roman"/>
          <w:sz w:val="24"/>
          <w:szCs w:val="24"/>
        </w:rPr>
      </w:pPr>
      <w:r w:rsidRPr="00B37F10">
        <w:rPr>
          <w:rFonts w:ascii="Times New Roman" w:hAnsi="Times New Roman" w:cs="Times New Roman"/>
          <w:sz w:val="24"/>
          <w:szCs w:val="24"/>
        </w:rPr>
        <w:t xml:space="preserve">3 (Average): </w:t>
      </w:r>
      <w:r w:rsidRPr="00B37F10">
        <w:rPr>
          <w:rFonts w:ascii="Times New Roman" w:hAnsi="Times New Roman" w:cs="Times New Roman"/>
          <w:b/>
          <w:bCs/>
          <w:sz w:val="24"/>
          <w:szCs w:val="24"/>
        </w:rPr>
        <w:t>25%</w:t>
      </w:r>
    </w:p>
    <w:p w14:paraId="4527C3ED" w14:textId="77777777" w:rsidR="00B37F10" w:rsidRPr="00B37F10" w:rsidRDefault="00B37F10" w:rsidP="00B37F10">
      <w:pPr>
        <w:numPr>
          <w:ilvl w:val="2"/>
          <w:numId w:val="8"/>
        </w:numPr>
        <w:jc w:val="both"/>
        <w:rPr>
          <w:rFonts w:ascii="Times New Roman" w:hAnsi="Times New Roman" w:cs="Times New Roman"/>
          <w:sz w:val="24"/>
          <w:szCs w:val="24"/>
        </w:rPr>
      </w:pPr>
      <w:r w:rsidRPr="00B37F10">
        <w:rPr>
          <w:rFonts w:ascii="Times New Roman" w:hAnsi="Times New Roman" w:cs="Times New Roman"/>
          <w:sz w:val="24"/>
          <w:szCs w:val="24"/>
        </w:rPr>
        <w:t xml:space="preserve">4 (Good): </w:t>
      </w:r>
      <w:r w:rsidRPr="00B37F10">
        <w:rPr>
          <w:rFonts w:ascii="Times New Roman" w:hAnsi="Times New Roman" w:cs="Times New Roman"/>
          <w:b/>
          <w:bCs/>
          <w:sz w:val="24"/>
          <w:szCs w:val="24"/>
        </w:rPr>
        <w:t>35%</w:t>
      </w:r>
    </w:p>
    <w:p w14:paraId="21942CFF" w14:textId="77777777" w:rsidR="00B37F10" w:rsidRPr="00B37F10" w:rsidRDefault="00B37F10" w:rsidP="00B37F10">
      <w:pPr>
        <w:numPr>
          <w:ilvl w:val="2"/>
          <w:numId w:val="8"/>
        </w:numPr>
        <w:jc w:val="both"/>
        <w:rPr>
          <w:rFonts w:ascii="Times New Roman" w:hAnsi="Times New Roman" w:cs="Times New Roman"/>
          <w:sz w:val="24"/>
          <w:szCs w:val="24"/>
        </w:rPr>
      </w:pPr>
      <w:r w:rsidRPr="00B37F10">
        <w:rPr>
          <w:rFonts w:ascii="Times New Roman" w:hAnsi="Times New Roman" w:cs="Times New Roman"/>
          <w:sz w:val="24"/>
          <w:szCs w:val="24"/>
        </w:rPr>
        <w:t xml:space="preserve">5 (Excellent): </w:t>
      </w:r>
      <w:r w:rsidRPr="00B37F10">
        <w:rPr>
          <w:rFonts w:ascii="Times New Roman" w:hAnsi="Times New Roman" w:cs="Times New Roman"/>
          <w:b/>
          <w:bCs/>
          <w:sz w:val="24"/>
          <w:szCs w:val="24"/>
        </w:rPr>
        <w:t>25%</w:t>
      </w:r>
    </w:p>
    <w:p w14:paraId="4C8EFA91" w14:textId="697241CC" w:rsidR="00B37F10" w:rsidRPr="00B37F10" w:rsidRDefault="007E34C3" w:rsidP="007E34C3">
      <w:pPr>
        <w:jc w:val="both"/>
        <w:rPr>
          <w:rFonts w:ascii="Times New Roman" w:hAnsi="Times New Roman" w:cs="Times New Roman"/>
          <w:b/>
          <w:bCs/>
          <w:sz w:val="24"/>
          <w:szCs w:val="24"/>
        </w:rPr>
      </w:pPr>
      <w:r w:rsidRPr="00B37F10">
        <w:rPr>
          <w:rFonts w:ascii="Times New Roman" w:hAnsi="Times New Roman" w:cs="Times New Roman"/>
          <w:b/>
          <w:bCs/>
          <w:sz w:val="24"/>
          <w:szCs w:val="24"/>
        </w:rPr>
        <w:t>SECTION C: RISK MANAGEMENT PRACTICES</w:t>
      </w:r>
    </w:p>
    <w:p w14:paraId="242F74E7" w14:textId="77777777" w:rsidR="00B37F10" w:rsidRPr="00B37F10" w:rsidRDefault="00B37F10" w:rsidP="00B37F10">
      <w:pPr>
        <w:numPr>
          <w:ilvl w:val="0"/>
          <w:numId w:val="9"/>
        </w:numPr>
        <w:jc w:val="both"/>
        <w:rPr>
          <w:rFonts w:ascii="Times New Roman" w:hAnsi="Times New Roman" w:cs="Times New Roman"/>
          <w:sz w:val="24"/>
          <w:szCs w:val="24"/>
        </w:rPr>
      </w:pPr>
      <w:r w:rsidRPr="00B37F10">
        <w:rPr>
          <w:rFonts w:ascii="Times New Roman" w:hAnsi="Times New Roman" w:cs="Times New Roman"/>
          <w:b/>
          <w:bCs/>
          <w:sz w:val="24"/>
          <w:szCs w:val="24"/>
        </w:rPr>
        <w:t>Types of Risks Focused On</w:t>
      </w:r>
      <w:r w:rsidRPr="00B37F10">
        <w:rPr>
          <w:rFonts w:ascii="Times New Roman" w:hAnsi="Times New Roman" w:cs="Times New Roman"/>
          <w:sz w:val="24"/>
          <w:szCs w:val="24"/>
        </w:rPr>
        <w:t>:</w:t>
      </w:r>
    </w:p>
    <w:p w14:paraId="4BA48ECB" w14:textId="77777777" w:rsidR="00B37F10" w:rsidRPr="00B37F10" w:rsidRDefault="00B37F10" w:rsidP="00B37F10">
      <w:pPr>
        <w:numPr>
          <w:ilvl w:val="1"/>
          <w:numId w:val="9"/>
        </w:numPr>
        <w:jc w:val="both"/>
        <w:rPr>
          <w:rFonts w:ascii="Times New Roman" w:hAnsi="Times New Roman" w:cs="Times New Roman"/>
          <w:sz w:val="24"/>
          <w:szCs w:val="24"/>
        </w:rPr>
      </w:pPr>
      <w:r w:rsidRPr="00B37F10">
        <w:rPr>
          <w:rFonts w:ascii="Times New Roman" w:hAnsi="Times New Roman" w:cs="Times New Roman"/>
          <w:b/>
          <w:bCs/>
          <w:sz w:val="24"/>
          <w:szCs w:val="24"/>
        </w:rPr>
        <w:t>Responses</w:t>
      </w:r>
      <w:r w:rsidRPr="00B37F10">
        <w:rPr>
          <w:rFonts w:ascii="Times New Roman" w:hAnsi="Times New Roman" w:cs="Times New Roman"/>
          <w:sz w:val="24"/>
          <w:szCs w:val="24"/>
        </w:rPr>
        <w:t>:</w:t>
      </w:r>
    </w:p>
    <w:p w14:paraId="0306E987" w14:textId="77777777" w:rsidR="00B37F10" w:rsidRPr="00B37F10" w:rsidRDefault="00B37F10" w:rsidP="00B37F10">
      <w:pPr>
        <w:numPr>
          <w:ilvl w:val="2"/>
          <w:numId w:val="9"/>
        </w:numPr>
        <w:jc w:val="both"/>
        <w:rPr>
          <w:rFonts w:ascii="Times New Roman" w:hAnsi="Times New Roman" w:cs="Times New Roman"/>
          <w:sz w:val="24"/>
          <w:szCs w:val="24"/>
        </w:rPr>
      </w:pPr>
      <w:r w:rsidRPr="00B37F10">
        <w:rPr>
          <w:rFonts w:ascii="Times New Roman" w:hAnsi="Times New Roman" w:cs="Times New Roman"/>
          <w:sz w:val="24"/>
          <w:szCs w:val="24"/>
        </w:rPr>
        <w:t xml:space="preserve">Credit Risk: </w:t>
      </w:r>
      <w:r w:rsidRPr="00B37F10">
        <w:rPr>
          <w:rFonts w:ascii="Times New Roman" w:hAnsi="Times New Roman" w:cs="Times New Roman"/>
          <w:b/>
          <w:bCs/>
          <w:sz w:val="24"/>
          <w:szCs w:val="24"/>
        </w:rPr>
        <w:t>70%</w:t>
      </w:r>
    </w:p>
    <w:p w14:paraId="3B39831C" w14:textId="77777777" w:rsidR="00B37F10" w:rsidRPr="00B37F10" w:rsidRDefault="00B37F10" w:rsidP="00B37F10">
      <w:pPr>
        <w:numPr>
          <w:ilvl w:val="2"/>
          <w:numId w:val="9"/>
        </w:numPr>
        <w:jc w:val="both"/>
        <w:rPr>
          <w:rFonts w:ascii="Times New Roman" w:hAnsi="Times New Roman" w:cs="Times New Roman"/>
          <w:sz w:val="24"/>
          <w:szCs w:val="24"/>
        </w:rPr>
      </w:pPr>
      <w:r w:rsidRPr="00B37F10">
        <w:rPr>
          <w:rFonts w:ascii="Times New Roman" w:hAnsi="Times New Roman" w:cs="Times New Roman"/>
          <w:sz w:val="24"/>
          <w:szCs w:val="24"/>
        </w:rPr>
        <w:t xml:space="preserve">Operational Risk: </w:t>
      </w:r>
      <w:r w:rsidRPr="00B37F10">
        <w:rPr>
          <w:rFonts w:ascii="Times New Roman" w:hAnsi="Times New Roman" w:cs="Times New Roman"/>
          <w:b/>
          <w:bCs/>
          <w:sz w:val="24"/>
          <w:szCs w:val="24"/>
        </w:rPr>
        <w:t>60%</w:t>
      </w:r>
    </w:p>
    <w:p w14:paraId="2867A351" w14:textId="77777777" w:rsidR="00B37F10" w:rsidRPr="00B37F10" w:rsidRDefault="00B37F10" w:rsidP="00B37F10">
      <w:pPr>
        <w:numPr>
          <w:ilvl w:val="2"/>
          <w:numId w:val="9"/>
        </w:numPr>
        <w:jc w:val="both"/>
        <w:rPr>
          <w:rFonts w:ascii="Times New Roman" w:hAnsi="Times New Roman" w:cs="Times New Roman"/>
          <w:sz w:val="24"/>
          <w:szCs w:val="24"/>
        </w:rPr>
      </w:pPr>
      <w:r w:rsidRPr="00B37F10">
        <w:rPr>
          <w:rFonts w:ascii="Times New Roman" w:hAnsi="Times New Roman" w:cs="Times New Roman"/>
          <w:sz w:val="24"/>
          <w:szCs w:val="24"/>
        </w:rPr>
        <w:t xml:space="preserve">Market Risk: </w:t>
      </w:r>
      <w:r w:rsidRPr="00B37F10">
        <w:rPr>
          <w:rFonts w:ascii="Times New Roman" w:hAnsi="Times New Roman" w:cs="Times New Roman"/>
          <w:b/>
          <w:bCs/>
          <w:sz w:val="24"/>
          <w:szCs w:val="24"/>
        </w:rPr>
        <w:t>50%</w:t>
      </w:r>
    </w:p>
    <w:p w14:paraId="2AF11240" w14:textId="77777777" w:rsidR="00B37F10" w:rsidRPr="00B37F10" w:rsidRDefault="00B37F10" w:rsidP="00B37F10">
      <w:pPr>
        <w:numPr>
          <w:ilvl w:val="2"/>
          <w:numId w:val="9"/>
        </w:numPr>
        <w:jc w:val="both"/>
        <w:rPr>
          <w:rFonts w:ascii="Times New Roman" w:hAnsi="Times New Roman" w:cs="Times New Roman"/>
          <w:sz w:val="24"/>
          <w:szCs w:val="24"/>
        </w:rPr>
      </w:pPr>
      <w:r w:rsidRPr="00B37F10">
        <w:rPr>
          <w:rFonts w:ascii="Times New Roman" w:hAnsi="Times New Roman" w:cs="Times New Roman"/>
          <w:sz w:val="24"/>
          <w:szCs w:val="24"/>
        </w:rPr>
        <w:t xml:space="preserve">Liquidity Risk: </w:t>
      </w:r>
      <w:r w:rsidRPr="00B37F10">
        <w:rPr>
          <w:rFonts w:ascii="Times New Roman" w:hAnsi="Times New Roman" w:cs="Times New Roman"/>
          <w:b/>
          <w:bCs/>
          <w:sz w:val="24"/>
          <w:szCs w:val="24"/>
        </w:rPr>
        <w:t>40%</w:t>
      </w:r>
    </w:p>
    <w:p w14:paraId="7D55E116" w14:textId="77777777" w:rsidR="00B37F10" w:rsidRPr="009964CD" w:rsidRDefault="00B37F10" w:rsidP="00B37F10">
      <w:pPr>
        <w:numPr>
          <w:ilvl w:val="2"/>
          <w:numId w:val="9"/>
        </w:numPr>
        <w:jc w:val="both"/>
        <w:rPr>
          <w:rFonts w:ascii="Times New Roman" w:hAnsi="Times New Roman" w:cs="Times New Roman"/>
          <w:sz w:val="24"/>
          <w:szCs w:val="24"/>
        </w:rPr>
      </w:pPr>
      <w:r w:rsidRPr="00B37F10">
        <w:rPr>
          <w:rFonts w:ascii="Times New Roman" w:hAnsi="Times New Roman" w:cs="Times New Roman"/>
          <w:sz w:val="24"/>
          <w:szCs w:val="24"/>
        </w:rPr>
        <w:t xml:space="preserve">Cybersecurity Risk: </w:t>
      </w:r>
      <w:r w:rsidRPr="00B37F10">
        <w:rPr>
          <w:rFonts w:ascii="Times New Roman" w:hAnsi="Times New Roman" w:cs="Times New Roman"/>
          <w:b/>
          <w:bCs/>
          <w:sz w:val="24"/>
          <w:szCs w:val="24"/>
        </w:rPr>
        <w:t>55%</w:t>
      </w:r>
    </w:p>
    <w:p w14:paraId="53C1093F" w14:textId="2F8C9E0A" w:rsidR="00BC3E6C" w:rsidRPr="009964CD" w:rsidRDefault="00BC3E6C" w:rsidP="00BC3E6C">
      <w:pPr>
        <w:jc w:val="center"/>
        <w:rPr>
          <w:rFonts w:ascii="Times New Roman" w:hAnsi="Times New Roman" w:cs="Times New Roman"/>
          <w:sz w:val="24"/>
          <w:szCs w:val="24"/>
        </w:rPr>
      </w:pPr>
      <w:r w:rsidRPr="009964CD">
        <w:rPr>
          <w:rFonts w:ascii="Times New Roman" w:hAnsi="Times New Roman" w:cs="Times New Roman"/>
          <w:noProof/>
          <w:sz w:val="24"/>
          <w:szCs w:val="24"/>
        </w:rPr>
        <w:drawing>
          <wp:inline distT="0" distB="0" distL="0" distR="0" wp14:anchorId="4097AB8B" wp14:editId="6ABEDDCF">
            <wp:extent cx="2906932" cy="1901317"/>
            <wp:effectExtent l="0" t="0" r="8255" b="3810"/>
            <wp:docPr id="1"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0862" cy="1910428"/>
                    </a:xfrm>
                    <a:prstGeom prst="rect">
                      <a:avLst/>
                    </a:prstGeom>
                    <a:noFill/>
                    <a:ln>
                      <a:noFill/>
                    </a:ln>
                  </pic:spPr>
                </pic:pic>
              </a:graphicData>
            </a:graphic>
          </wp:inline>
        </w:drawing>
      </w:r>
    </w:p>
    <w:p w14:paraId="0DDBB3A0" w14:textId="0CE93C66" w:rsidR="00BC3E6C" w:rsidRPr="00B37F10" w:rsidRDefault="00BC3E6C" w:rsidP="00BC3E6C">
      <w:pPr>
        <w:ind w:firstLine="720"/>
        <w:rPr>
          <w:rFonts w:ascii="Times New Roman" w:hAnsi="Times New Roman" w:cs="Times New Roman"/>
          <w:sz w:val="24"/>
          <w:szCs w:val="24"/>
        </w:rPr>
      </w:pPr>
      <w:r w:rsidRPr="009964CD">
        <w:rPr>
          <w:rFonts w:ascii="Times New Roman" w:hAnsi="Times New Roman" w:cs="Times New Roman"/>
          <w:sz w:val="24"/>
          <w:szCs w:val="24"/>
        </w:rPr>
        <w:t>Bar chart showing the response percentages for various risk categories</w:t>
      </w:r>
    </w:p>
    <w:p w14:paraId="62A8FFE7" w14:textId="77777777" w:rsidR="00B37F10" w:rsidRPr="00B37F10" w:rsidRDefault="00B37F10" w:rsidP="00B37F10">
      <w:pPr>
        <w:numPr>
          <w:ilvl w:val="0"/>
          <w:numId w:val="9"/>
        </w:numPr>
        <w:jc w:val="both"/>
        <w:rPr>
          <w:rFonts w:ascii="Times New Roman" w:hAnsi="Times New Roman" w:cs="Times New Roman"/>
          <w:sz w:val="24"/>
          <w:szCs w:val="24"/>
        </w:rPr>
      </w:pPr>
      <w:r w:rsidRPr="00B37F10">
        <w:rPr>
          <w:rFonts w:ascii="Times New Roman" w:hAnsi="Times New Roman" w:cs="Times New Roman"/>
          <w:b/>
          <w:bCs/>
          <w:sz w:val="24"/>
          <w:szCs w:val="24"/>
        </w:rPr>
        <w:t>Frequency of Risk Management Policy Review</w:t>
      </w:r>
      <w:r w:rsidRPr="00B37F10">
        <w:rPr>
          <w:rFonts w:ascii="Times New Roman" w:hAnsi="Times New Roman" w:cs="Times New Roman"/>
          <w:sz w:val="24"/>
          <w:szCs w:val="24"/>
        </w:rPr>
        <w:t>:</w:t>
      </w:r>
    </w:p>
    <w:p w14:paraId="086E24F3" w14:textId="77777777" w:rsidR="00B37F10" w:rsidRPr="00B37F10" w:rsidRDefault="00B37F10" w:rsidP="00B37F10">
      <w:pPr>
        <w:numPr>
          <w:ilvl w:val="1"/>
          <w:numId w:val="9"/>
        </w:numPr>
        <w:jc w:val="both"/>
        <w:rPr>
          <w:rFonts w:ascii="Times New Roman" w:hAnsi="Times New Roman" w:cs="Times New Roman"/>
          <w:sz w:val="24"/>
          <w:szCs w:val="24"/>
        </w:rPr>
      </w:pPr>
      <w:r w:rsidRPr="00B37F10">
        <w:rPr>
          <w:rFonts w:ascii="Times New Roman" w:hAnsi="Times New Roman" w:cs="Times New Roman"/>
          <w:b/>
          <w:bCs/>
          <w:sz w:val="24"/>
          <w:szCs w:val="24"/>
        </w:rPr>
        <w:t>Responses</w:t>
      </w:r>
      <w:r w:rsidRPr="00B37F10">
        <w:rPr>
          <w:rFonts w:ascii="Times New Roman" w:hAnsi="Times New Roman" w:cs="Times New Roman"/>
          <w:sz w:val="24"/>
          <w:szCs w:val="24"/>
        </w:rPr>
        <w:t>:</w:t>
      </w:r>
    </w:p>
    <w:p w14:paraId="048C4490" w14:textId="77777777" w:rsidR="00B37F10" w:rsidRPr="00B37F10" w:rsidRDefault="00B37F10" w:rsidP="00B37F10">
      <w:pPr>
        <w:numPr>
          <w:ilvl w:val="2"/>
          <w:numId w:val="9"/>
        </w:numPr>
        <w:jc w:val="both"/>
        <w:rPr>
          <w:rFonts w:ascii="Times New Roman" w:hAnsi="Times New Roman" w:cs="Times New Roman"/>
          <w:sz w:val="24"/>
          <w:szCs w:val="24"/>
        </w:rPr>
      </w:pPr>
      <w:r w:rsidRPr="00B37F10">
        <w:rPr>
          <w:rFonts w:ascii="Times New Roman" w:hAnsi="Times New Roman" w:cs="Times New Roman"/>
          <w:sz w:val="24"/>
          <w:szCs w:val="24"/>
        </w:rPr>
        <w:t xml:space="preserve">Monthly: </w:t>
      </w:r>
      <w:r w:rsidRPr="00B37F10">
        <w:rPr>
          <w:rFonts w:ascii="Times New Roman" w:hAnsi="Times New Roman" w:cs="Times New Roman"/>
          <w:b/>
          <w:bCs/>
          <w:sz w:val="24"/>
          <w:szCs w:val="24"/>
        </w:rPr>
        <w:t>20%</w:t>
      </w:r>
    </w:p>
    <w:p w14:paraId="142F0A54" w14:textId="77777777" w:rsidR="00B37F10" w:rsidRPr="00B37F10" w:rsidRDefault="00B37F10" w:rsidP="00B37F10">
      <w:pPr>
        <w:numPr>
          <w:ilvl w:val="2"/>
          <w:numId w:val="9"/>
        </w:numPr>
        <w:jc w:val="both"/>
        <w:rPr>
          <w:rFonts w:ascii="Times New Roman" w:hAnsi="Times New Roman" w:cs="Times New Roman"/>
          <w:sz w:val="24"/>
          <w:szCs w:val="24"/>
        </w:rPr>
      </w:pPr>
      <w:r w:rsidRPr="00B37F10">
        <w:rPr>
          <w:rFonts w:ascii="Times New Roman" w:hAnsi="Times New Roman" w:cs="Times New Roman"/>
          <w:sz w:val="24"/>
          <w:szCs w:val="24"/>
        </w:rPr>
        <w:t xml:space="preserve">Quarterly: </w:t>
      </w:r>
      <w:r w:rsidRPr="00B37F10">
        <w:rPr>
          <w:rFonts w:ascii="Times New Roman" w:hAnsi="Times New Roman" w:cs="Times New Roman"/>
          <w:b/>
          <w:bCs/>
          <w:sz w:val="24"/>
          <w:szCs w:val="24"/>
        </w:rPr>
        <w:t>40%</w:t>
      </w:r>
    </w:p>
    <w:p w14:paraId="6BABECF7" w14:textId="77777777" w:rsidR="00B37F10" w:rsidRPr="00B37F10" w:rsidRDefault="00B37F10" w:rsidP="00B37F10">
      <w:pPr>
        <w:numPr>
          <w:ilvl w:val="2"/>
          <w:numId w:val="9"/>
        </w:numPr>
        <w:jc w:val="both"/>
        <w:rPr>
          <w:rFonts w:ascii="Times New Roman" w:hAnsi="Times New Roman" w:cs="Times New Roman"/>
          <w:sz w:val="24"/>
          <w:szCs w:val="24"/>
        </w:rPr>
      </w:pPr>
      <w:r w:rsidRPr="00B37F10">
        <w:rPr>
          <w:rFonts w:ascii="Times New Roman" w:hAnsi="Times New Roman" w:cs="Times New Roman"/>
          <w:sz w:val="24"/>
          <w:szCs w:val="24"/>
        </w:rPr>
        <w:t xml:space="preserve">Biannually: </w:t>
      </w:r>
      <w:r w:rsidRPr="00B37F10">
        <w:rPr>
          <w:rFonts w:ascii="Times New Roman" w:hAnsi="Times New Roman" w:cs="Times New Roman"/>
          <w:b/>
          <w:bCs/>
          <w:sz w:val="24"/>
          <w:szCs w:val="24"/>
        </w:rPr>
        <w:t>25%</w:t>
      </w:r>
    </w:p>
    <w:p w14:paraId="3DAE9F44" w14:textId="77777777" w:rsidR="00B37F10" w:rsidRPr="009964CD" w:rsidRDefault="00B37F10" w:rsidP="00B37F10">
      <w:pPr>
        <w:numPr>
          <w:ilvl w:val="2"/>
          <w:numId w:val="9"/>
        </w:numPr>
        <w:jc w:val="both"/>
        <w:rPr>
          <w:rFonts w:ascii="Times New Roman" w:hAnsi="Times New Roman" w:cs="Times New Roman"/>
          <w:sz w:val="24"/>
          <w:szCs w:val="24"/>
        </w:rPr>
      </w:pPr>
      <w:r w:rsidRPr="00B37F10">
        <w:rPr>
          <w:rFonts w:ascii="Times New Roman" w:hAnsi="Times New Roman" w:cs="Times New Roman"/>
          <w:sz w:val="24"/>
          <w:szCs w:val="24"/>
        </w:rPr>
        <w:lastRenderedPageBreak/>
        <w:t xml:space="preserve">Annually: </w:t>
      </w:r>
      <w:r w:rsidRPr="00B37F10">
        <w:rPr>
          <w:rFonts w:ascii="Times New Roman" w:hAnsi="Times New Roman" w:cs="Times New Roman"/>
          <w:b/>
          <w:bCs/>
          <w:sz w:val="24"/>
          <w:szCs w:val="24"/>
        </w:rPr>
        <w:t>15%</w:t>
      </w:r>
    </w:p>
    <w:p w14:paraId="7587258C" w14:textId="7B4122F1" w:rsidR="0021108A" w:rsidRPr="009964CD" w:rsidRDefault="0021108A" w:rsidP="007E34C3">
      <w:pPr>
        <w:tabs>
          <w:tab w:val="left" w:pos="1094"/>
        </w:tabs>
        <w:jc w:val="center"/>
        <w:rPr>
          <w:rFonts w:ascii="Times New Roman" w:hAnsi="Times New Roman" w:cs="Times New Roman"/>
          <w:sz w:val="24"/>
          <w:szCs w:val="24"/>
        </w:rPr>
      </w:pPr>
      <w:r w:rsidRPr="009964CD">
        <w:rPr>
          <w:rFonts w:ascii="Times New Roman" w:hAnsi="Times New Roman" w:cs="Times New Roman"/>
          <w:noProof/>
          <w:sz w:val="24"/>
          <w:szCs w:val="24"/>
        </w:rPr>
        <w:drawing>
          <wp:inline distT="0" distB="0" distL="0" distR="0" wp14:anchorId="0CE67B94" wp14:editId="5494DE2D">
            <wp:extent cx="2525593" cy="1652016"/>
            <wp:effectExtent l="0" t="0" r="8255" b="5715"/>
            <wp:docPr id="2019185555" name="Picture 4"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utput ima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39667" cy="1661222"/>
                    </a:xfrm>
                    <a:prstGeom prst="rect">
                      <a:avLst/>
                    </a:prstGeom>
                    <a:noFill/>
                    <a:ln>
                      <a:noFill/>
                    </a:ln>
                  </pic:spPr>
                </pic:pic>
              </a:graphicData>
            </a:graphic>
          </wp:inline>
        </w:drawing>
      </w:r>
    </w:p>
    <w:p w14:paraId="1C086AB9" w14:textId="1CDA8F5A" w:rsidR="0021108A" w:rsidRPr="00B37F10" w:rsidRDefault="0021108A" w:rsidP="007E34C3">
      <w:pPr>
        <w:tabs>
          <w:tab w:val="left" w:pos="1094"/>
        </w:tabs>
        <w:rPr>
          <w:rFonts w:ascii="Times New Roman" w:hAnsi="Times New Roman" w:cs="Times New Roman"/>
          <w:sz w:val="24"/>
          <w:szCs w:val="24"/>
        </w:rPr>
      </w:pPr>
      <w:r w:rsidRPr="009964CD">
        <w:rPr>
          <w:rFonts w:ascii="Times New Roman" w:hAnsi="Times New Roman" w:cs="Times New Roman"/>
          <w:sz w:val="24"/>
          <w:szCs w:val="24"/>
        </w:rPr>
        <w:t>Bar chart displaying the frequency distribution for risk management policy reviews</w:t>
      </w:r>
    </w:p>
    <w:p w14:paraId="6F20BDF4" w14:textId="77777777" w:rsidR="00B37F10" w:rsidRPr="00B37F10" w:rsidRDefault="00B37F10" w:rsidP="00B37F10">
      <w:pPr>
        <w:numPr>
          <w:ilvl w:val="0"/>
          <w:numId w:val="9"/>
        </w:numPr>
        <w:jc w:val="both"/>
        <w:rPr>
          <w:rFonts w:ascii="Times New Roman" w:hAnsi="Times New Roman" w:cs="Times New Roman"/>
          <w:sz w:val="24"/>
          <w:szCs w:val="24"/>
        </w:rPr>
      </w:pPr>
      <w:r w:rsidRPr="00B37F10">
        <w:rPr>
          <w:rFonts w:ascii="Times New Roman" w:hAnsi="Times New Roman" w:cs="Times New Roman"/>
          <w:b/>
          <w:bCs/>
          <w:sz w:val="24"/>
          <w:szCs w:val="24"/>
        </w:rPr>
        <w:t>Significant Risk Management Failures</w:t>
      </w:r>
      <w:r w:rsidRPr="00B37F10">
        <w:rPr>
          <w:rFonts w:ascii="Times New Roman" w:hAnsi="Times New Roman" w:cs="Times New Roman"/>
          <w:sz w:val="24"/>
          <w:szCs w:val="24"/>
        </w:rPr>
        <w:t>:</w:t>
      </w:r>
    </w:p>
    <w:p w14:paraId="56243A11" w14:textId="77777777" w:rsidR="00B37F10" w:rsidRPr="00B37F10" w:rsidRDefault="00B37F10" w:rsidP="00B37F10">
      <w:pPr>
        <w:numPr>
          <w:ilvl w:val="1"/>
          <w:numId w:val="9"/>
        </w:numPr>
        <w:jc w:val="both"/>
        <w:rPr>
          <w:rFonts w:ascii="Times New Roman" w:hAnsi="Times New Roman" w:cs="Times New Roman"/>
          <w:sz w:val="24"/>
          <w:szCs w:val="24"/>
        </w:rPr>
      </w:pPr>
      <w:r w:rsidRPr="00B37F10">
        <w:rPr>
          <w:rFonts w:ascii="Times New Roman" w:hAnsi="Times New Roman" w:cs="Times New Roman"/>
          <w:b/>
          <w:bCs/>
          <w:sz w:val="24"/>
          <w:szCs w:val="24"/>
        </w:rPr>
        <w:t>Findings</w:t>
      </w:r>
      <w:r w:rsidRPr="00B37F10">
        <w:rPr>
          <w:rFonts w:ascii="Times New Roman" w:hAnsi="Times New Roman" w:cs="Times New Roman"/>
          <w:sz w:val="24"/>
          <w:szCs w:val="24"/>
        </w:rPr>
        <w:t xml:space="preserve">: </w:t>
      </w:r>
      <w:r w:rsidRPr="00B37F10">
        <w:rPr>
          <w:rFonts w:ascii="Times New Roman" w:hAnsi="Times New Roman" w:cs="Times New Roman"/>
          <w:b/>
          <w:bCs/>
          <w:sz w:val="24"/>
          <w:szCs w:val="24"/>
        </w:rPr>
        <w:t>30%</w:t>
      </w:r>
      <w:r w:rsidRPr="00B37F10">
        <w:rPr>
          <w:rFonts w:ascii="Times New Roman" w:hAnsi="Times New Roman" w:cs="Times New Roman"/>
          <w:sz w:val="24"/>
          <w:szCs w:val="24"/>
        </w:rPr>
        <w:t xml:space="preserve"> of institutions reported experiencing significant failures in the past five years.</w:t>
      </w:r>
    </w:p>
    <w:p w14:paraId="46D484E7" w14:textId="77777777" w:rsidR="00B37F10" w:rsidRPr="00B37F10" w:rsidRDefault="00B37F10" w:rsidP="00B37F10">
      <w:pPr>
        <w:numPr>
          <w:ilvl w:val="1"/>
          <w:numId w:val="9"/>
        </w:numPr>
        <w:jc w:val="both"/>
        <w:rPr>
          <w:rFonts w:ascii="Times New Roman" w:hAnsi="Times New Roman" w:cs="Times New Roman"/>
          <w:sz w:val="24"/>
          <w:szCs w:val="24"/>
        </w:rPr>
      </w:pPr>
      <w:r w:rsidRPr="00B37F10">
        <w:rPr>
          <w:rFonts w:ascii="Times New Roman" w:hAnsi="Times New Roman" w:cs="Times New Roman"/>
          <w:b/>
          <w:bCs/>
          <w:sz w:val="24"/>
          <w:szCs w:val="24"/>
        </w:rPr>
        <w:t>Nature of Failures</w:t>
      </w:r>
      <w:r w:rsidRPr="00B37F10">
        <w:rPr>
          <w:rFonts w:ascii="Times New Roman" w:hAnsi="Times New Roman" w:cs="Times New Roman"/>
          <w:sz w:val="24"/>
          <w:szCs w:val="24"/>
        </w:rPr>
        <w:t xml:space="preserve">: Commonly cited failures included </w:t>
      </w:r>
      <w:r w:rsidRPr="00B37F10">
        <w:rPr>
          <w:rFonts w:ascii="Times New Roman" w:hAnsi="Times New Roman" w:cs="Times New Roman"/>
          <w:b/>
          <w:bCs/>
          <w:sz w:val="24"/>
          <w:szCs w:val="24"/>
        </w:rPr>
        <w:t>credit risk management issues</w:t>
      </w:r>
      <w:r w:rsidRPr="00B37F10">
        <w:rPr>
          <w:rFonts w:ascii="Times New Roman" w:hAnsi="Times New Roman" w:cs="Times New Roman"/>
          <w:sz w:val="24"/>
          <w:szCs w:val="24"/>
        </w:rPr>
        <w:t xml:space="preserve"> and </w:t>
      </w:r>
      <w:r w:rsidRPr="00B37F10">
        <w:rPr>
          <w:rFonts w:ascii="Times New Roman" w:hAnsi="Times New Roman" w:cs="Times New Roman"/>
          <w:b/>
          <w:bCs/>
          <w:sz w:val="24"/>
          <w:szCs w:val="24"/>
        </w:rPr>
        <w:t>operational lapses</w:t>
      </w:r>
      <w:r w:rsidRPr="00B37F10">
        <w:rPr>
          <w:rFonts w:ascii="Times New Roman" w:hAnsi="Times New Roman" w:cs="Times New Roman"/>
          <w:sz w:val="24"/>
          <w:szCs w:val="24"/>
        </w:rPr>
        <w:t>.</w:t>
      </w:r>
    </w:p>
    <w:p w14:paraId="2ACFAD88" w14:textId="77777777" w:rsidR="00055978" w:rsidRDefault="00055978" w:rsidP="007E34C3">
      <w:pPr>
        <w:jc w:val="both"/>
        <w:rPr>
          <w:rFonts w:ascii="Times New Roman" w:hAnsi="Times New Roman" w:cs="Times New Roman"/>
          <w:b/>
          <w:bCs/>
          <w:sz w:val="24"/>
          <w:szCs w:val="24"/>
        </w:rPr>
      </w:pPr>
    </w:p>
    <w:p w14:paraId="61FB6CE1" w14:textId="26DDECBC" w:rsidR="00B37F10" w:rsidRPr="00B37F10" w:rsidRDefault="007E34C3" w:rsidP="007E34C3">
      <w:pPr>
        <w:jc w:val="both"/>
        <w:rPr>
          <w:rFonts w:ascii="Times New Roman" w:hAnsi="Times New Roman" w:cs="Times New Roman"/>
          <w:b/>
          <w:bCs/>
          <w:sz w:val="24"/>
          <w:szCs w:val="24"/>
        </w:rPr>
      </w:pPr>
      <w:r w:rsidRPr="00B37F10">
        <w:rPr>
          <w:rFonts w:ascii="Times New Roman" w:hAnsi="Times New Roman" w:cs="Times New Roman"/>
          <w:b/>
          <w:bCs/>
          <w:sz w:val="24"/>
          <w:szCs w:val="24"/>
        </w:rPr>
        <w:t>SECTION D: REGULATORY COMPLIANCE</w:t>
      </w:r>
    </w:p>
    <w:p w14:paraId="058CE136" w14:textId="77777777" w:rsidR="00B37F10" w:rsidRPr="00B37F10" w:rsidRDefault="00B37F10" w:rsidP="00B37F10">
      <w:pPr>
        <w:numPr>
          <w:ilvl w:val="0"/>
          <w:numId w:val="10"/>
        </w:numPr>
        <w:jc w:val="both"/>
        <w:rPr>
          <w:rFonts w:ascii="Times New Roman" w:hAnsi="Times New Roman" w:cs="Times New Roman"/>
          <w:sz w:val="24"/>
          <w:szCs w:val="24"/>
        </w:rPr>
      </w:pPr>
      <w:r w:rsidRPr="00B37F10">
        <w:rPr>
          <w:rFonts w:ascii="Times New Roman" w:hAnsi="Times New Roman" w:cs="Times New Roman"/>
          <w:b/>
          <w:bCs/>
          <w:sz w:val="24"/>
          <w:szCs w:val="24"/>
        </w:rPr>
        <w:t>Familiarity with Legal Frameworks</w:t>
      </w:r>
      <w:r w:rsidRPr="00B37F10">
        <w:rPr>
          <w:rFonts w:ascii="Times New Roman" w:hAnsi="Times New Roman" w:cs="Times New Roman"/>
          <w:sz w:val="24"/>
          <w:szCs w:val="24"/>
        </w:rPr>
        <w:t>:</w:t>
      </w:r>
    </w:p>
    <w:p w14:paraId="08A8968F" w14:textId="77777777" w:rsidR="00B37F10" w:rsidRPr="00B37F10" w:rsidRDefault="00B37F10" w:rsidP="00B37F10">
      <w:pPr>
        <w:numPr>
          <w:ilvl w:val="1"/>
          <w:numId w:val="10"/>
        </w:numPr>
        <w:jc w:val="both"/>
        <w:rPr>
          <w:rFonts w:ascii="Times New Roman" w:hAnsi="Times New Roman" w:cs="Times New Roman"/>
          <w:sz w:val="24"/>
          <w:szCs w:val="24"/>
        </w:rPr>
      </w:pPr>
      <w:r w:rsidRPr="00B37F10">
        <w:rPr>
          <w:rFonts w:ascii="Times New Roman" w:hAnsi="Times New Roman" w:cs="Times New Roman"/>
          <w:b/>
          <w:bCs/>
          <w:sz w:val="24"/>
          <w:szCs w:val="24"/>
        </w:rPr>
        <w:t>Responses</w:t>
      </w:r>
      <w:r w:rsidRPr="00B37F10">
        <w:rPr>
          <w:rFonts w:ascii="Times New Roman" w:hAnsi="Times New Roman" w:cs="Times New Roman"/>
          <w:sz w:val="24"/>
          <w:szCs w:val="24"/>
        </w:rPr>
        <w:t>:</w:t>
      </w:r>
    </w:p>
    <w:p w14:paraId="46A4996E" w14:textId="77777777" w:rsidR="00B37F10" w:rsidRPr="00B37F10" w:rsidRDefault="00B37F10" w:rsidP="00B37F10">
      <w:pPr>
        <w:numPr>
          <w:ilvl w:val="2"/>
          <w:numId w:val="10"/>
        </w:numPr>
        <w:jc w:val="both"/>
        <w:rPr>
          <w:rFonts w:ascii="Times New Roman" w:hAnsi="Times New Roman" w:cs="Times New Roman"/>
          <w:sz w:val="24"/>
          <w:szCs w:val="24"/>
        </w:rPr>
      </w:pPr>
      <w:r w:rsidRPr="00B37F10">
        <w:rPr>
          <w:rFonts w:ascii="Times New Roman" w:hAnsi="Times New Roman" w:cs="Times New Roman"/>
          <w:sz w:val="24"/>
          <w:szCs w:val="24"/>
        </w:rPr>
        <w:t xml:space="preserve">Very Familiar: </w:t>
      </w:r>
      <w:r w:rsidRPr="00B37F10">
        <w:rPr>
          <w:rFonts w:ascii="Times New Roman" w:hAnsi="Times New Roman" w:cs="Times New Roman"/>
          <w:b/>
          <w:bCs/>
          <w:sz w:val="24"/>
          <w:szCs w:val="24"/>
        </w:rPr>
        <w:t>45%</w:t>
      </w:r>
    </w:p>
    <w:p w14:paraId="339EF49E" w14:textId="77777777" w:rsidR="00B37F10" w:rsidRPr="00B37F10" w:rsidRDefault="00B37F10" w:rsidP="00B37F10">
      <w:pPr>
        <w:numPr>
          <w:ilvl w:val="2"/>
          <w:numId w:val="10"/>
        </w:numPr>
        <w:jc w:val="both"/>
        <w:rPr>
          <w:rFonts w:ascii="Times New Roman" w:hAnsi="Times New Roman" w:cs="Times New Roman"/>
          <w:sz w:val="24"/>
          <w:szCs w:val="24"/>
        </w:rPr>
      </w:pPr>
      <w:r w:rsidRPr="00B37F10">
        <w:rPr>
          <w:rFonts w:ascii="Times New Roman" w:hAnsi="Times New Roman" w:cs="Times New Roman"/>
          <w:sz w:val="24"/>
          <w:szCs w:val="24"/>
        </w:rPr>
        <w:t xml:space="preserve">Somewhat Familiar: </w:t>
      </w:r>
      <w:r w:rsidRPr="00B37F10">
        <w:rPr>
          <w:rFonts w:ascii="Times New Roman" w:hAnsi="Times New Roman" w:cs="Times New Roman"/>
          <w:b/>
          <w:bCs/>
          <w:sz w:val="24"/>
          <w:szCs w:val="24"/>
        </w:rPr>
        <w:t>40%</w:t>
      </w:r>
    </w:p>
    <w:p w14:paraId="741B1B33" w14:textId="77777777" w:rsidR="00B37F10" w:rsidRPr="00B37F10" w:rsidRDefault="00B37F10" w:rsidP="00B37F10">
      <w:pPr>
        <w:numPr>
          <w:ilvl w:val="2"/>
          <w:numId w:val="10"/>
        </w:numPr>
        <w:jc w:val="both"/>
        <w:rPr>
          <w:rFonts w:ascii="Times New Roman" w:hAnsi="Times New Roman" w:cs="Times New Roman"/>
          <w:sz w:val="24"/>
          <w:szCs w:val="24"/>
        </w:rPr>
      </w:pPr>
      <w:r w:rsidRPr="00B37F10">
        <w:rPr>
          <w:rFonts w:ascii="Times New Roman" w:hAnsi="Times New Roman" w:cs="Times New Roman"/>
          <w:sz w:val="24"/>
          <w:szCs w:val="24"/>
        </w:rPr>
        <w:t xml:space="preserve">Not Familiar: </w:t>
      </w:r>
      <w:r w:rsidRPr="00B37F10">
        <w:rPr>
          <w:rFonts w:ascii="Times New Roman" w:hAnsi="Times New Roman" w:cs="Times New Roman"/>
          <w:b/>
          <w:bCs/>
          <w:sz w:val="24"/>
          <w:szCs w:val="24"/>
        </w:rPr>
        <w:t>15%</w:t>
      </w:r>
    </w:p>
    <w:p w14:paraId="4EEF7082" w14:textId="77777777" w:rsidR="00B37F10" w:rsidRPr="00B37F10" w:rsidRDefault="00B37F10" w:rsidP="00B37F10">
      <w:pPr>
        <w:numPr>
          <w:ilvl w:val="0"/>
          <w:numId w:val="10"/>
        </w:numPr>
        <w:jc w:val="both"/>
        <w:rPr>
          <w:rFonts w:ascii="Times New Roman" w:hAnsi="Times New Roman" w:cs="Times New Roman"/>
          <w:sz w:val="24"/>
          <w:szCs w:val="24"/>
        </w:rPr>
      </w:pPr>
      <w:r w:rsidRPr="00B37F10">
        <w:rPr>
          <w:rFonts w:ascii="Times New Roman" w:hAnsi="Times New Roman" w:cs="Times New Roman"/>
          <w:b/>
          <w:bCs/>
          <w:sz w:val="24"/>
          <w:szCs w:val="24"/>
        </w:rPr>
        <w:t>Compliance with Legal Frameworks</w:t>
      </w:r>
      <w:r w:rsidRPr="00B37F10">
        <w:rPr>
          <w:rFonts w:ascii="Times New Roman" w:hAnsi="Times New Roman" w:cs="Times New Roman"/>
          <w:sz w:val="24"/>
          <w:szCs w:val="24"/>
        </w:rPr>
        <w:t>:</w:t>
      </w:r>
    </w:p>
    <w:p w14:paraId="52BC042A" w14:textId="77777777" w:rsidR="00B37F10" w:rsidRPr="00B37F10" w:rsidRDefault="00B37F10" w:rsidP="00B37F10">
      <w:pPr>
        <w:numPr>
          <w:ilvl w:val="1"/>
          <w:numId w:val="10"/>
        </w:numPr>
        <w:jc w:val="both"/>
        <w:rPr>
          <w:rFonts w:ascii="Times New Roman" w:hAnsi="Times New Roman" w:cs="Times New Roman"/>
          <w:sz w:val="24"/>
          <w:szCs w:val="24"/>
        </w:rPr>
      </w:pPr>
      <w:r w:rsidRPr="00B37F10">
        <w:rPr>
          <w:rFonts w:ascii="Times New Roman" w:hAnsi="Times New Roman" w:cs="Times New Roman"/>
          <w:b/>
          <w:bCs/>
          <w:sz w:val="24"/>
          <w:szCs w:val="24"/>
        </w:rPr>
        <w:t>Rating</w:t>
      </w:r>
      <w:r w:rsidRPr="00B37F10">
        <w:rPr>
          <w:rFonts w:ascii="Times New Roman" w:hAnsi="Times New Roman" w:cs="Times New Roman"/>
          <w:sz w:val="24"/>
          <w:szCs w:val="24"/>
        </w:rPr>
        <w:t>:</w:t>
      </w:r>
    </w:p>
    <w:p w14:paraId="11F8B067" w14:textId="77777777" w:rsidR="00B37F10" w:rsidRPr="00B37F10" w:rsidRDefault="00B37F10" w:rsidP="00B37F10">
      <w:pPr>
        <w:numPr>
          <w:ilvl w:val="2"/>
          <w:numId w:val="10"/>
        </w:numPr>
        <w:jc w:val="both"/>
        <w:rPr>
          <w:rFonts w:ascii="Times New Roman" w:hAnsi="Times New Roman" w:cs="Times New Roman"/>
          <w:sz w:val="24"/>
          <w:szCs w:val="24"/>
        </w:rPr>
      </w:pPr>
      <w:r w:rsidRPr="00B37F10">
        <w:rPr>
          <w:rFonts w:ascii="Times New Roman" w:hAnsi="Times New Roman" w:cs="Times New Roman"/>
          <w:sz w:val="24"/>
          <w:szCs w:val="24"/>
        </w:rPr>
        <w:t xml:space="preserve">1 (Very Poor): </w:t>
      </w:r>
      <w:r w:rsidRPr="00B37F10">
        <w:rPr>
          <w:rFonts w:ascii="Times New Roman" w:hAnsi="Times New Roman" w:cs="Times New Roman"/>
          <w:b/>
          <w:bCs/>
          <w:sz w:val="24"/>
          <w:szCs w:val="24"/>
        </w:rPr>
        <w:t>10%</w:t>
      </w:r>
    </w:p>
    <w:p w14:paraId="0C941D89" w14:textId="77777777" w:rsidR="00B37F10" w:rsidRPr="00B37F10" w:rsidRDefault="00B37F10" w:rsidP="00B37F10">
      <w:pPr>
        <w:numPr>
          <w:ilvl w:val="2"/>
          <w:numId w:val="10"/>
        </w:numPr>
        <w:jc w:val="both"/>
        <w:rPr>
          <w:rFonts w:ascii="Times New Roman" w:hAnsi="Times New Roman" w:cs="Times New Roman"/>
          <w:sz w:val="24"/>
          <w:szCs w:val="24"/>
        </w:rPr>
      </w:pPr>
      <w:r w:rsidRPr="00B37F10">
        <w:rPr>
          <w:rFonts w:ascii="Times New Roman" w:hAnsi="Times New Roman" w:cs="Times New Roman"/>
          <w:sz w:val="24"/>
          <w:szCs w:val="24"/>
        </w:rPr>
        <w:t xml:space="preserve">2 (Poor): </w:t>
      </w:r>
      <w:r w:rsidRPr="00B37F10">
        <w:rPr>
          <w:rFonts w:ascii="Times New Roman" w:hAnsi="Times New Roman" w:cs="Times New Roman"/>
          <w:b/>
          <w:bCs/>
          <w:sz w:val="24"/>
          <w:szCs w:val="24"/>
        </w:rPr>
        <w:t>15%</w:t>
      </w:r>
    </w:p>
    <w:p w14:paraId="293DDA80" w14:textId="77777777" w:rsidR="00B37F10" w:rsidRPr="00B37F10" w:rsidRDefault="00B37F10" w:rsidP="00B37F10">
      <w:pPr>
        <w:numPr>
          <w:ilvl w:val="2"/>
          <w:numId w:val="10"/>
        </w:numPr>
        <w:jc w:val="both"/>
        <w:rPr>
          <w:rFonts w:ascii="Times New Roman" w:hAnsi="Times New Roman" w:cs="Times New Roman"/>
          <w:sz w:val="24"/>
          <w:szCs w:val="24"/>
        </w:rPr>
      </w:pPr>
      <w:r w:rsidRPr="00B37F10">
        <w:rPr>
          <w:rFonts w:ascii="Times New Roman" w:hAnsi="Times New Roman" w:cs="Times New Roman"/>
          <w:sz w:val="24"/>
          <w:szCs w:val="24"/>
        </w:rPr>
        <w:t xml:space="preserve">3 (Average): </w:t>
      </w:r>
      <w:r w:rsidRPr="00B37F10">
        <w:rPr>
          <w:rFonts w:ascii="Times New Roman" w:hAnsi="Times New Roman" w:cs="Times New Roman"/>
          <w:b/>
          <w:bCs/>
          <w:sz w:val="24"/>
          <w:szCs w:val="24"/>
        </w:rPr>
        <w:t>30%</w:t>
      </w:r>
    </w:p>
    <w:p w14:paraId="44F43026" w14:textId="77777777" w:rsidR="00B37F10" w:rsidRPr="00B37F10" w:rsidRDefault="00B37F10" w:rsidP="00B37F10">
      <w:pPr>
        <w:numPr>
          <w:ilvl w:val="2"/>
          <w:numId w:val="10"/>
        </w:numPr>
        <w:jc w:val="both"/>
        <w:rPr>
          <w:rFonts w:ascii="Times New Roman" w:hAnsi="Times New Roman" w:cs="Times New Roman"/>
          <w:sz w:val="24"/>
          <w:szCs w:val="24"/>
        </w:rPr>
      </w:pPr>
      <w:r w:rsidRPr="00B37F10">
        <w:rPr>
          <w:rFonts w:ascii="Times New Roman" w:hAnsi="Times New Roman" w:cs="Times New Roman"/>
          <w:sz w:val="24"/>
          <w:szCs w:val="24"/>
        </w:rPr>
        <w:t xml:space="preserve">4 (Good): </w:t>
      </w:r>
      <w:r w:rsidRPr="00B37F10">
        <w:rPr>
          <w:rFonts w:ascii="Times New Roman" w:hAnsi="Times New Roman" w:cs="Times New Roman"/>
          <w:b/>
          <w:bCs/>
          <w:sz w:val="24"/>
          <w:szCs w:val="24"/>
        </w:rPr>
        <w:t>25%</w:t>
      </w:r>
    </w:p>
    <w:p w14:paraId="66E7FEDD" w14:textId="77777777" w:rsidR="00B37F10" w:rsidRPr="009964CD" w:rsidRDefault="00B37F10" w:rsidP="00B37F10">
      <w:pPr>
        <w:numPr>
          <w:ilvl w:val="2"/>
          <w:numId w:val="10"/>
        </w:numPr>
        <w:jc w:val="both"/>
        <w:rPr>
          <w:rFonts w:ascii="Times New Roman" w:hAnsi="Times New Roman" w:cs="Times New Roman"/>
          <w:sz w:val="24"/>
          <w:szCs w:val="24"/>
        </w:rPr>
      </w:pPr>
      <w:r w:rsidRPr="00B37F10">
        <w:rPr>
          <w:rFonts w:ascii="Times New Roman" w:hAnsi="Times New Roman" w:cs="Times New Roman"/>
          <w:sz w:val="24"/>
          <w:szCs w:val="24"/>
        </w:rPr>
        <w:t xml:space="preserve">5 (Excellent): </w:t>
      </w:r>
      <w:r w:rsidRPr="00B37F10">
        <w:rPr>
          <w:rFonts w:ascii="Times New Roman" w:hAnsi="Times New Roman" w:cs="Times New Roman"/>
          <w:b/>
          <w:bCs/>
          <w:sz w:val="24"/>
          <w:szCs w:val="24"/>
        </w:rPr>
        <w:t>20%</w:t>
      </w:r>
    </w:p>
    <w:p w14:paraId="00ACF995" w14:textId="06EF79FC" w:rsidR="00DC3D96" w:rsidRPr="009964CD" w:rsidRDefault="00DC3D96" w:rsidP="00055978">
      <w:pPr>
        <w:jc w:val="center"/>
        <w:rPr>
          <w:rFonts w:ascii="Times New Roman" w:hAnsi="Times New Roman" w:cs="Times New Roman"/>
          <w:sz w:val="24"/>
          <w:szCs w:val="24"/>
        </w:rPr>
      </w:pPr>
      <w:r w:rsidRPr="009964CD">
        <w:rPr>
          <w:rFonts w:ascii="Times New Roman" w:hAnsi="Times New Roman" w:cs="Times New Roman"/>
          <w:noProof/>
          <w:sz w:val="24"/>
          <w:szCs w:val="24"/>
        </w:rPr>
        <w:lastRenderedPageBreak/>
        <w:drawing>
          <wp:inline distT="0" distB="0" distL="0" distR="0" wp14:anchorId="2C277C82" wp14:editId="3EE4780A">
            <wp:extent cx="2478994" cy="1621536"/>
            <wp:effectExtent l="0" t="0" r="0" b="0"/>
            <wp:docPr id="1350028196" name="Picture 5"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utput imag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02475" cy="1636895"/>
                    </a:xfrm>
                    <a:prstGeom prst="rect">
                      <a:avLst/>
                    </a:prstGeom>
                    <a:noFill/>
                    <a:ln>
                      <a:noFill/>
                    </a:ln>
                  </pic:spPr>
                </pic:pic>
              </a:graphicData>
            </a:graphic>
          </wp:inline>
        </w:drawing>
      </w:r>
    </w:p>
    <w:p w14:paraId="313E128F" w14:textId="7EDEA81E" w:rsidR="00DC3D96" w:rsidRPr="00B37F10" w:rsidRDefault="00DC3D96" w:rsidP="00DC3D96">
      <w:pPr>
        <w:jc w:val="both"/>
        <w:rPr>
          <w:rFonts w:ascii="Times New Roman" w:hAnsi="Times New Roman" w:cs="Times New Roman"/>
          <w:sz w:val="24"/>
          <w:szCs w:val="24"/>
        </w:rPr>
      </w:pPr>
      <w:r w:rsidRPr="009964CD">
        <w:rPr>
          <w:rFonts w:ascii="Times New Roman" w:hAnsi="Times New Roman" w:cs="Times New Roman"/>
          <w:sz w:val="24"/>
          <w:szCs w:val="24"/>
        </w:rPr>
        <w:t>Bar chart illustrating the distribution of ratings for compliance with legal frameworks</w:t>
      </w:r>
    </w:p>
    <w:p w14:paraId="6D29550D" w14:textId="77777777" w:rsidR="00B37F10" w:rsidRPr="00B37F10" w:rsidRDefault="00B37F10" w:rsidP="00B37F10">
      <w:pPr>
        <w:numPr>
          <w:ilvl w:val="0"/>
          <w:numId w:val="10"/>
        </w:numPr>
        <w:jc w:val="both"/>
        <w:rPr>
          <w:rFonts w:ascii="Times New Roman" w:hAnsi="Times New Roman" w:cs="Times New Roman"/>
          <w:sz w:val="24"/>
          <w:szCs w:val="24"/>
        </w:rPr>
      </w:pPr>
      <w:r w:rsidRPr="00B37F10">
        <w:rPr>
          <w:rFonts w:ascii="Times New Roman" w:hAnsi="Times New Roman" w:cs="Times New Roman"/>
          <w:b/>
          <w:bCs/>
          <w:sz w:val="24"/>
          <w:szCs w:val="24"/>
        </w:rPr>
        <w:t>Challenges in Regulatory Compliance</w:t>
      </w:r>
      <w:r w:rsidRPr="00B37F10">
        <w:rPr>
          <w:rFonts w:ascii="Times New Roman" w:hAnsi="Times New Roman" w:cs="Times New Roman"/>
          <w:sz w:val="24"/>
          <w:szCs w:val="24"/>
        </w:rPr>
        <w:t>:</w:t>
      </w:r>
    </w:p>
    <w:p w14:paraId="65B0BBB9" w14:textId="77777777" w:rsidR="00B37F10" w:rsidRPr="00B37F10" w:rsidRDefault="00B37F10" w:rsidP="00B37F10">
      <w:pPr>
        <w:numPr>
          <w:ilvl w:val="1"/>
          <w:numId w:val="10"/>
        </w:numPr>
        <w:jc w:val="both"/>
        <w:rPr>
          <w:rFonts w:ascii="Times New Roman" w:hAnsi="Times New Roman" w:cs="Times New Roman"/>
          <w:sz w:val="24"/>
          <w:szCs w:val="24"/>
        </w:rPr>
      </w:pPr>
      <w:r w:rsidRPr="00B37F10">
        <w:rPr>
          <w:rFonts w:ascii="Times New Roman" w:hAnsi="Times New Roman" w:cs="Times New Roman"/>
          <w:b/>
          <w:bCs/>
          <w:sz w:val="24"/>
          <w:szCs w:val="24"/>
        </w:rPr>
        <w:t>Common Challenges</w:t>
      </w:r>
      <w:r w:rsidRPr="00B37F10">
        <w:rPr>
          <w:rFonts w:ascii="Times New Roman" w:hAnsi="Times New Roman" w:cs="Times New Roman"/>
          <w:sz w:val="24"/>
          <w:szCs w:val="24"/>
        </w:rPr>
        <w:t>:</w:t>
      </w:r>
    </w:p>
    <w:p w14:paraId="481E868B" w14:textId="77777777" w:rsidR="00B37F10" w:rsidRPr="00B37F10" w:rsidRDefault="00B37F10" w:rsidP="00B37F10">
      <w:pPr>
        <w:numPr>
          <w:ilvl w:val="2"/>
          <w:numId w:val="10"/>
        </w:numPr>
        <w:jc w:val="both"/>
        <w:rPr>
          <w:rFonts w:ascii="Times New Roman" w:hAnsi="Times New Roman" w:cs="Times New Roman"/>
          <w:sz w:val="24"/>
          <w:szCs w:val="24"/>
        </w:rPr>
      </w:pPr>
      <w:r w:rsidRPr="00B37F10">
        <w:rPr>
          <w:rFonts w:ascii="Times New Roman" w:hAnsi="Times New Roman" w:cs="Times New Roman"/>
          <w:sz w:val="24"/>
          <w:szCs w:val="24"/>
        </w:rPr>
        <w:t>Lack of resources (40%)</w:t>
      </w:r>
    </w:p>
    <w:p w14:paraId="561C5045" w14:textId="77777777" w:rsidR="00B37F10" w:rsidRPr="00B37F10" w:rsidRDefault="00B37F10" w:rsidP="00B37F10">
      <w:pPr>
        <w:numPr>
          <w:ilvl w:val="2"/>
          <w:numId w:val="10"/>
        </w:numPr>
        <w:jc w:val="both"/>
        <w:rPr>
          <w:rFonts w:ascii="Times New Roman" w:hAnsi="Times New Roman" w:cs="Times New Roman"/>
          <w:sz w:val="24"/>
          <w:szCs w:val="24"/>
        </w:rPr>
      </w:pPr>
      <w:r w:rsidRPr="00B37F10">
        <w:rPr>
          <w:rFonts w:ascii="Times New Roman" w:hAnsi="Times New Roman" w:cs="Times New Roman"/>
          <w:sz w:val="24"/>
          <w:szCs w:val="24"/>
        </w:rPr>
        <w:t>Complexity of regulations (30%)</w:t>
      </w:r>
    </w:p>
    <w:p w14:paraId="174055BD" w14:textId="77777777" w:rsidR="00B37F10" w:rsidRPr="00B37F10" w:rsidRDefault="00B37F10" w:rsidP="00B37F10">
      <w:pPr>
        <w:numPr>
          <w:ilvl w:val="2"/>
          <w:numId w:val="10"/>
        </w:numPr>
        <w:jc w:val="both"/>
        <w:rPr>
          <w:rFonts w:ascii="Times New Roman" w:hAnsi="Times New Roman" w:cs="Times New Roman"/>
          <w:sz w:val="24"/>
          <w:szCs w:val="24"/>
        </w:rPr>
      </w:pPr>
      <w:r w:rsidRPr="00B37F10">
        <w:rPr>
          <w:rFonts w:ascii="Times New Roman" w:hAnsi="Times New Roman" w:cs="Times New Roman"/>
          <w:sz w:val="24"/>
          <w:szCs w:val="24"/>
        </w:rPr>
        <w:t>Insufficient training (20%)</w:t>
      </w:r>
    </w:p>
    <w:p w14:paraId="3CC1C8A3" w14:textId="64DFE159" w:rsidR="00B37F10" w:rsidRDefault="00B37F10" w:rsidP="00055978">
      <w:pPr>
        <w:numPr>
          <w:ilvl w:val="2"/>
          <w:numId w:val="10"/>
        </w:numPr>
        <w:jc w:val="both"/>
        <w:rPr>
          <w:rFonts w:ascii="Times New Roman" w:hAnsi="Times New Roman" w:cs="Times New Roman"/>
          <w:sz w:val="24"/>
          <w:szCs w:val="24"/>
        </w:rPr>
      </w:pPr>
      <w:r w:rsidRPr="00B37F10">
        <w:rPr>
          <w:rFonts w:ascii="Times New Roman" w:hAnsi="Times New Roman" w:cs="Times New Roman"/>
          <w:sz w:val="24"/>
          <w:szCs w:val="24"/>
        </w:rPr>
        <w:t>Rapidly changing regulations (10%)</w:t>
      </w:r>
    </w:p>
    <w:p w14:paraId="34F167C2" w14:textId="77777777" w:rsidR="00055978" w:rsidRPr="00B37F10" w:rsidRDefault="00055978" w:rsidP="00055978">
      <w:pPr>
        <w:ind w:left="2160"/>
        <w:jc w:val="both"/>
        <w:rPr>
          <w:rFonts w:ascii="Times New Roman" w:hAnsi="Times New Roman" w:cs="Times New Roman"/>
          <w:sz w:val="24"/>
          <w:szCs w:val="24"/>
        </w:rPr>
      </w:pPr>
    </w:p>
    <w:p w14:paraId="713AD87F" w14:textId="77777777" w:rsidR="00B37F10" w:rsidRPr="00B37F10" w:rsidRDefault="00B37F10" w:rsidP="00B37F10">
      <w:pPr>
        <w:ind w:firstLine="720"/>
        <w:jc w:val="both"/>
        <w:rPr>
          <w:rFonts w:ascii="Times New Roman" w:hAnsi="Times New Roman" w:cs="Times New Roman"/>
          <w:b/>
          <w:bCs/>
          <w:sz w:val="24"/>
          <w:szCs w:val="24"/>
        </w:rPr>
      </w:pPr>
      <w:r w:rsidRPr="00B37F10">
        <w:rPr>
          <w:rFonts w:ascii="Times New Roman" w:hAnsi="Times New Roman" w:cs="Times New Roman"/>
          <w:b/>
          <w:bCs/>
          <w:sz w:val="24"/>
          <w:szCs w:val="24"/>
        </w:rPr>
        <w:t>2. Survey Analysis for Industry Experts</w:t>
      </w:r>
    </w:p>
    <w:p w14:paraId="799084AF" w14:textId="66C1116B" w:rsidR="00B37F10" w:rsidRPr="00B37F10" w:rsidRDefault="00055978" w:rsidP="00055978">
      <w:pPr>
        <w:jc w:val="both"/>
        <w:rPr>
          <w:rFonts w:ascii="Times New Roman" w:hAnsi="Times New Roman" w:cs="Times New Roman"/>
          <w:b/>
          <w:bCs/>
          <w:sz w:val="24"/>
          <w:szCs w:val="24"/>
        </w:rPr>
      </w:pPr>
      <w:r w:rsidRPr="00B37F10">
        <w:rPr>
          <w:rFonts w:ascii="Times New Roman" w:hAnsi="Times New Roman" w:cs="Times New Roman"/>
          <w:b/>
          <w:bCs/>
          <w:sz w:val="24"/>
          <w:szCs w:val="24"/>
        </w:rPr>
        <w:t>SECTION A: PROFESSIONAL BACKGROUND</w:t>
      </w:r>
    </w:p>
    <w:p w14:paraId="383F13DA" w14:textId="77777777" w:rsidR="00B37F10" w:rsidRPr="00B37F10" w:rsidRDefault="00B37F10" w:rsidP="00B37F10">
      <w:pPr>
        <w:numPr>
          <w:ilvl w:val="0"/>
          <w:numId w:val="11"/>
        </w:numPr>
        <w:jc w:val="both"/>
        <w:rPr>
          <w:rFonts w:ascii="Times New Roman" w:hAnsi="Times New Roman" w:cs="Times New Roman"/>
          <w:sz w:val="24"/>
          <w:szCs w:val="24"/>
        </w:rPr>
      </w:pPr>
      <w:r w:rsidRPr="00B37F10">
        <w:rPr>
          <w:rFonts w:ascii="Times New Roman" w:hAnsi="Times New Roman" w:cs="Times New Roman"/>
          <w:b/>
          <w:bCs/>
          <w:sz w:val="24"/>
          <w:szCs w:val="24"/>
        </w:rPr>
        <w:t>Years of Experience in the Financial Sector</w:t>
      </w:r>
      <w:r w:rsidRPr="00B37F10">
        <w:rPr>
          <w:rFonts w:ascii="Times New Roman" w:hAnsi="Times New Roman" w:cs="Times New Roman"/>
          <w:sz w:val="24"/>
          <w:szCs w:val="24"/>
        </w:rPr>
        <w:t>:</w:t>
      </w:r>
    </w:p>
    <w:p w14:paraId="66E969C9" w14:textId="77777777" w:rsidR="00B37F10" w:rsidRPr="00B37F10" w:rsidRDefault="00B37F10" w:rsidP="00B37F10">
      <w:pPr>
        <w:numPr>
          <w:ilvl w:val="1"/>
          <w:numId w:val="11"/>
        </w:numPr>
        <w:jc w:val="both"/>
        <w:rPr>
          <w:rFonts w:ascii="Times New Roman" w:hAnsi="Times New Roman" w:cs="Times New Roman"/>
          <w:sz w:val="24"/>
          <w:szCs w:val="24"/>
        </w:rPr>
      </w:pPr>
      <w:r w:rsidRPr="00B37F10">
        <w:rPr>
          <w:rFonts w:ascii="Times New Roman" w:hAnsi="Times New Roman" w:cs="Times New Roman"/>
          <w:b/>
          <w:bCs/>
          <w:sz w:val="24"/>
          <w:szCs w:val="24"/>
        </w:rPr>
        <w:t>Distribution</w:t>
      </w:r>
      <w:r w:rsidRPr="00B37F10">
        <w:rPr>
          <w:rFonts w:ascii="Times New Roman" w:hAnsi="Times New Roman" w:cs="Times New Roman"/>
          <w:sz w:val="24"/>
          <w:szCs w:val="24"/>
        </w:rPr>
        <w:t>:</w:t>
      </w:r>
    </w:p>
    <w:p w14:paraId="238C2AD3" w14:textId="77777777" w:rsidR="00B37F10" w:rsidRPr="00B37F10" w:rsidRDefault="00B37F10" w:rsidP="00B37F10">
      <w:pPr>
        <w:numPr>
          <w:ilvl w:val="2"/>
          <w:numId w:val="11"/>
        </w:numPr>
        <w:jc w:val="both"/>
        <w:rPr>
          <w:rFonts w:ascii="Times New Roman" w:hAnsi="Times New Roman" w:cs="Times New Roman"/>
          <w:sz w:val="24"/>
          <w:szCs w:val="24"/>
        </w:rPr>
      </w:pPr>
      <w:r w:rsidRPr="00B37F10">
        <w:rPr>
          <w:rFonts w:ascii="Times New Roman" w:hAnsi="Times New Roman" w:cs="Times New Roman"/>
          <w:sz w:val="24"/>
          <w:szCs w:val="24"/>
        </w:rPr>
        <w:t xml:space="preserve">Less than 5 years: </w:t>
      </w:r>
      <w:r w:rsidRPr="00B37F10">
        <w:rPr>
          <w:rFonts w:ascii="Times New Roman" w:hAnsi="Times New Roman" w:cs="Times New Roman"/>
          <w:b/>
          <w:bCs/>
          <w:sz w:val="24"/>
          <w:szCs w:val="24"/>
        </w:rPr>
        <w:t>10%</w:t>
      </w:r>
    </w:p>
    <w:p w14:paraId="53539C38" w14:textId="77777777" w:rsidR="00B37F10" w:rsidRPr="00B37F10" w:rsidRDefault="00B37F10" w:rsidP="00B37F10">
      <w:pPr>
        <w:numPr>
          <w:ilvl w:val="2"/>
          <w:numId w:val="11"/>
        </w:numPr>
        <w:jc w:val="both"/>
        <w:rPr>
          <w:rFonts w:ascii="Times New Roman" w:hAnsi="Times New Roman" w:cs="Times New Roman"/>
          <w:sz w:val="24"/>
          <w:szCs w:val="24"/>
        </w:rPr>
      </w:pPr>
      <w:r w:rsidRPr="00B37F10">
        <w:rPr>
          <w:rFonts w:ascii="Times New Roman" w:hAnsi="Times New Roman" w:cs="Times New Roman"/>
          <w:sz w:val="24"/>
          <w:szCs w:val="24"/>
        </w:rPr>
        <w:t xml:space="preserve">5-10 years: </w:t>
      </w:r>
      <w:r w:rsidRPr="00B37F10">
        <w:rPr>
          <w:rFonts w:ascii="Times New Roman" w:hAnsi="Times New Roman" w:cs="Times New Roman"/>
          <w:b/>
          <w:bCs/>
          <w:sz w:val="24"/>
          <w:szCs w:val="24"/>
        </w:rPr>
        <w:t>30%</w:t>
      </w:r>
    </w:p>
    <w:p w14:paraId="499CF9B1" w14:textId="77777777" w:rsidR="00B37F10" w:rsidRPr="00B37F10" w:rsidRDefault="00B37F10" w:rsidP="00B37F10">
      <w:pPr>
        <w:numPr>
          <w:ilvl w:val="2"/>
          <w:numId w:val="11"/>
        </w:numPr>
        <w:jc w:val="both"/>
        <w:rPr>
          <w:rFonts w:ascii="Times New Roman" w:hAnsi="Times New Roman" w:cs="Times New Roman"/>
          <w:sz w:val="24"/>
          <w:szCs w:val="24"/>
        </w:rPr>
      </w:pPr>
      <w:r w:rsidRPr="00B37F10">
        <w:rPr>
          <w:rFonts w:ascii="Times New Roman" w:hAnsi="Times New Roman" w:cs="Times New Roman"/>
          <w:sz w:val="24"/>
          <w:szCs w:val="24"/>
        </w:rPr>
        <w:t xml:space="preserve">11-15 years: </w:t>
      </w:r>
      <w:r w:rsidRPr="00B37F10">
        <w:rPr>
          <w:rFonts w:ascii="Times New Roman" w:hAnsi="Times New Roman" w:cs="Times New Roman"/>
          <w:b/>
          <w:bCs/>
          <w:sz w:val="24"/>
          <w:szCs w:val="24"/>
        </w:rPr>
        <w:t>25%</w:t>
      </w:r>
    </w:p>
    <w:p w14:paraId="2623E3FA" w14:textId="77777777" w:rsidR="00B37F10" w:rsidRPr="00B37F10" w:rsidRDefault="00B37F10" w:rsidP="00B37F10">
      <w:pPr>
        <w:numPr>
          <w:ilvl w:val="2"/>
          <w:numId w:val="11"/>
        </w:numPr>
        <w:jc w:val="both"/>
        <w:rPr>
          <w:rFonts w:ascii="Times New Roman" w:hAnsi="Times New Roman" w:cs="Times New Roman"/>
          <w:sz w:val="24"/>
          <w:szCs w:val="24"/>
        </w:rPr>
      </w:pPr>
      <w:r w:rsidRPr="00B37F10">
        <w:rPr>
          <w:rFonts w:ascii="Times New Roman" w:hAnsi="Times New Roman" w:cs="Times New Roman"/>
          <w:sz w:val="24"/>
          <w:szCs w:val="24"/>
        </w:rPr>
        <w:t xml:space="preserve">More than 15 years: </w:t>
      </w:r>
      <w:r w:rsidRPr="00B37F10">
        <w:rPr>
          <w:rFonts w:ascii="Times New Roman" w:hAnsi="Times New Roman" w:cs="Times New Roman"/>
          <w:b/>
          <w:bCs/>
          <w:sz w:val="24"/>
          <w:szCs w:val="24"/>
        </w:rPr>
        <w:t>35%</w:t>
      </w:r>
    </w:p>
    <w:p w14:paraId="49EDBE25" w14:textId="13CA24E0" w:rsidR="00B37F10" w:rsidRPr="00B37F10" w:rsidRDefault="002F2109" w:rsidP="002F2109">
      <w:pPr>
        <w:jc w:val="both"/>
        <w:rPr>
          <w:rFonts w:ascii="Times New Roman" w:hAnsi="Times New Roman" w:cs="Times New Roman"/>
          <w:b/>
          <w:bCs/>
          <w:sz w:val="24"/>
          <w:szCs w:val="24"/>
        </w:rPr>
      </w:pPr>
      <w:r w:rsidRPr="00B37F10">
        <w:rPr>
          <w:rFonts w:ascii="Times New Roman" w:hAnsi="Times New Roman" w:cs="Times New Roman"/>
          <w:b/>
          <w:bCs/>
          <w:sz w:val="24"/>
          <w:szCs w:val="24"/>
        </w:rPr>
        <w:t>SECTION B: PERSPECTIVES ON GOVERNANCE AND RISK MANAGEMENT</w:t>
      </w:r>
    </w:p>
    <w:p w14:paraId="40A4607E" w14:textId="77777777" w:rsidR="00B37F10" w:rsidRPr="00B37F10" w:rsidRDefault="00B37F10" w:rsidP="00B37F10">
      <w:pPr>
        <w:numPr>
          <w:ilvl w:val="0"/>
          <w:numId w:val="12"/>
        </w:numPr>
        <w:jc w:val="both"/>
        <w:rPr>
          <w:rFonts w:ascii="Times New Roman" w:hAnsi="Times New Roman" w:cs="Times New Roman"/>
          <w:sz w:val="24"/>
          <w:szCs w:val="24"/>
        </w:rPr>
      </w:pPr>
      <w:r w:rsidRPr="00B37F10">
        <w:rPr>
          <w:rFonts w:ascii="Times New Roman" w:hAnsi="Times New Roman" w:cs="Times New Roman"/>
          <w:b/>
          <w:bCs/>
          <w:sz w:val="24"/>
          <w:szCs w:val="24"/>
        </w:rPr>
        <w:t>Criticality of Corporate Governance</w:t>
      </w:r>
      <w:r w:rsidRPr="00B37F10">
        <w:rPr>
          <w:rFonts w:ascii="Times New Roman" w:hAnsi="Times New Roman" w:cs="Times New Roman"/>
          <w:sz w:val="24"/>
          <w:szCs w:val="24"/>
        </w:rPr>
        <w:t>:</w:t>
      </w:r>
    </w:p>
    <w:p w14:paraId="7D168D73" w14:textId="77777777" w:rsidR="00B37F10" w:rsidRPr="00B37F10" w:rsidRDefault="00B37F10" w:rsidP="00B37F10">
      <w:pPr>
        <w:numPr>
          <w:ilvl w:val="1"/>
          <w:numId w:val="12"/>
        </w:numPr>
        <w:jc w:val="both"/>
        <w:rPr>
          <w:rFonts w:ascii="Times New Roman" w:hAnsi="Times New Roman" w:cs="Times New Roman"/>
          <w:sz w:val="24"/>
          <w:szCs w:val="24"/>
        </w:rPr>
      </w:pPr>
      <w:r w:rsidRPr="00B37F10">
        <w:rPr>
          <w:rFonts w:ascii="Times New Roman" w:hAnsi="Times New Roman" w:cs="Times New Roman"/>
          <w:b/>
          <w:bCs/>
          <w:sz w:val="24"/>
          <w:szCs w:val="24"/>
        </w:rPr>
        <w:t>Findings</w:t>
      </w:r>
      <w:r w:rsidRPr="00B37F10">
        <w:rPr>
          <w:rFonts w:ascii="Times New Roman" w:hAnsi="Times New Roman" w:cs="Times New Roman"/>
          <w:sz w:val="24"/>
          <w:szCs w:val="24"/>
        </w:rPr>
        <w:t>:</w:t>
      </w:r>
    </w:p>
    <w:p w14:paraId="653D6026"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 xml:space="preserve">Very Critical: </w:t>
      </w:r>
      <w:r w:rsidRPr="00B37F10">
        <w:rPr>
          <w:rFonts w:ascii="Times New Roman" w:hAnsi="Times New Roman" w:cs="Times New Roman"/>
          <w:b/>
          <w:bCs/>
          <w:sz w:val="24"/>
          <w:szCs w:val="24"/>
        </w:rPr>
        <w:t>50%</w:t>
      </w:r>
    </w:p>
    <w:p w14:paraId="7E9E76E1"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 xml:space="preserve">Critical: </w:t>
      </w:r>
      <w:r w:rsidRPr="00B37F10">
        <w:rPr>
          <w:rFonts w:ascii="Times New Roman" w:hAnsi="Times New Roman" w:cs="Times New Roman"/>
          <w:b/>
          <w:bCs/>
          <w:sz w:val="24"/>
          <w:szCs w:val="24"/>
        </w:rPr>
        <w:t>30%</w:t>
      </w:r>
    </w:p>
    <w:p w14:paraId="20439737"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 xml:space="preserve">Somewhat Critical: </w:t>
      </w:r>
      <w:r w:rsidRPr="00B37F10">
        <w:rPr>
          <w:rFonts w:ascii="Times New Roman" w:hAnsi="Times New Roman" w:cs="Times New Roman"/>
          <w:b/>
          <w:bCs/>
          <w:sz w:val="24"/>
          <w:szCs w:val="24"/>
        </w:rPr>
        <w:t>20%</w:t>
      </w:r>
    </w:p>
    <w:p w14:paraId="5C0CEE06" w14:textId="77777777" w:rsidR="00B37F10" w:rsidRPr="007B292F"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 xml:space="preserve">Not Critical: </w:t>
      </w:r>
      <w:r w:rsidRPr="00B37F10">
        <w:rPr>
          <w:rFonts w:ascii="Times New Roman" w:hAnsi="Times New Roman" w:cs="Times New Roman"/>
          <w:b/>
          <w:bCs/>
          <w:sz w:val="24"/>
          <w:szCs w:val="24"/>
        </w:rPr>
        <w:t>0%</w:t>
      </w:r>
    </w:p>
    <w:p w14:paraId="69440673" w14:textId="77777777" w:rsidR="007B292F" w:rsidRPr="00B37F10" w:rsidRDefault="007B292F" w:rsidP="007B292F">
      <w:pPr>
        <w:ind w:left="2160"/>
        <w:jc w:val="both"/>
        <w:rPr>
          <w:rFonts w:ascii="Times New Roman" w:hAnsi="Times New Roman" w:cs="Times New Roman"/>
          <w:sz w:val="24"/>
          <w:szCs w:val="24"/>
        </w:rPr>
      </w:pPr>
    </w:p>
    <w:p w14:paraId="77143C3C" w14:textId="77777777" w:rsidR="00B37F10" w:rsidRPr="00B37F10" w:rsidRDefault="00B37F10" w:rsidP="00B37F10">
      <w:pPr>
        <w:numPr>
          <w:ilvl w:val="0"/>
          <w:numId w:val="12"/>
        </w:numPr>
        <w:jc w:val="both"/>
        <w:rPr>
          <w:rFonts w:ascii="Times New Roman" w:hAnsi="Times New Roman" w:cs="Times New Roman"/>
          <w:sz w:val="24"/>
          <w:szCs w:val="24"/>
        </w:rPr>
      </w:pPr>
      <w:r w:rsidRPr="00B37F10">
        <w:rPr>
          <w:rFonts w:ascii="Times New Roman" w:hAnsi="Times New Roman" w:cs="Times New Roman"/>
          <w:b/>
          <w:bCs/>
          <w:sz w:val="24"/>
          <w:szCs w:val="24"/>
        </w:rPr>
        <w:lastRenderedPageBreak/>
        <w:t>Challenges in Enforcing Governance Frameworks</w:t>
      </w:r>
      <w:r w:rsidRPr="00B37F10">
        <w:rPr>
          <w:rFonts w:ascii="Times New Roman" w:hAnsi="Times New Roman" w:cs="Times New Roman"/>
          <w:sz w:val="24"/>
          <w:szCs w:val="24"/>
        </w:rPr>
        <w:t>:</w:t>
      </w:r>
    </w:p>
    <w:p w14:paraId="5E57C4C1" w14:textId="77777777" w:rsidR="00B37F10" w:rsidRPr="00B37F10" w:rsidRDefault="00B37F10" w:rsidP="00B37F10">
      <w:pPr>
        <w:numPr>
          <w:ilvl w:val="1"/>
          <w:numId w:val="12"/>
        </w:numPr>
        <w:jc w:val="both"/>
        <w:rPr>
          <w:rFonts w:ascii="Times New Roman" w:hAnsi="Times New Roman" w:cs="Times New Roman"/>
          <w:sz w:val="24"/>
          <w:szCs w:val="24"/>
        </w:rPr>
      </w:pPr>
      <w:r w:rsidRPr="00B37F10">
        <w:rPr>
          <w:rFonts w:ascii="Times New Roman" w:hAnsi="Times New Roman" w:cs="Times New Roman"/>
          <w:b/>
          <w:bCs/>
          <w:sz w:val="24"/>
          <w:szCs w:val="24"/>
        </w:rPr>
        <w:t>Common Challenges</w:t>
      </w:r>
      <w:r w:rsidRPr="00B37F10">
        <w:rPr>
          <w:rFonts w:ascii="Times New Roman" w:hAnsi="Times New Roman" w:cs="Times New Roman"/>
          <w:sz w:val="24"/>
          <w:szCs w:val="24"/>
        </w:rPr>
        <w:t>:</w:t>
      </w:r>
    </w:p>
    <w:p w14:paraId="6823FCCC"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Lack of awareness (35%)</w:t>
      </w:r>
    </w:p>
    <w:p w14:paraId="47A61266"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Resistance to change (30%)</w:t>
      </w:r>
    </w:p>
    <w:p w14:paraId="491CA94C"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Insufficient regulatory oversight (25%)</w:t>
      </w:r>
    </w:p>
    <w:p w14:paraId="6B97A512"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Inconsistent enforcement of regulations (10%)</w:t>
      </w:r>
    </w:p>
    <w:p w14:paraId="33A482ED" w14:textId="77777777" w:rsidR="00B37F10" w:rsidRPr="00B37F10" w:rsidRDefault="00B37F10" w:rsidP="00B37F10">
      <w:pPr>
        <w:numPr>
          <w:ilvl w:val="0"/>
          <w:numId w:val="12"/>
        </w:numPr>
        <w:jc w:val="both"/>
        <w:rPr>
          <w:rFonts w:ascii="Times New Roman" w:hAnsi="Times New Roman" w:cs="Times New Roman"/>
          <w:sz w:val="24"/>
          <w:szCs w:val="24"/>
        </w:rPr>
      </w:pPr>
      <w:r w:rsidRPr="00B37F10">
        <w:rPr>
          <w:rFonts w:ascii="Times New Roman" w:hAnsi="Times New Roman" w:cs="Times New Roman"/>
          <w:b/>
          <w:bCs/>
          <w:sz w:val="24"/>
          <w:szCs w:val="24"/>
        </w:rPr>
        <w:t>Effectiveness of Current Legal Frameworks</w:t>
      </w:r>
      <w:r w:rsidRPr="00B37F10">
        <w:rPr>
          <w:rFonts w:ascii="Times New Roman" w:hAnsi="Times New Roman" w:cs="Times New Roman"/>
          <w:sz w:val="24"/>
          <w:szCs w:val="24"/>
        </w:rPr>
        <w:t>:</w:t>
      </w:r>
    </w:p>
    <w:p w14:paraId="493F7A6A" w14:textId="77777777" w:rsidR="00B37F10" w:rsidRPr="00B37F10" w:rsidRDefault="00B37F10" w:rsidP="00B37F10">
      <w:pPr>
        <w:numPr>
          <w:ilvl w:val="1"/>
          <w:numId w:val="12"/>
        </w:numPr>
        <w:jc w:val="both"/>
        <w:rPr>
          <w:rFonts w:ascii="Times New Roman" w:hAnsi="Times New Roman" w:cs="Times New Roman"/>
          <w:sz w:val="24"/>
          <w:szCs w:val="24"/>
        </w:rPr>
      </w:pPr>
      <w:r w:rsidRPr="00B37F10">
        <w:rPr>
          <w:rFonts w:ascii="Times New Roman" w:hAnsi="Times New Roman" w:cs="Times New Roman"/>
          <w:b/>
          <w:bCs/>
          <w:sz w:val="24"/>
          <w:szCs w:val="24"/>
        </w:rPr>
        <w:t>Rating</w:t>
      </w:r>
      <w:r w:rsidRPr="00B37F10">
        <w:rPr>
          <w:rFonts w:ascii="Times New Roman" w:hAnsi="Times New Roman" w:cs="Times New Roman"/>
          <w:sz w:val="24"/>
          <w:szCs w:val="24"/>
        </w:rPr>
        <w:t>:</w:t>
      </w:r>
    </w:p>
    <w:p w14:paraId="234816D1"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 xml:space="preserve">Very Well: </w:t>
      </w:r>
      <w:r w:rsidRPr="00B37F10">
        <w:rPr>
          <w:rFonts w:ascii="Times New Roman" w:hAnsi="Times New Roman" w:cs="Times New Roman"/>
          <w:b/>
          <w:bCs/>
          <w:sz w:val="24"/>
          <w:szCs w:val="24"/>
        </w:rPr>
        <w:t>20%</w:t>
      </w:r>
    </w:p>
    <w:p w14:paraId="1FA00F64"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 xml:space="preserve">Well: </w:t>
      </w:r>
      <w:r w:rsidRPr="00B37F10">
        <w:rPr>
          <w:rFonts w:ascii="Times New Roman" w:hAnsi="Times New Roman" w:cs="Times New Roman"/>
          <w:b/>
          <w:bCs/>
          <w:sz w:val="24"/>
          <w:szCs w:val="24"/>
        </w:rPr>
        <w:t>30%</w:t>
      </w:r>
    </w:p>
    <w:p w14:paraId="5A7B4365"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 xml:space="preserve">Moderately Well: </w:t>
      </w:r>
      <w:r w:rsidRPr="00B37F10">
        <w:rPr>
          <w:rFonts w:ascii="Times New Roman" w:hAnsi="Times New Roman" w:cs="Times New Roman"/>
          <w:b/>
          <w:bCs/>
          <w:sz w:val="24"/>
          <w:szCs w:val="24"/>
        </w:rPr>
        <w:t>40%</w:t>
      </w:r>
    </w:p>
    <w:p w14:paraId="45D57240"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 xml:space="preserve">Poorly: </w:t>
      </w:r>
      <w:r w:rsidRPr="00B37F10">
        <w:rPr>
          <w:rFonts w:ascii="Times New Roman" w:hAnsi="Times New Roman" w:cs="Times New Roman"/>
          <w:b/>
          <w:bCs/>
          <w:sz w:val="24"/>
          <w:szCs w:val="24"/>
        </w:rPr>
        <w:t>10%</w:t>
      </w:r>
    </w:p>
    <w:p w14:paraId="288CE50E"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 xml:space="preserve">Very Poorly: </w:t>
      </w:r>
      <w:r w:rsidRPr="00B37F10">
        <w:rPr>
          <w:rFonts w:ascii="Times New Roman" w:hAnsi="Times New Roman" w:cs="Times New Roman"/>
          <w:b/>
          <w:bCs/>
          <w:sz w:val="24"/>
          <w:szCs w:val="24"/>
        </w:rPr>
        <w:t>0%</w:t>
      </w:r>
    </w:p>
    <w:p w14:paraId="403C21D4" w14:textId="77777777" w:rsidR="00B37F10" w:rsidRPr="00B37F10" w:rsidRDefault="00B37F10" w:rsidP="00B37F10">
      <w:pPr>
        <w:numPr>
          <w:ilvl w:val="0"/>
          <w:numId w:val="12"/>
        </w:numPr>
        <w:jc w:val="both"/>
        <w:rPr>
          <w:rFonts w:ascii="Times New Roman" w:hAnsi="Times New Roman" w:cs="Times New Roman"/>
          <w:sz w:val="24"/>
          <w:szCs w:val="24"/>
        </w:rPr>
      </w:pPr>
      <w:r w:rsidRPr="00B37F10">
        <w:rPr>
          <w:rFonts w:ascii="Times New Roman" w:hAnsi="Times New Roman" w:cs="Times New Roman"/>
          <w:b/>
          <w:bCs/>
          <w:sz w:val="24"/>
          <w:szCs w:val="24"/>
        </w:rPr>
        <w:t>Effectiveness of Regulatory Compliance</w:t>
      </w:r>
      <w:r w:rsidRPr="00B37F10">
        <w:rPr>
          <w:rFonts w:ascii="Times New Roman" w:hAnsi="Times New Roman" w:cs="Times New Roman"/>
          <w:sz w:val="24"/>
          <w:szCs w:val="24"/>
        </w:rPr>
        <w:t>:</w:t>
      </w:r>
    </w:p>
    <w:p w14:paraId="5DEA9064" w14:textId="77777777" w:rsidR="00B37F10" w:rsidRPr="00B37F10" w:rsidRDefault="00B37F10" w:rsidP="00B37F10">
      <w:pPr>
        <w:numPr>
          <w:ilvl w:val="1"/>
          <w:numId w:val="12"/>
        </w:numPr>
        <w:jc w:val="both"/>
        <w:rPr>
          <w:rFonts w:ascii="Times New Roman" w:hAnsi="Times New Roman" w:cs="Times New Roman"/>
          <w:sz w:val="24"/>
          <w:szCs w:val="24"/>
        </w:rPr>
      </w:pPr>
      <w:r w:rsidRPr="00B37F10">
        <w:rPr>
          <w:rFonts w:ascii="Times New Roman" w:hAnsi="Times New Roman" w:cs="Times New Roman"/>
          <w:b/>
          <w:bCs/>
          <w:sz w:val="24"/>
          <w:szCs w:val="24"/>
        </w:rPr>
        <w:t>Rating</w:t>
      </w:r>
      <w:r w:rsidRPr="00B37F10">
        <w:rPr>
          <w:rFonts w:ascii="Times New Roman" w:hAnsi="Times New Roman" w:cs="Times New Roman"/>
          <w:sz w:val="24"/>
          <w:szCs w:val="24"/>
        </w:rPr>
        <w:t>:</w:t>
      </w:r>
    </w:p>
    <w:p w14:paraId="0AB22605"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 xml:space="preserve">1 (Very Poor): </w:t>
      </w:r>
      <w:r w:rsidRPr="00B37F10">
        <w:rPr>
          <w:rFonts w:ascii="Times New Roman" w:hAnsi="Times New Roman" w:cs="Times New Roman"/>
          <w:b/>
          <w:bCs/>
          <w:sz w:val="24"/>
          <w:szCs w:val="24"/>
        </w:rPr>
        <w:t>5%</w:t>
      </w:r>
    </w:p>
    <w:p w14:paraId="6F69518D"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 xml:space="preserve">2 (Poor): </w:t>
      </w:r>
      <w:r w:rsidRPr="00B37F10">
        <w:rPr>
          <w:rFonts w:ascii="Times New Roman" w:hAnsi="Times New Roman" w:cs="Times New Roman"/>
          <w:b/>
          <w:bCs/>
          <w:sz w:val="24"/>
          <w:szCs w:val="24"/>
        </w:rPr>
        <w:t>15%</w:t>
      </w:r>
    </w:p>
    <w:p w14:paraId="366A6FDB"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 xml:space="preserve">3 (Average): </w:t>
      </w:r>
      <w:r w:rsidRPr="00B37F10">
        <w:rPr>
          <w:rFonts w:ascii="Times New Roman" w:hAnsi="Times New Roman" w:cs="Times New Roman"/>
          <w:b/>
          <w:bCs/>
          <w:sz w:val="24"/>
          <w:szCs w:val="24"/>
        </w:rPr>
        <w:t>30%</w:t>
      </w:r>
    </w:p>
    <w:p w14:paraId="2C51F21C"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 xml:space="preserve">4 (Good): </w:t>
      </w:r>
      <w:r w:rsidRPr="00B37F10">
        <w:rPr>
          <w:rFonts w:ascii="Times New Roman" w:hAnsi="Times New Roman" w:cs="Times New Roman"/>
          <w:b/>
          <w:bCs/>
          <w:sz w:val="24"/>
          <w:szCs w:val="24"/>
        </w:rPr>
        <w:t>25%</w:t>
      </w:r>
    </w:p>
    <w:p w14:paraId="5EC1F5EF" w14:textId="77777777" w:rsidR="00B37F10" w:rsidRPr="00B37F10" w:rsidRDefault="00B37F10" w:rsidP="00B37F10">
      <w:pPr>
        <w:numPr>
          <w:ilvl w:val="2"/>
          <w:numId w:val="12"/>
        </w:numPr>
        <w:jc w:val="both"/>
        <w:rPr>
          <w:rFonts w:ascii="Times New Roman" w:hAnsi="Times New Roman" w:cs="Times New Roman"/>
          <w:sz w:val="24"/>
          <w:szCs w:val="24"/>
        </w:rPr>
      </w:pPr>
      <w:r w:rsidRPr="00B37F10">
        <w:rPr>
          <w:rFonts w:ascii="Times New Roman" w:hAnsi="Times New Roman" w:cs="Times New Roman"/>
          <w:sz w:val="24"/>
          <w:szCs w:val="24"/>
        </w:rPr>
        <w:t xml:space="preserve">5 (Excellent): </w:t>
      </w:r>
      <w:r w:rsidRPr="00B37F10">
        <w:rPr>
          <w:rFonts w:ascii="Times New Roman" w:hAnsi="Times New Roman" w:cs="Times New Roman"/>
          <w:b/>
          <w:bCs/>
          <w:sz w:val="24"/>
          <w:szCs w:val="24"/>
        </w:rPr>
        <w:t>25%</w:t>
      </w:r>
    </w:p>
    <w:p w14:paraId="5204C2E4" w14:textId="7F244969" w:rsidR="00B37F10" w:rsidRPr="00B37F10" w:rsidRDefault="002F2109" w:rsidP="002F2109">
      <w:pPr>
        <w:jc w:val="both"/>
        <w:rPr>
          <w:rFonts w:ascii="Times New Roman" w:hAnsi="Times New Roman" w:cs="Times New Roman"/>
          <w:b/>
          <w:bCs/>
          <w:sz w:val="24"/>
          <w:szCs w:val="24"/>
        </w:rPr>
      </w:pPr>
      <w:r w:rsidRPr="00B37F10">
        <w:rPr>
          <w:rFonts w:ascii="Times New Roman" w:hAnsi="Times New Roman" w:cs="Times New Roman"/>
          <w:b/>
          <w:bCs/>
          <w:sz w:val="24"/>
          <w:szCs w:val="24"/>
        </w:rPr>
        <w:t>SECTION C: RECOMMENDATIONS AND INSIGHTS</w:t>
      </w:r>
    </w:p>
    <w:p w14:paraId="1BB58257" w14:textId="77777777" w:rsidR="00B37F10" w:rsidRPr="00B37F10" w:rsidRDefault="00B37F10" w:rsidP="00B37F10">
      <w:pPr>
        <w:numPr>
          <w:ilvl w:val="0"/>
          <w:numId w:val="13"/>
        </w:numPr>
        <w:jc w:val="both"/>
        <w:rPr>
          <w:rFonts w:ascii="Times New Roman" w:hAnsi="Times New Roman" w:cs="Times New Roman"/>
          <w:sz w:val="24"/>
          <w:szCs w:val="24"/>
        </w:rPr>
      </w:pPr>
      <w:r w:rsidRPr="00B37F10">
        <w:rPr>
          <w:rFonts w:ascii="Times New Roman" w:hAnsi="Times New Roman" w:cs="Times New Roman"/>
          <w:b/>
          <w:bCs/>
          <w:sz w:val="24"/>
          <w:szCs w:val="24"/>
        </w:rPr>
        <w:t>Recommendations for Improving Integration of Governance and Risk Management</w:t>
      </w:r>
      <w:r w:rsidRPr="00B37F10">
        <w:rPr>
          <w:rFonts w:ascii="Times New Roman" w:hAnsi="Times New Roman" w:cs="Times New Roman"/>
          <w:sz w:val="24"/>
          <w:szCs w:val="24"/>
        </w:rPr>
        <w:t>:</w:t>
      </w:r>
    </w:p>
    <w:p w14:paraId="1D561175" w14:textId="77777777" w:rsidR="00B37F10" w:rsidRPr="00B37F10" w:rsidRDefault="00B37F10" w:rsidP="00B37F10">
      <w:pPr>
        <w:numPr>
          <w:ilvl w:val="1"/>
          <w:numId w:val="13"/>
        </w:numPr>
        <w:jc w:val="both"/>
        <w:rPr>
          <w:rFonts w:ascii="Times New Roman" w:hAnsi="Times New Roman" w:cs="Times New Roman"/>
          <w:sz w:val="24"/>
          <w:szCs w:val="24"/>
        </w:rPr>
      </w:pPr>
      <w:r w:rsidRPr="00B37F10">
        <w:rPr>
          <w:rFonts w:ascii="Times New Roman" w:hAnsi="Times New Roman" w:cs="Times New Roman"/>
          <w:b/>
          <w:bCs/>
          <w:sz w:val="24"/>
          <w:szCs w:val="24"/>
        </w:rPr>
        <w:t>Key Suggestions</w:t>
      </w:r>
      <w:r w:rsidRPr="00B37F10">
        <w:rPr>
          <w:rFonts w:ascii="Times New Roman" w:hAnsi="Times New Roman" w:cs="Times New Roman"/>
          <w:sz w:val="24"/>
          <w:szCs w:val="24"/>
        </w:rPr>
        <w:t>:</w:t>
      </w:r>
    </w:p>
    <w:p w14:paraId="09E884C8" w14:textId="77777777" w:rsidR="00B37F10" w:rsidRPr="00B37F10" w:rsidRDefault="00B37F10" w:rsidP="00B37F10">
      <w:pPr>
        <w:numPr>
          <w:ilvl w:val="2"/>
          <w:numId w:val="13"/>
        </w:numPr>
        <w:jc w:val="both"/>
        <w:rPr>
          <w:rFonts w:ascii="Times New Roman" w:hAnsi="Times New Roman" w:cs="Times New Roman"/>
          <w:sz w:val="24"/>
          <w:szCs w:val="24"/>
        </w:rPr>
      </w:pPr>
      <w:r w:rsidRPr="00B37F10">
        <w:rPr>
          <w:rFonts w:ascii="Times New Roman" w:hAnsi="Times New Roman" w:cs="Times New Roman"/>
          <w:sz w:val="24"/>
          <w:szCs w:val="24"/>
        </w:rPr>
        <w:t>Enhanced training programs (45%)</w:t>
      </w:r>
    </w:p>
    <w:p w14:paraId="383AA6E0" w14:textId="77777777" w:rsidR="00B37F10" w:rsidRPr="00B37F10" w:rsidRDefault="00B37F10" w:rsidP="00B37F10">
      <w:pPr>
        <w:numPr>
          <w:ilvl w:val="2"/>
          <w:numId w:val="13"/>
        </w:numPr>
        <w:jc w:val="both"/>
        <w:rPr>
          <w:rFonts w:ascii="Times New Roman" w:hAnsi="Times New Roman" w:cs="Times New Roman"/>
          <w:sz w:val="24"/>
          <w:szCs w:val="24"/>
        </w:rPr>
      </w:pPr>
      <w:r w:rsidRPr="00B37F10">
        <w:rPr>
          <w:rFonts w:ascii="Times New Roman" w:hAnsi="Times New Roman" w:cs="Times New Roman"/>
          <w:sz w:val="24"/>
          <w:szCs w:val="24"/>
        </w:rPr>
        <w:t>Streamlined regulatory processes (35%)</w:t>
      </w:r>
    </w:p>
    <w:p w14:paraId="3D20BE62" w14:textId="77777777" w:rsidR="00B37F10" w:rsidRPr="00B37F10" w:rsidRDefault="00B37F10" w:rsidP="00B37F10">
      <w:pPr>
        <w:numPr>
          <w:ilvl w:val="2"/>
          <w:numId w:val="13"/>
        </w:numPr>
        <w:jc w:val="both"/>
        <w:rPr>
          <w:rFonts w:ascii="Times New Roman" w:hAnsi="Times New Roman" w:cs="Times New Roman"/>
          <w:sz w:val="24"/>
          <w:szCs w:val="24"/>
        </w:rPr>
      </w:pPr>
      <w:r w:rsidRPr="00B37F10">
        <w:rPr>
          <w:rFonts w:ascii="Times New Roman" w:hAnsi="Times New Roman" w:cs="Times New Roman"/>
          <w:sz w:val="24"/>
          <w:szCs w:val="24"/>
        </w:rPr>
        <w:t>Adoption of technology for compliance monitoring (20%)</w:t>
      </w:r>
    </w:p>
    <w:p w14:paraId="2C349BBB" w14:textId="77777777" w:rsidR="00B37F10" w:rsidRPr="00B37F10" w:rsidRDefault="00B37F10" w:rsidP="00B37F10">
      <w:pPr>
        <w:numPr>
          <w:ilvl w:val="0"/>
          <w:numId w:val="13"/>
        </w:numPr>
        <w:jc w:val="both"/>
        <w:rPr>
          <w:rFonts w:ascii="Times New Roman" w:hAnsi="Times New Roman" w:cs="Times New Roman"/>
          <w:sz w:val="24"/>
          <w:szCs w:val="24"/>
        </w:rPr>
      </w:pPr>
      <w:r w:rsidRPr="00B37F10">
        <w:rPr>
          <w:rFonts w:ascii="Times New Roman" w:hAnsi="Times New Roman" w:cs="Times New Roman"/>
          <w:b/>
          <w:bCs/>
          <w:sz w:val="24"/>
          <w:szCs w:val="24"/>
        </w:rPr>
        <w:t>Emerging Trends</w:t>
      </w:r>
      <w:r w:rsidRPr="00B37F10">
        <w:rPr>
          <w:rFonts w:ascii="Times New Roman" w:hAnsi="Times New Roman" w:cs="Times New Roman"/>
          <w:sz w:val="24"/>
          <w:szCs w:val="24"/>
        </w:rPr>
        <w:t>:</w:t>
      </w:r>
    </w:p>
    <w:p w14:paraId="79471E83" w14:textId="77777777" w:rsidR="00B37F10" w:rsidRPr="00B37F10" w:rsidRDefault="00B37F10" w:rsidP="00B37F10">
      <w:pPr>
        <w:numPr>
          <w:ilvl w:val="1"/>
          <w:numId w:val="13"/>
        </w:numPr>
        <w:jc w:val="both"/>
        <w:rPr>
          <w:rFonts w:ascii="Times New Roman" w:hAnsi="Times New Roman" w:cs="Times New Roman"/>
          <w:sz w:val="24"/>
          <w:szCs w:val="24"/>
        </w:rPr>
      </w:pPr>
      <w:r w:rsidRPr="00B37F10">
        <w:rPr>
          <w:rFonts w:ascii="Times New Roman" w:hAnsi="Times New Roman" w:cs="Times New Roman"/>
          <w:b/>
          <w:bCs/>
          <w:sz w:val="24"/>
          <w:szCs w:val="24"/>
        </w:rPr>
        <w:t>Predicted Trends</w:t>
      </w:r>
      <w:r w:rsidRPr="00B37F10">
        <w:rPr>
          <w:rFonts w:ascii="Times New Roman" w:hAnsi="Times New Roman" w:cs="Times New Roman"/>
          <w:sz w:val="24"/>
          <w:szCs w:val="24"/>
        </w:rPr>
        <w:t>:</w:t>
      </w:r>
    </w:p>
    <w:p w14:paraId="386A6FAB" w14:textId="77777777" w:rsidR="00B37F10" w:rsidRPr="00B37F10" w:rsidRDefault="00B37F10" w:rsidP="00B37F10">
      <w:pPr>
        <w:numPr>
          <w:ilvl w:val="2"/>
          <w:numId w:val="13"/>
        </w:numPr>
        <w:jc w:val="both"/>
        <w:rPr>
          <w:rFonts w:ascii="Times New Roman" w:hAnsi="Times New Roman" w:cs="Times New Roman"/>
          <w:sz w:val="24"/>
          <w:szCs w:val="24"/>
        </w:rPr>
      </w:pPr>
      <w:r w:rsidRPr="00B37F10">
        <w:rPr>
          <w:rFonts w:ascii="Times New Roman" w:hAnsi="Times New Roman" w:cs="Times New Roman"/>
          <w:sz w:val="24"/>
          <w:szCs w:val="24"/>
        </w:rPr>
        <w:t>Increased focus on cybersecurity (55%)</w:t>
      </w:r>
    </w:p>
    <w:p w14:paraId="664AB222" w14:textId="77777777" w:rsidR="00B37F10" w:rsidRPr="00B37F10" w:rsidRDefault="00B37F10" w:rsidP="00B37F10">
      <w:pPr>
        <w:numPr>
          <w:ilvl w:val="2"/>
          <w:numId w:val="13"/>
        </w:numPr>
        <w:jc w:val="both"/>
        <w:rPr>
          <w:rFonts w:ascii="Times New Roman" w:hAnsi="Times New Roman" w:cs="Times New Roman"/>
          <w:sz w:val="24"/>
          <w:szCs w:val="24"/>
        </w:rPr>
      </w:pPr>
      <w:r w:rsidRPr="00B37F10">
        <w:rPr>
          <w:rFonts w:ascii="Times New Roman" w:hAnsi="Times New Roman" w:cs="Times New Roman"/>
          <w:sz w:val="24"/>
          <w:szCs w:val="24"/>
        </w:rPr>
        <w:lastRenderedPageBreak/>
        <w:t>Greater emphasis on ESG (Environmental, Social, and Governance) factors (30%)</w:t>
      </w:r>
    </w:p>
    <w:p w14:paraId="5AA0B956" w14:textId="77777777" w:rsidR="00B37F10" w:rsidRPr="00B37F10" w:rsidRDefault="00B37F10" w:rsidP="00B37F10">
      <w:pPr>
        <w:numPr>
          <w:ilvl w:val="2"/>
          <w:numId w:val="13"/>
        </w:numPr>
        <w:jc w:val="both"/>
        <w:rPr>
          <w:rFonts w:ascii="Times New Roman" w:hAnsi="Times New Roman" w:cs="Times New Roman"/>
          <w:sz w:val="24"/>
          <w:szCs w:val="24"/>
        </w:rPr>
      </w:pPr>
      <w:r w:rsidRPr="00B37F10">
        <w:rPr>
          <w:rFonts w:ascii="Times New Roman" w:hAnsi="Times New Roman" w:cs="Times New Roman"/>
          <w:sz w:val="24"/>
          <w:szCs w:val="24"/>
        </w:rPr>
        <w:t>Use of AI and data analytics in risk management (15%)</w:t>
      </w:r>
    </w:p>
    <w:p w14:paraId="62F3032A" w14:textId="77777777" w:rsidR="00B37F10" w:rsidRPr="00B37F10" w:rsidRDefault="00B37F10" w:rsidP="00B37F10">
      <w:pPr>
        <w:numPr>
          <w:ilvl w:val="0"/>
          <w:numId w:val="13"/>
        </w:numPr>
        <w:jc w:val="both"/>
        <w:rPr>
          <w:rFonts w:ascii="Times New Roman" w:hAnsi="Times New Roman" w:cs="Times New Roman"/>
          <w:sz w:val="24"/>
          <w:szCs w:val="24"/>
        </w:rPr>
      </w:pPr>
      <w:r w:rsidRPr="00B37F10">
        <w:rPr>
          <w:rFonts w:ascii="Times New Roman" w:hAnsi="Times New Roman" w:cs="Times New Roman"/>
          <w:b/>
          <w:bCs/>
          <w:sz w:val="24"/>
          <w:szCs w:val="24"/>
        </w:rPr>
        <w:t>Additional Comments</w:t>
      </w:r>
      <w:r w:rsidRPr="00B37F10">
        <w:rPr>
          <w:rFonts w:ascii="Times New Roman" w:hAnsi="Times New Roman" w:cs="Times New Roman"/>
          <w:sz w:val="24"/>
          <w:szCs w:val="24"/>
        </w:rPr>
        <w:t>:</w:t>
      </w:r>
    </w:p>
    <w:p w14:paraId="736EFAC0" w14:textId="2492F683" w:rsidR="00520287" w:rsidRPr="00EE279B" w:rsidRDefault="00B37F10" w:rsidP="00EE279B">
      <w:pPr>
        <w:numPr>
          <w:ilvl w:val="1"/>
          <w:numId w:val="13"/>
        </w:numPr>
        <w:jc w:val="both"/>
        <w:rPr>
          <w:rFonts w:ascii="Times New Roman" w:hAnsi="Times New Roman" w:cs="Times New Roman"/>
          <w:sz w:val="24"/>
          <w:szCs w:val="24"/>
        </w:rPr>
      </w:pPr>
      <w:r w:rsidRPr="00B37F10">
        <w:rPr>
          <w:rFonts w:ascii="Times New Roman" w:hAnsi="Times New Roman" w:cs="Times New Roman"/>
          <w:sz w:val="24"/>
          <w:szCs w:val="24"/>
        </w:rPr>
        <w:t>Experts emphasized the need for collaboration between institutions and regulators to enhance governance frameworks and address emerging risks.</w:t>
      </w:r>
    </w:p>
    <w:p w14:paraId="6BBF0F09" w14:textId="2E68F8C3" w:rsidR="00CF3E5B" w:rsidRPr="00CF3E5B" w:rsidRDefault="00EE279B" w:rsidP="00EE279B">
      <w:pPr>
        <w:jc w:val="both"/>
        <w:rPr>
          <w:rFonts w:ascii="Times New Roman" w:hAnsi="Times New Roman" w:cs="Times New Roman"/>
          <w:b/>
          <w:bCs/>
          <w:sz w:val="24"/>
          <w:szCs w:val="24"/>
        </w:rPr>
      </w:pPr>
      <w:r w:rsidRPr="00CF3E5B">
        <w:rPr>
          <w:rFonts w:ascii="Times New Roman" w:hAnsi="Times New Roman" w:cs="Times New Roman"/>
          <w:b/>
          <w:bCs/>
          <w:sz w:val="24"/>
          <w:szCs w:val="24"/>
        </w:rPr>
        <w:t>CONCLUSION</w:t>
      </w:r>
    </w:p>
    <w:p w14:paraId="1BB0B5FF" w14:textId="77777777" w:rsidR="00CF3E5B" w:rsidRPr="00CF3E5B" w:rsidRDefault="00CF3E5B" w:rsidP="00EE279B">
      <w:pPr>
        <w:jc w:val="both"/>
        <w:rPr>
          <w:rFonts w:ascii="Times New Roman" w:hAnsi="Times New Roman" w:cs="Times New Roman"/>
          <w:sz w:val="24"/>
          <w:szCs w:val="24"/>
        </w:rPr>
      </w:pPr>
      <w:r w:rsidRPr="00CF3E5B">
        <w:rPr>
          <w:rFonts w:ascii="Times New Roman" w:hAnsi="Times New Roman" w:cs="Times New Roman"/>
          <w:sz w:val="24"/>
          <w:szCs w:val="24"/>
        </w:rPr>
        <w:t>The survey analysis reveals a significant relationship between corporate governance and risk management practices within financial institutions. Key findings indicate that while many institutions have established governance frameworks, there are areas for improvement, particularly in risk management practices and regulatory compliance. Experts highlight the importance of evolving legal frameworks to address emerging risks, particularly in the digital domain.</w:t>
      </w:r>
    </w:p>
    <w:p w14:paraId="6542B680" w14:textId="77777777" w:rsidR="00CF3E5B" w:rsidRPr="00CF3E5B" w:rsidRDefault="00CF3E5B" w:rsidP="00CF3E5B">
      <w:pPr>
        <w:ind w:firstLine="720"/>
        <w:jc w:val="both"/>
        <w:rPr>
          <w:rFonts w:ascii="Times New Roman" w:hAnsi="Times New Roman" w:cs="Times New Roman"/>
          <w:b/>
          <w:bCs/>
          <w:sz w:val="24"/>
          <w:szCs w:val="24"/>
        </w:rPr>
      </w:pPr>
      <w:r w:rsidRPr="00CF3E5B">
        <w:rPr>
          <w:rFonts w:ascii="Times New Roman" w:hAnsi="Times New Roman" w:cs="Times New Roman"/>
          <w:b/>
          <w:bCs/>
          <w:sz w:val="24"/>
          <w:szCs w:val="24"/>
        </w:rPr>
        <w:t>Recommendations for Future Research</w:t>
      </w:r>
    </w:p>
    <w:p w14:paraId="4B60358D" w14:textId="77777777" w:rsidR="00CF3E5B" w:rsidRPr="00CF3E5B" w:rsidRDefault="00CF3E5B" w:rsidP="00CF3E5B">
      <w:pPr>
        <w:numPr>
          <w:ilvl w:val="0"/>
          <w:numId w:val="14"/>
        </w:numPr>
        <w:jc w:val="both"/>
        <w:rPr>
          <w:rFonts w:ascii="Times New Roman" w:hAnsi="Times New Roman" w:cs="Times New Roman"/>
          <w:sz w:val="24"/>
          <w:szCs w:val="24"/>
        </w:rPr>
      </w:pPr>
      <w:r w:rsidRPr="00CF3E5B">
        <w:rPr>
          <w:rFonts w:ascii="Times New Roman" w:hAnsi="Times New Roman" w:cs="Times New Roman"/>
          <w:sz w:val="24"/>
          <w:szCs w:val="24"/>
        </w:rPr>
        <w:t>Further exploration of the impact of specific governance practices on risk management outcomes.</w:t>
      </w:r>
    </w:p>
    <w:p w14:paraId="44F32F06" w14:textId="77777777" w:rsidR="00CF3E5B" w:rsidRPr="00CF3E5B" w:rsidRDefault="00CF3E5B" w:rsidP="00CF3E5B">
      <w:pPr>
        <w:numPr>
          <w:ilvl w:val="0"/>
          <w:numId w:val="14"/>
        </w:numPr>
        <w:jc w:val="both"/>
        <w:rPr>
          <w:rFonts w:ascii="Times New Roman" w:hAnsi="Times New Roman" w:cs="Times New Roman"/>
          <w:sz w:val="24"/>
          <w:szCs w:val="24"/>
        </w:rPr>
      </w:pPr>
      <w:r w:rsidRPr="00CF3E5B">
        <w:rPr>
          <w:rFonts w:ascii="Times New Roman" w:hAnsi="Times New Roman" w:cs="Times New Roman"/>
          <w:sz w:val="24"/>
          <w:szCs w:val="24"/>
        </w:rPr>
        <w:t>Longitudinal studies to assess the effectiveness of newly implemented governance frameworks over time.</w:t>
      </w:r>
    </w:p>
    <w:p w14:paraId="405FD9FD" w14:textId="77777777" w:rsidR="00CF3E5B" w:rsidRPr="00CF3E5B" w:rsidRDefault="00CF3E5B" w:rsidP="00CF3E5B">
      <w:pPr>
        <w:numPr>
          <w:ilvl w:val="0"/>
          <w:numId w:val="14"/>
        </w:numPr>
        <w:jc w:val="both"/>
        <w:rPr>
          <w:rFonts w:ascii="Times New Roman" w:hAnsi="Times New Roman" w:cs="Times New Roman"/>
          <w:sz w:val="24"/>
          <w:szCs w:val="24"/>
        </w:rPr>
      </w:pPr>
      <w:r w:rsidRPr="00CF3E5B">
        <w:rPr>
          <w:rFonts w:ascii="Times New Roman" w:hAnsi="Times New Roman" w:cs="Times New Roman"/>
          <w:sz w:val="24"/>
          <w:szCs w:val="24"/>
        </w:rPr>
        <w:t>Comparative studies across different jurisdictions to identify best practices in corporate governance and risk management.</w:t>
      </w:r>
    </w:p>
    <w:p w14:paraId="401EAF67" w14:textId="3507BBFC" w:rsidR="00782809" w:rsidRPr="009964CD" w:rsidRDefault="00CF3E5B" w:rsidP="00EE279B">
      <w:pPr>
        <w:ind w:firstLine="720"/>
        <w:jc w:val="both"/>
        <w:rPr>
          <w:rFonts w:ascii="Times New Roman" w:hAnsi="Times New Roman" w:cs="Times New Roman"/>
          <w:sz w:val="24"/>
          <w:szCs w:val="24"/>
        </w:rPr>
      </w:pPr>
      <w:r w:rsidRPr="00CF3E5B">
        <w:rPr>
          <w:rFonts w:ascii="Times New Roman" w:hAnsi="Times New Roman" w:cs="Times New Roman"/>
          <w:sz w:val="24"/>
          <w:szCs w:val="24"/>
        </w:rPr>
        <w:t>This analysis serves as a foundation for understanding the dynamics between corporate governance and risk management and will inform further research and policy recommendations in the field.</w:t>
      </w:r>
    </w:p>
    <w:sectPr w:rsidR="00782809" w:rsidRPr="009964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5A0D"/>
    <w:multiLevelType w:val="multilevel"/>
    <w:tmpl w:val="E55213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1404B"/>
    <w:multiLevelType w:val="multilevel"/>
    <w:tmpl w:val="7084147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837C6F"/>
    <w:multiLevelType w:val="multilevel"/>
    <w:tmpl w:val="19A07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170F5C"/>
    <w:multiLevelType w:val="multilevel"/>
    <w:tmpl w:val="E15E8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106631"/>
    <w:multiLevelType w:val="multilevel"/>
    <w:tmpl w:val="4016E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510CF9"/>
    <w:multiLevelType w:val="multilevel"/>
    <w:tmpl w:val="AA227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794D0A"/>
    <w:multiLevelType w:val="multilevel"/>
    <w:tmpl w:val="57E427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845807"/>
    <w:multiLevelType w:val="multilevel"/>
    <w:tmpl w:val="AB381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1047C9"/>
    <w:multiLevelType w:val="multilevel"/>
    <w:tmpl w:val="6ECE2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95E0745"/>
    <w:multiLevelType w:val="multilevel"/>
    <w:tmpl w:val="331880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A73502"/>
    <w:multiLevelType w:val="multilevel"/>
    <w:tmpl w:val="9C26E7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537D48"/>
    <w:multiLevelType w:val="multilevel"/>
    <w:tmpl w:val="08FE5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C57742"/>
    <w:multiLevelType w:val="multilevel"/>
    <w:tmpl w:val="C590A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491C10"/>
    <w:multiLevelType w:val="hybridMultilevel"/>
    <w:tmpl w:val="A3F434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7FA422E"/>
    <w:multiLevelType w:val="multilevel"/>
    <w:tmpl w:val="22BE19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9635248">
    <w:abstractNumId w:val="3"/>
  </w:num>
  <w:num w:numId="2" w16cid:durableId="1053777313">
    <w:abstractNumId w:val="7"/>
  </w:num>
  <w:num w:numId="3" w16cid:durableId="417677399">
    <w:abstractNumId w:val="8"/>
  </w:num>
  <w:num w:numId="4" w16cid:durableId="840464301">
    <w:abstractNumId w:val="5"/>
  </w:num>
  <w:num w:numId="5" w16cid:durableId="989363838">
    <w:abstractNumId w:val="1"/>
  </w:num>
  <w:num w:numId="6" w16cid:durableId="864369231">
    <w:abstractNumId w:val="11"/>
  </w:num>
  <w:num w:numId="7" w16cid:durableId="595552368">
    <w:abstractNumId w:val="0"/>
  </w:num>
  <w:num w:numId="8" w16cid:durableId="557281138">
    <w:abstractNumId w:val="12"/>
  </w:num>
  <w:num w:numId="9" w16cid:durableId="395978885">
    <w:abstractNumId w:val="9"/>
  </w:num>
  <w:num w:numId="10" w16cid:durableId="508835016">
    <w:abstractNumId w:val="6"/>
  </w:num>
  <w:num w:numId="11" w16cid:durableId="872235107">
    <w:abstractNumId w:val="2"/>
  </w:num>
  <w:num w:numId="12" w16cid:durableId="758795774">
    <w:abstractNumId w:val="14"/>
  </w:num>
  <w:num w:numId="13" w16cid:durableId="1604454407">
    <w:abstractNumId w:val="10"/>
  </w:num>
  <w:num w:numId="14" w16cid:durableId="436103255">
    <w:abstractNumId w:val="4"/>
  </w:num>
  <w:num w:numId="15" w16cid:durableId="5595591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E8B"/>
    <w:rsid w:val="00002C0C"/>
    <w:rsid w:val="00055978"/>
    <w:rsid w:val="000E56D8"/>
    <w:rsid w:val="001006AF"/>
    <w:rsid w:val="0012066F"/>
    <w:rsid w:val="001D2CEA"/>
    <w:rsid w:val="0021108A"/>
    <w:rsid w:val="002248BB"/>
    <w:rsid w:val="002F1001"/>
    <w:rsid w:val="002F2109"/>
    <w:rsid w:val="004137A2"/>
    <w:rsid w:val="00520287"/>
    <w:rsid w:val="005E251E"/>
    <w:rsid w:val="00782809"/>
    <w:rsid w:val="007B292F"/>
    <w:rsid w:val="007E34C3"/>
    <w:rsid w:val="00893E8B"/>
    <w:rsid w:val="00916FCB"/>
    <w:rsid w:val="00986C2D"/>
    <w:rsid w:val="009964CD"/>
    <w:rsid w:val="00A17289"/>
    <w:rsid w:val="00A47BE7"/>
    <w:rsid w:val="00AF6D64"/>
    <w:rsid w:val="00B37F10"/>
    <w:rsid w:val="00B41769"/>
    <w:rsid w:val="00BC3E6C"/>
    <w:rsid w:val="00BC4AC3"/>
    <w:rsid w:val="00C071D5"/>
    <w:rsid w:val="00C61FA5"/>
    <w:rsid w:val="00CF3E5B"/>
    <w:rsid w:val="00D60337"/>
    <w:rsid w:val="00DC3D96"/>
    <w:rsid w:val="00EE279B"/>
    <w:rsid w:val="00F56A3C"/>
    <w:rsid w:val="00FE41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DE6FB"/>
  <w15:chartTrackingRefBased/>
  <w15:docId w15:val="{163C9221-C10F-4CE5-A435-94E1B1041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82809"/>
    <w:rPr>
      <w:b/>
      <w:bCs/>
    </w:rPr>
  </w:style>
  <w:style w:type="paragraph" w:styleId="ListParagraph">
    <w:name w:val="List Paragraph"/>
    <w:basedOn w:val="Normal"/>
    <w:uiPriority w:val="34"/>
    <w:qFormat/>
    <w:rsid w:val="0021108A"/>
    <w:pPr>
      <w:ind w:left="720"/>
      <w:contextualSpacing/>
    </w:pPr>
  </w:style>
  <w:style w:type="paragraph" w:styleId="NoSpacing">
    <w:name w:val="No Spacing"/>
    <w:uiPriority w:val="1"/>
    <w:qFormat/>
    <w:rsid w:val="007E34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49811">
      <w:bodyDiv w:val="1"/>
      <w:marLeft w:val="0"/>
      <w:marRight w:val="0"/>
      <w:marTop w:val="0"/>
      <w:marBottom w:val="0"/>
      <w:divBdr>
        <w:top w:val="none" w:sz="0" w:space="0" w:color="auto"/>
        <w:left w:val="none" w:sz="0" w:space="0" w:color="auto"/>
        <w:bottom w:val="none" w:sz="0" w:space="0" w:color="auto"/>
        <w:right w:val="none" w:sz="0" w:space="0" w:color="auto"/>
      </w:divBdr>
    </w:div>
    <w:div w:id="116875793">
      <w:bodyDiv w:val="1"/>
      <w:marLeft w:val="0"/>
      <w:marRight w:val="0"/>
      <w:marTop w:val="0"/>
      <w:marBottom w:val="0"/>
      <w:divBdr>
        <w:top w:val="none" w:sz="0" w:space="0" w:color="auto"/>
        <w:left w:val="none" w:sz="0" w:space="0" w:color="auto"/>
        <w:bottom w:val="none" w:sz="0" w:space="0" w:color="auto"/>
        <w:right w:val="none" w:sz="0" w:space="0" w:color="auto"/>
      </w:divBdr>
    </w:div>
    <w:div w:id="130174473">
      <w:bodyDiv w:val="1"/>
      <w:marLeft w:val="0"/>
      <w:marRight w:val="0"/>
      <w:marTop w:val="0"/>
      <w:marBottom w:val="0"/>
      <w:divBdr>
        <w:top w:val="none" w:sz="0" w:space="0" w:color="auto"/>
        <w:left w:val="none" w:sz="0" w:space="0" w:color="auto"/>
        <w:bottom w:val="none" w:sz="0" w:space="0" w:color="auto"/>
        <w:right w:val="none" w:sz="0" w:space="0" w:color="auto"/>
      </w:divBdr>
    </w:div>
    <w:div w:id="213546918">
      <w:bodyDiv w:val="1"/>
      <w:marLeft w:val="0"/>
      <w:marRight w:val="0"/>
      <w:marTop w:val="0"/>
      <w:marBottom w:val="0"/>
      <w:divBdr>
        <w:top w:val="none" w:sz="0" w:space="0" w:color="auto"/>
        <w:left w:val="none" w:sz="0" w:space="0" w:color="auto"/>
        <w:bottom w:val="none" w:sz="0" w:space="0" w:color="auto"/>
        <w:right w:val="none" w:sz="0" w:space="0" w:color="auto"/>
      </w:divBdr>
    </w:div>
    <w:div w:id="311253256">
      <w:bodyDiv w:val="1"/>
      <w:marLeft w:val="0"/>
      <w:marRight w:val="0"/>
      <w:marTop w:val="0"/>
      <w:marBottom w:val="0"/>
      <w:divBdr>
        <w:top w:val="none" w:sz="0" w:space="0" w:color="auto"/>
        <w:left w:val="none" w:sz="0" w:space="0" w:color="auto"/>
        <w:bottom w:val="none" w:sz="0" w:space="0" w:color="auto"/>
        <w:right w:val="none" w:sz="0" w:space="0" w:color="auto"/>
      </w:divBdr>
    </w:div>
    <w:div w:id="358311436">
      <w:bodyDiv w:val="1"/>
      <w:marLeft w:val="0"/>
      <w:marRight w:val="0"/>
      <w:marTop w:val="0"/>
      <w:marBottom w:val="0"/>
      <w:divBdr>
        <w:top w:val="none" w:sz="0" w:space="0" w:color="auto"/>
        <w:left w:val="none" w:sz="0" w:space="0" w:color="auto"/>
        <w:bottom w:val="none" w:sz="0" w:space="0" w:color="auto"/>
        <w:right w:val="none" w:sz="0" w:space="0" w:color="auto"/>
      </w:divBdr>
    </w:div>
    <w:div w:id="431977098">
      <w:bodyDiv w:val="1"/>
      <w:marLeft w:val="0"/>
      <w:marRight w:val="0"/>
      <w:marTop w:val="0"/>
      <w:marBottom w:val="0"/>
      <w:divBdr>
        <w:top w:val="none" w:sz="0" w:space="0" w:color="auto"/>
        <w:left w:val="none" w:sz="0" w:space="0" w:color="auto"/>
        <w:bottom w:val="none" w:sz="0" w:space="0" w:color="auto"/>
        <w:right w:val="none" w:sz="0" w:space="0" w:color="auto"/>
      </w:divBdr>
    </w:div>
    <w:div w:id="486240786">
      <w:bodyDiv w:val="1"/>
      <w:marLeft w:val="0"/>
      <w:marRight w:val="0"/>
      <w:marTop w:val="0"/>
      <w:marBottom w:val="0"/>
      <w:divBdr>
        <w:top w:val="none" w:sz="0" w:space="0" w:color="auto"/>
        <w:left w:val="none" w:sz="0" w:space="0" w:color="auto"/>
        <w:bottom w:val="none" w:sz="0" w:space="0" w:color="auto"/>
        <w:right w:val="none" w:sz="0" w:space="0" w:color="auto"/>
      </w:divBdr>
    </w:div>
    <w:div w:id="793793064">
      <w:bodyDiv w:val="1"/>
      <w:marLeft w:val="0"/>
      <w:marRight w:val="0"/>
      <w:marTop w:val="0"/>
      <w:marBottom w:val="0"/>
      <w:divBdr>
        <w:top w:val="none" w:sz="0" w:space="0" w:color="auto"/>
        <w:left w:val="none" w:sz="0" w:space="0" w:color="auto"/>
        <w:bottom w:val="none" w:sz="0" w:space="0" w:color="auto"/>
        <w:right w:val="none" w:sz="0" w:space="0" w:color="auto"/>
      </w:divBdr>
    </w:div>
    <w:div w:id="815755519">
      <w:bodyDiv w:val="1"/>
      <w:marLeft w:val="0"/>
      <w:marRight w:val="0"/>
      <w:marTop w:val="0"/>
      <w:marBottom w:val="0"/>
      <w:divBdr>
        <w:top w:val="none" w:sz="0" w:space="0" w:color="auto"/>
        <w:left w:val="none" w:sz="0" w:space="0" w:color="auto"/>
        <w:bottom w:val="none" w:sz="0" w:space="0" w:color="auto"/>
        <w:right w:val="none" w:sz="0" w:space="0" w:color="auto"/>
      </w:divBdr>
    </w:div>
    <w:div w:id="846291985">
      <w:bodyDiv w:val="1"/>
      <w:marLeft w:val="0"/>
      <w:marRight w:val="0"/>
      <w:marTop w:val="0"/>
      <w:marBottom w:val="0"/>
      <w:divBdr>
        <w:top w:val="none" w:sz="0" w:space="0" w:color="auto"/>
        <w:left w:val="none" w:sz="0" w:space="0" w:color="auto"/>
        <w:bottom w:val="none" w:sz="0" w:space="0" w:color="auto"/>
        <w:right w:val="none" w:sz="0" w:space="0" w:color="auto"/>
      </w:divBdr>
    </w:div>
    <w:div w:id="906380172">
      <w:bodyDiv w:val="1"/>
      <w:marLeft w:val="0"/>
      <w:marRight w:val="0"/>
      <w:marTop w:val="0"/>
      <w:marBottom w:val="0"/>
      <w:divBdr>
        <w:top w:val="none" w:sz="0" w:space="0" w:color="auto"/>
        <w:left w:val="none" w:sz="0" w:space="0" w:color="auto"/>
        <w:bottom w:val="none" w:sz="0" w:space="0" w:color="auto"/>
        <w:right w:val="none" w:sz="0" w:space="0" w:color="auto"/>
      </w:divBdr>
    </w:div>
    <w:div w:id="1474524130">
      <w:bodyDiv w:val="1"/>
      <w:marLeft w:val="0"/>
      <w:marRight w:val="0"/>
      <w:marTop w:val="0"/>
      <w:marBottom w:val="0"/>
      <w:divBdr>
        <w:top w:val="none" w:sz="0" w:space="0" w:color="auto"/>
        <w:left w:val="none" w:sz="0" w:space="0" w:color="auto"/>
        <w:bottom w:val="none" w:sz="0" w:space="0" w:color="auto"/>
        <w:right w:val="none" w:sz="0" w:space="0" w:color="auto"/>
      </w:divBdr>
    </w:div>
    <w:div w:id="1611863756">
      <w:bodyDiv w:val="1"/>
      <w:marLeft w:val="0"/>
      <w:marRight w:val="0"/>
      <w:marTop w:val="0"/>
      <w:marBottom w:val="0"/>
      <w:divBdr>
        <w:top w:val="none" w:sz="0" w:space="0" w:color="auto"/>
        <w:left w:val="none" w:sz="0" w:space="0" w:color="auto"/>
        <w:bottom w:val="none" w:sz="0" w:space="0" w:color="auto"/>
        <w:right w:val="none" w:sz="0" w:space="0" w:color="auto"/>
      </w:divBdr>
    </w:div>
    <w:div w:id="1994019224">
      <w:bodyDiv w:val="1"/>
      <w:marLeft w:val="0"/>
      <w:marRight w:val="0"/>
      <w:marTop w:val="0"/>
      <w:marBottom w:val="0"/>
      <w:divBdr>
        <w:top w:val="none" w:sz="0" w:space="0" w:color="auto"/>
        <w:left w:val="none" w:sz="0" w:space="0" w:color="auto"/>
        <w:bottom w:val="none" w:sz="0" w:space="0" w:color="auto"/>
        <w:right w:val="none" w:sz="0" w:space="0" w:color="auto"/>
      </w:divBdr>
    </w:div>
    <w:div w:id="2007127170">
      <w:bodyDiv w:val="1"/>
      <w:marLeft w:val="0"/>
      <w:marRight w:val="0"/>
      <w:marTop w:val="0"/>
      <w:marBottom w:val="0"/>
      <w:divBdr>
        <w:top w:val="none" w:sz="0" w:space="0" w:color="auto"/>
        <w:left w:val="none" w:sz="0" w:space="0" w:color="auto"/>
        <w:bottom w:val="none" w:sz="0" w:space="0" w:color="auto"/>
        <w:right w:val="none" w:sz="0" w:space="0" w:color="auto"/>
      </w:divBdr>
    </w:div>
    <w:div w:id="2091847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13</Pages>
  <Words>3472</Words>
  <Characters>19792</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Kumar M Windows Meenkera</dc:creator>
  <cp:keywords/>
  <dc:description/>
  <cp:lastModifiedBy>Mahesh Kumar M Windows Meenkera</cp:lastModifiedBy>
  <cp:revision>41</cp:revision>
  <dcterms:created xsi:type="dcterms:W3CDTF">2024-11-03T06:15:00Z</dcterms:created>
  <dcterms:modified xsi:type="dcterms:W3CDTF">2025-02-17T04:58:00Z</dcterms:modified>
</cp:coreProperties>
</file>