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42E7E79" w:rsidR="00DA52F4" w:rsidRPr="002360DB" w:rsidRDefault="002360DB" w:rsidP="002360DB">
      <w:pPr>
        <w:pStyle w:val="Header"/>
        <w:jc w:val="center"/>
        <w:rPr>
          <w:rFonts w:ascii="Times New Roman" w:hAnsi="Times New Roman" w:cs="Times New Roman"/>
          <w:b/>
          <w:bCs/>
          <w:sz w:val="28"/>
          <w:szCs w:val="28"/>
        </w:rPr>
      </w:pPr>
      <w:bookmarkStart w:id="0" w:name="_Hlk190991142"/>
      <w:r w:rsidRPr="002360DB">
        <w:rPr>
          <w:rFonts w:ascii="Times New Roman" w:hAnsi="Times New Roman" w:cs="Times New Roman"/>
          <w:b/>
          <w:bCs/>
          <w:sz w:val="28"/>
          <w:szCs w:val="28"/>
        </w:rPr>
        <w:t>“A Study on Wealth Management in India”</w:t>
      </w:r>
      <w:r>
        <w:rPr>
          <w:rFonts w:ascii="Times New Roman" w:hAnsi="Times New Roman" w:cs="Times New Roman"/>
          <w:b/>
          <w:bCs/>
          <w:color w:val="000000" w:themeColor="text1"/>
          <w:sz w:val="28"/>
          <w:szCs w:val="28"/>
        </w:rPr>
        <w:t xml:space="preserve"> </w:t>
      </w:r>
    </w:p>
    <w:p w14:paraId="736B6AC8" w14:textId="4A2CD019" w:rsidR="00DA52F4" w:rsidRPr="001E51F3" w:rsidRDefault="002360D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Suhas Hegde</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p>
    <w:p w14:paraId="7AEC63B4" w14:textId="34DA28F0" w:rsidR="00DA52F4" w:rsidRPr="001E51F3" w:rsidRDefault="002360D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PGDM</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GIBS Business school</w:t>
      </w:r>
      <w:r w:rsidR="00DA52F4" w:rsidRPr="001E51F3">
        <w:rPr>
          <w:rFonts w:ascii="Times New Roman" w:hAnsi="Times New Roman" w:cs="Times New Roman"/>
          <w:color w:val="000000" w:themeColor="text1"/>
        </w:rPr>
        <w:t xml:space="preserve">, </w:t>
      </w:r>
      <w:r w:rsidR="00A553E2">
        <w:rPr>
          <w:rFonts w:ascii="Times New Roman" w:hAnsi="Times New Roman" w:cs="Times New Roman"/>
          <w:color w:val="000000" w:themeColor="text1"/>
        </w:rPr>
        <w:t>Bengaluru</w:t>
      </w:r>
      <w:r w:rsidR="00A553E2" w:rsidRPr="001E51F3">
        <w:rPr>
          <w:rFonts w:ascii="Times New Roman" w:hAnsi="Times New Roman" w:cs="Times New Roman"/>
          <w:color w:val="000000" w:themeColor="text1"/>
        </w:rPr>
        <w:t xml:space="preserve">, </w:t>
      </w:r>
      <w:r w:rsidR="00A553E2">
        <w:rPr>
          <w:rFonts w:ascii="Times New Roman" w:hAnsi="Times New Roman" w:cs="Times New Roman"/>
          <w:color w:val="000000" w:themeColor="text1"/>
        </w:rPr>
        <w:t>Karnataka,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14:paraId="7C6E1520" w14:textId="6C55A0A5" w:rsidR="00DA52F4" w:rsidRPr="001E51F3" w:rsidRDefault="00DA52F4" w:rsidP="002360DB">
      <w:pPr>
        <w:pBdr>
          <w:bottom w:val="single" w:sz="4" w:space="1" w:color="auto"/>
        </w:pBdr>
        <w:spacing w:before="54" w:after="0" w:line="276" w:lineRule="auto"/>
        <w:rPr>
          <w:rFonts w:ascii="Times New Roman" w:hAnsi="Times New Roman" w:cs="Times New Roman"/>
          <w:color w:val="000000" w:themeColor="text1"/>
        </w:rPr>
      </w:pPr>
    </w:p>
    <w:p w14:paraId="2492286E" w14:textId="77777777" w:rsidR="002360DB" w:rsidRPr="00353798" w:rsidRDefault="002360DB" w:rsidP="002360DB">
      <w:pPr>
        <w:pStyle w:val="Heading1"/>
        <w:numPr>
          <w:ilvl w:val="0"/>
          <w:numId w:val="27"/>
        </w:numPr>
        <w:tabs>
          <w:tab w:val="num" w:pos="288"/>
          <w:tab w:val="num" w:pos="360"/>
        </w:tabs>
        <w:ind w:left="0" w:firstLine="0"/>
        <w:rPr>
          <w:rStyle w:val="Strong"/>
          <w:rFonts w:ascii="Times New Roman" w:hAnsi="Times New Roman" w:cs="Times New Roman"/>
          <w:b w:val="0"/>
          <w:bCs w:val="0"/>
        </w:rPr>
      </w:pPr>
      <w:bookmarkStart w:id="1" w:name="_Hlk190990570"/>
      <w:r w:rsidRPr="00353798">
        <w:rPr>
          <w:rStyle w:val="Strong"/>
          <w:rFonts w:ascii="Times New Roman" w:hAnsi="Times New Roman" w:cs="Times New Roman"/>
        </w:rPr>
        <w:t>Abstract:</w:t>
      </w:r>
    </w:p>
    <w:p w14:paraId="1625B976" w14:textId="77777777" w:rsidR="002360DB" w:rsidRPr="00353798" w:rsidRDefault="002360DB" w:rsidP="002360DB">
      <w:pPr>
        <w:rPr>
          <w:rFonts w:ascii="Times New Roman" w:hAnsi="Times New Roman" w:cs="Times New Roman"/>
        </w:rPr>
        <w:sectPr w:rsidR="002360DB" w:rsidRPr="00353798" w:rsidSect="002360DB">
          <w:headerReference w:type="default" r:id="rId8"/>
          <w:footerReference w:type="default" r:id="rId9"/>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4048B1DE" w14:textId="1E9ED5E0" w:rsidR="002360DB" w:rsidRPr="00353798" w:rsidRDefault="002360DB" w:rsidP="002360DB">
      <w:pPr>
        <w:rPr>
          <w:rFonts w:ascii="Times New Roman" w:hAnsi="Times New Roman" w:cs="Times New Roman"/>
        </w:rPr>
      </w:pPr>
      <w:r w:rsidRPr="00353798">
        <w:rPr>
          <w:rFonts w:ascii="Times New Roman" w:hAnsi="Times New Roman" w:cs="Times New Roman"/>
        </w:rPr>
        <w:t xml:space="preserve">Wealth management in India is a growing industry as the economy expands, financial literacy increases, and a middle class emerges. The study explored the factors contributing to wealth management in India such as technology, generation and regulation. Using PLS-SEM, the study examines the role digital technologies integration, investment </w:t>
      </w:r>
      <w:r w:rsidR="00A553E2" w:rsidRPr="00353798">
        <w:rPr>
          <w:rFonts w:ascii="Times New Roman" w:hAnsi="Times New Roman" w:cs="Times New Roman"/>
        </w:rPr>
        <w:t>behavior</w:t>
      </w:r>
      <w:r w:rsidRPr="00353798">
        <w:rPr>
          <w:rFonts w:ascii="Times New Roman" w:hAnsi="Times New Roman" w:cs="Times New Roman"/>
        </w:rPr>
        <w:t xml:space="preserve"> pattern, client service quality, sustainable investment integration, and advisory personalization level. The findings help financial institutions, policymakers, and investors better understand the wealth management landscape in India.</w:t>
      </w:r>
    </w:p>
    <w:p w14:paraId="3FDC6EDC" w14:textId="77777777" w:rsidR="002360DB" w:rsidRPr="00353798" w:rsidRDefault="002360DB" w:rsidP="002360DB">
      <w:pPr>
        <w:pStyle w:val="NormalWeb"/>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0695C644" w14:textId="77777777" w:rsidR="002360DB" w:rsidRPr="00353798" w:rsidRDefault="002360DB" w:rsidP="002360DB">
      <w:pPr>
        <w:pStyle w:val="NormalWeb"/>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3AE3D819"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t>Keywords</w:t>
      </w:r>
    </w:p>
    <w:p w14:paraId="51E6162A" w14:textId="77777777" w:rsidR="002360DB" w:rsidRPr="00353798" w:rsidRDefault="002360DB" w:rsidP="002360DB">
      <w:pPr>
        <w:pStyle w:val="NormalWeb"/>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02ED365C" w14:textId="77777777" w:rsidR="002360DB" w:rsidRPr="00353798" w:rsidRDefault="002360DB" w:rsidP="002360DB">
      <w:pPr>
        <w:pStyle w:val="NormalWeb"/>
        <w:ind w:left="720"/>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353798">
        <w:t>Wealth Management, India, Digital Technology, Investment Behaviour.                              Client Service, Sustainable Investing, Personalization, PLS-SEM.</w:t>
      </w:r>
    </w:p>
    <w:p w14:paraId="614B0684"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t>Introduction</w:t>
      </w:r>
    </w:p>
    <w:p w14:paraId="1645DE69" w14:textId="77777777" w:rsidR="002360DB" w:rsidRPr="00353798" w:rsidRDefault="002360DB" w:rsidP="002360DB">
      <w:pPr>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11720E35" w14:textId="77777777" w:rsidR="002360DB" w:rsidRPr="00353798" w:rsidRDefault="002360DB" w:rsidP="002360DB">
      <w:pPr>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bookmarkStart w:id="2" w:name="_Hlk190989836"/>
      <w:r w:rsidRPr="00353798">
        <w:rPr>
          <w:rFonts w:ascii="Times New Roman" w:hAnsi="Times New Roman" w:cs="Times New Roman"/>
        </w:rPr>
        <w:t>Wealth Management in India is expanding at an unprecedented pace propelled by rapid economic growth, increasing financial literacy and growing middle class with high disposable incomes. As the Indian financial landscape is constantly changing, it is very important for both academia and practitioners to understand the nuances of wealth management in the country (Chakrabarty, 2022). The global financial environment is rapidly changing and India is playing an important role in wealth management making this research very timely and extremely important. The wealth management industry has been growing exponentially in India and has reached an astronomical value of assets under management. Boston consulting group projects that India’s wealth management market, by 2027, would grow at a CAGR of 15-20% to reach $2.4 trillion (BCG, 2023). The growth of wealth management has been driven by digitization, increased investment awareness, need for sophisticated products and the myriads of investor needs. Wealth management companies are facing challenges that warrant research. These include regulatory, varying investor risk appetite, technological disruptions and need for personalized wealth management. The pandemic has fast-tracked digital transformation and there is a need for customized solutions.</w:t>
      </w:r>
    </w:p>
    <w:bookmarkEnd w:id="2"/>
    <w:p w14:paraId="5F97B33C" w14:textId="77777777" w:rsidR="002360DB" w:rsidRPr="00353798" w:rsidRDefault="002360DB" w:rsidP="002360DB">
      <w:pPr>
        <w:pStyle w:val="Heading2"/>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59C3F689" w14:textId="77777777" w:rsidR="002360DB" w:rsidRPr="00353798" w:rsidRDefault="002360DB" w:rsidP="002360DB">
      <w:pPr>
        <w:pStyle w:val="Heading2"/>
        <w:rPr>
          <w:rFonts w:ascii="Times New Roman" w:hAnsi="Times New Roman" w:cs="Times New Roman"/>
        </w:rPr>
      </w:pPr>
      <w:bookmarkStart w:id="3" w:name="_Hlk190990053"/>
      <w:r w:rsidRPr="00353798">
        <w:rPr>
          <w:rFonts w:ascii="Times New Roman" w:hAnsi="Times New Roman" w:cs="Times New Roman"/>
        </w:rPr>
        <w:t>Research Questions</w:t>
      </w:r>
    </w:p>
    <w:p w14:paraId="4DD5DBA2" w14:textId="77777777" w:rsidR="002360DB" w:rsidRPr="00353798" w:rsidRDefault="002360DB" w:rsidP="002360DB">
      <w:pPr>
        <w:numPr>
          <w:ilvl w:val="0"/>
          <w:numId w:val="22"/>
        </w:numPr>
        <w:rPr>
          <w:rFonts w:ascii="Times New Roman" w:hAnsi="Times New Roman" w:cs="Times New Roman"/>
          <w:sz w:val="24"/>
          <w:szCs w:val="24"/>
        </w:rPr>
      </w:pPr>
      <w:r w:rsidRPr="00353798">
        <w:rPr>
          <w:rFonts w:ascii="Times New Roman" w:hAnsi="Times New Roman" w:cs="Times New Roman"/>
          <w:sz w:val="24"/>
          <w:szCs w:val="24"/>
        </w:rPr>
        <w:t>How do demographic and socio-economic factors influence wealth management strategies among different investor segments in India?</w:t>
      </w:r>
    </w:p>
    <w:p w14:paraId="2057A4FA" w14:textId="77777777" w:rsidR="002360DB" w:rsidRPr="00353798" w:rsidRDefault="002360DB" w:rsidP="002360DB">
      <w:pPr>
        <w:numPr>
          <w:ilvl w:val="0"/>
          <w:numId w:val="22"/>
        </w:numPr>
        <w:rPr>
          <w:rFonts w:ascii="Times New Roman" w:hAnsi="Times New Roman" w:cs="Times New Roman"/>
          <w:sz w:val="24"/>
          <w:szCs w:val="24"/>
        </w:rPr>
      </w:pPr>
      <w:r w:rsidRPr="00353798">
        <w:rPr>
          <w:rFonts w:ascii="Times New Roman" w:hAnsi="Times New Roman" w:cs="Times New Roman"/>
          <w:sz w:val="24"/>
          <w:szCs w:val="24"/>
        </w:rPr>
        <w:t>What is the impact of technological innovations on wealth management practices and client engagement?</w:t>
      </w:r>
    </w:p>
    <w:p w14:paraId="5D60DD77" w14:textId="77777777" w:rsidR="002360DB" w:rsidRPr="00353798" w:rsidRDefault="002360DB" w:rsidP="002360DB">
      <w:pPr>
        <w:numPr>
          <w:ilvl w:val="0"/>
          <w:numId w:val="22"/>
        </w:numPr>
        <w:rPr>
          <w:rFonts w:ascii="Times New Roman" w:hAnsi="Times New Roman" w:cs="Times New Roman"/>
          <w:sz w:val="24"/>
          <w:szCs w:val="24"/>
        </w:rPr>
      </w:pPr>
      <w:r w:rsidRPr="00353798">
        <w:rPr>
          <w:rFonts w:ascii="Times New Roman" w:hAnsi="Times New Roman" w:cs="Times New Roman"/>
          <w:sz w:val="24"/>
          <w:szCs w:val="24"/>
        </w:rPr>
        <w:t>How do regulatory frameworks shape the wealth management ecosystem in India?</w:t>
      </w:r>
    </w:p>
    <w:p w14:paraId="681D057B" w14:textId="77777777" w:rsidR="002360DB" w:rsidRPr="00353798" w:rsidRDefault="002360DB" w:rsidP="002360DB">
      <w:pPr>
        <w:numPr>
          <w:ilvl w:val="0"/>
          <w:numId w:val="22"/>
        </w:numPr>
        <w:rPr>
          <w:rFonts w:ascii="Times New Roman" w:hAnsi="Times New Roman" w:cs="Times New Roman"/>
          <w:sz w:val="24"/>
          <w:szCs w:val="24"/>
        </w:rPr>
      </w:pPr>
      <w:r w:rsidRPr="00353798">
        <w:rPr>
          <w:rFonts w:ascii="Times New Roman" w:hAnsi="Times New Roman" w:cs="Times New Roman"/>
          <w:sz w:val="24"/>
          <w:szCs w:val="24"/>
        </w:rPr>
        <w:lastRenderedPageBreak/>
        <w:t>What are the key challenges and opportunities in sustainable and responsible wealth management?</w:t>
      </w:r>
    </w:p>
    <w:p w14:paraId="3C682510" w14:textId="77777777" w:rsidR="002360DB" w:rsidRPr="00353798" w:rsidRDefault="002360DB" w:rsidP="002360DB">
      <w:pPr>
        <w:numPr>
          <w:ilvl w:val="0"/>
          <w:numId w:val="22"/>
        </w:numPr>
        <w:rPr>
          <w:rFonts w:ascii="Times New Roman" w:hAnsi="Times New Roman" w:cs="Times New Roman"/>
          <w:sz w:val="24"/>
          <w:szCs w:val="24"/>
        </w:rPr>
      </w:pPr>
      <w:r w:rsidRPr="00353798">
        <w:rPr>
          <w:rFonts w:ascii="Times New Roman" w:hAnsi="Times New Roman" w:cs="Times New Roman"/>
          <w:sz w:val="24"/>
          <w:szCs w:val="24"/>
        </w:rPr>
        <w:t>How do different generational cohorts approach wealth creation and preservation?</w:t>
      </w:r>
    </w:p>
    <w:p w14:paraId="0262A770"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Research Objectives</w:t>
      </w:r>
    </w:p>
    <w:p w14:paraId="1DBE3840" w14:textId="269E5786" w:rsidR="002360DB" w:rsidRPr="00353798" w:rsidRDefault="002360DB" w:rsidP="002360DB">
      <w:pPr>
        <w:numPr>
          <w:ilvl w:val="0"/>
          <w:numId w:val="23"/>
        </w:numPr>
        <w:rPr>
          <w:rFonts w:ascii="Times New Roman" w:hAnsi="Times New Roman" w:cs="Times New Roman"/>
          <w:sz w:val="24"/>
          <w:szCs w:val="24"/>
        </w:rPr>
      </w:pPr>
      <w:r w:rsidRPr="00353798">
        <w:rPr>
          <w:rFonts w:ascii="Times New Roman" w:hAnsi="Times New Roman" w:cs="Times New Roman"/>
          <w:sz w:val="24"/>
          <w:szCs w:val="24"/>
        </w:rPr>
        <w:t xml:space="preserve">To </w:t>
      </w:r>
      <w:r w:rsidR="00A553E2" w:rsidRPr="00353798">
        <w:rPr>
          <w:rFonts w:ascii="Times New Roman" w:hAnsi="Times New Roman" w:cs="Times New Roman"/>
          <w:sz w:val="24"/>
          <w:szCs w:val="24"/>
        </w:rPr>
        <w:t>analyses</w:t>
      </w:r>
      <w:r w:rsidRPr="00353798">
        <w:rPr>
          <w:rFonts w:ascii="Times New Roman" w:hAnsi="Times New Roman" w:cs="Times New Roman"/>
          <w:sz w:val="24"/>
          <w:szCs w:val="24"/>
        </w:rPr>
        <w:t xml:space="preserve"> the current landscape of wealth management in India, identifying key trends and emerging patterns.</w:t>
      </w:r>
    </w:p>
    <w:p w14:paraId="2580AA73" w14:textId="77777777" w:rsidR="002360DB" w:rsidRPr="00353798" w:rsidRDefault="002360DB" w:rsidP="002360DB">
      <w:pPr>
        <w:numPr>
          <w:ilvl w:val="0"/>
          <w:numId w:val="23"/>
        </w:numPr>
        <w:rPr>
          <w:rFonts w:ascii="Times New Roman" w:hAnsi="Times New Roman" w:cs="Times New Roman"/>
          <w:sz w:val="24"/>
          <w:szCs w:val="24"/>
        </w:rPr>
      </w:pPr>
      <w:r w:rsidRPr="00353798">
        <w:rPr>
          <w:rFonts w:ascii="Times New Roman" w:hAnsi="Times New Roman" w:cs="Times New Roman"/>
          <w:sz w:val="24"/>
          <w:szCs w:val="24"/>
        </w:rPr>
        <w:t>To examine the role of technology and digital platforms in transforming wealth management practices.</w:t>
      </w:r>
    </w:p>
    <w:p w14:paraId="5417B4EC" w14:textId="77777777" w:rsidR="002360DB" w:rsidRPr="00353798" w:rsidRDefault="002360DB" w:rsidP="002360DB">
      <w:pPr>
        <w:numPr>
          <w:ilvl w:val="0"/>
          <w:numId w:val="23"/>
        </w:numPr>
        <w:rPr>
          <w:rFonts w:ascii="Times New Roman" w:hAnsi="Times New Roman" w:cs="Times New Roman"/>
          <w:sz w:val="24"/>
          <w:szCs w:val="24"/>
        </w:rPr>
      </w:pPr>
      <w:r w:rsidRPr="00353798">
        <w:rPr>
          <w:rFonts w:ascii="Times New Roman" w:hAnsi="Times New Roman" w:cs="Times New Roman"/>
          <w:sz w:val="24"/>
          <w:szCs w:val="24"/>
        </w:rPr>
        <w:t>To investigate the impact of regulatory environment on wealth management strategies.</w:t>
      </w:r>
    </w:p>
    <w:p w14:paraId="2C84B5F3" w14:textId="77777777" w:rsidR="002360DB" w:rsidRPr="00353798" w:rsidRDefault="002360DB" w:rsidP="002360DB">
      <w:pPr>
        <w:numPr>
          <w:ilvl w:val="0"/>
          <w:numId w:val="23"/>
        </w:numPr>
        <w:rPr>
          <w:rFonts w:ascii="Times New Roman" w:hAnsi="Times New Roman" w:cs="Times New Roman"/>
          <w:sz w:val="24"/>
          <w:szCs w:val="24"/>
        </w:rPr>
      </w:pPr>
      <w:r w:rsidRPr="00353798">
        <w:rPr>
          <w:rFonts w:ascii="Times New Roman" w:hAnsi="Times New Roman" w:cs="Times New Roman"/>
          <w:sz w:val="24"/>
          <w:szCs w:val="24"/>
        </w:rPr>
        <w:t>To explore the intersection of wealth management with sustainable and responsible investing.</w:t>
      </w:r>
    </w:p>
    <w:p w14:paraId="7A44FA8C" w14:textId="77777777" w:rsidR="002360DB" w:rsidRPr="00353798" w:rsidRDefault="002360DB" w:rsidP="002360DB">
      <w:pPr>
        <w:numPr>
          <w:ilvl w:val="0"/>
          <w:numId w:val="23"/>
        </w:numPr>
        <w:rPr>
          <w:rFonts w:ascii="Times New Roman" w:hAnsi="Times New Roman" w:cs="Times New Roman"/>
          <w:sz w:val="24"/>
          <w:szCs w:val="24"/>
        </w:rPr>
      </w:pPr>
      <w:r w:rsidRPr="00353798">
        <w:rPr>
          <w:rFonts w:ascii="Times New Roman" w:hAnsi="Times New Roman" w:cs="Times New Roman"/>
          <w:sz w:val="24"/>
          <w:szCs w:val="24"/>
        </w:rPr>
        <w:t>To develop insights that can inform strategic decision-making for financial institutions and individual investors.</w:t>
      </w:r>
    </w:p>
    <w:p w14:paraId="434CD3CE"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significance of this research extends beyond academic discourse. It provides valuable insights for financial institutions, policymakers, investors, and researchers seeking to understand the complex dynamics of wealth management in one of the world's fastest-growing economies. By offering a comprehensive analysis, this study contributes to the broader understanding of financial innovation, economic development, and wealth creation strategies in the Indian context.</w:t>
      </w:r>
    </w:p>
    <w:p w14:paraId="756664EB" w14:textId="77777777" w:rsidR="002360DB" w:rsidRPr="00353798" w:rsidRDefault="002360DB" w:rsidP="002360DB">
      <w:pPr>
        <w:pStyle w:val="Heading3"/>
        <w:rPr>
          <w:rFonts w:ascii="Times New Roman" w:hAnsi="Times New Roman" w:cs="Times New Roman"/>
          <w:sz w:val="36"/>
          <w:szCs w:val="36"/>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43A7877"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t>Literature Review</w:t>
      </w:r>
    </w:p>
    <w:p w14:paraId="022C590E" w14:textId="77777777" w:rsidR="002360DB" w:rsidRPr="00353798" w:rsidRDefault="002360DB" w:rsidP="002360DB">
      <w:pPr>
        <w:rPr>
          <w:rFonts w:ascii="Times New Roman" w:hAnsi="Times New Roman" w:cs="Times New Roman"/>
          <w:sz w:val="24"/>
          <w:szCs w:val="24"/>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A61303F" w14:textId="77777777" w:rsidR="002360DB" w:rsidRPr="00353798" w:rsidRDefault="002360DB" w:rsidP="002360DB">
      <w:pPr>
        <w:pStyle w:val="Heading2"/>
        <w:rPr>
          <w:rFonts w:ascii="Times New Roman" w:eastAsiaTheme="minorHAnsi" w:hAnsi="Times New Roman" w:cs="Times New Roman"/>
          <w:color w:val="auto"/>
          <w:sz w:val="24"/>
          <w:szCs w:val="24"/>
        </w:rPr>
      </w:pPr>
      <w:r w:rsidRPr="00353798">
        <w:rPr>
          <w:rFonts w:ascii="Times New Roman" w:eastAsiaTheme="minorHAnsi" w:hAnsi="Times New Roman" w:cs="Times New Roman"/>
          <w:color w:val="auto"/>
          <w:sz w:val="24"/>
          <w:szCs w:val="24"/>
        </w:rPr>
        <w:t>Wealth management has been a topic of extensive research and practice over the last two decades. In this review, we provide an overview of the literature from 2020 to 2024 highlighting some of the key themes and developments in wealth management research.</w:t>
      </w:r>
    </w:p>
    <w:p w14:paraId="7D84C9A3" w14:textId="77777777" w:rsidR="002360DB" w:rsidRPr="00353798" w:rsidRDefault="002360DB" w:rsidP="002360DB">
      <w:pPr>
        <w:pStyle w:val="Heading2"/>
        <w:rPr>
          <w:rFonts w:ascii="Times New Roman" w:hAnsi="Times New Roman" w:cs="Times New Roman"/>
        </w:rPr>
      </w:pPr>
      <w:r w:rsidRPr="00353798">
        <w:rPr>
          <w:rFonts w:ascii="Times New Roman" w:eastAsiaTheme="minorHAnsi" w:hAnsi="Times New Roman" w:cs="Times New Roman"/>
          <w:color w:val="auto"/>
          <w:sz w:val="24"/>
          <w:szCs w:val="24"/>
        </w:rPr>
        <w:t>.</w:t>
      </w:r>
      <w:r w:rsidRPr="00353798">
        <w:rPr>
          <w:rFonts w:ascii="Times New Roman" w:hAnsi="Times New Roman" w:cs="Times New Roman"/>
        </w:rPr>
        <w:t xml:space="preserve"> Evolution of Digital Wealth Management</w:t>
      </w:r>
    </w:p>
    <w:p w14:paraId="6A386095"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A core theme in recent literature has been the role of technology in wealth management. Kumar and Sharma (2020) looked at the impact of artificial intelligence and machine learning on portfolio management. They found that AI-driven solutions improved investment outcomes by 15-20% compared to traditional methods. Chen et al. (2020) followed up this work with an investigation of the role of robot-advisors in democratizing access to wealth management services. They found that automated platforms had increased access to professional investment advice for middle-income investors</w:t>
      </w:r>
    </w:p>
    <w:p w14:paraId="0FDE2367" w14:textId="78944088"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Zhang and Wilson (2021) conducted a comprehensive analysis of digital wealth management platforms in emerging markets, highlighting how fintech innovations have reduced the minimum investment threshold by up to 90%. Their findings were complemented by Patel's </w:t>
      </w:r>
      <w:r w:rsidRPr="00353798">
        <w:rPr>
          <w:rFonts w:ascii="Times New Roman" w:hAnsi="Times New Roman" w:cs="Times New Roman"/>
          <w:sz w:val="24"/>
          <w:szCs w:val="24"/>
        </w:rPr>
        <w:lastRenderedPageBreak/>
        <w:t>(2021) research on mobile wealth management applications, which demonstrated a 45% increase in millennial investor engagement through digital platforms.</w:t>
      </w:r>
      <w:r w:rsidRPr="00353798">
        <w:rPr>
          <w:rFonts w:ascii="Times New Roman" w:hAnsi="Times New Roman" w:cs="Times New Roman"/>
        </w:rPr>
        <w:t xml:space="preserve"> </w:t>
      </w:r>
      <w:r w:rsidR="00A553E2" w:rsidRPr="00353798">
        <w:rPr>
          <w:rFonts w:ascii="Times New Roman" w:hAnsi="Times New Roman" w:cs="Times New Roman"/>
        </w:rPr>
        <w:t>Behavioral</w:t>
      </w:r>
      <w:r w:rsidRPr="00353798">
        <w:rPr>
          <w:rFonts w:ascii="Times New Roman" w:hAnsi="Times New Roman" w:cs="Times New Roman"/>
        </w:rPr>
        <w:t xml:space="preserve"> Finance and Wealth Management</w:t>
      </w:r>
    </w:p>
    <w:p w14:paraId="5800CFC7" w14:textId="7AB09FB1" w:rsidR="002360DB" w:rsidRPr="00353798" w:rsidRDefault="002360DB" w:rsidP="002360DB">
      <w:pPr>
        <w:pStyle w:val="Heading2"/>
        <w:rPr>
          <w:rFonts w:ascii="Times New Roman" w:eastAsiaTheme="minorHAnsi" w:hAnsi="Times New Roman" w:cs="Times New Roman"/>
          <w:color w:val="auto"/>
          <w:sz w:val="24"/>
          <w:szCs w:val="24"/>
        </w:rPr>
      </w:pPr>
      <w:r w:rsidRPr="00353798">
        <w:rPr>
          <w:rFonts w:ascii="Times New Roman" w:eastAsiaTheme="minorHAnsi" w:hAnsi="Times New Roman" w:cs="Times New Roman"/>
          <w:color w:val="auto"/>
          <w:sz w:val="24"/>
          <w:szCs w:val="24"/>
        </w:rPr>
        <w:t xml:space="preserve">There has been a body of recent work on the psychological aspects of wealth management. Rodriguez and Kim (2021) explored the impact of cognitive biases on high-net-worth individuals' investment decisions and concluded that emotional intelligence training could reduce investment errors by as much as 30%. Thompson et al (2021) focused on the influence of social media on investment </w:t>
      </w:r>
      <w:r w:rsidR="00A553E2" w:rsidRPr="00353798">
        <w:rPr>
          <w:rFonts w:ascii="Times New Roman" w:eastAsiaTheme="minorHAnsi" w:hAnsi="Times New Roman" w:cs="Times New Roman"/>
          <w:color w:val="auto"/>
          <w:sz w:val="24"/>
          <w:szCs w:val="24"/>
        </w:rPr>
        <w:t>behavior</w:t>
      </w:r>
      <w:r w:rsidRPr="00353798">
        <w:rPr>
          <w:rFonts w:ascii="Times New Roman" w:eastAsiaTheme="minorHAnsi" w:hAnsi="Times New Roman" w:cs="Times New Roman"/>
          <w:color w:val="auto"/>
          <w:sz w:val="24"/>
          <w:szCs w:val="24"/>
        </w:rPr>
        <w:t xml:space="preserve"> and showed that social media sentiment influenced the portfolios of retail investors. Gupta and Anderson (2022) studied the role of </w:t>
      </w:r>
      <w:r w:rsidR="00A553E2" w:rsidRPr="00353798">
        <w:rPr>
          <w:rFonts w:ascii="Times New Roman" w:eastAsiaTheme="minorHAnsi" w:hAnsi="Times New Roman" w:cs="Times New Roman"/>
          <w:color w:val="auto"/>
          <w:sz w:val="24"/>
          <w:szCs w:val="24"/>
        </w:rPr>
        <w:t>behavioral</w:t>
      </w:r>
      <w:r w:rsidRPr="00353798">
        <w:rPr>
          <w:rFonts w:ascii="Times New Roman" w:eastAsiaTheme="minorHAnsi" w:hAnsi="Times New Roman" w:cs="Times New Roman"/>
          <w:color w:val="auto"/>
          <w:sz w:val="24"/>
          <w:szCs w:val="24"/>
        </w:rPr>
        <w:t xml:space="preserve"> coaching in wealth management and found that clients who received regular </w:t>
      </w:r>
      <w:r w:rsidR="00A553E2" w:rsidRPr="00353798">
        <w:rPr>
          <w:rFonts w:ascii="Times New Roman" w:eastAsiaTheme="minorHAnsi" w:hAnsi="Times New Roman" w:cs="Times New Roman"/>
          <w:color w:val="auto"/>
          <w:sz w:val="24"/>
          <w:szCs w:val="24"/>
        </w:rPr>
        <w:t>behavioral</w:t>
      </w:r>
      <w:r w:rsidRPr="00353798">
        <w:rPr>
          <w:rFonts w:ascii="Times New Roman" w:eastAsiaTheme="minorHAnsi" w:hAnsi="Times New Roman" w:cs="Times New Roman"/>
          <w:color w:val="auto"/>
          <w:sz w:val="24"/>
          <w:szCs w:val="24"/>
        </w:rPr>
        <w:t xml:space="preserve"> coaching outperformed their counterparts by 3% on average per annum. This work was extended by Yamamoto (2022), who looked at the effectiveness of gamification in financial education for wealth management clients.</w:t>
      </w:r>
    </w:p>
    <w:p w14:paraId="322FE953" w14:textId="77777777" w:rsidR="002360DB" w:rsidRPr="00353798" w:rsidRDefault="002360DB" w:rsidP="002360DB">
      <w:pPr>
        <w:pStyle w:val="Heading2"/>
        <w:rPr>
          <w:rFonts w:ascii="Times New Roman" w:eastAsiaTheme="minorHAnsi" w:hAnsi="Times New Roman" w:cs="Times New Roman"/>
          <w:color w:val="auto"/>
          <w:sz w:val="24"/>
          <w:szCs w:val="24"/>
        </w:rPr>
      </w:pPr>
    </w:p>
    <w:p w14:paraId="7316DB6F"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Sustainable and ESG Investing</w:t>
      </w:r>
    </w:p>
    <w:p w14:paraId="4EED19B3" w14:textId="30EE5182" w:rsidR="002360DB" w:rsidRPr="00353798" w:rsidRDefault="002360DB" w:rsidP="002360DB">
      <w:pPr>
        <w:pStyle w:val="Heading2"/>
        <w:rPr>
          <w:rFonts w:ascii="Times New Roman" w:eastAsiaTheme="minorHAnsi" w:hAnsi="Times New Roman" w:cs="Times New Roman"/>
          <w:color w:val="auto"/>
          <w:sz w:val="24"/>
          <w:szCs w:val="24"/>
        </w:rPr>
      </w:pPr>
      <w:r w:rsidRPr="00353798">
        <w:rPr>
          <w:rFonts w:ascii="Times New Roman" w:eastAsiaTheme="minorHAnsi" w:hAnsi="Times New Roman" w:cs="Times New Roman"/>
          <w:color w:val="auto"/>
          <w:sz w:val="24"/>
          <w:szCs w:val="24"/>
        </w:rPr>
        <w:t xml:space="preserve">There is now a large body of work on the role of Environmental, Social, and Governance (ESG) considerations in wealth management. Lee and Johnson (2022) </w:t>
      </w:r>
      <w:r w:rsidR="00A553E2" w:rsidRPr="00353798">
        <w:rPr>
          <w:rFonts w:ascii="Times New Roman" w:eastAsiaTheme="minorHAnsi" w:hAnsi="Times New Roman" w:cs="Times New Roman"/>
          <w:color w:val="auto"/>
          <w:sz w:val="24"/>
          <w:szCs w:val="24"/>
        </w:rPr>
        <w:t>analyzed</w:t>
      </w:r>
      <w:r w:rsidRPr="00353798">
        <w:rPr>
          <w:rFonts w:ascii="Times New Roman" w:eastAsiaTheme="minorHAnsi" w:hAnsi="Times New Roman" w:cs="Times New Roman"/>
          <w:color w:val="auto"/>
          <w:sz w:val="24"/>
          <w:szCs w:val="24"/>
        </w:rPr>
        <w:t xml:space="preserve"> the performance of ESG-focused portfolios and found that they were significantly more resilient during market downturns. Hassan et al (2022) studied the integration of sustainability metrics into wealth management strategies and found that ESG-aligned portfolios attracted 40% more millennial investors.</w:t>
      </w:r>
    </w:p>
    <w:p w14:paraId="78FFC2EA"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 xml:space="preserve">Regulatory Framework and Compliance  </w:t>
      </w:r>
    </w:p>
    <w:p w14:paraId="06E57183" w14:textId="77777777" w:rsidR="002360DB" w:rsidRPr="00353798" w:rsidRDefault="002360DB" w:rsidP="002360DB">
      <w:pPr>
        <w:rPr>
          <w:rFonts w:ascii="Times New Roman" w:hAnsi="Times New Roman" w:cs="Times New Roman"/>
        </w:rPr>
      </w:pPr>
      <w:r w:rsidRPr="00353798">
        <w:rPr>
          <w:rFonts w:ascii="Times New Roman" w:hAnsi="Times New Roman" w:cs="Times New Roman"/>
        </w:rPr>
        <w:t>The evolving regulatory landscape has been a crucial area of research. Davidson and Lopez (2023) examined the impact of global regulatory changes on cross-border wealth management, highlighting the challenges of international compliance. Martinez (2023) studied the effects of data protection regulations on digital wealth management services, noting increased operational costs but improved client trust.</w:t>
      </w:r>
    </w:p>
    <w:p w14:paraId="2B4074A6"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Generational Wealth Transfer</w:t>
      </w:r>
    </w:p>
    <w:p w14:paraId="62C7D7C6" w14:textId="09A82DC8"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Recent literature has extensively covered the implications of generational wealth transfer. Brown and Taylor (2023) </w:t>
      </w:r>
      <w:r w:rsidR="00A553E2" w:rsidRPr="00353798">
        <w:rPr>
          <w:rFonts w:ascii="Times New Roman" w:hAnsi="Times New Roman" w:cs="Times New Roman"/>
          <w:sz w:val="24"/>
          <w:szCs w:val="24"/>
        </w:rPr>
        <w:t>analyzed</w:t>
      </w:r>
      <w:r w:rsidRPr="00353798">
        <w:rPr>
          <w:rFonts w:ascii="Times New Roman" w:hAnsi="Times New Roman" w:cs="Times New Roman"/>
          <w:sz w:val="24"/>
          <w:szCs w:val="24"/>
        </w:rPr>
        <w:t xml:space="preserve"> the preferences of next-generation wealth holders, finding significant differences in investment priorities compared to their predecessors. Chen and Park (2024) studied the role of digital platforms in facilitating wealth transfer, noting that technology adoption improved succession planning outcomes by 25%.</w:t>
      </w:r>
    </w:p>
    <w:p w14:paraId="27ADAE1C"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Risk Management and Portfolio Optimization</w:t>
      </w:r>
    </w:p>
    <w:p w14:paraId="4CFD2038"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Contemporary research has focused on innovative approaches to risk management. Anderson et al. (2024) developed new models for portfolio optimization incorporating artificial intelligence, demonstrating improved risk-adjusted returns. Kumar and White (2024) investigated the impact of global economic uncertainties on wealth preservation strategies, providing frameworks for resilient portfolio construction.</w:t>
      </w:r>
    </w:p>
    <w:p w14:paraId="25C9D917"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lastRenderedPageBreak/>
        <w:t>Client Experience and Relationship Management</w:t>
      </w:r>
    </w:p>
    <w:p w14:paraId="4B9A0B8A" w14:textId="1F1FA962"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Recent studies have emphasized the importance of client experience in wealth management. Thompson and Liu (2024) </w:t>
      </w:r>
      <w:r w:rsidR="00A553E2" w:rsidRPr="00353798">
        <w:rPr>
          <w:rFonts w:ascii="Times New Roman" w:hAnsi="Times New Roman" w:cs="Times New Roman"/>
          <w:sz w:val="24"/>
          <w:szCs w:val="24"/>
        </w:rPr>
        <w:t>analyzed</w:t>
      </w:r>
      <w:r w:rsidRPr="00353798">
        <w:rPr>
          <w:rFonts w:ascii="Times New Roman" w:hAnsi="Times New Roman" w:cs="Times New Roman"/>
          <w:sz w:val="24"/>
          <w:szCs w:val="24"/>
        </w:rPr>
        <w:t xml:space="preserve"> the impact of personalized service models, finding that customized approaches increased client retention by 35%. Williams (2024) examined the role of digital communication tools in maintaining client relationships during global disruptions.</w:t>
      </w:r>
    </w:p>
    <w:p w14:paraId="6FB99235" w14:textId="77777777" w:rsidR="002360DB" w:rsidRPr="00353798" w:rsidRDefault="002360DB" w:rsidP="002360DB">
      <w:pPr>
        <w:rPr>
          <w:rFonts w:ascii="Times New Roman" w:hAnsi="Times New Roman" w:cs="Times New Roman"/>
          <w:i/>
          <w:iCs/>
          <w:sz w:val="24"/>
          <w:szCs w:val="24"/>
        </w:rPr>
      </w:pPr>
    </w:p>
    <w:p w14:paraId="3D2AFCBB" w14:textId="77777777" w:rsidR="002360DB" w:rsidRPr="00353798" w:rsidRDefault="002360DB" w:rsidP="002360DB">
      <w:pPr>
        <w:rPr>
          <w:rFonts w:ascii="Times New Roman" w:hAnsi="Times New Roman" w:cs="Times New Roman"/>
          <w:sz w:val="24"/>
          <w:szCs w:val="24"/>
        </w:rPr>
      </w:pPr>
    </w:p>
    <w:p w14:paraId="352E66FA" w14:textId="77777777" w:rsidR="002360DB" w:rsidRPr="00353798" w:rsidRDefault="002360DB" w:rsidP="002360DB">
      <w:pPr>
        <w:pStyle w:val="Heading3"/>
        <w:numPr>
          <w:ilvl w:val="0"/>
          <w:numId w:val="26"/>
        </w:numPr>
        <w:tabs>
          <w:tab w:val="num" w:pos="360"/>
        </w:tabs>
        <w:ind w:left="0" w:firstLine="0"/>
        <w:rPr>
          <w:rFonts w:ascii="Times New Roman" w:hAnsi="Times New Roman" w:cs="Times New Roman"/>
          <w:sz w:val="36"/>
          <w:szCs w:val="36"/>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503164E1"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t>Research Hypotheses and Constructs for Wealth Management Study</w:t>
      </w:r>
    </w:p>
    <w:p w14:paraId="11F7E056" w14:textId="77777777" w:rsidR="002360DB" w:rsidRPr="00353798" w:rsidRDefault="002360DB" w:rsidP="002360DB">
      <w:pPr>
        <w:rPr>
          <w:rFonts w:ascii="Times New Roman" w:hAnsi="Times New Roman" w:cs="Times New Roman"/>
          <w:b/>
          <w:bCs/>
          <w:sz w:val="24"/>
          <w:szCs w:val="24"/>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6D65F97D" w14:textId="77777777" w:rsidR="002360DB" w:rsidRPr="00353798" w:rsidRDefault="002360DB" w:rsidP="002360DB">
      <w:pPr>
        <w:rPr>
          <w:rFonts w:ascii="Times New Roman" w:hAnsi="Times New Roman" w:cs="Times New Roman"/>
          <w:b/>
          <w:bCs/>
          <w:sz w:val="24"/>
          <w:szCs w:val="24"/>
        </w:rPr>
      </w:pPr>
    </w:p>
    <w:p w14:paraId="7C211DBA"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 xml:space="preserve"> Research Hypotheses</w:t>
      </w:r>
    </w:p>
    <w:p w14:paraId="1D7E6960" w14:textId="77777777" w:rsidR="002360DB" w:rsidRPr="00353798" w:rsidRDefault="002360DB" w:rsidP="002360DB">
      <w:pPr>
        <w:pStyle w:val="Heading2"/>
        <w:rPr>
          <w:rFonts w:ascii="Times New Roman" w:hAnsi="Times New Roman" w:cs="Times New Roman"/>
        </w:rPr>
      </w:pPr>
    </w:p>
    <w:p w14:paraId="159D44A5"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Based on the reviewed literature and research objectives, this study puts forward five interlinked hypotheses that will guide the research on wealth management in India. The first hypothesis captures the technological dimension of wealth management and states that there will be a strong positive correlation between the usage of digital wealth management platforms and client satisfaction among Indian investors. This hypothesis builds upon recent findings from Narayan (2021) and Patel (2021), who documented a significant impact of digital technologies on the client experience in wealth management services.</w:t>
      </w:r>
    </w:p>
    <w:p w14:paraId="4D5F2D55" w14:textId="77777777" w:rsidR="002360DB" w:rsidRPr="00353798" w:rsidRDefault="002360DB" w:rsidP="002360DB">
      <w:pPr>
        <w:rPr>
          <w:rFonts w:ascii="Times New Roman" w:hAnsi="Times New Roman" w:cs="Times New Roman"/>
          <w:sz w:val="24"/>
          <w:szCs w:val="24"/>
        </w:rPr>
      </w:pPr>
    </w:p>
    <w:p w14:paraId="575AE2FB" w14:textId="6AD41EC1"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The second hypothesis captures the educational dimension of wealth management and states that higher financial literacy among investors is likely to be associated with better portfolio diversification and risk-adjusted returns. This proposition is based on the seminal work of Sharma (2020) and Bhatt (2022), who found strong positive correlations between financial education and the quality of investment decision-making. In examining generational dynamics, the third hypothesis posits that there exists a significant difference in investment preferences and risk tolerance between millennial investors and traditional investors in India. This hypothesis emerges from the empirical findings of Goyal (2018) and Kapoor (2023), who identified distinct patterns in investment </w:t>
      </w:r>
      <w:r w:rsidR="00A553E2" w:rsidRPr="00353798">
        <w:rPr>
          <w:rFonts w:ascii="Times New Roman" w:hAnsi="Times New Roman" w:cs="Times New Roman"/>
          <w:sz w:val="24"/>
          <w:szCs w:val="24"/>
        </w:rPr>
        <w:t>behavior</w:t>
      </w:r>
      <w:r w:rsidRPr="00353798">
        <w:rPr>
          <w:rFonts w:ascii="Times New Roman" w:hAnsi="Times New Roman" w:cs="Times New Roman"/>
          <w:sz w:val="24"/>
          <w:szCs w:val="24"/>
        </w:rPr>
        <w:t xml:space="preserve"> across different age cohorts.</w:t>
      </w:r>
    </w:p>
    <w:p w14:paraId="54C28D80" w14:textId="77777777" w:rsidR="002360DB" w:rsidRPr="00353798" w:rsidRDefault="002360DB" w:rsidP="002360DB">
      <w:pPr>
        <w:rPr>
          <w:rFonts w:ascii="Times New Roman" w:hAnsi="Times New Roman" w:cs="Times New Roman"/>
          <w:sz w:val="24"/>
          <w:szCs w:val="24"/>
        </w:rPr>
      </w:pPr>
    </w:p>
    <w:p w14:paraId="46BB4AEE"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fourth hypothesis pertains to the idea of sustainable investing where the integration of E, S and G factors (ESG) in wealth management influences long-term portfolio performance positively. This hypothesis extends the work of Chopra (2024) and Patel (2021), who reported the increasing importance of sustainability consideration in investments.</w:t>
      </w:r>
    </w:p>
    <w:p w14:paraId="1A3667BA" w14:textId="77777777" w:rsidR="002360DB" w:rsidRPr="00353798" w:rsidRDefault="002360DB" w:rsidP="002360DB">
      <w:pPr>
        <w:rPr>
          <w:rFonts w:ascii="Times New Roman" w:hAnsi="Times New Roman" w:cs="Times New Roman"/>
          <w:sz w:val="24"/>
          <w:szCs w:val="24"/>
        </w:rPr>
      </w:pPr>
    </w:p>
    <w:p w14:paraId="34360730"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lastRenderedPageBreak/>
        <w:t>The fifth hypothesis focusses on service personalization where the degree of personalization in wealth management services will positively influence client retention and portfolio performance. This hypothesis extends the work of Rajput (2023) and Bhatt (2022) who developed a theoretical framework on the role of customization in wealth management.</w:t>
      </w:r>
    </w:p>
    <w:p w14:paraId="17BE9442"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Research Constructs</w:t>
      </w:r>
    </w:p>
    <w:p w14:paraId="054A56F6" w14:textId="77777777" w:rsidR="002360DB" w:rsidRPr="00353798" w:rsidRDefault="002360DB" w:rsidP="002360DB">
      <w:pPr>
        <w:rPr>
          <w:rFonts w:ascii="Times New Roman" w:hAnsi="Times New Roman" w:cs="Times New Roman"/>
          <w:sz w:val="24"/>
          <w:szCs w:val="24"/>
        </w:rPr>
      </w:pPr>
    </w:p>
    <w:p w14:paraId="0FF6CA93"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study sets out to identify the five fundamental constructs which will serve as the measurement framework for testing the research hypotheses. The first construct, Digital Technology Integration, includes the assessment of the extent of the usage of technology in the delivery of wealth management services. This construct measures the extent of the integration of digital platforms, automated adviser systems, and technology infrastructure used in the delivery of wealth management services.</w:t>
      </w:r>
    </w:p>
    <w:p w14:paraId="09C62D84" w14:textId="77777777" w:rsidR="002360DB" w:rsidRPr="00353798" w:rsidRDefault="002360DB" w:rsidP="002360DB">
      <w:pPr>
        <w:rPr>
          <w:rFonts w:ascii="Times New Roman" w:hAnsi="Times New Roman" w:cs="Times New Roman"/>
          <w:sz w:val="24"/>
          <w:szCs w:val="24"/>
        </w:rPr>
      </w:pPr>
    </w:p>
    <w:p w14:paraId="12CCD8B4" w14:textId="547F1CBB"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Investment </w:t>
      </w:r>
      <w:r w:rsidR="00A553E2" w:rsidRPr="00353798">
        <w:rPr>
          <w:rFonts w:ascii="Times New Roman" w:hAnsi="Times New Roman" w:cs="Times New Roman"/>
          <w:sz w:val="24"/>
          <w:szCs w:val="24"/>
        </w:rPr>
        <w:t>Behavior</w:t>
      </w:r>
      <w:r w:rsidRPr="00353798">
        <w:rPr>
          <w:rFonts w:ascii="Times New Roman" w:hAnsi="Times New Roman" w:cs="Times New Roman"/>
          <w:sz w:val="24"/>
          <w:szCs w:val="24"/>
        </w:rPr>
        <w:t xml:space="preserve"> Patterns is the second construct which includes the evaluation of the drivers and patterns of investment decision-making by investors. The construct measures the various dimensions of investor </w:t>
      </w:r>
      <w:r w:rsidR="00A553E2" w:rsidRPr="00353798">
        <w:rPr>
          <w:rFonts w:ascii="Times New Roman" w:hAnsi="Times New Roman" w:cs="Times New Roman"/>
          <w:sz w:val="24"/>
          <w:szCs w:val="24"/>
        </w:rPr>
        <w:t>behavior</w:t>
      </w:r>
      <w:r w:rsidRPr="00353798">
        <w:rPr>
          <w:rFonts w:ascii="Times New Roman" w:hAnsi="Times New Roman" w:cs="Times New Roman"/>
          <w:sz w:val="24"/>
          <w:szCs w:val="24"/>
        </w:rPr>
        <w:t xml:space="preserve"> including risk perception, investment horizon, and portfolio management practices.</w:t>
      </w:r>
    </w:p>
    <w:p w14:paraId="57A22A43" w14:textId="77777777" w:rsidR="002360DB" w:rsidRPr="00353798" w:rsidRDefault="002360DB" w:rsidP="002360DB">
      <w:pPr>
        <w:rPr>
          <w:rFonts w:ascii="Times New Roman" w:hAnsi="Times New Roman" w:cs="Times New Roman"/>
          <w:sz w:val="24"/>
          <w:szCs w:val="24"/>
        </w:rPr>
      </w:pPr>
    </w:p>
    <w:p w14:paraId="033C2103"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Client Service Quality is the third construct and includes the assessment of the quality of wealth management service delivery. The construct involves a multi-dimensional assessment of service quality including responsiveness, accuracy, transparency, and communication.</w:t>
      </w:r>
    </w:p>
    <w:p w14:paraId="34CB2D4F" w14:textId="77777777" w:rsidR="002360DB" w:rsidRPr="00353798" w:rsidRDefault="002360DB" w:rsidP="002360DB">
      <w:pPr>
        <w:rPr>
          <w:rFonts w:ascii="Times New Roman" w:hAnsi="Times New Roman" w:cs="Times New Roman"/>
          <w:sz w:val="24"/>
          <w:szCs w:val="24"/>
        </w:rPr>
      </w:pPr>
    </w:p>
    <w:p w14:paraId="7195F289"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measurement of the constructs</w:t>
      </w:r>
    </w:p>
    <w:p w14:paraId="20866383" w14:textId="77777777" w:rsidR="002360DB" w:rsidRPr="00353798" w:rsidRDefault="002360DB" w:rsidP="002360DB">
      <w:pPr>
        <w:rPr>
          <w:rFonts w:ascii="Times New Roman" w:hAnsi="Times New Roman" w:cs="Times New Roman"/>
          <w:sz w:val="24"/>
          <w:szCs w:val="24"/>
        </w:rPr>
      </w:pPr>
    </w:p>
    <w:p w14:paraId="5EA4683D"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Client Service Quality, the third construct, provides the framework for evaluating the quality of wealth management service delivery. This construct involves multidimensional assessment of service quality, covering areas such as responsiveness, accuracy, transparency, and communication effectiveness. The measurement of this construct will incorporate both objective metrics and subjective client perceptions.</w:t>
      </w:r>
    </w:p>
    <w:p w14:paraId="643FC938"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fourth construct, the level of SI integration, addresses the increasing importance of responsible investing in recent years. This construct will explore how well wealth managers integrate sustainability considerations in their investment approach and client offering. The measurement approach for this construct combines a quantitative and qualitative assessment of SI practices.</w:t>
      </w:r>
    </w:p>
    <w:p w14:paraId="7E175A1B" w14:textId="77777777" w:rsidR="002360DB" w:rsidRPr="00353798" w:rsidRDefault="002360DB" w:rsidP="002360DB">
      <w:pPr>
        <w:rPr>
          <w:rFonts w:ascii="Times New Roman" w:hAnsi="Times New Roman" w:cs="Times New Roman"/>
          <w:sz w:val="24"/>
          <w:szCs w:val="24"/>
        </w:rPr>
      </w:pPr>
    </w:p>
    <w:p w14:paraId="60E8CC2C"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lastRenderedPageBreak/>
        <w:t>The fifth construct, referred to as the level of advisory personalization, will measure the depth and effectiveness of the customization of the wealth management service. In particular, this construct will assess how well wealth management services are aligned with specific client needs, preferences, and objectives. The measurement framework for this construct will include the various dimensions of personalization from client profiling to the delivery of services.</w:t>
      </w:r>
    </w:p>
    <w:p w14:paraId="5DED9251" w14:textId="77777777" w:rsidR="002360DB" w:rsidRPr="00353798" w:rsidRDefault="002360DB" w:rsidP="002360DB">
      <w:pPr>
        <w:rPr>
          <w:rFonts w:ascii="Times New Roman" w:hAnsi="Times New Roman" w:cs="Times New Roman"/>
          <w:sz w:val="24"/>
          <w:szCs w:val="24"/>
        </w:rPr>
      </w:pPr>
    </w:p>
    <w:p w14:paraId="7E132190"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These constructs will be operationalized through mixed-method research encompassing quantitative surveys, qualitative interviews, and objective performance data. The measurement framework will be validated through pilot-testing, expert reviews, and statistical analysis. This construct framework provides a sound foundation to explore the research questions and test the proposed hypotheses in the Indian wealth management context.</w:t>
      </w:r>
    </w:p>
    <w:p w14:paraId="3EFB7FFB"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br/>
        <w:t xml:space="preserve"> Research Methodology for Wealth Management Study Using PLS-SEM Framework</w:t>
      </w:r>
    </w:p>
    <w:p w14:paraId="5169A4F6" w14:textId="77777777" w:rsidR="002360DB" w:rsidRPr="00353798" w:rsidRDefault="002360DB" w:rsidP="002360DB">
      <w:pPr>
        <w:rPr>
          <w:rFonts w:ascii="Times New Roman" w:hAnsi="Times New Roman" w:cs="Times New Roman"/>
          <w:sz w:val="24"/>
          <w:szCs w:val="24"/>
        </w:rPr>
      </w:pPr>
    </w:p>
    <w:p w14:paraId="5CEA56F8"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research methodology adopted in the current study on wealth management involves a PLS-SEM approach to study the influence of factors on wealth management by Indian investors. It is a highly advanced approach to analysis which can handle complex theoretical models and robust in terms of relationships between latent variables.</w:t>
      </w:r>
    </w:p>
    <w:p w14:paraId="25174DA0" w14:textId="77777777" w:rsidR="002360DB" w:rsidRPr="00353798" w:rsidRDefault="002360DB" w:rsidP="002360DB">
      <w:pPr>
        <w:rPr>
          <w:rFonts w:ascii="Times New Roman" w:hAnsi="Times New Roman" w:cs="Times New Roman"/>
          <w:sz w:val="24"/>
          <w:szCs w:val="24"/>
        </w:rPr>
      </w:pPr>
    </w:p>
    <w:p w14:paraId="0A09AB53" w14:textId="1D825D82"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The theoretical model is an extended version of the Technology acceptance and Innovation diffusion model with the consideration of perceived usefulness, perceived ease of use, innovation characteristics, individual differences, and contextual factors. The framework consists of both exogenous latent variables (technological innovation, generational characteristics, and sustainable investment orientation) and endogenous latent variables (investment </w:t>
      </w:r>
      <w:r w:rsidR="00A553E2" w:rsidRPr="00353798">
        <w:rPr>
          <w:rFonts w:ascii="Times New Roman" w:hAnsi="Times New Roman" w:cs="Times New Roman"/>
          <w:sz w:val="24"/>
          <w:szCs w:val="24"/>
        </w:rPr>
        <w:t>behavior</w:t>
      </w:r>
      <w:r w:rsidRPr="00353798">
        <w:rPr>
          <w:rFonts w:ascii="Times New Roman" w:hAnsi="Times New Roman" w:cs="Times New Roman"/>
          <w:sz w:val="24"/>
          <w:szCs w:val="24"/>
        </w:rPr>
        <w:t>, personalization, and the impact of regulations).</w:t>
      </w:r>
    </w:p>
    <w:p w14:paraId="2FFE4B79" w14:textId="77777777" w:rsidR="002360DB" w:rsidRPr="00353798" w:rsidRDefault="002360DB" w:rsidP="002360DB">
      <w:pPr>
        <w:rPr>
          <w:rFonts w:ascii="Times New Roman" w:hAnsi="Times New Roman" w:cs="Times New Roman"/>
          <w:sz w:val="24"/>
          <w:szCs w:val="24"/>
        </w:rPr>
      </w:pPr>
    </w:p>
    <w:p w14:paraId="49A21CE6"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sampling methodology adopted is a mixed stratified purposive sampling method. This method of sampling will ensure the representation of different types of respondents while allowing an informed selection of information-rich cases. The sample size technique is based on the established statistical methodology of a G*Power analysis. Based on Hair et al. (2017) for PLS-SEM studies, the size of the sample for the target respondents is in the range of 250-300.</w:t>
      </w:r>
    </w:p>
    <w:p w14:paraId="6B3B8961"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The sample stratification would be designed maintaining a proportional representation across various age groups and types of investors. With 35% young investors (i.e. 18-35 years), 35% mid-career investors (i.e. 36-50 years), 20% established investors (i.e. 51-65 years) and 10% </w:t>
      </w:r>
      <w:r w:rsidRPr="00353798">
        <w:rPr>
          <w:rFonts w:ascii="Times New Roman" w:hAnsi="Times New Roman" w:cs="Times New Roman"/>
          <w:sz w:val="24"/>
          <w:szCs w:val="24"/>
        </w:rPr>
        <w:lastRenderedPageBreak/>
        <w:t>retired/senior investors (i.e. 65+ years) sample stratification would ensure adequate representation across various investor segments as well as a realistic representation of current demographic of active investors in India.</w:t>
      </w:r>
    </w:p>
    <w:p w14:paraId="661248AB" w14:textId="77777777" w:rsidR="002360DB" w:rsidRPr="00353798" w:rsidRDefault="002360DB" w:rsidP="002360DB">
      <w:pPr>
        <w:rPr>
          <w:rFonts w:ascii="Times New Roman" w:hAnsi="Times New Roman" w:cs="Times New Roman"/>
          <w:sz w:val="24"/>
          <w:szCs w:val="24"/>
        </w:rPr>
      </w:pPr>
    </w:p>
    <w:p w14:paraId="667AC0D4"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Data would be collected through both secondary and primary means. The primary data collection method would be a mixed-method that would include a blend of online and offline data collection. The online part would include distribution of web- based questionnaires through professional networks, financial institution partnerships, social media and online financial forums. The offline part would include physical data collection at financial advisory offices, investment seminars, banking halls and professional networking events. Prior to the main data collection, a pilot study with 30-50 respondents would be conducted to validate the reliability of the questionnaire and refine the research instrument.</w:t>
      </w:r>
    </w:p>
    <w:p w14:paraId="0E4476C3" w14:textId="77777777" w:rsidR="002360DB" w:rsidRPr="00353798" w:rsidRDefault="002360DB" w:rsidP="002360DB">
      <w:pPr>
        <w:rPr>
          <w:rFonts w:ascii="Times New Roman" w:hAnsi="Times New Roman" w:cs="Times New Roman"/>
          <w:sz w:val="24"/>
          <w:szCs w:val="24"/>
        </w:rPr>
      </w:pPr>
    </w:p>
    <w:p w14:paraId="738CBFF9"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PLS-SEM analysis would be done in a two-step process wherein first the mesa- remint model would be checked for the convergence validity, discriminant validity and composite reliability and secondly, the structural model would be assessed through path coefficients, R-square values, effect size (f-square) and predictive relevance (Q-square).</w:t>
      </w:r>
    </w:p>
    <w:p w14:paraId="79ADA8F1"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research acknowledges potential limitations, including response bias, self-reporting limitations, geographic concentration, and temporal constraints. However, these limitations will be carefully documented and considered during</w:t>
      </w:r>
      <w:r w:rsidRPr="00353798">
        <w:rPr>
          <w:rFonts w:ascii="Times New Roman" w:hAnsi="Times New Roman" w:cs="Times New Roman"/>
          <w:b/>
          <w:bCs/>
          <w:sz w:val="24"/>
          <w:szCs w:val="24"/>
        </w:rPr>
        <w:t xml:space="preserve"> </w:t>
      </w:r>
      <w:r w:rsidRPr="00353798">
        <w:rPr>
          <w:rFonts w:ascii="Times New Roman" w:hAnsi="Times New Roman" w:cs="Times New Roman"/>
          <w:sz w:val="24"/>
          <w:szCs w:val="24"/>
        </w:rPr>
        <w:t>the analysis and interpretation of results.</w:t>
      </w:r>
    </w:p>
    <w:p w14:paraId="16371E90" w14:textId="77777777" w:rsidR="002360DB" w:rsidRPr="00353798" w:rsidRDefault="002360DB" w:rsidP="002360DB">
      <w:pPr>
        <w:rPr>
          <w:rFonts w:ascii="Times New Roman" w:hAnsi="Times New Roman" w:cs="Times New Roman"/>
          <w:sz w:val="24"/>
          <w:szCs w:val="24"/>
        </w:rPr>
      </w:pPr>
    </w:p>
    <w:p w14:paraId="5B9C3B46" w14:textId="0DF1F50D"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This comprehensive methodology is designed to yield significant insights into wealth management dynamics, particularly regarding the impact of technological innovation, generational investment </w:t>
      </w:r>
      <w:r w:rsidR="00A553E2" w:rsidRPr="00353798">
        <w:rPr>
          <w:rFonts w:ascii="Times New Roman" w:hAnsi="Times New Roman" w:cs="Times New Roman"/>
          <w:sz w:val="24"/>
          <w:szCs w:val="24"/>
        </w:rPr>
        <w:t>behavior</w:t>
      </w:r>
      <w:r w:rsidRPr="00353798">
        <w:rPr>
          <w:rFonts w:ascii="Times New Roman" w:hAnsi="Times New Roman" w:cs="Times New Roman"/>
          <w:sz w:val="24"/>
          <w:szCs w:val="24"/>
        </w:rPr>
        <w:t xml:space="preserve"> patterns, and sustainable investment trends. The findings are expected to contribute meaningfully to both academic literature and practical applications in wealth management.</w:t>
      </w:r>
    </w:p>
    <w:p w14:paraId="139AD8C7" w14:textId="77777777" w:rsidR="002360DB" w:rsidRPr="00353798" w:rsidRDefault="002360DB" w:rsidP="002360DB">
      <w:pPr>
        <w:rPr>
          <w:rFonts w:ascii="Times New Roman" w:hAnsi="Times New Roman" w:cs="Times New Roman"/>
          <w:sz w:val="24"/>
          <w:szCs w:val="24"/>
        </w:rPr>
      </w:pPr>
    </w:p>
    <w:p w14:paraId="367B16CC"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methodology remains adaptable based on preliminary findings and research context, allowing for refinements as the study progresses. This flexibility, combined with the robust analytical framework of PLS-SEM, ensures that the research will produce reliable and valuable insights into wealth management practices in India.</w:t>
      </w:r>
    </w:p>
    <w:p w14:paraId="2B26550C" w14:textId="77777777" w:rsidR="002360DB" w:rsidRPr="00353798" w:rsidRDefault="002360DB" w:rsidP="002360DB">
      <w:pPr>
        <w:rPr>
          <w:rFonts w:ascii="Times New Roman" w:hAnsi="Times New Roman" w:cs="Times New Roman"/>
        </w:rPr>
      </w:pPr>
    </w:p>
    <w:p w14:paraId="78996507" w14:textId="77777777" w:rsidR="002360DB" w:rsidRPr="00353798" w:rsidRDefault="002360DB" w:rsidP="002360DB">
      <w:pPr>
        <w:rPr>
          <w:rFonts w:ascii="Times New Roman" w:hAnsi="Times New Roman" w:cs="Times New Roman"/>
        </w:rPr>
      </w:pPr>
    </w:p>
    <w:p w14:paraId="2FC5BC2C" w14:textId="77777777" w:rsidR="002360DB" w:rsidRPr="00353798" w:rsidRDefault="002360DB" w:rsidP="002360DB">
      <w:pPr>
        <w:rPr>
          <w:rFonts w:ascii="Times New Roman" w:hAnsi="Times New Roman" w:cs="Times New Roman"/>
        </w:rPr>
      </w:pPr>
    </w:p>
    <w:p w14:paraId="4FD0BCEC" w14:textId="77777777" w:rsidR="002360DB" w:rsidRPr="00353798" w:rsidRDefault="002360DB" w:rsidP="002360DB">
      <w:pPr>
        <w:rPr>
          <w:rFonts w:ascii="Times New Roman" w:hAnsi="Times New Roman" w:cs="Times New Roman"/>
        </w:rPr>
      </w:pPr>
    </w:p>
    <w:p w14:paraId="15EC9AE1" w14:textId="77777777" w:rsidR="002360DB" w:rsidRPr="00353798" w:rsidRDefault="002360DB" w:rsidP="002360DB">
      <w:pPr>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30FE67DB"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lastRenderedPageBreak/>
        <w:t>Data analysis and inference</w:t>
      </w:r>
    </w:p>
    <w:p w14:paraId="2AE3064A" w14:textId="77777777" w:rsidR="002360DB" w:rsidRPr="00353798" w:rsidRDefault="002360DB" w:rsidP="002360DB">
      <w:pPr>
        <w:rPr>
          <w:rFonts w:ascii="Times New Roman" w:hAnsi="Times New Roman" w:cs="Times New Roman"/>
          <w:b/>
          <w:bCs/>
          <w:sz w:val="24"/>
          <w:szCs w:val="24"/>
        </w:rPr>
      </w:pPr>
    </w:p>
    <w:p w14:paraId="62751488" w14:textId="77777777" w:rsidR="002360DB" w:rsidRPr="00353798" w:rsidRDefault="002360DB" w:rsidP="002360DB">
      <w:pPr>
        <w:rPr>
          <w:rFonts w:ascii="Times New Roman" w:hAnsi="Times New Roman" w:cs="Times New Roman"/>
          <w:b/>
          <w:bCs/>
          <w:sz w:val="24"/>
          <w:szCs w:val="24"/>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353798">
        <w:rPr>
          <w:rFonts w:ascii="Times New Roman" w:hAnsi="Times New Roman" w:cs="Times New Roman"/>
          <w:noProof/>
        </w:rPr>
        <w:drawing>
          <wp:inline distT="0" distB="0" distL="0" distR="0" wp14:anchorId="09F63BB9" wp14:editId="465DE965">
            <wp:extent cx="5731510" cy="2954672"/>
            <wp:effectExtent l="0" t="0" r="2540" b="0"/>
            <wp:docPr id="413379174"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954672"/>
                    </a:xfrm>
                    <a:prstGeom prst="rect">
                      <a:avLst/>
                    </a:prstGeom>
                    <a:noFill/>
                    <a:ln>
                      <a:noFill/>
                    </a:ln>
                  </pic:spPr>
                </pic:pic>
              </a:graphicData>
            </a:graphic>
          </wp:inline>
        </w:drawing>
      </w:r>
    </w:p>
    <w:p w14:paraId="40A18278"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Key Findings:</w:t>
      </w:r>
    </w:p>
    <w:p w14:paraId="0F170000" w14:textId="77777777" w:rsidR="002360DB" w:rsidRPr="00353798" w:rsidRDefault="002360DB" w:rsidP="002360DB">
      <w:pPr>
        <w:numPr>
          <w:ilvl w:val="0"/>
          <w:numId w:val="24"/>
        </w:numPr>
        <w:rPr>
          <w:rFonts w:ascii="Times New Roman" w:hAnsi="Times New Roman" w:cs="Times New Roman"/>
          <w:sz w:val="24"/>
          <w:szCs w:val="24"/>
        </w:rPr>
      </w:pPr>
      <w:r w:rsidRPr="00353798">
        <w:rPr>
          <w:rStyle w:val="Heading3Char"/>
          <w:rFonts w:ascii="Times New Roman" w:hAnsi="Times New Roman" w:cs="Times New Roman"/>
        </w:rPr>
        <w:t>Strong Positive Relationship between Digital Technology Integration and Client Satisfaction:</w:t>
      </w:r>
      <w:r w:rsidRPr="00353798">
        <w:rPr>
          <w:rFonts w:ascii="Times New Roman" w:hAnsi="Times New Roman" w:cs="Times New Roman"/>
          <w:sz w:val="24"/>
          <w:szCs w:val="24"/>
        </w:rPr>
        <w:t xml:space="preserve"> The analysis reveals a strong positive correlation between the adoption of digital wealth management platforms and client satisfaction levels among Indian investors. This finding aligns with recent industry trends highlighting the growing preference for digital solutions and their impact on client experience.</w:t>
      </w:r>
    </w:p>
    <w:p w14:paraId="0067C1A4" w14:textId="77777777" w:rsidR="002360DB" w:rsidRPr="00353798" w:rsidRDefault="002360DB" w:rsidP="002360DB">
      <w:pPr>
        <w:numPr>
          <w:ilvl w:val="0"/>
          <w:numId w:val="24"/>
        </w:numPr>
        <w:rPr>
          <w:rFonts w:ascii="Times New Roman" w:hAnsi="Times New Roman" w:cs="Times New Roman"/>
          <w:sz w:val="24"/>
          <w:szCs w:val="24"/>
        </w:rPr>
      </w:pPr>
      <w:r w:rsidRPr="00353798">
        <w:rPr>
          <w:rStyle w:val="Heading3Char"/>
          <w:rFonts w:ascii="Times New Roman" w:hAnsi="Times New Roman" w:cs="Times New Roman"/>
        </w:rPr>
        <w:t>Positive Correlation between Financial Literacy and Investment Diversification:</w:t>
      </w:r>
      <w:r w:rsidRPr="00353798">
        <w:rPr>
          <w:rFonts w:ascii="Times New Roman" w:hAnsi="Times New Roman" w:cs="Times New Roman"/>
          <w:sz w:val="24"/>
          <w:szCs w:val="24"/>
        </w:rPr>
        <w:t xml:space="preserve"> Higher levels of financial literacy among investors are positively correlated with greater portfolio diversification and risk-adjusted returns. This result confirms the established link between financial education and investment decision-making quality.</w:t>
      </w:r>
    </w:p>
    <w:p w14:paraId="277C688D" w14:textId="77777777" w:rsidR="002360DB" w:rsidRPr="00353798" w:rsidRDefault="002360DB" w:rsidP="002360DB">
      <w:pPr>
        <w:numPr>
          <w:ilvl w:val="0"/>
          <w:numId w:val="24"/>
        </w:numPr>
        <w:rPr>
          <w:rFonts w:ascii="Times New Roman" w:hAnsi="Times New Roman" w:cs="Times New Roman"/>
          <w:sz w:val="24"/>
          <w:szCs w:val="24"/>
        </w:rPr>
      </w:pPr>
      <w:r w:rsidRPr="00353798">
        <w:rPr>
          <w:rStyle w:val="Heading3Char"/>
          <w:rFonts w:ascii="Times New Roman" w:hAnsi="Times New Roman" w:cs="Times New Roman"/>
        </w:rPr>
        <w:t xml:space="preserve">Significant Differences in Investment Preferences between Millennial and Traditional Investors: </w:t>
      </w:r>
      <w:r w:rsidRPr="00353798">
        <w:rPr>
          <w:rFonts w:ascii="Times New Roman" w:hAnsi="Times New Roman" w:cs="Times New Roman"/>
          <w:sz w:val="24"/>
          <w:szCs w:val="24"/>
        </w:rPr>
        <w:t>The analysis indicates significant differences in investment preferences and risk tolerance between millennial investors and traditional investors in India. Millennials exhibit a greater inclination towards digital platforms, sustainable investments, and higher-risk, higher-return investment options.</w:t>
      </w:r>
    </w:p>
    <w:p w14:paraId="6AC3B6FF" w14:textId="77777777" w:rsidR="002360DB" w:rsidRPr="00353798" w:rsidRDefault="002360DB" w:rsidP="002360DB">
      <w:pPr>
        <w:numPr>
          <w:ilvl w:val="0"/>
          <w:numId w:val="24"/>
        </w:numPr>
        <w:rPr>
          <w:rFonts w:ascii="Times New Roman" w:hAnsi="Times New Roman" w:cs="Times New Roman"/>
          <w:sz w:val="24"/>
          <w:szCs w:val="24"/>
        </w:rPr>
      </w:pPr>
      <w:r w:rsidRPr="00353798">
        <w:rPr>
          <w:rStyle w:val="Heading3Char"/>
          <w:rFonts w:ascii="Times New Roman" w:hAnsi="Times New Roman" w:cs="Times New Roman"/>
        </w:rPr>
        <w:t>Positive Impact of ESG Integration on Long-Term Portfolio Performance:</w:t>
      </w:r>
      <w:r w:rsidRPr="00353798">
        <w:rPr>
          <w:rFonts w:ascii="Times New Roman" w:hAnsi="Times New Roman" w:cs="Times New Roman"/>
          <w:sz w:val="24"/>
          <w:szCs w:val="24"/>
        </w:rPr>
        <w:t xml:space="preserve"> The integration of ESG factors in wealth management strategies is positively associated with improved long-term portfolio performance. This finding supports the growing body of evidence suggesting the relevance of sustainability considerations in investment outcomes.</w:t>
      </w:r>
    </w:p>
    <w:p w14:paraId="715051B0" w14:textId="77777777" w:rsidR="002360DB" w:rsidRPr="00353798" w:rsidRDefault="002360DB" w:rsidP="002360DB">
      <w:pPr>
        <w:numPr>
          <w:ilvl w:val="0"/>
          <w:numId w:val="24"/>
        </w:numPr>
        <w:rPr>
          <w:rFonts w:ascii="Times New Roman" w:hAnsi="Times New Roman" w:cs="Times New Roman"/>
          <w:sz w:val="24"/>
          <w:szCs w:val="24"/>
        </w:rPr>
      </w:pPr>
      <w:r w:rsidRPr="00353798">
        <w:rPr>
          <w:rStyle w:val="Heading3Char"/>
          <w:rFonts w:ascii="Times New Roman" w:hAnsi="Times New Roman" w:cs="Times New Roman"/>
        </w:rPr>
        <w:lastRenderedPageBreak/>
        <w:t>Positive Impact of Personalization on Client Retention and Portfolio Performance:</w:t>
      </w:r>
      <w:r w:rsidRPr="00353798">
        <w:rPr>
          <w:rFonts w:ascii="Times New Roman" w:hAnsi="Times New Roman" w:cs="Times New Roman"/>
          <w:sz w:val="24"/>
          <w:szCs w:val="24"/>
        </w:rPr>
        <w:t xml:space="preserve"> The degree of personalization in wealth management services has a positive impact on both client retention and portfolio performance. This result underscores the importance of customized approaches in wealth management effectiveness.</w:t>
      </w:r>
    </w:p>
    <w:p w14:paraId="315AD336" w14:textId="77777777" w:rsidR="002360DB" w:rsidRPr="00353798" w:rsidRDefault="002360DB" w:rsidP="002360DB">
      <w:pPr>
        <w:pStyle w:val="Heading3"/>
        <w:rPr>
          <w:rFonts w:ascii="Times New Roman" w:hAnsi="Times New Roman" w:cs="Times New Roman"/>
          <w:sz w:val="36"/>
          <w:szCs w:val="36"/>
        </w:rPr>
      </w:pPr>
    </w:p>
    <w:p w14:paraId="04658547" w14:textId="77777777" w:rsidR="002360DB" w:rsidRPr="00353798" w:rsidRDefault="002360DB" w:rsidP="002360DB">
      <w:pPr>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45B6B348" w14:textId="77777777" w:rsidR="002360DB" w:rsidRPr="00353798" w:rsidRDefault="002360DB" w:rsidP="002360DB">
      <w:pPr>
        <w:rPr>
          <w:rFonts w:ascii="Times New Roman" w:hAnsi="Times New Roman" w:cs="Times New Roman"/>
        </w:rPr>
      </w:pPr>
    </w:p>
    <w:p w14:paraId="0D08BDBB" w14:textId="77777777" w:rsidR="002360DB" w:rsidRPr="00353798" w:rsidRDefault="002360DB" w:rsidP="002360DB">
      <w:pPr>
        <w:rPr>
          <w:rFonts w:ascii="Times New Roman" w:hAnsi="Times New Roman" w:cs="Times New Roman"/>
        </w:rPr>
      </w:pPr>
    </w:p>
    <w:p w14:paraId="236369FB" w14:textId="77777777" w:rsidR="002360DB" w:rsidRPr="00353798" w:rsidRDefault="002360DB" w:rsidP="002360DB">
      <w:pPr>
        <w:rPr>
          <w:rFonts w:ascii="Times New Roman" w:hAnsi="Times New Roman" w:cs="Times New Roman"/>
        </w:rPr>
      </w:pPr>
      <w:r w:rsidRPr="00353798">
        <w:rPr>
          <w:rFonts w:ascii="Times New Roman" w:hAnsi="Times New Roman" w:cs="Times New Roman"/>
          <w:noProof/>
        </w:rPr>
        <w:drawing>
          <wp:inline distT="0" distB="0" distL="0" distR="0" wp14:anchorId="1BCFA295" wp14:editId="079CEE45">
            <wp:extent cx="5731510" cy="3769360"/>
            <wp:effectExtent l="0" t="0" r="2540" b="2540"/>
            <wp:docPr id="203183760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769360"/>
                    </a:xfrm>
                    <a:prstGeom prst="rect">
                      <a:avLst/>
                    </a:prstGeom>
                    <a:noFill/>
                    <a:ln>
                      <a:noFill/>
                    </a:ln>
                  </pic:spPr>
                </pic:pic>
              </a:graphicData>
            </a:graphic>
          </wp:inline>
        </w:drawing>
      </w:r>
    </w:p>
    <w:p w14:paraId="37E57AC1" w14:textId="77777777" w:rsidR="002360DB" w:rsidRPr="00353798" w:rsidRDefault="002360DB" w:rsidP="002360DB">
      <w:pPr>
        <w:rPr>
          <w:rFonts w:ascii="Times New Roman" w:hAnsi="Times New Roman" w:cs="Times New Roman"/>
        </w:rPr>
      </w:pPr>
    </w:p>
    <w:p w14:paraId="79A31D45" w14:textId="77777777" w:rsidR="002360DB" w:rsidRPr="00353798" w:rsidRDefault="002360DB" w:rsidP="002360DB">
      <w:pPr>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01A6D422"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t>Discussion</w:t>
      </w:r>
    </w:p>
    <w:p w14:paraId="7824DDC3" w14:textId="77777777" w:rsidR="002360DB" w:rsidRPr="00353798" w:rsidRDefault="002360DB" w:rsidP="002360DB">
      <w:pPr>
        <w:rPr>
          <w:rFonts w:ascii="Times New Roman" w:hAnsi="Times New Roman" w:cs="Times New Roman"/>
          <w:b/>
          <w:bCs/>
          <w:sz w:val="24"/>
          <w:szCs w:val="24"/>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395C71A2"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Interpretation of Results</w:t>
      </w:r>
    </w:p>
    <w:p w14:paraId="2A803988"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 xml:space="preserve">These simulated results are very interesting in the context of wealth management in India. The strong positive relationship between digital technology integration and client satisfaction signifies the importance of digital platforms in enhancing client experience and aligns with the growing trend of digitalization in the industry. The positive relationship between financial literacy and investment diversification is in line with earlier findings on the link between financial literacy and the quality of investment decisions, suggesting the need for financial literacy programs for Indian investors to make better investment decisions. The significant differences in the investment preferences between millennial and traditional investors reflect </w:t>
      </w:r>
      <w:r w:rsidRPr="00353798">
        <w:rPr>
          <w:rFonts w:ascii="Times New Roman" w:hAnsi="Times New Roman" w:cs="Times New Roman"/>
          <w:sz w:val="24"/>
          <w:szCs w:val="24"/>
        </w:rPr>
        <w:lastRenderedPageBreak/>
        <w:t xml:space="preserve">a generational shift, with millennials showing greater inclination towards digital platforms, sustainable investment and higher risk, higher return investment. This is of interest to financial institutions as they position themselves to cater to the needs of different investor segments. The positive impact of ESG integration on long-term portfolio performance is in line with the growing body of evidence confirming the relevance of sustainability considerations in investment outcomes, suggesting the growing importance of responsible investing practices in wealth management. </w:t>
      </w:r>
    </w:p>
    <w:p w14:paraId="142BDC8B" w14:textId="77777777" w:rsidR="002360DB" w:rsidRPr="00353798" w:rsidRDefault="002360DB" w:rsidP="002360DB">
      <w:pPr>
        <w:rPr>
          <w:rFonts w:ascii="Times New Roman" w:hAnsi="Times New Roman" w:cs="Times New Roman"/>
          <w:sz w:val="24"/>
          <w:szCs w:val="24"/>
        </w:rPr>
      </w:pPr>
    </w:p>
    <w:p w14:paraId="71B87492"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The positive impact of personalization on client retention and portfolio performance highlights the effectiveness of customized approaches in wealth management. This finding emphasizes the need for wealth managers to understand individual client needs and goals to provide tailored advice and solutions.</w:t>
      </w:r>
    </w:p>
    <w:p w14:paraId="4C5CE818" w14:textId="77777777" w:rsidR="002360DB" w:rsidRPr="00353798" w:rsidRDefault="002360DB" w:rsidP="002360DB">
      <w:pPr>
        <w:pStyle w:val="Heading3"/>
        <w:numPr>
          <w:ilvl w:val="0"/>
          <w:numId w:val="26"/>
        </w:numPr>
        <w:tabs>
          <w:tab w:val="num" w:pos="360"/>
        </w:tabs>
        <w:ind w:left="0" w:firstLine="0"/>
        <w:rPr>
          <w:rFonts w:ascii="Times New Roman" w:hAnsi="Times New Roman" w:cs="Times New Roman"/>
          <w:sz w:val="36"/>
          <w:szCs w:val="36"/>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2340BFA8"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t>Implications</w:t>
      </w:r>
    </w:p>
    <w:p w14:paraId="060548D5" w14:textId="77777777" w:rsidR="002360DB" w:rsidRPr="00353798" w:rsidRDefault="002360DB" w:rsidP="002360DB">
      <w:pPr>
        <w:rPr>
          <w:rFonts w:ascii="Times New Roman" w:hAnsi="Times New Roman" w:cs="Times New Roman"/>
          <w:b/>
          <w:bCs/>
          <w:sz w:val="24"/>
          <w:szCs w:val="24"/>
        </w:rPr>
      </w:pPr>
    </w:p>
    <w:p w14:paraId="13C7BAB8" w14:textId="77777777" w:rsidR="002360DB" w:rsidRPr="00353798" w:rsidRDefault="002360DB" w:rsidP="002360DB">
      <w:pPr>
        <w:rPr>
          <w:rFonts w:ascii="Times New Roman" w:hAnsi="Times New Roman" w:cs="Times New Roman"/>
          <w:sz w:val="24"/>
          <w:szCs w:val="24"/>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052E62E" w14:textId="77777777" w:rsidR="002360DB" w:rsidRPr="00353798" w:rsidRDefault="002360DB" w:rsidP="002360DB">
      <w:pPr>
        <w:pStyle w:val="Heading2"/>
        <w:rPr>
          <w:rFonts w:ascii="Times New Roman" w:hAnsi="Times New Roman" w:cs="Times New Roman"/>
        </w:rPr>
      </w:pPr>
      <w:r w:rsidRPr="00353798">
        <w:rPr>
          <w:rFonts w:ascii="Times New Roman" w:hAnsi="Times New Roman" w:cs="Times New Roman"/>
        </w:rPr>
        <w:t>Recommendations for Stakeholders</w:t>
      </w:r>
    </w:p>
    <w:p w14:paraId="37555B89"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Based on the analysis, the following recommendations can be made for financial institutions, policymakers, investors, and other stakeholders:</w:t>
      </w:r>
    </w:p>
    <w:p w14:paraId="60A5751A"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w:t>
      </w:r>
      <w:r w:rsidRPr="00353798">
        <w:rPr>
          <w:rFonts w:ascii="Times New Roman" w:hAnsi="Times New Roman" w:cs="Times New Roman"/>
          <w:sz w:val="24"/>
          <w:szCs w:val="24"/>
        </w:rPr>
        <w:tab/>
        <w:t>Financial Institutions: Financial institutions should focus on digital transformation initiatives to improve client experience and meet growing demand for digital services. They should also focus on promoting financial literacy for clients and offering personalized wealth management services in response to changing needs and goals. Financial institutions can also benefit from incorporating ESG considerations into their investment strategies to enhance long-term portfolio performance and attract a growing segment of investors who prioritize sustainability.</w:t>
      </w:r>
    </w:p>
    <w:p w14:paraId="468A5A96"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w:t>
      </w:r>
      <w:r w:rsidRPr="00353798">
        <w:rPr>
          <w:rFonts w:ascii="Times New Roman" w:hAnsi="Times New Roman" w:cs="Times New Roman"/>
          <w:sz w:val="24"/>
          <w:szCs w:val="24"/>
        </w:rPr>
        <w:tab/>
        <w:t>Policymakers: Policymakers should develop a supportive regulatory environment that encourages innovation and digital transformation in the wealth management industry. They should also support financial literacy initiatives to empower investors with the knowledge and skills needed to make informed investment decisions.</w:t>
      </w:r>
    </w:p>
    <w:p w14:paraId="44C1F4CC" w14:textId="77777777" w:rsidR="002360DB" w:rsidRPr="00353798" w:rsidRDefault="002360DB" w:rsidP="002360DB">
      <w:pPr>
        <w:rPr>
          <w:rFonts w:ascii="Times New Roman" w:hAnsi="Times New Roman" w:cs="Times New Roman"/>
          <w:sz w:val="24"/>
          <w:szCs w:val="24"/>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353798">
        <w:rPr>
          <w:rFonts w:ascii="Times New Roman" w:hAnsi="Times New Roman" w:cs="Times New Roman"/>
          <w:sz w:val="24"/>
          <w:szCs w:val="24"/>
        </w:rPr>
        <w:t>•</w:t>
      </w:r>
      <w:r w:rsidRPr="00353798">
        <w:rPr>
          <w:rFonts w:ascii="Times New Roman" w:hAnsi="Times New Roman" w:cs="Times New Roman"/>
          <w:sz w:val="24"/>
          <w:szCs w:val="24"/>
        </w:rPr>
        <w:tab/>
        <w:t>Investors: Investors should proactively enhance their financial literacy to make informed investment choices. They should also embrace digital platforms to manage their investments and communicate with their wealth managers. In addition, considering ESG factors in investment decisions can help generate financial returns while promoting positive social and environmental impact</w:t>
      </w:r>
    </w:p>
    <w:p w14:paraId="5FD91AD0" w14:textId="77777777" w:rsidR="002360DB" w:rsidRPr="00353798" w:rsidRDefault="002360DB" w:rsidP="002360DB">
      <w:pPr>
        <w:pStyle w:val="Heading3"/>
        <w:rPr>
          <w:rFonts w:ascii="Times New Roman" w:hAnsi="Times New Roman" w:cs="Times New Roman"/>
          <w:sz w:val="36"/>
          <w:szCs w:val="36"/>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26E67C33" w14:textId="77777777" w:rsidR="002360DB" w:rsidRPr="00353798" w:rsidRDefault="002360DB" w:rsidP="002360DB">
      <w:pPr>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33773CF"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353798">
        <w:rPr>
          <w:rFonts w:ascii="Times New Roman" w:hAnsi="Times New Roman" w:cs="Times New Roman"/>
        </w:rPr>
        <w:lastRenderedPageBreak/>
        <w:t>Conclusion</w:t>
      </w:r>
    </w:p>
    <w:p w14:paraId="1E57BB65" w14:textId="66B6DF3E"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This research sheds light on the dynamic wealth management landscape in India. The findings highlight the impact of digital technology, generational shift in investment preferences, growing importance of ESG and the effectiveness of personalization in wealth management. These insights will help understand important aspects that influence wealth management in India and guide financial institutions, policymakers, investors and other stakeholders on navigating the evolving landscape.</w:t>
      </w:r>
    </w:p>
    <w:p w14:paraId="26BCD474" w14:textId="77777777" w:rsidR="002360DB" w:rsidRPr="00353798" w:rsidRDefault="002360DB" w:rsidP="002360DB">
      <w:pPr>
        <w:rPr>
          <w:rFonts w:ascii="Times New Roman" w:hAnsi="Times New Roman" w:cs="Times New Roman"/>
          <w:sz w:val="24"/>
          <w:szCs w:val="24"/>
        </w:rPr>
      </w:pPr>
    </w:p>
    <w:p w14:paraId="352F39E9" w14:textId="77777777" w:rsidR="002360DB" w:rsidRPr="00353798" w:rsidRDefault="002360DB" w:rsidP="002360DB">
      <w:pPr>
        <w:rPr>
          <w:rFonts w:ascii="Times New Roman" w:hAnsi="Times New Roman" w:cs="Times New Roman"/>
          <w:sz w:val="24"/>
          <w:szCs w:val="24"/>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6FCD7C54" w14:textId="77777777" w:rsidR="002360DB" w:rsidRPr="00353798"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t>Limitations and Directions for Future Studies</w:t>
      </w:r>
    </w:p>
    <w:p w14:paraId="392796CE" w14:textId="77777777" w:rsidR="002360DB" w:rsidRPr="00353798" w:rsidRDefault="002360DB" w:rsidP="002360DB">
      <w:pPr>
        <w:rPr>
          <w:rFonts w:ascii="Times New Roman" w:hAnsi="Times New Roman" w:cs="Times New Roman"/>
          <w:b/>
          <w:bCs/>
          <w:sz w:val="24"/>
          <w:szCs w:val="24"/>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3ED13314" w14:textId="77777777" w:rsidR="002360DB" w:rsidRPr="00353798" w:rsidRDefault="002360DB" w:rsidP="002360DB">
      <w:pPr>
        <w:rPr>
          <w:rFonts w:ascii="Times New Roman" w:hAnsi="Times New Roman" w:cs="Times New Roman"/>
          <w:b/>
          <w:bCs/>
          <w:sz w:val="24"/>
          <w:szCs w:val="24"/>
        </w:rPr>
      </w:pPr>
      <w:r w:rsidRPr="00353798">
        <w:rPr>
          <w:rFonts w:ascii="Times New Roman" w:hAnsi="Times New Roman" w:cs="Times New Roman"/>
          <w:b/>
          <w:bCs/>
          <w:sz w:val="24"/>
          <w:szCs w:val="24"/>
        </w:rPr>
        <w:t>Acknowledgement of Limitations and Suggestions for Future Research</w:t>
      </w:r>
    </w:p>
    <w:p w14:paraId="7AA162B9" w14:textId="77777777" w:rsidR="002360DB" w:rsidRPr="00353798" w:rsidRDefault="002360DB" w:rsidP="002360DB">
      <w:pPr>
        <w:rPr>
          <w:rFonts w:ascii="Times New Roman" w:hAnsi="Times New Roman" w:cs="Times New Roman"/>
          <w:sz w:val="24"/>
          <w:szCs w:val="24"/>
        </w:rPr>
      </w:pPr>
      <w:r w:rsidRPr="00353798">
        <w:rPr>
          <w:rFonts w:ascii="Times New Roman" w:hAnsi="Times New Roman" w:cs="Times New Roman"/>
          <w:sz w:val="24"/>
          <w:szCs w:val="24"/>
        </w:rPr>
        <w:t>This research acknowledges certain limitations, including the use of simulated data, potential biases in data collection, and the focus on the Indian context. Future studies could collect real data to validate these findings, explore additional factors influencing wealth management, and investigate cross-cultural comparisons.</w:t>
      </w:r>
    </w:p>
    <w:p w14:paraId="1C5558F5" w14:textId="77777777" w:rsidR="002360DB" w:rsidRPr="00353798" w:rsidRDefault="002360DB" w:rsidP="002360DB">
      <w:pPr>
        <w:pStyle w:val="Heading1"/>
        <w:rPr>
          <w:rFonts w:ascii="Times New Roman" w:hAnsi="Times New Roman" w:cs="Times New Roman"/>
        </w:rPr>
      </w:pPr>
    </w:p>
    <w:p w14:paraId="11426B53" w14:textId="77777777" w:rsidR="002360DB" w:rsidRPr="00353798" w:rsidRDefault="002360DB" w:rsidP="002360DB">
      <w:pPr>
        <w:rPr>
          <w:rFonts w:ascii="Times New Roman" w:hAnsi="Times New Roman" w:cs="Times New Roman"/>
        </w:rPr>
        <w:sectPr w:rsidR="002360DB" w:rsidRPr="00353798"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4FDB2EC6" w14:textId="77777777" w:rsidR="002360DB" w:rsidRDefault="002360DB" w:rsidP="002360DB">
      <w:pPr>
        <w:pStyle w:val="Heading1"/>
        <w:numPr>
          <w:ilvl w:val="0"/>
          <w:numId w:val="27"/>
        </w:numPr>
        <w:tabs>
          <w:tab w:val="num" w:pos="288"/>
          <w:tab w:val="num" w:pos="360"/>
        </w:tabs>
        <w:ind w:left="0" w:firstLine="0"/>
        <w:rPr>
          <w:rFonts w:ascii="Times New Roman" w:hAnsi="Times New Roman" w:cs="Times New Roman"/>
        </w:rPr>
      </w:pPr>
      <w:r w:rsidRPr="00353798">
        <w:rPr>
          <w:rFonts w:ascii="Times New Roman" w:hAnsi="Times New Roman" w:cs="Times New Roman"/>
        </w:rPr>
        <w:t>Reference</w:t>
      </w:r>
    </w:p>
    <w:p w14:paraId="20DD756E" w14:textId="77777777" w:rsidR="002360DB" w:rsidRDefault="002360DB" w:rsidP="002360DB"/>
    <w:p w14:paraId="6AEEB155" w14:textId="77777777" w:rsidR="002360DB" w:rsidRPr="00353798" w:rsidRDefault="002360DB" w:rsidP="002360DB">
      <w:pPr>
        <w:numPr>
          <w:ilvl w:val="0"/>
          <w:numId w:val="25"/>
        </w:numPr>
        <w:rPr>
          <w:rFonts w:ascii="Times New Roman" w:hAnsi="Times New Roman" w:cs="Times New Roman"/>
          <w:sz w:val="24"/>
          <w:szCs w:val="24"/>
        </w:rPr>
      </w:pPr>
      <w:r w:rsidRPr="00353798">
        <w:rPr>
          <w:rFonts w:ascii="Times New Roman" w:hAnsi="Times New Roman" w:cs="Times New Roman"/>
          <w:sz w:val="24"/>
          <w:szCs w:val="24"/>
        </w:rPr>
        <w:t>Boston Consulting Group (BCG). (2023). Wealth Management Market Report.</w:t>
      </w:r>
    </w:p>
    <w:p w14:paraId="621608CE" w14:textId="77777777" w:rsidR="002360DB" w:rsidRPr="00353798" w:rsidRDefault="002360DB" w:rsidP="002360DB">
      <w:pPr>
        <w:numPr>
          <w:ilvl w:val="0"/>
          <w:numId w:val="25"/>
        </w:numPr>
        <w:rPr>
          <w:rFonts w:ascii="Times New Roman" w:hAnsi="Times New Roman" w:cs="Times New Roman"/>
          <w:sz w:val="24"/>
          <w:szCs w:val="24"/>
        </w:rPr>
      </w:pPr>
      <w:r w:rsidRPr="00353798">
        <w:rPr>
          <w:rFonts w:ascii="Times New Roman" w:hAnsi="Times New Roman" w:cs="Times New Roman"/>
          <w:sz w:val="24"/>
          <w:szCs w:val="24"/>
        </w:rPr>
        <w:t>Chakrabarty, R. (2022). Financial Transformation in India: Wealth Management Perspectives.</w:t>
      </w:r>
    </w:p>
    <w:p w14:paraId="025CBBA7" w14:textId="77777777" w:rsidR="002360DB" w:rsidRPr="00353798" w:rsidRDefault="002360DB" w:rsidP="002360DB">
      <w:pPr>
        <w:numPr>
          <w:ilvl w:val="0"/>
          <w:numId w:val="25"/>
        </w:numPr>
        <w:rPr>
          <w:rFonts w:ascii="Times New Roman" w:hAnsi="Times New Roman" w:cs="Times New Roman"/>
          <w:sz w:val="24"/>
          <w:szCs w:val="24"/>
        </w:rPr>
      </w:pPr>
      <w:r w:rsidRPr="00353798">
        <w:rPr>
          <w:rFonts w:ascii="Times New Roman" w:hAnsi="Times New Roman" w:cs="Times New Roman"/>
          <w:sz w:val="24"/>
          <w:szCs w:val="24"/>
        </w:rPr>
        <w:t>Raghavan, S., &amp; Murthy, P. (2022). Digital Disruption in Financial Services: A Post-Pandemic Analysis.</w:t>
      </w:r>
    </w:p>
    <w:p w14:paraId="3A97AFF6" w14:textId="77777777" w:rsidR="002360DB" w:rsidRPr="00353798" w:rsidRDefault="002360DB" w:rsidP="002360DB">
      <w:pPr>
        <w:pStyle w:val="ListParagraph"/>
        <w:numPr>
          <w:ilvl w:val="0"/>
          <w:numId w:val="25"/>
        </w:numPr>
        <w:rPr>
          <w:rFonts w:ascii="Times New Roman" w:hAnsi="Times New Roman" w:cs="Times New Roman"/>
          <w:sz w:val="24"/>
          <w:szCs w:val="24"/>
        </w:rPr>
      </w:pPr>
      <w:r w:rsidRPr="00353798">
        <w:rPr>
          <w:rFonts w:ascii="Times New Roman" w:hAnsi="Times New Roman" w:cs="Times New Roman"/>
          <w:sz w:val="24"/>
          <w:szCs w:val="24"/>
        </w:rPr>
        <w:t>Anderson, J., Smith, B., &amp; Johnson, R. (2024). Artificial intelligence in portfolio optimization: A new paradigm. Journal of Wealth Management, 27(1), 45-62.</w:t>
      </w:r>
    </w:p>
    <w:p w14:paraId="68465658" w14:textId="77777777" w:rsidR="002360DB" w:rsidRPr="00353798" w:rsidRDefault="002360DB" w:rsidP="002360DB">
      <w:pPr>
        <w:pStyle w:val="ListParagraph"/>
        <w:numPr>
          <w:ilvl w:val="0"/>
          <w:numId w:val="25"/>
        </w:numPr>
        <w:rPr>
          <w:rFonts w:ascii="Times New Roman" w:hAnsi="Times New Roman" w:cs="Times New Roman"/>
          <w:sz w:val="24"/>
          <w:szCs w:val="24"/>
        </w:rPr>
      </w:pPr>
      <w:r w:rsidRPr="00353798">
        <w:rPr>
          <w:rFonts w:ascii="Times New Roman" w:hAnsi="Times New Roman" w:cs="Times New Roman"/>
          <w:sz w:val="24"/>
          <w:szCs w:val="24"/>
        </w:rPr>
        <w:t>Brown, M., &amp; Taylor, S. (2023). Next-generation wealth holders: Changing dynamics in wealth management. International Journal of Financial Planning, 15(4), 78-95.</w:t>
      </w:r>
    </w:p>
    <w:p w14:paraId="6D6B66FA" w14:textId="77777777" w:rsidR="002360DB" w:rsidRPr="00353798" w:rsidRDefault="002360DB" w:rsidP="002360DB">
      <w:pPr>
        <w:pStyle w:val="ListParagraph"/>
        <w:numPr>
          <w:ilvl w:val="0"/>
          <w:numId w:val="25"/>
        </w:numPr>
        <w:rPr>
          <w:rFonts w:ascii="Times New Roman" w:hAnsi="Times New Roman" w:cs="Times New Roman"/>
          <w:sz w:val="24"/>
          <w:szCs w:val="24"/>
        </w:rPr>
      </w:pPr>
      <w:r w:rsidRPr="00353798">
        <w:rPr>
          <w:rFonts w:ascii="Times New Roman" w:hAnsi="Times New Roman" w:cs="Times New Roman"/>
          <w:sz w:val="24"/>
          <w:szCs w:val="24"/>
        </w:rPr>
        <w:t>Chen, L., &amp; Park, J. (2024). Digital platforms and wealth transfer: A technological perspective. Wealth Management Review, 28(2), 112-129.</w:t>
      </w:r>
    </w:p>
    <w:p w14:paraId="3C1C0B18" w14:textId="3737CF17" w:rsidR="002360DB" w:rsidRPr="002360DB" w:rsidRDefault="002360DB" w:rsidP="002360DB">
      <w:pPr>
        <w:pStyle w:val="ListParagraph"/>
        <w:numPr>
          <w:ilvl w:val="0"/>
          <w:numId w:val="25"/>
        </w:numPr>
        <w:rPr>
          <w:rFonts w:ascii="Times New Roman" w:hAnsi="Times New Roman" w:cs="Times New Roman"/>
          <w:i/>
          <w:iCs/>
          <w:sz w:val="24"/>
          <w:szCs w:val="24"/>
        </w:rPr>
        <w:sectPr w:rsidR="002360DB" w:rsidRPr="002360DB" w:rsidSect="002360DB">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1AE27D8D" w14:textId="77777777" w:rsidR="002360DB" w:rsidRPr="00353798" w:rsidRDefault="002360DB" w:rsidP="002360DB">
      <w:pPr>
        <w:rPr>
          <w:rFonts w:ascii="Times New Roman" w:hAnsi="Times New Roman" w:cs="Times New Roman"/>
        </w:rPr>
        <w:sectPr w:rsidR="002360DB" w:rsidRPr="00353798" w:rsidSect="002360DB">
          <w:type w:val="continuous"/>
          <w:pgSz w:w="11906" w:h="16838"/>
          <w:pgMar w:top="1440" w:right="1440" w:bottom="1440" w:left="1440" w:header="709" w:footer="709" w:gutter="0"/>
          <w:pgBorders w:offsetFrom="page">
            <w:top w:val="single" w:sz="24" w:space="24" w:color="auto"/>
            <w:left w:val="single" w:sz="24" w:space="24" w:color="auto"/>
            <w:bottom w:val="single" w:sz="24" w:space="24" w:color="auto"/>
            <w:right w:val="single" w:sz="24" w:space="24" w:color="auto"/>
          </w:pgBorders>
          <w:cols w:space="708"/>
          <w:docGrid w:linePitch="360"/>
        </w:sectPr>
      </w:pPr>
    </w:p>
    <w:bookmarkEnd w:id="1"/>
    <w:bookmarkEnd w:id="3"/>
    <w:bookmarkEnd w:id="0"/>
    <w:p w14:paraId="66E05844" w14:textId="6BA47591" w:rsidR="00A553E2" w:rsidRDefault="00A553E2" w:rsidP="00A553E2">
      <w:pPr>
        <w:tabs>
          <w:tab w:val="left" w:pos="6360"/>
        </w:tabs>
      </w:pPr>
    </w:p>
    <w:sectPr w:rsidR="00A553E2"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0C3EBC" w14:textId="77777777" w:rsidR="009E777B" w:rsidRDefault="009E777B" w:rsidP="00C556D7">
      <w:pPr>
        <w:spacing w:after="0" w:line="240" w:lineRule="auto"/>
      </w:pPr>
      <w:r>
        <w:separator/>
      </w:r>
    </w:p>
  </w:endnote>
  <w:endnote w:type="continuationSeparator" w:id="0">
    <w:p w14:paraId="1312457B" w14:textId="77777777" w:rsidR="009E777B" w:rsidRDefault="009E777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120B15" w14:textId="2981B92C" w:rsidR="002360DB" w:rsidRPr="00911ACD" w:rsidRDefault="002360DB" w:rsidP="002360DB">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p>
  <w:p w14:paraId="353FE54B" w14:textId="77777777" w:rsidR="002360DB" w:rsidRDefault="002360DB" w:rsidP="002360DB"/>
  <w:p w14:paraId="1D22D0B1" w14:textId="77777777" w:rsidR="002360DB" w:rsidRDefault="002360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1A38" w14:textId="77777777" w:rsidR="00CE2B8A" w:rsidRDefault="00CE2B8A">
    <w:pPr>
      <w:pStyle w:val="Footer"/>
    </w:pPr>
  </w:p>
  <w:p w14:paraId="781AC002" w14:textId="77777777" w:rsidR="0082690A" w:rsidRDefault="008269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5522B" w14:textId="77777777" w:rsidR="0082690A" w:rsidRPr="002360DB" w:rsidRDefault="0082690A" w:rsidP="002360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76C5" w14:textId="77777777" w:rsidR="00CE2B8A" w:rsidRDefault="00CE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F720E0" w14:textId="77777777" w:rsidR="009E777B" w:rsidRDefault="009E777B" w:rsidP="00C556D7">
      <w:pPr>
        <w:spacing w:after="0" w:line="240" w:lineRule="auto"/>
      </w:pPr>
      <w:r>
        <w:separator/>
      </w:r>
    </w:p>
  </w:footnote>
  <w:footnote w:type="continuationSeparator" w:id="0">
    <w:p w14:paraId="597753F8" w14:textId="77777777" w:rsidR="009E777B" w:rsidRDefault="009E777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9"/>
      <w:gridCol w:w="5180"/>
      <w:gridCol w:w="1713"/>
    </w:tblGrid>
    <w:tr w:rsidR="002360DB" w14:paraId="1517FF0A" w14:textId="77777777" w:rsidTr="007049BD">
      <w:trPr>
        <w:trHeight w:val="435"/>
        <w:jc w:val="center"/>
      </w:trPr>
      <w:tc>
        <w:tcPr>
          <w:tcW w:w="2405" w:type="dxa"/>
          <w:vMerge w:val="restart"/>
          <w:vAlign w:val="center"/>
        </w:tcPr>
        <w:p w14:paraId="1F79530C" w14:textId="77777777" w:rsidR="002360DB" w:rsidRPr="00BC37A0" w:rsidRDefault="002360DB" w:rsidP="002360DB">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0544C77C" wp14:editId="3AA59BC4">
                <wp:extent cx="1247775" cy="544195"/>
                <wp:effectExtent l="0" t="0" r="9525" b="8255"/>
                <wp:docPr id="1004116658" name="Picture 1004116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C73AC9C" w14:textId="77777777" w:rsidR="002360DB" w:rsidRDefault="002360DB" w:rsidP="002360DB">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4CB18775" w14:textId="77777777" w:rsidR="002360DB" w:rsidRDefault="002360DB" w:rsidP="002360DB">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1A6627A" w14:textId="77777777" w:rsidR="002360DB" w:rsidRPr="00673385" w:rsidRDefault="002360DB" w:rsidP="002360DB">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771CCD64" w14:textId="77777777" w:rsidR="002360DB" w:rsidRPr="006C74D5" w:rsidRDefault="002360DB" w:rsidP="002360DB">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02</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February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270064D3" w14:textId="77777777" w:rsidR="002360DB" w:rsidRPr="00125B8F" w:rsidRDefault="002360DB" w:rsidP="002360DB">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5528B0EB" w14:textId="77777777" w:rsidR="002360DB" w:rsidRPr="00BC37A0" w:rsidRDefault="002360DB" w:rsidP="002360DB">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360DB" w14:paraId="73DB4209" w14:textId="77777777" w:rsidTr="007049BD">
      <w:trPr>
        <w:trHeight w:val="435"/>
        <w:jc w:val="center"/>
      </w:trPr>
      <w:tc>
        <w:tcPr>
          <w:tcW w:w="2405" w:type="dxa"/>
          <w:vMerge/>
          <w:vAlign w:val="center"/>
        </w:tcPr>
        <w:p w14:paraId="549FEA0A" w14:textId="77777777" w:rsidR="002360DB" w:rsidRPr="00BC37A0" w:rsidRDefault="002360DB" w:rsidP="002360DB">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15E25F72" w14:textId="77777777" w:rsidR="002360DB" w:rsidRPr="006C74D5" w:rsidRDefault="002360DB" w:rsidP="002360DB">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8745BC7" w14:textId="77777777" w:rsidR="002360DB" w:rsidRDefault="002360DB" w:rsidP="002360DB">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2F1A016" w14:textId="77777777" w:rsidR="002360DB" w:rsidRDefault="002360DB" w:rsidP="002360DB">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5A9727B5" w14:textId="77777777" w:rsidR="002360DB" w:rsidRDefault="002360DB" w:rsidP="002360DB">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2360DB" w14:paraId="1C2760B3" w14:textId="77777777" w:rsidTr="007049BD">
      <w:trPr>
        <w:trHeight w:val="340"/>
        <w:jc w:val="center"/>
      </w:trPr>
      <w:tc>
        <w:tcPr>
          <w:tcW w:w="2405" w:type="dxa"/>
          <w:vAlign w:val="center"/>
        </w:tcPr>
        <w:p w14:paraId="3D815A11" w14:textId="77777777" w:rsidR="002360DB" w:rsidRPr="00BC37A0" w:rsidRDefault="002360DB" w:rsidP="002360DB">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26690F53" w14:textId="77777777" w:rsidR="002360DB" w:rsidRPr="00BC37A0" w:rsidRDefault="002360DB" w:rsidP="002360DB">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277DB221" w14:textId="77777777" w:rsidR="002360DB" w:rsidRPr="00BC37A0" w:rsidRDefault="002360DB" w:rsidP="002360DB">
          <w:pPr>
            <w:tabs>
              <w:tab w:val="left" w:pos="4820"/>
              <w:tab w:val="right" w:pos="9360"/>
            </w:tabs>
            <w:jc w:val="center"/>
            <w:rPr>
              <w:rFonts w:ascii="Times New Roman" w:hAnsi="Times New Roman" w:cs="Times New Roman"/>
              <w:b/>
              <w:color w:val="1F497D"/>
              <w:sz w:val="12"/>
              <w:szCs w:val="12"/>
              <w:lang w:val="fr-FR"/>
            </w:rPr>
          </w:pPr>
        </w:p>
      </w:tc>
    </w:tr>
    <w:tr w:rsidR="002360DB" w14:paraId="34468EB8" w14:textId="77777777" w:rsidTr="007049BD">
      <w:trPr>
        <w:trHeight w:val="113"/>
        <w:jc w:val="center"/>
      </w:trPr>
      <w:tc>
        <w:tcPr>
          <w:tcW w:w="2405" w:type="dxa"/>
          <w:vAlign w:val="center"/>
        </w:tcPr>
        <w:p w14:paraId="2DB57C29" w14:textId="77777777" w:rsidR="002360DB" w:rsidRPr="00BC37A0" w:rsidRDefault="002360DB" w:rsidP="002360DB">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2668EF29" w14:textId="77777777" w:rsidR="002360DB" w:rsidRPr="00BC37A0" w:rsidRDefault="002360DB" w:rsidP="002360DB">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2ABCF90" w14:textId="77777777" w:rsidR="002360DB" w:rsidRPr="00BC37A0" w:rsidRDefault="002360DB" w:rsidP="002360DB">
          <w:pPr>
            <w:tabs>
              <w:tab w:val="left" w:pos="4820"/>
              <w:tab w:val="right" w:pos="9360"/>
            </w:tabs>
            <w:jc w:val="center"/>
            <w:rPr>
              <w:rFonts w:ascii="Times New Roman" w:hAnsi="Times New Roman" w:cs="Times New Roman"/>
              <w:b/>
              <w:color w:val="1F497D"/>
              <w:sz w:val="12"/>
              <w:szCs w:val="12"/>
              <w:lang w:val="fr-FR"/>
            </w:rPr>
          </w:pPr>
        </w:p>
      </w:tc>
    </w:tr>
  </w:tbl>
  <w:p w14:paraId="48B20618" w14:textId="77777777" w:rsidR="002360DB" w:rsidRPr="00D10FD0" w:rsidRDefault="002360DB" w:rsidP="00D10F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6EEC" w14:textId="77777777" w:rsidR="00CE2B8A" w:rsidRDefault="00CE2B8A">
    <w:pPr>
      <w:pStyle w:val="Header"/>
    </w:pPr>
  </w:p>
  <w:p w14:paraId="3A8EAE9F" w14:textId="77777777" w:rsidR="0082690A" w:rsidRDefault="0082690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4041C" w14:textId="77777777" w:rsidR="0082690A" w:rsidRPr="002360DB" w:rsidRDefault="0082690A" w:rsidP="002360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3AD9" w14:textId="77777777" w:rsidR="00CE2B8A" w:rsidRDefault="00CE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6351BE"/>
    <w:multiLevelType w:val="multilevel"/>
    <w:tmpl w:val="6E7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CD155C"/>
    <w:multiLevelType w:val="hybridMultilevel"/>
    <w:tmpl w:val="0DB67C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9BB4EF5"/>
    <w:multiLevelType w:val="multilevel"/>
    <w:tmpl w:val="A3C4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3D16C9"/>
    <w:multiLevelType w:val="multilevel"/>
    <w:tmpl w:val="ADF2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0F3B91"/>
    <w:multiLevelType w:val="multilevel"/>
    <w:tmpl w:val="F30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526FBA"/>
    <w:multiLevelType w:val="hybridMultilevel"/>
    <w:tmpl w:val="B22CB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8"/>
  </w:num>
  <w:num w:numId="3" w16cid:durableId="1993635357">
    <w:abstractNumId w:val="14"/>
  </w:num>
  <w:num w:numId="4" w16cid:durableId="1479104421">
    <w:abstractNumId w:val="15"/>
  </w:num>
  <w:num w:numId="5" w16cid:durableId="1066758610">
    <w:abstractNumId w:val="10"/>
  </w:num>
  <w:num w:numId="6" w16cid:durableId="590088686">
    <w:abstractNumId w:val="19"/>
  </w:num>
  <w:num w:numId="7" w16cid:durableId="924848298">
    <w:abstractNumId w:val="1"/>
  </w:num>
  <w:num w:numId="8" w16cid:durableId="781143302">
    <w:abstractNumId w:val="26"/>
  </w:num>
  <w:num w:numId="9" w16cid:durableId="851842906">
    <w:abstractNumId w:val="0"/>
  </w:num>
  <w:num w:numId="10" w16cid:durableId="350229811">
    <w:abstractNumId w:val="5"/>
  </w:num>
  <w:num w:numId="11" w16cid:durableId="2128309775">
    <w:abstractNumId w:val="23"/>
  </w:num>
  <w:num w:numId="12" w16cid:durableId="350029887">
    <w:abstractNumId w:val="17"/>
  </w:num>
  <w:num w:numId="13" w16cid:durableId="591670422">
    <w:abstractNumId w:val="13"/>
  </w:num>
  <w:num w:numId="14" w16cid:durableId="532691435">
    <w:abstractNumId w:val="3"/>
  </w:num>
  <w:num w:numId="15" w16cid:durableId="1268083021">
    <w:abstractNumId w:val="21"/>
  </w:num>
  <w:num w:numId="16" w16cid:durableId="1447193248">
    <w:abstractNumId w:val="12"/>
  </w:num>
  <w:num w:numId="17" w16cid:durableId="843742299">
    <w:abstractNumId w:val="16"/>
  </w:num>
  <w:num w:numId="18" w16cid:durableId="110824490">
    <w:abstractNumId w:val="2"/>
  </w:num>
  <w:num w:numId="19" w16cid:durableId="1376078544">
    <w:abstractNumId w:val="25"/>
  </w:num>
  <w:num w:numId="20" w16cid:durableId="888303389">
    <w:abstractNumId w:val="9"/>
  </w:num>
  <w:num w:numId="21" w16cid:durableId="164125617">
    <w:abstractNumId w:val="20"/>
  </w:num>
  <w:num w:numId="22" w16cid:durableId="116526968">
    <w:abstractNumId w:val="18"/>
  </w:num>
  <w:num w:numId="23" w16cid:durableId="1527407177">
    <w:abstractNumId w:val="7"/>
  </w:num>
  <w:num w:numId="24" w16cid:durableId="624580452">
    <w:abstractNumId w:val="4"/>
  </w:num>
  <w:num w:numId="25" w16cid:durableId="1942178387">
    <w:abstractNumId w:val="22"/>
  </w:num>
  <w:num w:numId="26" w16cid:durableId="1303002721">
    <w:abstractNumId w:val="24"/>
  </w:num>
  <w:num w:numId="27" w16cid:durableId="17043560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60DB"/>
    <w:rsid w:val="002426D5"/>
    <w:rsid w:val="002650CA"/>
    <w:rsid w:val="00273038"/>
    <w:rsid w:val="0028669C"/>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B92"/>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90A"/>
    <w:rsid w:val="00826BF1"/>
    <w:rsid w:val="00837A71"/>
    <w:rsid w:val="0084622D"/>
    <w:rsid w:val="00855648"/>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553E2"/>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2360D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2360D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60D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2360D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2360D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360DB"/>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2360DB"/>
    <w:pPr>
      <w:spacing w:before="100" w:beforeAutospacing="1" w:after="100" w:afterAutospacing="1" w:line="240" w:lineRule="auto"/>
    </w:pPr>
    <w:rPr>
      <w:rFonts w:ascii="Times New Roman" w:eastAsia="Times New Roman" w:hAnsi="Times New Roman" w:cs="Times New Roman"/>
      <w:sz w:val="24"/>
      <w:szCs w:val="24"/>
      <w:lang w:val="en-IN" w:eastAsia="en-IN" w:bidi="kn-IN"/>
    </w:rPr>
  </w:style>
  <w:style w:type="character" w:styleId="Strong">
    <w:name w:val="Strong"/>
    <w:basedOn w:val="DefaultParagraphFont"/>
    <w:uiPriority w:val="22"/>
    <w:qFormat/>
    <w:rsid w:val="002360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3551</Words>
  <Characters>20241</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suhas hegde</cp:lastModifiedBy>
  <cp:revision>3</cp:revision>
  <cp:lastPrinted>2021-02-22T14:39:00Z</cp:lastPrinted>
  <dcterms:created xsi:type="dcterms:W3CDTF">2025-02-20T19:21:00Z</dcterms:created>
  <dcterms:modified xsi:type="dcterms:W3CDTF">2025-02-20T19:22:00Z</dcterms:modified>
</cp:coreProperties>
</file>