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02D2" w14:textId="121CB938" w:rsidR="00551740" w:rsidRPr="00014482" w:rsidRDefault="005F30AB" w:rsidP="005F30AB">
      <w:pPr>
        <w:jc w:val="center"/>
        <w:rPr>
          <w:rFonts w:ascii="Times New Roman" w:hAnsi="Times New Roman" w:cs="Times New Roman"/>
          <w:b/>
          <w:bCs/>
          <w:sz w:val="28"/>
          <w:szCs w:val="28"/>
          <w:u w:val="single"/>
          <w:lang w:val="en-US"/>
        </w:rPr>
      </w:pPr>
      <w:r w:rsidRPr="00014482">
        <w:rPr>
          <w:rFonts w:ascii="Times New Roman" w:hAnsi="Times New Roman" w:cs="Times New Roman"/>
          <w:b/>
          <w:bCs/>
          <w:sz w:val="28"/>
          <w:szCs w:val="28"/>
          <w:u w:val="single"/>
          <w:lang w:val="en-US"/>
        </w:rPr>
        <w:t>SLUMP SALE</w:t>
      </w:r>
    </w:p>
    <w:p w14:paraId="23DBE78C" w14:textId="1BDD7B40" w:rsidR="00254F08" w:rsidRPr="00FC7C8B" w:rsidRDefault="00FC7C8B" w:rsidP="00254F08">
      <w:pPr>
        <w:rPr>
          <w:rFonts w:ascii="Times New Roman" w:hAnsi="Times New Roman" w:cs="Times New Roman"/>
          <w:b/>
          <w:bCs/>
          <w:sz w:val="24"/>
          <w:szCs w:val="24"/>
          <w:lang w:val="en-US"/>
        </w:rPr>
      </w:pPr>
      <w:r w:rsidRPr="00FC7C8B">
        <w:rPr>
          <w:rFonts w:ascii="Times New Roman" w:hAnsi="Times New Roman" w:cs="Times New Roman"/>
          <w:b/>
          <w:bCs/>
          <w:sz w:val="24"/>
          <w:szCs w:val="24"/>
          <w:lang w:val="en-US"/>
        </w:rPr>
        <w:t>ABSTRACT</w:t>
      </w:r>
    </w:p>
    <w:p w14:paraId="02A12127" w14:textId="3EEFB451" w:rsidR="00BA6098" w:rsidRPr="00014482" w:rsidRDefault="00254F08" w:rsidP="00CB0A28">
      <w:pPr>
        <w:rPr>
          <w:rFonts w:ascii="Times New Roman" w:hAnsi="Times New Roman" w:cs="Times New Roman"/>
          <w:sz w:val="20"/>
          <w:szCs w:val="20"/>
        </w:rPr>
      </w:pPr>
      <w:r w:rsidRPr="00014482">
        <w:rPr>
          <w:rFonts w:ascii="Times New Roman" w:hAnsi="Times New Roman" w:cs="Times New Roman"/>
          <w:sz w:val="20"/>
          <w:szCs w:val="20"/>
          <w:lang w:val="en-US"/>
        </w:rPr>
        <w:t xml:space="preserve">Slump Sale, a transfer of an entire business as a going concern for a lump sum payment, without assigning individual values to assets and liabilities. It is a key mechanism in business acquisitions. A popular approach for mergers and acquisitions, slump sales are known for their ease of use and tax efficiency. This paper examines the idea of a slump sale and highlights how it is governed by the Companies Act of 2013 and the Income Tax Act of 1961. It explores its benefits, including tax efficiency, regulatory simplicity, and operational continuity, while also recognizing possible drawbacks, such as problems with transparency and hidden liabilities. </w:t>
      </w:r>
      <w:r w:rsidR="0061713A" w:rsidRPr="00014482">
        <w:rPr>
          <w:rFonts w:ascii="Times New Roman" w:hAnsi="Times New Roman" w:cs="Times New Roman"/>
          <w:sz w:val="20"/>
          <w:szCs w:val="20"/>
        </w:rPr>
        <w:t xml:space="preserve">The paper also compares asset purchases and slump sales, describes the steps in the transaction process, and talks about the regulatory approvals that are needed when financial thresholds are surpassed, including those from the Competition Commission of India. This thorough analysis seeks to offer a clear understanding of slump sale transactions, making it an invaluable tool for corporate law students, legal professionals, and business stakeholders. </w:t>
      </w:r>
    </w:p>
    <w:p w14:paraId="5633267D" w14:textId="77777777" w:rsidR="0061713A" w:rsidRPr="00014482" w:rsidRDefault="0061713A" w:rsidP="00CB0A28">
      <w:pPr>
        <w:rPr>
          <w:rFonts w:ascii="Times New Roman" w:hAnsi="Times New Roman" w:cs="Times New Roman"/>
          <w:sz w:val="20"/>
          <w:szCs w:val="20"/>
        </w:rPr>
      </w:pPr>
    </w:p>
    <w:p w14:paraId="65391A31" w14:textId="78D7BFD2" w:rsidR="00CB0A28" w:rsidRPr="00FC7C8B" w:rsidRDefault="00FC7C8B" w:rsidP="00CB0A28">
      <w:pPr>
        <w:rPr>
          <w:rFonts w:ascii="Times New Roman" w:hAnsi="Times New Roman" w:cs="Times New Roman"/>
          <w:b/>
          <w:bCs/>
          <w:sz w:val="24"/>
          <w:szCs w:val="24"/>
          <w:lang w:val="en-US"/>
        </w:rPr>
      </w:pPr>
      <w:r w:rsidRPr="00FC7C8B">
        <w:rPr>
          <w:rFonts w:ascii="Times New Roman" w:hAnsi="Times New Roman" w:cs="Times New Roman"/>
          <w:b/>
          <w:bCs/>
          <w:sz w:val="24"/>
          <w:szCs w:val="24"/>
          <w:lang w:val="en-US"/>
        </w:rPr>
        <w:t>INTRODUCTION</w:t>
      </w:r>
    </w:p>
    <w:p w14:paraId="149DCE12" w14:textId="753F3CBA" w:rsidR="00CB0A28" w:rsidRPr="00014482" w:rsidRDefault="00CB0A28" w:rsidP="00CB0A28">
      <w:pPr>
        <w:rPr>
          <w:rFonts w:ascii="Times New Roman" w:hAnsi="Times New Roman" w:cs="Times New Roman"/>
          <w:sz w:val="20"/>
          <w:szCs w:val="20"/>
          <w:lang w:val="en-US"/>
        </w:rPr>
      </w:pPr>
      <w:r w:rsidRPr="00014482">
        <w:rPr>
          <w:rFonts w:ascii="Times New Roman" w:hAnsi="Times New Roman" w:cs="Times New Roman"/>
          <w:sz w:val="20"/>
          <w:szCs w:val="20"/>
          <w:lang w:val="en-US"/>
        </w:rPr>
        <w:t>Slump sale</w:t>
      </w:r>
      <w:r w:rsidR="005A340F" w:rsidRPr="00014482">
        <w:rPr>
          <w:rFonts w:ascii="Times New Roman" w:hAnsi="Times New Roman" w:cs="Times New Roman"/>
          <w:sz w:val="20"/>
          <w:szCs w:val="20"/>
          <w:lang w:val="en-US"/>
        </w:rPr>
        <w:t xml:space="preserve"> means </w:t>
      </w:r>
      <w:r w:rsidR="0041002A" w:rsidRPr="00014482">
        <w:rPr>
          <w:rFonts w:ascii="Times New Roman" w:hAnsi="Times New Roman" w:cs="Times New Roman"/>
          <w:sz w:val="20"/>
          <w:szCs w:val="20"/>
          <w:lang w:val="en-US"/>
        </w:rPr>
        <w:t xml:space="preserve">the </w:t>
      </w:r>
      <w:r w:rsidR="005A340F" w:rsidRPr="00014482">
        <w:rPr>
          <w:rFonts w:ascii="Times New Roman" w:hAnsi="Times New Roman" w:cs="Times New Roman"/>
          <w:sz w:val="20"/>
          <w:szCs w:val="20"/>
          <w:lang w:val="en-US"/>
        </w:rPr>
        <w:t xml:space="preserve">sale of any undertaking as a going concern, where consideration is considered in </w:t>
      </w:r>
      <w:r w:rsidR="00CC6B61" w:rsidRPr="00014482">
        <w:rPr>
          <w:rFonts w:ascii="Times New Roman" w:hAnsi="Times New Roman" w:cs="Times New Roman"/>
          <w:sz w:val="20"/>
          <w:szCs w:val="20"/>
          <w:lang w:val="en-US"/>
        </w:rPr>
        <w:t xml:space="preserve">a </w:t>
      </w:r>
      <w:r w:rsidR="005A340F" w:rsidRPr="00014482">
        <w:rPr>
          <w:rFonts w:ascii="Times New Roman" w:hAnsi="Times New Roman" w:cs="Times New Roman"/>
          <w:sz w:val="20"/>
          <w:szCs w:val="20"/>
          <w:lang w:val="en-US"/>
        </w:rPr>
        <w:t xml:space="preserve">lump sum and </w:t>
      </w:r>
      <w:r w:rsidR="00CC6B61" w:rsidRPr="00014482">
        <w:rPr>
          <w:rFonts w:ascii="Times New Roman" w:hAnsi="Times New Roman" w:cs="Times New Roman"/>
          <w:sz w:val="20"/>
          <w:szCs w:val="20"/>
          <w:lang w:val="en-US"/>
        </w:rPr>
        <w:t xml:space="preserve">where </w:t>
      </w:r>
      <w:r w:rsidR="005A340F" w:rsidRPr="00014482">
        <w:rPr>
          <w:rFonts w:ascii="Times New Roman" w:hAnsi="Times New Roman" w:cs="Times New Roman"/>
          <w:sz w:val="20"/>
          <w:szCs w:val="20"/>
          <w:lang w:val="en-US"/>
        </w:rPr>
        <w:t>individual values are not taken into account.</w:t>
      </w:r>
      <w:r w:rsidR="00FF09F3" w:rsidRPr="00014482">
        <w:rPr>
          <w:rFonts w:ascii="Times New Roman" w:hAnsi="Times New Roman" w:cs="Times New Roman"/>
          <w:sz w:val="20"/>
          <w:szCs w:val="20"/>
          <w:lang w:val="en-US"/>
        </w:rPr>
        <w:t xml:space="preserve"> </w:t>
      </w:r>
      <w:r w:rsidR="00383029" w:rsidRPr="00014482">
        <w:rPr>
          <w:rFonts w:ascii="Times New Roman" w:hAnsi="Times New Roman" w:cs="Times New Roman"/>
          <w:sz w:val="20"/>
          <w:szCs w:val="20"/>
          <w:lang w:val="en-US"/>
        </w:rPr>
        <w:t xml:space="preserve">In simple terms, slump sale </w:t>
      </w:r>
      <w:r w:rsidR="00356228" w:rsidRPr="00014482">
        <w:rPr>
          <w:rFonts w:ascii="Times New Roman" w:hAnsi="Times New Roman" w:cs="Times New Roman"/>
          <w:sz w:val="20"/>
          <w:szCs w:val="20"/>
          <w:lang w:val="en-US"/>
        </w:rPr>
        <w:t xml:space="preserve">means a sale of a </w:t>
      </w:r>
      <w:r w:rsidR="00D837C0" w:rsidRPr="00014482">
        <w:rPr>
          <w:rFonts w:ascii="Times New Roman" w:hAnsi="Times New Roman" w:cs="Times New Roman"/>
          <w:sz w:val="20"/>
          <w:szCs w:val="20"/>
          <w:lang w:val="en-US"/>
        </w:rPr>
        <w:t xml:space="preserve">going </w:t>
      </w:r>
      <w:r w:rsidR="00BF34A9" w:rsidRPr="00014482">
        <w:rPr>
          <w:rFonts w:ascii="Times New Roman" w:hAnsi="Times New Roman" w:cs="Times New Roman"/>
          <w:sz w:val="20"/>
          <w:szCs w:val="20"/>
          <w:lang w:val="en-US"/>
        </w:rPr>
        <w:t xml:space="preserve">concern </w:t>
      </w:r>
      <w:r w:rsidR="00356228" w:rsidRPr="00014482">
        <w:rPr>
          <w:rFonts w:ascii="Times New Roman" w:hAnsi="Times New Roman" w:cs="Times New Roman"/>
          <w:sz w:val="20"/>
          <w:szCs w:val="20"/>
          <w:lang w:val="en-US"/>
        </w:rPr>
        <w:t>business with all the assets and liabilities</w:t>
      </w:r>
      <w:r w:rsidR="00D837C0" w:rsidRPr="00014482">
        <w:rPr>
          <w:rFonts w:ascii="Times New Roman" w:hAnsi="Times New Roman" w:cs="Times New Roman"/>
          <w:sz w:val="20"/>
          <w:szCs w:val="20"/>
          <w:lang w:val="en-US"/>
        </w:rPr>
        <w:t xml:space="preserve">, in where going concern means, </w:t>
      </w:r>
      <w:r w:rsidR="00FF7C18" w:rsidRPr="00014482">
        <w:rPr>
          <w:rFonts w:ascii="Times New Roman" w:hAnsi="Times New Roman" w:cs="Times New Roman"/>
          <w:sz w:val="20"/>
          <w:szCs w:val="20"/>
          <w:lang w:val="en-US"/>
        </w:rPr>
        <w:t xml:space="preserve">that the business is in the market, that is, </w:t>
      </w:r>
      <w:r w:rsidR="00A9535B" w:rsidRPr="00014482">
        <w:rPr>
          <w:rFonts w:ascii="Times New Roman" w:hAnsi="Times New Roman" w:cs="Times New Roman"/>
          <w:sz w:val="20"/>
          <w:szCs w:val="20"/>
          <w:lang w:val="en-US"/>
        </w:rPr>
        <w:t xml:space="preserve">the business is still going. </w:t>
      </w:r>
      <w:r w:rsidR="00906A54" w:rsidRPr="00014482">
        <w:rPr>
          <w:rStyle w:val="EndnoteReference"/>
          <w:rFonts w:ascii="Times New Roman" w:hAnsi="Times New Roman" w:cs="Times New Roman"/>
          <w:sz w:val="20"/>
          <w:szCs w:val="20"/>
          <w:lang w:val="en-US"/>
        </w:rPr>
        <w:endnoteReference w:id="1"/>
      </w:r>
    </w:p>
    <w:p w14:paraId="674750FA" w14:textId="77777777" w:rsidR="00E479E8" w:rsidRPr="00014482" w:rsidRDefault="008A2009" w:rsidP="00E479E8">
      <w:pPr>
        <w:rPr>
          <w:rFonts w:ascii="Times New Roman" w:hAnsi="Times New Roman" w:cs="Times New Roman"/>
          <w:sz w:val="20"/>
          <w:szCs w:val="20"/>
          <w:lang w:val="en-US"/>
        </w:rPr>
      </w:pPr>
      <w:r w:rsidRPr="00014482">
        <w:rPr>
          <w:rFonts w:ascii="Times New Roman" w:hAnsi="Times New Roman" w:cs="Times New Roman"/>
          <w:sz w:val="20"/>
          <w:szCs w:val="20"/>
          <w:lang w:val="en-US"/>
        </w:rPr>
        <w:t>Slump Sale is a type of a</w:t>
      </w:r>
      <w:r w:rsidR="00037874" w:rsidRPr="00014482">
        <w:rPr>
          <w:rFonts w:ascii="Times New Roman" w:hAnsi="Times New Roman" w:cs="Times New Roman"/>
          <w:sz w:val="20"/>
          <w:szCs w:val="20"/>
          <w:lang w:val="en-US"/>
        </w:rPr>
        <w:t xml:space="preserve"> business acquisition</w:t>
      </w:r>
      <w:r w:rsidR="00C0129D" w:rsidRPr="00014482">
        <w:rPr>
          <w:rFonts w:ascii="Times New Roman" w:hAnsi="Times New Roman" w:cs="Times New Roman"/>
          <w:sz w:val="20"/>
          <w:szCs w:val="20"/>
          <w:lang w:val="en-US"/>
        </w:rPr>
        <w:t xml:space="preserve">, where </w:t>
      </w:r>
      <w:r w:rsidR="00C0129D" w:rsidRPr="00014482">
        <w:rPr>
          <w:rFonts w:ascii="Times New Roman" w:hAnsi="Times New Roman" w:cs="Times New Roman"/>
          <w:sz w:val="20"/>
          <w:szCs w:val="20"/>
          <w:u w:val="single"/>
          <w:lang w:val="en-US"/>
        </w:rPr>
        <w:t xml:space="preserve">there is a transfer of a whole or a part of the </w:t>
      </w:r>
      <w:r w:rsidR="00A613C0" w:rsidRPr="00014482">
        <w:rPr>
          <w:rFonts w:ascii="Times New Roman" w:hAnsi="Times New Roman" w:cs="Times New Roman"/>
          <w:sz w:val="20"/>
          <w:szCs w:val="20"/>
          <w:u w:val="single"/>
          <w:lang w:val="en-US"/>
        </w:rPr>
        <w:t>going concern business</w:t>
      </w:r>
      <w:r w:rsidR="003F2FBF" w:rsidRPr="00014482">
        <w:rPr>
          <w:rFonts w:ascii="Times New Roman" w:hAnsi="Times New Roman" w:cs="Times New Roman"/>
          <w:sz w:val="20"/>
          <w:szCs w:val="20"/>
          <w:u w:val="single"/>
          <w:lang w:val="en-US"/>
        </w:rPr>
        <w:t xml:space="preserve"> in a lump sum consideration</w:t>
      </w:r>
      <w:r w:rsidR="00B96791" w:rsidRPr="00014482">
        <w:rPr>
          <w:rFonts w:ascii="Times New Roman" w:hAnsi="Times New Roman" w:cs="Times New Roman"/>
          <w:sz w:val="20"/>
          <w:szCs w:val="20"/>
          <w:u w:val="single"/>
          <w:lang w:val="en-US"/>
        </w:rPr>
        <w:t>, that is in a total amount totaling all the assets and liabilities</w:t>
      </w:r>
      <w:r w:rsidR="00165FCF" w:rsidRPr="00014482">
        <w:rPr>
          <w:rFonts w:ascii="Times New Roman" w:hAnsi="Times New Roman" w:cs="Times New Roman"/>
          <w:sz w:val="20"/>
          <w:szCs w:val="20"/>
          <w:u w:val="single"/>
          <w:lang w:val="en-US"/>
        </w:rPr>
        <w:t xml:space="preserve"> rather than </w:t>
      </w:r>
      <w:r w:rsidR="00244921" w:rsidRPr="00014482">
        <w:rPr>
          <w:rFonts w:ascii="Times New Roman" w:hAnsi="Times New Roman" w:cs="Times New Roman"/>
          <w:sz w:val="20"/>
          <w:szCs w:val="20"/>
          <w:u w:val="single"/>
          <w:lang w:val="en-US"/>
        </w:rPr>
        <w:t xml:space="preserve">assigning the value </w:t>
      </w:r>
      <w:r w:rsidR="00A26754" w:rsidRPr="00014482">
        <w:rPr>
          <w:rFonts w:ascii="Times New Roman" w:hAnsi="Times New Roman" w:cs="Times New Roman"/>
          <w:sz w:val="20"/>
          <w:szCs w:val="20"/>
          <w:u w:val="single"/>
          <w:lang w:val="en-US"/>
        </w:rPr>
        <w:t>for all the individual assets</w:t>
      </w:r>
      <w:r w:rsidR="00A26754" w:rsidRPr="00014482">
        <w:rPr>
          <w:rFonts w:ascii="Times New Roman" w:hAnsi="Times New Roman" w:cs="Times New Roman"/>
          <w:sz w:val="20"/>
          <w:szCs w:val="20"/>
          <w:lang w:val="en-US"/>
        </w:rPr>
        <w:t xml:space="preserve">. </w:t>
      </w:r>
    </w:p>
    <w:p w14:paraId="35FA800F" w14:textId="29EAB721" w:rsidR="00E479E8" w:rsidRPr="00014482" w:rsidRDefault="00E479E8" w:rsidP="00E479E8">
      <w:pPr>
        <w:rPr>
          <w:rFonts w:ascii="Times New Roman" w:hAnsi="Times New Roman" w:cs="Times New Roman"/>
          <w:sz w:val="20"/>
          <w:szCs w:val="20"/>
          <w:lang w:val="en-US"/>
        </w:rPr>
      </w:pPr>
      <w:r w:rsidRPr="00014482">
        <w:rPr>
          <w:rFonts w:ascii="Times New Roman" w:hAnsi="Times New Roman" w:cs="Times New Roman"/>
          <w:sz w:val="20"/>
          <w:szCs w:val="20"/>
          <w:lang w:val="en-US"/>
        </w:rPr>
        <w:t>Slump sale is considered to be one of the most preferred ways of carrying out mergers &amp; acquisitions deals. Compared to the other types of mergers/acquisition strategies, slum</w:t>
      </w:r>
      <w:r w:rsidR="00B95F21" w:rsidRPr="00014482">
        <w:rPr>
          <w:rFonts w:ascii="Times New Roman" w:hAnsi="Times New Roman" w:cs="Times New Roman"/>
          <w:sz w:val="20"/>
          <w:szCs w:val="20"/>
          <w:lang w:val="en-US"/>
        </w:rPr>
        <w:t>p</w:t>
      </w:r>
      <w:r w:rsidRPr="00014482">
        <w:rPr>
          <w:rFonts w:ascii="Times New Roman" w:hAnsi="Times New Roman" w:cs="Times New Roman"/>
          <w:sz w:val="20"/>
          <w:szCs w:val="20"/>
          <w:lang w:val="en-US"/>
        </w:rPr>
        <w:t xml:space="preserve"> sale has the least complex yet well-defined tax implications along with other allied law procedures that are simple and time-efficient.</w:t>
      </w:r>
    </w:p>
    <w:p w14:paraId="4EE1F673" w14:textId="660F85E1" w:rsidR="008A2009" w:rsidRPr="00014482" w:rsidRDefault="00212E93" w:rsidP="00CB0A28">
      <w:pPr>
        <w:rPr>
          <w:rFonts w:ascii="Times New Roman" w:hAnsi="Times New Roman" w:cs="Times New Roman"/>
          <w:sz w:val="20"/>
          <w:szCs w:val="20"/>
          <w:lang w:val="en-US"/>
        </w:rPr>
      </w:pPr>
      <w:r w:rsidRPr="00014482">
        <w:rPr>
          <w:rFonts w:ascii="Times New Roman" w:hAnsi="Times New Roman" w:cs="Times New Roman"/>
          <w:sz w:val="20"/>
          <w:szCs w:val="20"/>
          <w:lang w:val="en-US"/>
        </w:rPr>
        <w:t>Since slump sale is not a sale of goods it cannot attract TCS under this provision, as, it is a transfer of 'business' and not 'goods'.</w:t>
      </w:r>
    </w:p>
    <w:p w14:paraId="4D1C2F64" w14:textId="055305B0" w:rsidR="00403A06" w:rsidRPr="00014482" w:rsidRDefault="00403A06" w:rsidP="00CB0A28">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Slump Sale </w:t>
      </w:r>
      <w:r w:rsidR="004F438F" w:rsidRPr="00014482">
        <w:rPr>
          <w:rFonts w:ascii="Times New Roman" w:hAnsi="Times New Roman" w:cs="Times New Roman"/>
          <w:sz w:val="20"/>
          <w:szCs w:val="20"/>
          <w:lang w:val="en-US"/>
        </w:rPr>
        <w:t xml:space="preserve">delves into the implications, under both, </w:t>
      </w:r>
      <w:r w:rsidR="008E3240" w:rsidRPr="00014482">
        <w:rPr>
          <w:rFonts w:ascii="Times New Roman" w:hAnsi="Times New Roman" w:cs="Times New Roman"/>
          <w:sz w:val="20"/>
          <w:szCs w:val="20"/>
          <w:lang w:val="en-US"/>
        </w:rPr>
        <w:t xml:space="preserve">the </w:t>
      </w:r>
      <w:r w:rsidR="008E3240" w:rsidRPr="00014482">
        <w:rPr>
          <w:rFonts w:ascii="Times New Roman" w:hAnsi="Times New Roman" w:cs="Times New Roman"/>
          <w:sz w:val="20"/>
          <w:szCs w:val="20"/>
          <w:u w:val="single"/>
          <w:lang w:val="en-US"/>
        </w:rPr>
        <w:t>Companies Act, 2013</w:t>
      </w:r>
      <w:r w:rsidR="008E3240" w:rsidRPr="00014482">
        <w:rPr>
          <w:rFonts w:ascii="Times New Roman" w:hAnsi="Times New Roman" w:cs="Times New Roman"/>
          <w:sz w:val="20"/>
          <w:szCs w:val="20"/>
          <w:lang w:val="en-US"/>
        </w:rPr>
        <w:t xml:space="preserve">, and the </w:t>
      </w:r>
      <w:r w:rsidR="008E3240" w:rsidRPr="00014482">
        <w:rPr>
          <w:rFonts w:ascii="Times New Roman" w:hAnsi="Times New Roman" w:cs="Times New Roman"/>
          <w:sz w:val="20"/>
          <w:szCs w:val="20"/>
          <w:u w:val="single"/>
          <w:lang w:val="en-US"/>
        </w:rPr>
        <w:t>Income Tax Act, 1961</w:t>
      </w:r>
      <w:r w:rsidR="008E3240" w:rsidRPr="00014482">
        <w:rPr>
          <w:rFonts w:ascii="Times New Roman" w:hAnsi="Times New Roman" w:cs="Times New Roman"/>
          <w:sz w:val="20"/>
          <w:szCs w:val="20"/>
          <w:lang w:val="en-US"/>
        </w:rPr>
        <w:t>.</w:t>
      </w:r>
    </w:p>
    <w:p w14:paraId="1192595F" w14:textId="77777777" w:rsidR="00454FF1" w:rsidRPr="00014482" w:rsidRDefault="00454FF1" w:rsidP="00454FF1">
      <w:pPr>
        <w:rPr>
          <w:rFonts w:ascii="Times New Roman" w:hAnsi="Times New Roman" w:cs="Times New Roman"/>
          <w:sz w:val="20"/>
          <w:szCs w:val="20"/>
          <w:u w:val="single"/>
          <w:lang w:val="en-US"/>
        </w:rPr>
      </w:pPr>
      <w:r w:rsidRPr="00014482">
        <w:rPr>
          <w:rFonts w:ascii="Times New Roman" w:hAnsi="Times New Roman" w:cs="Times New Roman"/>
          <w:sz w:val="20"/>
          <w:szCs w:val="20"/>
          <w:u w:val="single"/>
          <w:lang w:val="en-US"/>
        </w:rPr>
        <w:t xml:space="preserve">Relevant Sections: </w:t>
      </w:r>
    </w:p>
    <w:p w14:paraId="367B3AF3" w14:textId="77777777" w:rsidR="00454FF1" w:rsidRPr="00014482" w:rsidRDefault="00454FF1" w:rsidP="00454FF1">
      <w:pPr>
        <w:pStyle w:val="ListParagraph"/>
        <w:numPr>
          <w:ilvl w:val="0"/>
          <w:numId w:val="8"/>
        </w:num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Under the Companies Act, 2013: Section 180(1)(a)  </w:t>
      </w:r>
    </w:p>
    <w:p w14:paraId="57F0C24A" w14:textId="2843E65F" w:rsidR="00454FF1" w:rsidRPr="00014482" w:rsidRDefault="00454FF1" w:rsidP="00CB0A28">
      <w:pPr>
        <w:pStyle w:val="ListParagraph"/>
        <w:numPr>
          <w:ilvl w:val="0"/>
          <w:numId w:val="8"/>
        </w:num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Under the Income Tax Act, 1961: Sections 2(42C) &amp; 50B </w:t>
      </w:r>
    </w:p>
    <w:p w14:paraId="1BB59C3F" w14:textId="5844DDD9" w:rsidR="00B77524" w:rsidRPr="00014482" w:rsidRDefault="00B77524" w:rsidP="00372CFC">
      <w:pPr>
        <w:spacing w:line="360" w:lineRule="auto"/>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Let us understand it better with </w:t>
      </w:r>
      <w:r w:rsidR="00D32EA3" w:rsidRPr="00014482">
        <w:rPr>
          <w:rFonts w:ascii="Times New Roman" w:hAnsi="Times New Roman" w:cs="Times New Roman"/>
          <w:sz w:val="20"/>
          <w:szCs w:val="20"/>
          <w:lang w:val="en-US"/>
        </w:rPr>
        <w:t>an</w:t>
      </w:r>
      <w:r w:rsidRPr="00014482">
        <w:rPr>
          <w:rFonts w:ascii="Times New Roman" w:hAnsi="Times New Roman" w:cs="Times New Roman"/>
          <w:sz w:val="20"/>
          <w:szCs w:val="20"/>
          <w:lang w:val="en-US"/>
        </w:rPr>
        <w:t xml:space="preserve"> example</w:t>
      </w:r>
      <w:r w:rsidR="00846DA3" w:rsidRPr="00014482">
        <w:rPr>
          <w:rFonts w:ascii="Times New Roman" w:hAnsi="Times New Roman" w:cs="Times New Roman"/>
          <w:sz w:val="20"/>
          <w:szCs w:val="20"/>
          <w:lang w:val="en-US"/>
        </w:rPr>
        <w:t>.</w:t>
      </w:r>
    </w:p>
    <w:p w14:paraId="5E26DD82" w14:textId="58585874" w:rsidR="00BA6098" w:rsidRPr="00014482" w:rsidRDefault="00F253C5" w:rsidP="00CB0A28">
      <w:pPr>
        <w:rPr>
          <w:rFonts w:ascii="Times New Roman" w:hAnsi="Times New Roman" w:cs="Times New Roman"/>
          <w:sz w:val="20"/>
          <w:szCs w:val="20"/>
          <w:lang w:val="en-US"/>
        </w:rPr>
      </w:pPr>
      <w:r w:rsidRPr="00014482">
        <w:rPr>
          <w:rFonts w:ascii="Times New Roman" w:hAnsi="Times New Roman" w:cs="Times New Roman"/>
          <w:b/>
          <w:bCs/>
          <w:sz w:val="20"/>
          <w:szCs w:val="20"/>
          <w:lang w:val="en-US"/>
        </w:rPr>
        <w:t>Ex.:</w:t>
      </w:r>
      <w:r w:rsidRPr="00014482">
        <w:rPr>
          <w:rFonts w:ascii="Times New Roman" w:hAnsi="Times New Roman" w:cs="Times New Roman"/>
          <w:sz w:val="20"/>
          <w:szCs w:val="20"/>
          <w:lang w:val="en-US"/>
        </w:rPr>
        <w:t xml:space="preserve"> Mr. X has two ongoing businesses, </w:t>
      </w:r>
      <w:r w:rsidR="000F12E0" w:rsidRPr="00014482">
        <w:rPr>
          <w:rFonts w:ascii="Times New Roman" w:hAnsi="Times New Roman" w:cs="Times New Roman"/>
          <w:sz w:val="20"/>
          <w:szCs w:val="20"/>
          <w:lang w:val="en-US"/>
        </w:rPr>
        <w:t xml:space="preserve">‘A’ and ‘B’ </w:t>
      </w:r>
      <w:r w:rsidRPr="00014482">
        <w:rPr>
          <w:rFonts w:ascii="Times New Roman" w:hAnsi="Times New Roman" w:cs="Times New Roman"/>
          <w:sz w:val="20"/>
          <w:szCs w:val="20"/>
          <w:lang w:val="en-US"/>
        </w:rPr>
        <w:t xml:space="preserve">where </w:t>
      </w:r>
      <w:r w:rsidR="000F12E0" w:rsidRPr="00014482">
        <w:rPr>
          <w:rFonts w:ascii="Times New Roman" w:hAnsi="Times New Roman" w:cs="Times New Roman"/>
          <w:sz w:val="20"/>
          <w:szCs w:val="20"/>
          <w:lang w:val="en-US"/>
        </w:rPr>
        <w:t>‘A’</w:t>
      </w:r>
      <w:r w:rsidRPr="00014482">
        <w:rPr>
          <w:rFonts w:ascii="Times New Roman" w:hAnsi="Times New Roman" w:cs="Times New Roman"/>
          <w:sz w:val="20"/>
          <w:szCs w:val="20"/>
          <w:lang w:val="en-US"/>
        </w:rPr>
        <w:t xml:space="preserve"> is in profit, while the other </w:t>
      </w:r>
      <w:r w:rsidR="000F12E0" w:rsidRPr="00014482">
        <w:rPr>
          <w:rFonts w:ascii="Times New Roman" w:hAnsi="Times New Roman" w:cs="Times New Roman"/>
          <w:sz w:val="20"/>
          <w:szCs w:val="20"/>
          <w:lang w:val="en-US"/>
        </w:rPr>
        <w:t>one</w:t>
      </w:r>
      <w:r w:rsidR="003A3BF1" w:rsidRPr="00014482">
        <w:rPr>
          <w:rFonts w:ascii="Times New Roman" w:hAnsi="Times New Roman" w:cs="Times New Roman"/>
          <w:sz w:val="20"/>
          <w:szCs w:val="20"/>
          <w:lang w:val="en-US"/>
        </w:rPr>
        <w:t>,</w:t>
      </w:r>
      <w:r w:rsidR="000F12E0" w:rsidRPr="00014482">
        <w:rPr>
          <w:rFonts w:ascii="Times New Roman" w:hAnsi="Times New Roman" w:cs="Times New Roman"/>
          <w:sz w:val="20"/>
          <w:szCs w:val="20"/>
          <w:lang w:val="en-US"/>
        </w:rPr>
        <w:t xml:space="preserve"> ‘B’ </w:t>
      </w:r>
      <w:r w:rsidRPr="00014482">
        <w:rPr>
          <w:rFonts w:ascii="Times New Roman" w:hAnsi="Times New Roman" w:cs="Times New Roman"/>
          <w:sz w:val="20"/>
          <w:szCs w:val="20"/>
          <w:lang w:val="en-US"/>
        </w:rPr>
        <w:t xml:space="preserve">is going in losses. </w:t>
      </w:r>
      <w:r w:rsidR="000525BF" w:rsidRPr="00014482">
        <w:rPr>
          <w:rFonts w:ascii="Times New Roman" w:hAnsi="Times New Roman" w:cs="Times New Roman"/>
          <w:sz w:val="20"/>
          <w:szCs w:val="20"/>
          <w:lang w:val="en-US"/>
        </w:rPr>
        <w:t>So, Mr.</w:t>
      </w:r>
      <w:r w:rsidR="00D32EA3" w:rsidRPr="00014482">
        <w:rPr>
          <w:rFonts w:ascii="Times New Roman" w:hAnsi="Times New Roman" w:cs="Times New Roman"/>
          <w:sz w:val="20"/>
          <w:szCs w:val="20"/>
          <w:lang w:val="en-US"/>
        </w:rPr>
        <w:t xml:space="preserve"> X decided to sale the business</w:t>
      </w:r>
      <w:r w:rsidR="00846DA3" w:rsidRPr="00014482">
        <w:rPr>
          <w:rFonts w:ascii="Times New Roman" w:hAnsi="Times New Roman" w:cs="Times New Roman"/>
          <w:sz w:val="20"/>
          <w:szCs w:val="20"/>
          <w:lang w:val="en-US"/>
        </w:rPr>
        <w:t xml:space="preserve"> for a total amount of 1 crore</w:t>
      </w:r>
      <w:r w:rsidR="0052509C" w:rsidRPr="00014482">
        <w:rPr>
          <w:rFonts w:ascii="Times New Roman" w:hAnsi="Times New Roman" w:cs="Times New Roman"/>
          <w:sz w:val="20"/>
          <w:szCs w:val="20"/>
          <w:lang w:val="en-US"/>
        </w:rPr>
        <w:t xml:space="preserve"> (assets </w:t>
      </w:r>
      <w:r w:rsidR="0052509C" w:rsidRPr="00014482">
        <w:rPr>
          <w:rFonts w:ascii="Times New Roman" w:hAnsi="Times New Roman" w:cs="Times New Roman"/>
          <w:b/>
          <w:bCs/>
          <w:sz w:val="20"/>
          <w:szCs w:val="20"/>
          <w:lang w:val="en-US"/>
        </w:rPr>
        <w:t>+</w:t>
      </w:r>
      <w:r w:rsidR="0052509C" w:rsidRPr="00014482">
        <w:rPr>
          <w:rFonts w:ascii="Times New Roman" w:hAnsi="Times New Roman" w:cs="Times New Roman"/>
          <w:sz w:val="20"/>
          <w:szCs w:val="20"/>
          <w:lang w:val="en-US"/>
        </w:rPr>
        <w:t xml:space="preserve"> liabilities) as a consideration, which is a lump sum consideration for his entire business. </w:t>
      </w:r>
    </w:p>
    <w:p w14:paraId="31CEC424" w14:textId="77777777" w:rsidR="000E5D80" w:rsidRPr="00014482" w:rsidRDefault="000E5D80" w:rsidP="00CB0A28">
      <w:pPr>
        <w:rPr>
          <w:rFonts w:ascii="Times New Roman" w:hAnsi="Times New Roman" w:cs="Times New Roman"/>
          <w:sz w:val="20"/>
          <w:szCs w:val="20"/>
          <w:lang w:val="en-US"/>
        </w:rPr>
      </w:pPr>
    </w:p>
    <w:p w14:paraId="5954B643" w14:textId="51B9BCE2" w:rsidR="00F864F6" w:rsidRPr="00FC7C8B" w:rsidRDefault="002C72F7" w:rsidP="00CB0A28">
      <w:pPr>
        <w:rPr>
          <w:rFonts w:ascii="Times New Roman" w:hAnsi="Times New Roman" w:cs="Times New Roman"/>
          <w:sz w:val="24"/>
          <w:szCs w:val="24"/>
          <w:lang w:val="en-US"/>
        </w:rPr>
      </w:pPr>
      <w:r w:rsidRPr="00FC7C8B">
        <w:rPr>
          <w:rFonts w:ascii="Times New Roman" w:hAnsi="Times New Roman" w:cs="Times New Roman"/>
          <w:b/>
          <w:bCs/>
          <w:sz w:val="24"/>
          <w:szCs w:val="24"/>
          <w:lang w:val="en-US"/>
        </w:rPr>
        <w:t>METHODOLOGY</w:t>
      </w:r>
    </w:p>
    <w:p w14:paraId="7CA617B2" w14:textId="0B4CB41B" w:rsidR="00F864F6" w:rsidRPr="00014482" w:rsidRDefault="005D5036" w:rsidP="00CB0A28">
      <w:pPr>
        <w:rPr>
          <w:rFonts w:ascii="Times New Roman" w:hAnsi="Times New Roman" w:cs="Times New Roman"/>
          <w:sz w:val="20"/>
          <w:szCs w:val="20"/>
        </w:rPr>
      </w:pPr>
      <w:r w:rsidRPr="00014482">
        <w:rPr>
          <w:rFonts w:ascii="Times New Roman" w:hAnsi="Times New Roman" w:cs="Times New Roman"/>
          <w:sz w:val="20"/>
          <w:szCs w:val="20"/>
        </w:rPr>
        <w:t xml:space="preserve">This paper examines the idea of slump sale in Indian corporate law using a doctrinal research methodology and primary and secondary legal sources. Statutory provisions from the Companies Act of 2013 and the Income Tax Act of 1961, particularly Sections 180(1)(a), 2(42C), and 50B, are examples of primary sources. Legal commentary, case law, and scholarly publications are examples of secondary sources that offer important insights into the ramifications, benefits, and difficulties of slump sales. In order to distinguish slump sales from other business transfer strategies like asset purchases and arrangement schemes, the study uses a comparative methodology. It also describes the tax implications, regulatory requirements, and procedural framework related </w:t>
      </w:r>
      <w:r w:rsidRPr="00014482">
        <w:rPr>
          <w:rFonts w:ascii="Times New Roman" w:hAnsi="Times New Roman" w:cs="Times New Roman"/>
          <w:sz w:val="20"/>
          <w:szCs w:val="20"/>
        </w:rPr>
        <w:lastRenderedPageBreak/>
        <w:t xml:space="preserve">to slump sale transactions. </w:t>
      </w:r>
      <w:r w:rsidR="00723D27" w:rsidRPr="00014482">
        <w:rPr>
          <w:rFonts w:ascii="Times New Roman" w:hAnsi="Times New Roman" w:cs="Times New Roman"/>
          <w:sz w:val="20"/>
          <w:szCs w:val="20"/>
        </w:rPr>
        <w:t xml:space="preserve">A thorough grasp of the subject is ensured by the practical examples and checklists that accompany the analysis. By using this approach, the document is guaranteed to be both educational and practically applicable, meeting the needs of students, business professionals, and attorneys alike. </w:t>
      </w:r>
    </w:p>
    <w:p w14:paraId="3981CF3C" w14:textId="77777777" w:rsidR="00723D27" w:rsidRPr="00014482" w:rsidRDefault="00723D27" w:rsidP="00CB0A28">
      <w:pPr>
        <w:rPr>
          <w:rFonts w:ascii="Times New Roman" w:hAnsi="Times New Roman" w:cs="Times New Roman"/>
          <w:sz w:val="20"/>
          <w:szCs w:val="20"/>
        </w:rPr>
      </w:pPr>
    </w:p>
    <w:p w14:paraId="2780BA2B" w14:textId="77777777" w:rsidR="00FE77DD" w:rsidRPr="00FC7C8B" w:rsidRDefault="00FE77DD" w:rsidP="00FE77DD">
      <w:pPr>
        <w:rPr>
          <w:rFonts w:ascii="Times New Roman" w:hAnsi="Times New Roman" w:cs="Times New Roman"/>
          <w:sz w:val="24"/>
          <w:szCs w:val="24"/>
          <w:u w:val="single"/>
          <w:lang w:val="en-US"/>
        </w:rPr>
      </w:pPr>
      <w:r w:rsidRPr="00FC7C8B">
        <w:rPr>
          <w:rFonts w:ascii="Times New Roman" w:hAnsi="Times New Roman" w:cs="Times New Roman"/>
          <w:sz w:val="24"/>
          <w:szCs w:val="24"/>
          <w:u w:val="single"/>
          <w:lang w:val="en-US"/>
        </w:rPr>
        <w:t>What is the difference between slump sale and asset purchase?</w:t>
      </w:r>
    </w:p>
    <w:p w14:paraId="47585D0E" w14:textId="77777777" w:rsidR="00BA6098" w:rsidRPr="00014482" w:rsidRDefault="00FE77DD" w:rsidP="00CB0A28">
      <w:pPr>
        <w:rPr>
          <w:rFonts w:ascii="Times New Roman" w:hAnsi="Times New Roman" w:cs="Times New Roman"/>
          <w:sz w:val="20"/>
          <w:szCs w:val="20"/>
          <w:lang w:val="en-US"/>
        </w:rPr>
      </w:pPr>
      <w:r w:rsidRPr="00014482">
        <w:rPr>
          <w:rFonts w:ascii="Times New Roman" w:hAnsi="Times New Roman" w:cs="Times New Roman"/>
          <w:sz w:val="20"/>
          <w:szCs w:val="20"/>
          <w:lang w:val="en-US"/>
        </w:rPr>
        <w:t>A slump sale, on one hand, requires the transfer of all assets and liabilities that are necessary for the operation of the business without exception, in contrast to an asset transfer transaction, which allows the parties to choose, that is cherry-pick which assets and liabilities they wish to transfer.</w:t>
      </w:r>
      <w:r w:rsidR="00776899" w:rsidRPr="00014482">
        <w:rPr>
          <w:rStyle w:val="EndnoteReference"/>
          <w:rFonts w:ascii="Times New Roman" w:hAnsi="Times New Roman" w:cs="Times New Roman"/>
          <w:sz w:val="20"/>
          <w:szCs w:val="20"/>
          <w:lang w:val="en-US"/>
        </w:rPr>
        <w:endnoteReference w:id="2"/>
      </w:r>
    </w:p>
    <w:p w14:paraId="4C57BBFA" w14:textId="77777777" w:rsidR="00BA6098" w:rsidRPr="00014482" w:rsidRDefault="00BA6098" w:rsidP="00CB0A28">
      <w:pPr>
        <w:rPr>
          <w:rFonts w:ascii="Times New Roman" w:hAnsi="Times New Roman" w:cs="Times New Roman"/>
          <w:sz w:val="20"/>
          <w:szCs w:val="20"/>
          <w:lang w:val="en-US"/>
        </w:rPr>
      </w:pPr>
    </w:p>
    <w:p w14:paraId="2BFA0941" w14:textId="18811EB4" w:rsidR="00754935" w:rsidRPr="00FC7C8B" w:rsidRDefault="002C72F7" w:rsidP="00CB0A28">
      <w:pPr>
        <w:rPr>
          <w:rFonts w:ascii="Times New Roman" w:hAnsi="Times New Roman" w:cs="Times New Roman"/>
          <w:sz w:val="24"/>
          <w:szCs w:val="24"/>
          <w:lang w:val="en-US"/>
        </w:rPr>
      </w:pPr>
      <w:r w:rsidRPr="00FC7C8B">
        <w:rPr>
          <w:rFonts w:ascii="Times New Roman" w:hAnsi="Times New Roman" w:cs="Times New Roman"/>
          <w:b/>
          <w:bCs/>
          <w:sz w:val="24"/>
          <w:szCs w:val="24"/>
          <w:lang w:val="en-US"/>
        </w:rPr>
        <w:t>WHY SLUMP SALE?</w:t>
      </w:r>
    </w:p>
    <w:p w14:paraId="75040CFC" w14:textId="28BAC6BD" w:rsidR="00372CFC" w:rsidRPr="00014482" w:rsidRDefault="008B0ED9" w:rsidP="00CB0A28">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Why is slump sale preferred over others? </w:t>
      </w:r>
    </w:p>
    <w:p w14:paraId="2E147650" w14:textId="5DE61FF8" w:rsidR="008B0ED9" w:rsidRPr="00014482" w:rsidRDefault="009372C8" w:rsidP="009372C8">
      <w:pPr>
        <w:pStyle w:val="ListParagraph"/>
        <w:numPr>
          <w:ilvl w:val="0"/>
          <w:numId w:val="1"/>
        </w:num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Fast and Simple</w:t>
      </w:r>
      <w:r w:rsidRPr="00014482">
        <w:rPr>
          <w:rFonts w:ascii="Times New Roman" w:hAnsi="Times New Roman" w:cs="Times New Roman"/>
          <w:sz w:val="20"/>
          <w:szCs w:val="20"/>
          <w:lang w:val="en-US"/>
        </w:rPr>
        <w:t xml:space="preserve">: </w:t>
      </w:r>
      <w:r w:rsidR="007E3310" w:rsidRPr="00014482">
        <w:rPr>
          <w:rFonts w:ascii="Times New Roman" w:hAnsi="Times New Roman" w:cs="Times New Roman"/>
          <w:sz w:val="20"/>
          <w:szCs w:val="20"/>
          <w:lang w:val="en-US"/>
        </w:rPr>
        <w:t>Slump Sale could be seen as one of the fastest way</w:t>
      </w:r>
      <w:r w:rsidR="00AE2779" w:rsidRPr="00014482">
        <w:rPr>
          <w:rFonts w:ascii="Times New Roman" w:hAnsi="Times New Roman" w:cs="Times New Roman"/>
          <w:sz w:val="20"/>
          <w:szCs w:val="20"/>
          <w:lang w:val="en-US"/>
        </w:rPr>
        <w:t>s</w:t>
      </w:r>
      <w:r w:rsidR="007E3310" w:rsidRPr="00014482">
        <w:rPr>
          <w:rFonts w:ascii="Times New Roman" w:hAnsi="Times New Roman" w:cs="Times New Roman"/>
          <w:sz w:val="20"/>
          <w:szCs w:val="20"/>
          <w:lang w:val="en-US"/>
        </w:rPr>
        <w:t xml:space="preserve"> </w:t>
      </w:r>
      <w:r w:rsidR="00721B30" w:rsidRPr="00014482">
        <w:rPr>
          <w:rFonts w:ascii="Times New Roman" w:hAnsi="Times New Roman" w:cs="Times New Roman"/>
          <w:sz w:val="20"/>
          <w:szCs w:val="20"/>
          <w:lang w:val="en-US"/>
        </w:rPr>
        <w:t xml:space="preserve">to transfer an ongoing business. </w:t>
      </w:r>
      <w:r w:rsidR="00AE2779" w:rsidRPr="00014482">
        <w:rPr>
          <w:rFonts w:ascii="Times New Roman" w:hAnsi="Times New Roman" w:cs="Times New Roman"/>
          <w:sz w:val="20"/>
          <w:szCs w:val="20"/>
          <w:lang w:val="en-US"/>
        </w:rPr>
        <w:t xml:space="preserve">It allows the transfer of business of all the assets and liabilities </w:t>
      </w:r>
      <w:r w:rsidR="00B72E12" w:rsidRPr="00014482">
        <w:rPr>
          <w:rFonts w:ascii="Times New Roman" w:hAnsi="Times New Roman" w:cs="Times New Roman"/>
          <w:sz w:val="20"/>
          <w:szCs w:val="20"/>
          <w:lang w:val="en-US"/>
        </w:rPr>
        <w:t xml:space="preserve">and there is no need of assigning the individual </w:t>
      </w:r>
      <w:r w:rsidR="003A5C94" w:rsidRPr="00014482">
        <w:rPr>
          <w:rFonts w:ascii="Times New Roman" w:hAnsi="Times New Roman" w:cs="Times New Roman"/>
          <w:sz w:val="20"/>
          <w:szCs w:val="20"/>
          <w:lang w:val="en-US"/>
        </w:rPr>
        <w:t>values to each asset.</w:t>
      </w:r>
    </w:p>
    <w:p w14:paraId="1502564B" w14:textId="2859266D" w:rsidR="003A5C94" w:rsidRPr="00014482" w:rsidRDefault="00017CBB" w:rsidP="009372C8">
      <w:pPr>
        <w:pStyle w:val="ListParagraph"/>
        <w:numPr>
          <w:ilvl w:val="0"/>
          <w:numId w:val="1"/>
        </w:num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Tax effectiveness</w:t>
      </w:r>
      <w:r w:rsidRPr="00014482">
        <w:rPr>
          <w:rFonts w:ascii="Times New Roman" w:hAnsi="Times New Roman" w:cs="Times New Roman"/>
          <w:sz w:val="20"/>
          <w:szCs w:val="20"/>
          <w:lang w:val="en-US"/>
        </w:rPr>
        <w:t xml:space="preserve">: </w:t>
      </w:r>
      <w:r w:rsidR="00956C94" w:rsidRPr="00014482">
        <w:rPr>
          <w:rFonts w:ascii="Times New Roman" w:hAnsi="Times New Roman" w:cs="Times New Roman"/>
          <w:sz w:val="20"/>
          <w:szCs w:val="20"/>
          <w:lang w:val="en-US"/>
        </w:rPr>
        <w:t>The tax rules for slump sales could be seen as straightforward</w:t>
      </w:r>
      <w:r w:rsidR="00C25EE9" w:rsidRPr="00014482">
        <w:rPr>
          <w:rFonts w:ascii="Times New Roman" w:hAnsi="Times New Roman" w:cs="Times New Roman"/>
          <w:sz w:val="20"/>
          <w:szCs w:val="20"/>
          <w:lang w:val="en-US"/>
        </w:rPr>
        <w:t>, resulting in time and cost saving when the transaction is happening.</w:t>
      </w:r>
      <w:r w:rsidR="00B30097" w:rsidRPr="00014482">
        <w:rPr>
          <w:rFonts w:ascii="Times New Roman" w:hAnsi="Times New Roman" w:cs="Times New Roman"/>
          <w:sz w:val="20"/>
          <w:szCs w:val="20"/>
          <w:lang w:val="en-US"/>
        </w:rPr>
        <w:t xml:space="preserve"> Moreover, </w:t>
      </w:r>
      <w:r w:rsidR="00F5350D" w:rsidRPr="00014482">
        <w:rPr>
          <w:rFonts w:ascii="Times New Roman" w:hAnsi="Times New Roman" w:cs="Times New Roman"/>
          <w:sz w:val="20"/>
          <w:szCs w:val="20"/>
          <w:u w:val="single"/>
          <w:lang w:val="en-US"/>
        </w:rPr>
        <w:t>GST is not levied upon lump sum consideration</w:t>
      </w:r>
      <w:r w:rsidR="00F5350D" w:rsidRPr="00014482">
        <w:rPr>
          <w:rFonts w:ascii="Times New Roman" w:hAnsi="Times New Roman" w:cs="Times New Roman"/>
          <w:sz w:val="20"/>
          <w:szCs w:val="20"/>
          <w:lang w:val="en-US"/>
        </w:rPr>
        <w:t xml:space="preserve">, </w:t>
      </w:r>
      <w:r w:rsidR="00711E0E" w:rsidRPr="00014482">
        <w:rPr>
          <w:rFonts w:ascii="Times New Roman" w:hAnsi="Times New Roman" w:cs="Times New Roman"/>
          <w:sz w:val="20"/>
          <w:szCs w:val="20"/>
          <w:lang w:val="en-US"/>
        </w:rPr>
        <w:t xml:space="preserve">leading to very limited compliance requirements. </w:t>
      </w:r>
    </w:p>
    <w:p w14:paraId="20D5D959" w14:textId="37FCEB5D" w:rsidR="00711E0E" w:rsidRPr="00014482" w:rsidRDefault="001A4D3C" w:rsidP="009372C8">
      <w:pPr>
        <w:pStyle w:val="ListParagraph"/>
        <w:numPr>
          <w:ilvl w:val="0"/>
          <w:numId w:val="1"/>
        </w:num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Focus on a specific core business</w:t>
      </w:r>
      <w:r w:rsidR="005F7479" w:rsidRPr="00014482">
        <w:rPr>
          <w:rFonts w:ascii="Times New Roman" w:hAnsi="Times New Roman" w:cs="Times New Roman"/>
          <w:sz w:val="20"/>
          <w:szCs w:val="20"/>
          <w:lang w:val="en-US"/>
        </w:rPr>
        <w:t xml:space="preserve">: It allows the businesses to focus </w:t>
      </w:r>
      <w:r w:rsidR="00F1252C" w:rsidRPr="00014482">
        <w:rPr>
          <w:rFonts w:ascii="Times New Roman" w:hAnsi="Times New Roman" w:cs="Times New Roman"/>
          <w:sz w:val="20"/>
          <w:szCs w:val="20"/>
          <w:lang w:val="en-US"/>
        </w:rPr>
        <w:t xml:space="preserve">on one’s core operations by divesting </w:t>
      </w:r>
      <w:r w:rsidR="009470F2" w:rsidRPr="00014482">
        <w:rPr>
          <w:rFonts w:ascii="Times New Roman" w:hAnsi="Times New Roman" w:cs="Times New Roman"/>
          <w:sz w:val="20"/>
          <w:szCs w:val="20"/>
          <w:lang w:val="en-US"/>
        </w:rPr>
        <w:t xml:space="preserve">other segments in a slump sale. </w:t>
      </w:r>
    </w:p>
    <w:p w14:paraId="3144F257" w14:textId="19C70642" w:rsidR="00156C61" w:rsidRPr="00014482" w:rsidRDefault="000E57AA" w:rsidP="00CB0A28">
      <w:pPr>
        <w:pStyle w:val="ListParagraph"/>
        <w:numPr>
          <w:ilvl w:val="0"/>
          <w:numId w:val="1"/>
        </w:num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Cont</w:t>
      </w:r>
      <w:r w:rsidR="00A360B5" w:rsidRPr="00014482">
        <w:rPr>
          <w:rFonts w:ascii="Times New Roman" w:hAnsi="Times New Roman" w:cs="Times New Roman"/>
          <w:sz w:val="20"/>
          <w:szCs w:val="20"/>
          <w:u w:val="single"/>
          <w:lang w:val="en-US"/>
        </w:rPr>
        <w:t>inuous</w:t>
      </w:r>
      <w:r w:rsidR="003E61B0" w:rsidRPr="00014482">
        <w:rPr>
          <w:rFonts w:ascii="Times New Roman" w:hAnsi="Times New Roman" w:cs="Times New Roman"/>
          <w:sz w:val="20"/>
          <w:szCs w:val="20"/>
          <w:u w:val="single"/>
          <w:lang w:val="en-US"/>
        </w:rPr>
        <w:t xml:space="preserve"> Operation</w:t>
      </w:r>
      <w:r w:rsidR="003E61B0" w:rsidRPr="00014482">
        <w:rPr>
          <w:rFonts w:ascii="Times New Roman" w:hAnsi="Times New Roman" w:cs="Times New Roman"/>
          <w:sz w:val="20"/>
          <w:szCs w:val="20"/>
          <w:lang w:val="en-US"/>
        </w:rPr>
        <w:t xml:space="preserve">: </w:t>
      </w:r>
      <w:r w:rsidR="007D30C6" w:rsidRPr="00014482">
        <w:rPr>
          <w:rFonts w:ascii="Times New Roman" w:hAnsi="Times New Roman" w:cs="Times New Roman"/>
          <w:sz w:val="20"/>
          <w:szCs w:val="20"/>
          <w:lang w:val="en-US"/>
        </w:rPr>
        <w:t>The one who acquires the business in the slump sale</w:t>
      </w:r>
      <w:r w:rsidR="0078373F" w:rsidRPr="00014482">
        <w:rPr>
          <w:rFonts w:ascii="Times New Roman" w:hAnsi="Times New Roman" w:cs="Times New Roman"/>
          <w:sz w:val="20"/>
          <w:szCs w:val="20"/>
          <w:lang w:val="en-US"/>
        </w:rPr>
        <w:t xml:space="preserve">, he can jump to a business whenever he likes, also he </w:t>
      </w:r>
      <w:r w:rsidR="00BF5E43" w:rsidRPr="00014482">
        <w:rPr>
          <w:rFonts w:ascii="Times New Roman" w:hAnsi="Times New Roman" w:cs="Times New Roman"/>
          <w:sz w:val="20"/>
          <w:szCs w:val="20"/>
          <w:lang w:val="en-US"/>
        </w:rPr>
        <w:t>could expand a business into a new location</w:t>
      </w:r>
      <w:r w:rsidR="00024901" w:rsidRPr="00014482">
        <w:rPr>
          <w:rFonts w:ascii="Times New Roman" w:hAnsi="Times New Roman" w:cs="Times New Roman"/>
          <w:sz w:val="20"/>
          <w:szCs w:val="20"/>
          <w:lang w:val="en-US"/>
        </w:rPr>
        <w:t xml:space="preserve"> without operational </w:t>
      </w:r>
      <w:r w:rsidR="00A05BBA" w:rsidRPr="00014482">
        <w:rPr>
          <w:rFonts w:ascii="Times New Roman" w:hAnsi="Times New Roman" w:cs="Times New Roman"/>
          <w:sz w:val="20"/>
          <w:szCs w:val="20"/>
          <w:lang w:val="en-US"/>
        </w:rPr>
        <w:t>setup from the scratch.</w:t>
      </w:r>
    </w:p>
    <w:p w14:paraId="77EC9114" w14:textId="12F5F51E" w:rsidR="00A05BBA" w:rsidRPr="00014482" w:rsidRDefault="004F54E1" w:rsidP="00CB0A28">
      <w:pPr>
        <w:pStyle w:val="ListParagraph"/>
        <w:numPr>
          <w:ilvl w:val="0"/>
          <w:numId w:val="1"/>
        </w:num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Ease in regulatory</w:t>
      </w:r>
      <w:r w:rsidRPr="00014482">
        <w:rPr>
          <w:rFonts w:ascii="Times New Roman" w:hAnsi="Times New Roman" w:cs="Times New Roman"/>
          <w:sz w:val="20"/>
          <w:szCs w:val="20"/>
          <w:lang w:val="en-US"/>
        </w:rPr>
        <w:t>:</w:t>
      </w:r>
      <w:r w:rsidR="009D39E6" w:rsidRPr="00014482">
        <w:rPr>
          <w:rFonts w:ascii="Times New Roman" w:hAnsi="Times New Roman" w:cs="Times New Roman"/>
          <w:sz w:val="20"/>
          <w:szCs w:val="20"/>
          <w:lang w:val="en-US"/>
        </w:rPr>
        <w:t xml:space="preserve"> In the process of lump sum consideration, there is not much regulator</w:t>
      </w:r>
      <w:r w:rsidR="00C972B0" w:rsidRPr="00014482">
        <w:rPr>
          <w:rFonts w:ascii="Times New Roman" w:hAnsi="Times New Roman" w:cs="Times New Roman"/>
          <w:sz w:val="20"/>
          <w:szCs w:val="20"/>
          <w:lang w:val="en-US"/>
        </w:rPr>
        <w:t>y compliances required</w:t>
      </w:r>
      <w:r w:rsidR="004D3808" w:rsidRPr="00014482">
        <w:rPr>
          <w:rFonts w:ascii="Times New Roman" w:hAnsi="Times New Roman" w:cs="Times New Roman"/>
          <w:sz w:val="20"/>
          <w:szCs w:val="20"/>
          <w:lang w:val="en-US"/>
        </w:rPr>
        <w:t xml:space="preserve"> if compared to other methods of business transfers. </w:t>
      </w:r>
    </w:p>
    <w:p w14:paraId="201DC2FC" w14:textId="77777777" w:rsidR="005D0558" w:rsidRPr="00014482" w:rsidRDefault="005D0558" w:rsidP="005D0558">
      <w:pPr>
        <w:pStyle w:val="ListParagraph"/>
        <w:rPr>
          <w:rFonts w:ascii="Times New Roman" w:hAnsi="Times New Roman" w:cs="Times New Roman"/>
          <w:sz w:val="20"/>
          <w:szCs w:val="20"/>
          <w:lang w:val="en-US"/>
        </w:rPr>
      </w:pPr>
    </w:p>
    <w:p w14:paraId="0D54DC5A" w14:textId="4D417FDE" w:rsidR="004D3808" w:rsidRPr="00FC7C8B" w:rsidRDefault="002C72F7" w:rsidP="004D3808">
      <w:pPr>
        <w:rPr>
          <w:rFonts w:ascii="Times New Roman" w:hAnsi="Times New Roman" w:cs="Times New Roman"/>
          <w:b/>
          <w:bCs/>
          <w:sz w:val="24"/>
          <w:szCs w:val="24"/>
          <w:lang w:val="en-US"/>
        </w:rPr>
      </w:pPr>
      <w:r w:rsidRPr="00FC7C8B">
        <w:rPr>
          <w:rFonts w:ascii="Times New Roman" w:hAnsi="Times New Roman" w:cs="Times New Roman"/>
          <w:sz w:val="24"/>
          <w:szCs w:val="24"/>
          <w:lang w:val="en-US"/>
        </w:rPr>
        <w:t xml:space="preserve"> </w:t>
      </w:r>
      <w:r w:rsidRPr="00FC7C8B">
        <w:rPr>
          <w:rFonts w:ascii="Times New Roman" w:hAnsi="Times New Roman" w:cs="Times New Roman"/>
          <w:b/>
          <w:bCs/>
          <w:sz w:val="24"/>
          <w:szCs w:val="24"/>
          <w:lang w:val="en-US"/>
        </w:rPr>
        <w:t>ANY DOWNSIDES OF SLUMP SALE?</w:t>
      </w:r>
    </w:p>
    <w:p w14:paraId="425B144E" w14:textId="2184B109" w:rsidR="005723BD" w:rsidRPr="00014482" w:rsidRDefault="00D74712" w:rsidP="005723BD">
      <w:pPr>
        <w:pStyle w:val="ListParagraph"/>
        <w:numPr>
          <w:ilvl w:val="0"/>
          <w:numId w:val="2"/>
        </w:num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Transparency could be lacking</w:t>
      </w:r>
      <w:r w:rsidRPr="00014482">
        <w:rPr>
          <w:rFonts w:ascii="Times New Roman" w:hAnsi="Times New Roman" w:cs="Times New Roman"/>
          <w:sz w:val="20"/>
          <w:szCs w:val="20"/>
          <w:lang w:val="en-US"/>
        </w:rPr>
        <w:t xml:space="preserve">: </w:t>
      </w:r>
      <w:r w:rsidR="000C0420" w:rsidRPr="00014482">
        <w:rPr>
          <w:rFonts w:ascii="Times New Roman" w:hAnsi="Times New Roman" w:cs="Times New Roman"/>
          <w:sz w:val="20"/>
          <w:szCs w:val="20"/>
          <w:lang w:val="en-US"/>
        </w:rPr>
        <w:t xml:space="preserve">Since there is no individual valuation on the liabilities and assets in slump sale, </w:t>
      </w:r>
      <w:r w:rsidR="004D51A7" w:rsidRPr="00014482">
        <w:rPr>
          <w:rFonts w:ascii="Times New Roman" w:hAnsi="Times New Roman" w:cs="Times New Roman"/>
          <w:sz w:val="20"/>
          <w:szCs w:val="20"/>
          <w:lang w:val="en-US"/>
        </w:rPr>
        <w:t xml:space="preserve">there may be lack of transparency in the value of any </w:t>
      </w:r>
      <w:r w:rsidR="0097455A" w:rsidRPr="00014482">
        <w:rPr>
          <w:rFonts w:ascii="Times New Roman" w:hAnsi="Times New Roman" w:cs="Times New Roman"/>
          <w:sz w:val="20"/>
          <w:szCs w:val="20"/>
          <w:lang w:val="en-US"/>
        </w:rPr>
        <w:t xml:space="preserve">or every </w:t>
      </w:r>
      <w:r w:rsidR="004D51A7" w:rsidRPr="00014482">
        <w:rPr>
          <w:rFonts w:ascii="Times New Roman" w:hAnsi="Times New Roman" w:cs="Times New Roman"/>
          <w:sz w:val="20"/>
          <w:szCs w:val="20"/>
          <w:lang w:val="en-US"/>
        </w:rPr>
        <w:t>co</w:t>
      </w:r>
      <w:r w:rsidR="0097455A" w:rsidRPr="00014482">
        <w:rPr>
          <w:rFonts w:ascii="Times New Roman" w:hAnsi="Times New Roman" w:cs="Times New Roman"/>
          <w:sz w:val="20"/>
          <w:szCs w:val="20"/>
          <w:lang w:val="en-US"/>
        </w:rPr>
        <w:t>mpon</w:t>
      </w:r>
      <w:r w:rsidR="004D51A7" w:rsidRPr="00014482">
        <w:rPr>
          <w:rFonts w:ascii="Times New Roman" w:hAnsi="Times New Roman" w:cs="Times New Roman"/>
          <w:sz w:val="20"/>
          <w:szCs w:val="20"/>
          <w:lang w:val="en-US"/>
        </w:rPr>
        <w:t>ent/s.</w:t>
      </w:r>
    </w:p>
    <w:p w14:paraId="45CB1465" w14:textId="02885C97" w:rsidR="004D51A7" w:rsidRPr="00014482" w:rsidRDefault="0097455A" w:rsidP="005723BD">
      <w:pPr>
        <w:pStyle w:val="ListParagraph"/>
        <w:numPr>
          <w:ilvl w:val="0"/>
          <w:numId w:val="2"/>
        </w:num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Registration fees and stamp duty</w:t>
      </w:r>
      <w:r w:rsidRPr="00014482">
        <w:rPr>
          <w:rFonts w:ascii="Times New Roman" w:hAnsi="Times New Roman" w:cs="Times New Roman"/>
          <w:sz w:val="20"/>
          <w:szCs w:val="20"/>
          <w:lang w:val="en-US"/>
        </w:rPr>
        <w:t xml:space="preserve">: Even </w:t>
      </w:r>
      <w:r w:rsidR="00B07FE1" w:rsidRPr="00014482">
        <w:rPr>
          <w:rFonts w:ascii="Times New Roman" w:hAnsi="Times New Roman" w:cs="Times New Roman"/>
          <w:sz w:val="20"/>
          <w:szCs w:val="20"/>
          <w:lang w:val="en-US"/>
        </w:rPr>
        <w:t xml:space="preserve">though the assets and liabilities are not individually assessed, </w:t>
      </w:r>
      <w:r w:rsidR="00A146F4" w:rsidRPr="00014482">
        <w:rPr>
          <w:rFonts w:ascii="Times New Roman" w:hAnsi="Times New Roman" w:cs="Times New Roman"/>
          <w:sz w:val="20"/>
          <w:szCs w:val="20"/>
          <w:lang w:val="en-US"/>
        </w:rPr>
        <w:t xml:space="preserve">stamp duties, registration fees and some other expenses </w:t>
      </w:r>
      <w:r w:rsidR="00646C39" w:rsidRPr="00014482">
        <w:rPr>
          <w:rFonts w:ascii="Times New Roman" w:hAnsi="Times New Roman" w:cs="Times New Roman"/>
          <w:sz w:val="20"/>
          <w:szCs w:val="20"/>
          <w:lang w:val="en-US"/>
        </w:rPr>
        <w:t>maybe used to determine the amount payable in it.</w:t>
      </w:r>
    </w:p>
    <w:p w14:paraId="009D22FE" w14:textId="09ADDA82" w:rsidR="00646C39" w:rsidRPr="00014482" w:rsidRDefault="00C235B6" w:rsidP="005723BD">
      <w:pPr>
        <w:pStyle w:val="ListParagraph"/>
        <w:numPr>
          <w:ilvl w:val="0"/>
          <w:numId w:val="2"/>
        </w:num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Challe</w:t>
      </w:r>
      <w:r w:rsidR="005A5C39" w:rsidRPr="00014482">
        <w:rPr>
          <w:rFonts w:ascii="Times New Roman" w:hAnsi="Times New Roman" w:cs="Times New Roman"/>
          <w:sz w:val="20"/>
          <w:szCs w:val="20"/>
          <w:u w:val="single"/>
          <w:lang w:val="en-US"/>
        </w:rPr>
        <w:t>nges</w:t>
      </w:r>
      <w:r w:rsidR="005A5C39" w:rsidRPr="00014482">
        <w:rPr>
          <w:rFonts w:ascii="Times New Roman" w:hAnsi="Times New Roman" w:cs="Times New Roman"/>
          <w:sz w:val="20"/>
          <w:szCs w:val="20"/>
          <w:lang w:val="en-US"/>
        </w:rPr>
        <w:t xml:space="preserve">: </w:t>
      </w:r>
      <w:r w:rsidR="001E16FE" w:rsidRPr="00014482">
        <w:rPr>
          <w:rFonts w:ascii="Times New Roman" w:hAnsi="Times New Roman" w:cs="Times New Roman"/>
          <w:sz w:val="20"/>
          <w:szCs w:val="20"/>
          <w:lang w:val="en-US"/>
        </w:rPr>
        <w:t>In Slump Sale, the buyer has to inherit all the assets and liabilities</w:t>
      </w:r>
      <w:r w:rsidR="00571B46" w:rsidRPr="00014482">
        <w:rPr>
          <w:rFonts w:ascii="Times New Roman" w:hAnsi="Times New Roman" w:cs="Times New Roman"/>
          <w:sz w:val="20"/>
          <w:szCs w:val="20"/>
          <w:lang w:val="en-US"/>
        </w:rPr>
        <w:t>, which may also include the unwanted</w:t>
      </w:r>
      <w:r w:rsidR="00911D4D" w:rsidRPr="00014482">
        <w:rPr>
          <w:rFonts w:ascii="Times New Roman" w:hAnsi="Times New Roman" w:cs="Times New Roman"/>
          <w:sz w:val="20"/>
          <w:szCs w:val="20"/>
          <w:lang w:val="en-US"/>
        </w:rPr>
        <w:t xml:space="preserve">, unfavorable or </w:t>
      </w:r>
      <w:r w:rsidR="00712535" w:rsidRPr="00014482">
        <w:rPr>
          <w:rFonts w:ascii="Times New Roman" w:hAnsi="Times New Roman" w:cs="Times New Roman"/>
          <w:sz w:val="20"/>
          <w:szCs w:val="20"/>
          <w:lang w:val="en-US"/>
        </w:rPr>
        <w:t>non – performing assets, leading to inefficiency.</w:t>
      </w:r>
    </w:p>
    <w:p w14:paraId="55FF0C7C" w14:textId="7F8FEAD4" w:rsidR="00712535" w:rsidRPr="00014482" w:rsidRDefault="00F354D9" w:rsidP="005723BD">
      <w:pPr>
        <w:pStyle w:val="ListParagraph"/>
        <w:numPr>
          <w:ilvl w:val="0"/>
          <w:numId w:val="2"/>
        </w:num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Regulatory Risks</w:t>
      </w:r>
      <w:r w:rsidRPr="00014482">
        <w:rPr>
          <w:rFonts w:ascii="Times New Roman" w:hAnsi="Times New Roman" w:cs="Times New Roman"/>
          <w:sz w:val="20"/>
          <w:szCs w:val="20"/>
          <w:lang w:val="en-US"/>
        </w:rPr>
        <w:t>: The buyer may also unwillingly inherit</w:t>
      </w:r>
      <w:r w:rsidR="00D91B3C" w:rsidRPr="00014482">
        <w:rPr>
          <w:rFonts w:ascii="Times New Roman" w:hAnsi="Times New Roman" w:cs="Times New Roman"/>
          <w:sz w:val="20"/>
          <w:szCs w:val="20"/>
          <w:lang w:val="en-US"/>
        </w:rPr>
        <w:t xml:space="preserve"> some hidden regulatory risks or certain compliance issues </w:t>
      </w:r>
      <w:r w:rsidR="009E4DD7" w:rsidRPr="00014482">
        <w:rPr>
          <w:rFonts w:ascii="Times New Roman" w:hAnsi="Times New Roman" w:cs="Times New Roman"/>
          <w:sz w:val="20"/>
          <w:szCs w:val="20"/>
          <w:lang w:val="en-US"/>
        </w:rPr>
        <w:t>that were already associated with the business leading to future liabilities.</w:t>
      </w:r>
    </w:p>
    <w:p w14:paraId="2D6C5D05" w14:textId="77777777" w:rsidR="00BA6098" w:rsidRPr="00014482" w:rsidRDefault="00BA6098" w:rsidP="00BA6098">
      <w:pPr>
        <w:pStyle w:val="ListParagraph"/>
        <w:rPr>
          <w:rFonts w:ascii="Times New Roman" w:hAnsi="Times New Roman" w:cs="Times New Roman"/>
          <w:sz w:val="20"/>
          <w:szCs w:val="20"/>
          <w:lang w:val="en-US"/>
        </w:rPr>
      </w:pPr>
    </w:p>
    <w:p w14:paraId="1EFB2E36" w14:textId="077A60B1" w:rsidR="009E4DD7" w:rsidRPr="00FC7C8B" w:rsidRDefault="002C72F7" w:rsidP="009E4DD7">
      <w:pPr>
        <w:rPr>
          <w:rFonts w:ascii="Times New Roman" w:hAnsi="Times New Roman" w:cs="Times New Roman"/>
          <w:b/>
          <w:bCs/>
          <w:sz w:val="24"/>
          <w:szCs w:val="24"/>
          <w:lang w:val="en-US"/>
        </w:rPr>
      </w:pPr>
      <w:r w:rsidRPr="00FC7C8B">
        <w:rPr>
          <w:rFonts w:ascii="Times New Roman" w:hAnsi="Times New Roman" w:cs="Times New Roman"/>
          <w:b/>
          <w:bCs/>
          <w:sz w:val="24"/>
          <w:szCs w:val="24"/>
          <w:lang w:val="en-US"/>
        </w:rPr>
        <w:t>STEPS TO BE TAKEN DURING SLUMP SALE AGREEMENT</w:t>
      </w:r>
    </w:p>
    <w:p w14:paraId="24293364" w14:textId="669C62BA" w:rsidR="007A7BBC" w:rsidRPr="00014482" w:rsidRDefault="007A7BBC" w:rsidP="00D35D20">
      <w:pPr>
        <w:pStyle w:val="ListParagraph"/>
        <w:numPr>
          <w:ilvl w:val="0"/>
          <w:numId w:val="4"/>
        </w:numPr>
        <w:rPr>
          <w:rFonts w:ascii="Times New Roman" w:hAnsi="Times New Roman" w:cs="Times New Roman"/>
          <w:sz w:val="20"/>
          <w:szCs w:val="20"/>
          <w:lang w:val="en-US"/>
        </w:rPr>
      </w:pPr>
      <w:r w:rsidRPr="00014482">
        <w:rPr>
          <w:rFonts w:ascii="Times New Roman" w:hAnsi="Times New Roman" w:cs="Times New Roman"/>
          <w:sz w:val="20"/>
          <w:szCs w:val="20"/>
          <w:lang w:val="en-US"/>
        </w:rPr>
        <w:t>Find buyer (Shortlisting) (Primary valuation</w:t>
      </w:r>
      <w:r w:rsidR="00104763" w:rsidRPr="00014482">
        <w:rPr>
          <w:rFonts w:ascii="Times New Roman" w:hAnsi="Times New Roman" w:cs="Times New Roman"/>
          <w:sz w:val="20"/>
          <w:szCs w:val="20"/>
          <w:lang w:val="en-US"/>
        </w:rPr>
        <w:t>:</w:t>
      </w:r>
      <w:r w:rsidRPr="00014482">
        <w:rPr>
          <w:rFonts w:ascii="Times New Roman" w:hAnsi="Times New Roman" w:cs="Times New Roman"/>
          <w:sz w:val="20"/>
          <w:szCs w:val="20"/>
          <w:lang w:val="en-US"/>
        </w:rPr>
        <w:t xml:space="preserve"> that he has to sell in this particular amount.</w:t>
      </w:r>
    </w:p>
    <w:p w14:paraId="5BA54B2F" w14:textId="42DD2DF2" w:rsidR="007A7BBC" w:rsidRPr="00014482" w:rsidRDefault="007A7BBC" w:rsidP="00D35D20">
      <w:pPr>
        <w:pStyle w:val="ListParagraph"/>
        <w:numPr>
          <w:ilvl w:val="0"/>
          <w:numId w:val="4"/>
        </w:numPr>
        <w:rPr>
          <w:rFonts w:ascii="Times New Roman" w:hAnsi="Times New Roman" w:cs="Times New Roman"/>
          <w:sz w:val="20"/>
          <w:szCs w:val="20"/>
          <w:lang w:val="en-US"/>
        </w:rPr>
      </w:pPr>
      <w:r w:rsidRPr="00014482">
        <w:rPr>
          <w:rFonts w:ascii="Times New Roman" w:hAnsi="Times New Roman" w:cs="Times New Roman"/>
          <w:sz w:val="20"/>
          <w:szCs w:val="20"/>
          <w:lang w:val="en-US"/>
        </w:rPr>
        <w:t>Sign MOU sheet (Memorandum of Understanding</w:t>
      </w:r>
      <w:r w:rsidR="00104763" w:rsidRPr="00014482">
        <w:rPr>
          <w:rFonts w:ascii="Times New Roman" w:hAnsi="Times New Roman" w:cs="Times New Roman"/>
          <w:sz w:val="20"/>
          <w:szCs w:val="20"/>
          <w:lang w:val="en-US"/>
        </w:rPr>
        <w:t xml:space="preserve">; </w:t>
      </w:r>
      <w:r w:rsidRPr="00014482">
        <w:rPr>
          <w:rFonts w:ascii="Times New Roman" w:hAnsi="Times New Roman" w:cs="Times New Roman"/>
          <w:sz w:val="20"/>
          <w:szCs w:val="20"/>
          <w:lang w:val="en-US"/>
        </w:rPr>
        <w:t xml:space="preserve">information of diligence, all </w:t>
      </w:r>
      <w:r w:rsidR="00104763" w:rsidRPr="00014482">
        <w:rPr>
          <w:rFonts w:ascii="Times New Roman" w:hAnsi="Times New Roman" w:cs="Times New Roman"/>
          <w:sz w:val="20"/>
          <w:szCs w:val="20"/>
          <w:lang w:val="en-US"/>
        </w:rPr>
        <w:t>t</w:t>
      </w:r>
      <w:r w:rsidRPr="00014482">
        <w:rPr>
          <w:rFonts w:ascii="Times New Roman" w:hAnsi="Times New Roman" w:cs="Times New Roman"/>
          <w:sz w:val="20"/>
          <w:szCs w:val="20"/>
          <w:lang w:val="en-US"/>
        </w:rPr>
        <w:t>he information, a proof that both the parties have received all the information).</w:t>
      </w:r>
    </w:p>
    <w:p w14:paraId="6F422B54" w14:textId="5220986E" w:rsidR="007A7BBC" w:rsidRPr="00014482" w:rsidRDefault="007A7BBC" w:rsidP="00D35D20">
      <w:pPr>
        <w:pStyle w:val="ListParagraph"/>
        <w:numPr>
          <w:ilvl w:val="0"/>
          <w:numId w:val="4"/>
        </w:numPr>
        <w:rPr>
          <w:rFonts w:ascii="Times New Roman" w:hAnsi="Times New Roman" w:cs="Times New Roman"/>
          <w:sz w:val="20"/>
          <w:szCs w:val="20"/>
          <w:lang w:val="en-US"/>
        </w:rPr>
      </w:pPr>
      <w:r w:rsidRPr="00014482">
        <w:rPr>
          <w:rFonts w:ascii="Times New Roman" w:hAnsi="Times New Roman" w:cs="Times New Roman"/>
          <w:sz w:val="20"/>
          <w:szCs w:val="20"/>
          <w:lang w:val="en-US"/>
        </w:rPr>
        <w:t>Make Valuation (Since buyer thinks to get the lower cost while seller wants that he get</w:t>
      </w:r>
      <w:r w:rsidR="00D35D20" w:rsidRPr="00014482">
        <w:rPr>
          <w:rFonts w:ascii="Times New Roman" w:hAnsi="Times New Roman" w:cs="Times New Roman"/>
          <w:sz w:val="20"/>
          <w:szCs w:val="20"/>
          <w:lang w:val="en-US"/>
        </w:rPr>
        <w:t>s</w:t>
      </w:r>
      <w:r w:rsidRPr="00014482">
        <w:rPr>
          <w:rFonts w:ascii="Times New Roman" w:hAnsi="Times New Roman" w:cs="Times New Roman"/>
          <w:sz w:val="20"/>
          <w:szCs w:val="20"/>
          <w:lang w:val="en-US"/>
        </w:rPr>
        <w:t xml:space="preserve"> the maximum price for his business</w:t>
      </w:r>
      <w:r w:rsidR="00D35D20" w:rsidRPr="00014482">
        <w:rPr>
          <w:rFonts w:ascii="Times New Roman" w:hAnsi="Times New Roman" w:cs="Times New Roman"/>
          <w:sz w:val="20"/>
          <w:szCs w:val="20"/>
          <w:lang w:val="en-US"/>
        </w:rPr>
        <w:t>, so makes a deal in way both the parties are satisfied</w:t>
      </w:r>
      <w:r w:rsidRPr="00014482">
        <w:rPr>
          <w:rFonts w:ascii="Times New Roman" w:hAnsi="Times New Roman" w:cs="Times New Roman"/>
          <w:sz w:val="20"/>
          <w:szCs w:val="20"/>
          <w:lang w:val="en-US"/>
        </w:rPr>
        <w:t>)</w:t>
      </w:r>
    </w:p>
    <w:p w14:paraId="58852CE0" w14:textId="7F7F4CC6" w:rsidR="007A7BBC" w:rsidRPr="00014482" w:rsidRDefault="007A7BBC" w:rsidP="00D35D20">
      <w:pPr>
        <w:pStyle w:val="ListParagraph"/>
        <w:numPr>
          <w:ilvl w:val="0"/>
          <w:numId w:val="4"/>
        </w:numPr>
        <w:rPr>
          <w:rFonts w:ascii="Times New Roman" w:hAnsi="Times New Roman" w:cs="Times New Roman"/>
          <w:sz w:val="20"/>
          <w:szCs w:val="20"/>
          <w:lang w:val="en-US"/>
        </w:rPr>
      </w:pPr>
      <w:r w:rsidRPr="00014482">
        <w:rPr>
          <w:rFonts w:ascii="Times New Roman" w:hAnsi="Times New Roman" w:cs="Times New Roman"/>
          <w:sz w:val="20"/>
          <w:szCs w:val="20"/>
          <w:lang w:val="en-US"/>
        </w:rPr>
        <w:t>Deal structuring (makes a deal where decided the transaction cost, stamp cost, transfer of money, consideration etc.)</w:t>
      </w:r>
    </w:p>
    <w:p w14:paraId="14511425" w14:textId="226C7DA1" w:rsidR="005F30AB" w:rsidRPr="00014482" w:rsidRDefault="007A7BBC" w:rsidP="00650F08">
      <w:pPr>
        <w:pStyle w:val="ListParagraph"/>
        <w:numPr>
          <w:ilvl w:val="0"/>
          <w:numId w:val="4"/>
        </w:numPr>
        <w:rPr>
          <w:rFonts w:ascii="Times New Roman" w:hAnsi="Times New Roman" w:cs="Times New Roman"/>
          <w:sz w:val="20"/>
          <w:szCs w:val="20"/>
          <w:lang w:val="en-US"/>
        </w:rPr>
      </w:pPr>
      <w:r w:rsidRPr="00014482">
        <w:rPr>
          <w:rFonts w:ascii="Times New Roman" w:hAnsi="Times New Roman" w:cs="Times New Roman"/>
          <w:sz w:val="20"/>
          <w:szCs w:val="20"/>
          <w:lang w:val="en-US"/>
        </w:rPr>
        <w:t>Slump Sale Agreement (by hiring any lawyer, finally indulges in the slump sale agreement).</w:t>
      </w:r>
    </w:p>
    <w:p w14:paraId="7E09C10D" w14:textId="77777777" w:rsidR="00BA6098" w:rsidRPr="00014482" w:rsidRDefault="00BA6098" w:rsidP="00BA6098">
      <w:pPr>
        <w:pStyle w:val="ListParagraph"/>
        <w:rPr>
          <w:rFonts w:ascii="Times New Roman" w:hAnsi="Times New Roman" w:cs="Times New Roman"/>
          <w:sz w:val="20"/>
          <w:szCs w:val="20"/>
          <w:lang w:val="en-US"/>
        </w:rPr>
      </w:pPr>
    </w:p>
    <w:p w14:paraId="1B6C5FEA" w14:textId="77777777" w:rsidR="00FC7C8B" w:rsidRDefault="00FC7C8B" w:rsidP="000260B7">
      <w:pPr>
        <w:rPr>
          <w:rFonts w:ascii="Times New Roman" w:hAnsi="Times New Roman" w:cs="Times New Roman"/>
          <w:b/>
          <w:bCs/>
          <w:sz w:val="24"/>
          <w:szCs w:val="24"/>
          <w:lang w:val="en-US"/>
        </w:rPr>
      </w:pPr>
    </w:p>
    <w:p w14:paraId="6E4BC985" w14:textId="7EFD3985" w:rsidR="005F30AB" w:rsidRPr="00FC7C8B" w:rsidRDefault="002C72F7" w:rsidP="000260B7">
      <w:pPr>
        <w:rPr>
          <w:rFonts w:ascii="Times New Roman" w:hAnsi="Times New Roman" w:cs="Times New Roman"/>
          <w:b/>
          <w:bCs/>
          <w:sz w:val="24"/>
          <w:szCs w:val="24"/>
          <w:lang w:val="en-US"/>
        </w:rPr>
      </w:pPr>
      <w:r w:rsidRPr="00FC7C8B">
        <w:rPr>
          <w:rFonts w:ascii="Times New Roman" w:hAnsi="Times New Roman" w:cs="Times New Roman"/>
          <w:b/>
          <w:bCs/>
          <w:sz w:val="24"/>
          <w:szCs w:val="24"/>
          <w:lang w:val="en-US"/>
        </w:rPr>
        <w:lastRenderedPageBreak/>
        <w:t>CAPITAL GAINS ON SLUMP SALE</w:t>
      </w:r>
    </w:p>
    <w:p w14:paraId="096950E3" w14:textId="3D81A306" w:rsidR="00BC5191" w:rsidRPr="00014482" w:rsidRDefault="0025562F" w:rsidP="00BC5191">
      <w:pPr>
        <w:rPr>
          <w:rFonts w:ascii="Times New Roman" w:hAnsi="Times New Roman" w:cs="Times New Roman"/>
          <w:sz w:val="20"/>
          <w:szCs w:val="20"/>
          <w:lang w:val="en-US"/>
        </w:rPr>
      </w:pPr>
      <w:r w:rsidRPr="00014482">
        <w:rPr>
          <w:rFonts w:ascii="Times New Roman" w:hAnsi="Times New Roman" w:cs="Times New Roman"/>
          <w:sz w:val="20"/>
          <w:szCs w:val="20"/>
          <w:lang w:val="en-US"/>
        </w:rPr>
        <w:t>The gain or loss resulting out of a slump sale shall be a Capital Gain/Loss under the Income Tax Act</w:t>
      </w:r>
    </w:p>
    <w:p w14:paraId="2850CB8A" w14:textId="5C3871CF" w:rsidR="00BC5191" w:rsidRPr="00014482" w:rsidRDefault="00BC5191" w:rsidP="00BC5191">
      <w:pPr>
        <w:pStyle w:val="ListParagraph"/>
        <w:numPr>
          <w:ilvl w:val="0"/>
          <w:numId w:val="5"/>
        </w:numPr>
        <w:rPr>
          <w:rFonts w:ascii="Times New Roman" w:hAnsi="Times New Roman" w:cs="Times New Roman"/>
          <w:sz w:val="20"/>
          <w:szCs w:val="20"/>
          <w:lang w:val="en-US"/>
        </w:rPr>
      </w:pPr>
      <w:r w:rsidRPr="00014482">
        <w:rPr>
          <w:rFonts w:ascii="Times New Roman" w:hAnsi="Times New Roman" w:cs="Times New Roman"/>
          <w:sz w:val="20"/>
          <w:szCs w:val="20"/>
          <w:lang w:val="en-US"/>
        </w:rPr>
        <w:t>Classification of Capital Gain/Loss:</w:t>
      </w:r>
    </w:p>
    <w:p w14:paraId="3E9D3404" w14:textId="776C675D" w:rsidR="00BC5191" w:rsidRPr="00014482" w:rsidRDefault="00BC5191" w:rsidP="00BC5191">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If the undertaking is held for </w:t>
      </w:r>
      <w:r w:rsidRPr="00014482">
        <w:rPr>
          <w:rFonts w:ascii="Times New Roman" w:hAnsi="Times New Roman" w:cs="Times New Roman"/>
          <w:sz w:val="20"/>
          <w:szCs w:val="20"/>
          <w:u w:val="single"/>
          <w:lang w:val="en-US"/>
        </w:rPr>
        <w:t>more than 36 months</w:t>
      </w:r>
      <w:r w:rsidRPr="00014482">
        <w:rPr>
          <w:rFonts w:ascii="Times New Roman" w:hAnsi="Times New Roman" w:cs="Times New Roman"/>
          <w:sz w:val="20"/>
          <w:szCs w:val="20"/>
          <w:lang w:val="en-US"/>
        </w:rPr>
        <w:t>, the resulting capital gain or loss shall be long-term.</w:t>
      </w:r>
    </w:p>
    <w:p w14:paraId="71E7750A" w14:textId="27AA714F" w:rsidR="00BC5191" w:rsidRPr="00014482" w:rsidRDefault="00BC5191" w:rsidP="00BC5191">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If the undertaking is held for </w:t>
      </w:r>
      <w:r w:rsidRPr="00014482">
        <w:rPr>
          <w:rFonts w:ascii="Times New Roman" w:hAnsi="Times New Roman" w:cs="Times New Roman"/>
          <w:sz w:val="20"/>
          <w:szCs w:val="20"/>
          <w:u w:val="single"/>
          <w:lang w:val="en-US"/>
        </w:rPr>
        <w:t>less than 36 months</w:t>
      </w:r>
      <w:r w:rsidRPr="00014482">
        <w:rPr>
          <w:rFonts w:ascii="Times New Roman" w:hAnsi="Times New Roman" w:cs="Times New Roman"/>
          <w:sz w:val="20"/>
          <w:szCs w:val="20"/>
          <w:lang w:val="en-US"/>
        </w:rPr>
        <w:t>, the resulting capital gain or loss shall be short-term.</w:t>
      </w:r>
    </w:p>
    <w:p w14:paraId="2CF496B4" w14:textId="03301BDD" w:rsidR="00BC5191" w:rsidRPr="00014482" w:rsidRDefault="00BC5191" w:rsidP="00BC5191">
      <w:pPr>
        <w:pStyle w:val="ListParagraph"/>
        <w:numPr>
          <w:ilvl w:val="0"/>
          <w:numId w:val="5"/>
        </w:numPr>
        <w:rPr>
          <w:rFonts w:ascii="Times New Roman" w:hAnsi="Times New Roman" w:cs="Times New Roman"/>
          <w:sz w:val="20"/>
          <w:szCs w:val="20"/>
          <w:lang w:val="en-US"/>
        </w:rPr>
      </w:pPr>
      <w:r w:rsidRPr="00014482">
        <w:rPr>
          <w:rFonts w:ascii="Times New Roman" w:hAnsi="Times New Roman" w:cs="Times New Roman"/>
          <w:sz w:val="20"/>
          <w:szCs w:val="20"/>
          <w:lang w:val="en-US"/>
        </w:rPr>
        <w:t>Calculation of Capital Gain/Loss in Case of Slump Sale (Section 50B)</w:t>
      </w:r>
      <w:r w:rsidR="00110A73" w:rsidRPr="00014482">
        <w:rPr>
          <w:rFonts w:ascii="Times New Roman" w:hAnsi="Times New Roman" w:cs="Times New Roman"/>
          <w:sz w:val="20"/>
          <w:szCs w:val="20"/>
          <w:lang w:val="en-US"/>
        </w:rPr>
        <w:t>:</w:t>
      </w:r>
    </w:p>
    <w:p w14:paraId="3E464611" w14:textId="31F43B3D" w:rsidR="00BC5191" w:rsidRPr="00014482" w:rsidRDefault="00BC5191" w:rsidP="00BC5191">
      <w:p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Particulars</w:t>
      </w:r>
      <w:r w:rsidRPr="00014482">
        <w:rPr>
          <w:rFonts w:ascii="Times New Roman" w:hAnsi="Times New Roman" w:cs="Times New Roman"/>
          <w:sz w:val="20"/>
          <w:szCs w:val="20"/>
          <w:lang w:val="en-US"/>
        </w:rPr>
        <w:t>:</w:t>
      </w:r>
    </w:p>
    <w:p w14:paraId="28FAC960" w14:textId="77777777" w:rsidR="00BC5191" w:rsidRPr="00014482" w:rsidRDefault="00BC5191" w:rsidP="00BC5191">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1. Full value of lump sum consideration </w:t>
      </w:r>
    </w:p>
    <w:p w14:paraId="380C417D" w14:textId="77777777" w:rsidR="00BC5191" w:rsidRPr="00014482" w:rsidRDefault="00BC5191" w:rsidP="00BC5191">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2. Less: Expenditure in relation to the transfer </w:t>
      </w:r>
    </w:p>
    <w:p w14:paraId="49393B8A" w14:textId="77777777" w:rsidR="00BC5191" w:rsidRPr="00014482" w:rsidRDefault="00BC5191" w:rsidP="00BC5191">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3. Less: Net worth of the undertaking (being the cost of acquisition and improvement)</w:t>
      </w:r>
    </w:p>
    <w:p w14:paraId="07474355" w14:textId="7164B60F" w:rsidR="000260B7" w:rsidRPr="00014482" w:rsidRDefault="00BC5191" w:rsidP="00BC5191">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4. Resulting: Capital Gain/Loss</w:t>
      </w:r>
    </w:p>
    <w:p w14:paraId="06C61091" w14:textId="77777777" w:rsidR="00E81D49" w:rsidRPr="00014482" w:rsidRDefault="00E81D49" w:rsidP="00E81D49">
      <w:pPr>
        <w:rPr>
          <w:rFonts w:ascii="Times New Roman" w:hAnsi="Times New Roman" w:cs="Times New Roman"/>
          <w:sz w:val="20"/>
          <w:szCs w:val="20"/>
          <w:lang w:val="en-US"/>
        </w:rPr>
      </w:pPr>
    </w:p>
    <w:p w14:paraId="7A15D3AA" w14:textId="0E9BF96A" w:rsidR="00E81D49" w:rsidRPr="00014482" w:rsidRDefault="0029108B" w:rsidP="00E81D49">
      <w:pPr>
        <w:rPr>
          <w:rFonts w:ascii="Times New Roman" w:hAnsi="Times New Roman" w:cs="Times New Roman"/>
          <w:sz w:val="20"/>
          <w:szCs w:val="20"/>
          <w:lang w:val="en-US"/>
        </w:rPr>
      </w:pPr>
      <w:r w:rsidRPr="00014482">
        <w:rPr>
          <w:rFonts w:ascii="Times New Roman" w:hAnsi="Times New Roman" w:cs="Times New Roman"/>
          <w:sz w:val="20"/>
          <w:szCs w:val="20"/>
          <w:lang w:val="en-US"/>
        </w:rPr>
        <w:t>(</w:t>
      </w:r>
      <w:r w:rsidR="00E81D49" w:rsidRPr="00014482">
        <w:rPr>
          <w:rFonts w:ascii="Times New Roman" w:hAnsi="Times New Roman" w:cs="Times New Roman"/>
          <w:sz w:val="20"/>
          <w:szCs w:val="20"/>
          <w:lang w:val="en-US"/>
        </w:rPr>
        <w:t>CG = slump sale consideration – Net worth of the undertaking.</w:t>
      </w:r>
    </w:p>
    <w:p w14:paraId="4CD5A9B1" w14:textId="3DE04AAA" w:rsidR="00BA6098" w:rsidRPr="00014482" w:rsidRDefault="00E81D49" w:rsidP="00E81D49">
      <w:pPr>
        <w:rPr>
          <w:rFonts w:ascii="Times New Roman" w:hAnsi="Times New Roman" w:cs="Times New Roman"/>
          <w:sz w:val="20"/>
          <w:szCs w:val="20"/>
          <w:lang w:val="en-US"/>
        </w:rPr>
      </w:pPr>
      <w:r w:rsidRPr="00014482">
        <w:rPr>
          <w:rFonts w:ascii="Times New Roman" w:hAnsi="Times New Roman" w:cs="Times New Roman"/>
          <w:sz w:val="20"/>
          <w:szCs w:val="20"/>
          <w:lang w:val="en-US"/>
        </w:rPr>
        <w:t>Whereas, Net worth = aggregate value of the total assets – value of Liabilities of the undertaking</w:t>
      </w:r>
      <w:r w:rsidR="0029108B" w:rsidRPr="00014482">
        <w:rPr>
          <w:rFonts w:ascii="Times New Roman" w:hAnsi="Times New Roman" w:cs="Times New Roman"/>
          <w:sz w:val="20"/>
          <w:szCs w:val="20"/>
          <w:lang w:val="en-US"/>
        </w:rPr>
        <w:t>).</w:t>
      </w:r>
      <w:r w:rsidR="009B3DF5" w:rsidRPr="00014482">
        <w:rPr>
          <w:rStyle w:val="EndnoteReference"/>
          <w:rFonts w:ascii="Times New Roman" w:hAnsi="Times New Roman" w:cs="Times New Roman"/>
          <w:sz w:val="20"/>
          <w:szCs w:val="20"/>
          <w:lang w:val="en-US"/>
        </w:rPr>
        <w:endnoteReference w:id="3"/>
      </w:r>
    </w:p>
    <w:p w14:paraId="09FB81CF" w14:textId="77777777" w:rsidR="00BA6098" w:rsidRPr="00014482" w:rsidRDefault="00BA6098" w:rsidP="00E81D49">
      <w:pPr>
        <w:rPr>
          <w:rFonts w:ascii="Times New Roman" w:hAnsi="Times New Roman" w:cs="Times New Roman"/>
          <w:sz w:val="20"/>
          <w:szCs w:val="20"/>
          <w:lang w:val="en-US"/>
        </w:rPr>
      </w:pPr>
    </w:p>
    <w:p w14:paraId="1824B049" w14:textId="5A60FA45" w:rsidR="00736CC1" w:rsidRPr="002C72F7" w:rsidRDefault="002C72F7" w:rsidP="00E81D49">
      <w:pPr>
        <w:rPr>
          <w:rFonts w:ascii="Times New Roman" w:hAnsi="Times New Roman" w:cs="Times New Roman"/>
          <w:b/>
          <w:bCs/>
          <w:sz w:val="24"/>
          <w:szCs w:val="24"/>
          <w:lang w:val="en-US"/>
        </w:rPr>
      </w:pPr>
      <w:r w:rsidRPr="002C72F7">
        <w:rPr>
          <w:rFonts w:ascii="Times New Roman" w:hAnsi="Times New Roman" w:cs="Times New Roman"/>
          <w:b/>
          <w:bCs/>
          <w:sz w:val="24"/>
          <w:szCs w:val="24"/>
          <w:lang w:val="en-US"/>
        </w:rPr>
        <w:t>WHO ALL APPROVES FOR SLUMP SALE?</w:t>
      </w:r>
    </w:p>
    <w:p w14:paraId="3A05C193" w14:textId="709DDD57" w:rsidR="007F6A0B" w:rsidRPr="00014482" w:rsidRDefault="007F6A0B" w:rsidP="007F6A0B">
      <w:pPr>
        <w:rPr>
          <w:rFonts w:ascii="Times New Roman" w:hAnsi="Times New Roman" w:cs="Times New Roman"/>
          <w:sz w:val="20"/>
          <w:szCs w:val="20"/>
          <w:lang w:val="en-US"/>
        </w:rPr>
      </w:pPr>
      <w:r w:rsidRPr="00014482">
        <w:rPr>
          <w:rFonts w:ascii="Times New Roman" w:hAnsi="Times New Roman" w:cs="Times New Roman"/>
          <w:sz w:val="20"/>
          <w:szCs w:val="20"/>
          <w:lang w:val="en-US"/>
        </w:rPr>
        <w:t>When it involves a straightforward transfer of assets (slump sale) between two entities, the following approvals and compliance steps are generally required, as opposed to a scheme of arrangement under Sections 230-232 of the Companies Act, 2013:</w:t>
      </w:r>
    </w:p>
    <w:p w14:paraId="71FD6EB4" w14:textId="77777777" w:rsidR="007F6A0B" w:rsidRPr="00014482" w:rsidRDefault="007F6A0B" w:rsidP="00EE176C">
      <w:pPr>
        <w:pStyle w:val="ListParagraph"/>
        <w:numPr>
          <w:ilvl w:val="0"/>
          <w:numId w:val="10"/>
        </w:numPr>
        <w:rPr>
          <w:rFonts w:ascii="Times New Roman" w:hAnsi="Times New Roman" w:cs="Times New Roman"/>
          <w:sz w:val="20"/>
          <w:szCs w:val="20"/>
          <w:lang w:val="en-US"/>
        </w:rPr>
      </w:pPr>
      <w:r w:rsidRPr="00014482">
        <w:rPr>
          <w:rFonts w:ascii="Times New Roman" w:hAnsi="Times New Roman" w:cs="Times New Roman"/>
          <w:sz w:val="20"/>
          <w:szCs w:val="20"/>
          <w:lang w:val="en-US"/>
        </w:rPr>
        <w:t>Board of Directors:</w:t>
      </w:r>
    </w:p>
    <w:p w14:paraId="2A0D383A" w14:textId="4D151591" w:rsidR="007F6A0B" w:rsidRPr="00014482" w:rsidRDefault="007F6A0B" w:rsidP="007F6A0B">
      <w:pPr>
        <w:rPr>
          <w:rFonts w:ascii="Times New Roman" w:hAnsi="Times New Roman" w:cs="Times New Roman"/>
          <w:sz w:val="20"/>
          <w:szCs w:val="20"/>
          <w:lang w:val="en-US"/>
        </w:rPr>
      </w:pPr>
      <w:r w:rsidRPr="00014482">
        <w:rPr>
          <w:rFonts w:ascii="Times New Roman" w:hAnsi="Times New Roman" w:cs="Times New Roman"/>
          <w:sz w:val="20"/>
          <w:szCs w:val="20"/>
          <w:lang w:val="en-US"/>
        </w:rPr>
        <w:t>Approval from the board of directors of both the buyer and the seller is required</w:t>
      </w:r>
      <w:r w:rsidR="00BB5970" w:rsidRPr="00014482">
        <w:rPr>
          <w:rFonts w:ascii="Times New Roman" w:hAnsi="Times New Roman" w:cs="Times New Roman"/>
          <w:sz w:val="20"/>
          <w:szCs w:val="20"/>
          <w:lang w:val="en-US"/>
        </w:rPr>
        <w:t xml:space="preserve"> through board resolution. </w:t>
      </w:r>
    </w:p>
    <w:p w14:paraId="28847EF0" w14:textId="77777777" w:rsidR="007F6A0B" w:rsidRPr="00014482" w:rsidRDefault="007F6A0B" w:rsidP="00EE176C">
      <w:pPr>
        <w:pStyle w:val="ListParagraph"/>
        <w:numPr>
          <w:ilvl w:val="0"/>
          <w:numId w:val="10"/>
        </w:numPr>
        <w:rPr>
          <w:rFonts w:ascii="Times New Roman" w:hAnsi="Times New Roman" w:cs="Times New Roman"/>
          <w:sz w:val="20"/>
          <w:szCs w:val="20"/>
          <w:lang w:val="en-US"/>
        </w:rPr>
      </w:pPr>
      <w:r w:rsidRPr="00014482">
        <w:rPr>
          <w:rFonts w:ascii="Times New Roman" w:hAnsi="Times New Roman" w:cs="Times New Roman"/>
          <w:sz w:val="20"/>
          <w:szCs w:val="20"/>
          <w:lang w:val="en-US"/>
        </w:rPr>
        <w:t>Shareholders:</w:t>
      </w:r>
    </w:p>
    <w:p w14:paraId="5A7506BC" w14:textId="6DD57CE4" w:rsidR="00D33242" w:rsidRPr="00014482" w:rsidRDefault="007F6A0B" w:rsidP="00D33242">
      <w:pPr>
        <w:rPr>
          <w:rFonts w:ascii="Times New Roman" w:hAnsi="Times New Roman" w:cs="Times New Roman"/>
          <w:sz w:val="20"/>
          <w:szCs w:val="20"/>
          <w:lang w:val="en-US"/>
        </w:rPr>
      </w:pPr>
      <w:r w:rsidRPr="00014482">
        <w:rPr>
          <w:rFonts w:ascii="Times New Roman" w:hAnsi="Times New Roman" w:cs="Times New Roman"/>
          <w:sz w:val="20"/>
          <w:szCs w:val="20"/>
          <w:lang w:val="en-US"/>
        </w:rPr>
        <w:t>In certain cases, especially if the transaction involves a substantial portion of the company's assets, approval from the shareholders of the selling company may be necessary</w:t>
      </w:r>
      <w:r w:rsidR="00D33242" w:rsidRPr="00014482">
        <w:rPr>
          <w:rFonts w:ascii="Times New Roman" w:hAnsi="Times New Roman" w:cs="Times New Roman"/>
          <w:sz w:val="20"/>
          <w:szCs w:val="20"/>
          <w:lang w:val="en-US"/>
        </w:rPr>
        <w:t xml:space="preserve"> through special resolution.</w:t>
      </w:r>
    </w:p>
    <w:p w14:paraId="00108B45" w14:textId="0CA96ADB" w:rsidR="007F6A0B" w:rsidRPr="00014482" w:rsidRDefault="007F6A0B" w:rsidP="00D33242">
      <w:pPr>
        <w:pStyle w:val="ListParagraph"/>
        <w:numPr>
          <w:ilvl w:val="0"/>
          <w:numId w:val="10"/>
        </w:numPr>
        <w:rPr>
          <w:rFonts w:ascii="Times New Roman" w:hAnsi="Times New Roman" w:cs="Times New Roman"/>
          <w:sz w:val="20"/>
          <w:szCs w:val="20"/>
          <w:lang w:val="en-US"/>
        </w:rPr>
      </w:pPr>
      <w:r w:rsidRPr="00014482">
        <w:rPr>
          <w:rFonts w:ascii="Times New Roman" w:hAnsi="Times New Roman" w:cs="Times New Roman"/>
          <w:sz w:val="20"/>
          <w:szCs w:val="20"/>
          <w:lang w:val="en-US"/>
        </w:rPr>
        <w:t>Regulatory Filings:</w:t>
      </w:r>
    </w:p>
    <w:p w14:paraId="15BB94DC" w14:textId="77777777" w:rsidR="007F6A0B" w:rsidRPr="00014482" w:rsidRDefault="007F6A0B" w:rsidP="007F6A0B">
      <w:pPr>
        <w:rPr>
          <w:rFonts w:ascii="Times New Roman" w:hAnsi="Times New Roman" w:cs="Times New Roman"/>
          <w:sz w:val="20"/>
          <w:szCs w:val="20"/>
          <w:lang w:val="en-US"/>
        </w:rPr>
      </w:pPr>
      <w:r w:rsidRPr="00014482">
        <w:rPr>
          <w:rFonts w:ascii="Times New Roman" w:hAnsi="Times New Roman" w:cs="Times New Roman"/>
          <w:sz w:val="20"/>
          <w:szCs w:val="20"/>
          <w:lang w:val="en-US"/>
        </w:rPr>
        <w:t>Depending on the industry and the nature of the assets being transferred, specific regulatory filings and approvals may be needed. For example, if the assets include immovable property, registration with the relevant state authority and payment of stamp duty may be required.</w:t>
      </w:r>
    </w:p>
    <w:p w14:paraId="3BDCAD28" w14:textId="2A427730" w:rsidR="007F6A0B" w:rsidRPr="00014482" w:rsidRDefault="007F6A0B" w:rsidP="007F6A0B">
      <w:pPr>
        <w:rPr>
          <w:rFonts w:ascii="Times New Roman" w:hAnsi="Times New Roman" w:cs="Times New Roman"/>
          <w:sz w:val="20"/>
          <w:szCs w:val="20"/>
          <w:lang w:val="en-US"/>
        </w:rPr>
      </w:pPr>
      <w:r w:rsidRPr="00014482">
        <w:rPr>
          <w:rFonts w:ascii="Times New Roman" w:hAnsi="Times New Roman" w:cs="Times New Roman"/>
          <w:sz w:val="20"/>
          <w:szCs w:val="20"/>
          <w:lang w:val="en-US"/>
        </w:rPr>
        <w:t>If the transaction involves the transfer of licenses, permits, or other regulatory approvals, these may need to be reissued or transferred in the name of the buyer, subject to the consent of the issuing authority.</w:t>
      </w:r>
    </w:p>
    <w:p w14:paraId="1BEBB259" w14:textId="77777777" w:rsidR="007F6A0B" w:rsidRPr="00014482" w:rsidRDefault="007F6A0B" w:rsidP="00EE176C">
      <w:pPr>
        <w:pStyle w:val="ListParagraph"/>
        <w:numPr>
          <w:ilvl w:val="0"/>
          <w:numId w:val="11"/>
        </w:numPr>
        <w:rPr>
          <w:rFonts w:ascii="Times New Roman" w:hAnsi="Times New Roman" w:cs="Times New Roman"/>
          <w:sz w:val="20"/>
          <w:szCs w:val="20"/>
          <w:lang w:val="en-US"/>
        </w:rPr>
      </w:pPr>
      <w:r w:rsidRPr="00014482">
        <w:rPr>
          <w:rFonts w:ascii="Times New Roman" w:hAnsi="Times New Roman" w:cs="Times New Roman"/>
          <w:sz w:val="20"/>
          <w:szCs w:val="20"/>
          <w:lang w:val="en-US"/>
        </w:rPr>
        <w:t>Competition Commission of India (CCI):</w:t>
      </w:r>
    </w:p>
    <w:p w14:paraId="0E4A540C" w14:textId="0FD5BBD7" w:rsidR="007F6A0B" w:rsidRPr="00014482" w:rsidRDefault="007F6A0B" w:rsidP="007F6A0B">
      <w:pPr>
        <w:rPr>
          <w:rFonts w:ascii="Times New Roman" w:hAnsi="Times New Roman" w:cs="Times New Roman"/>
          <w:sz w:val="20"/>
          <w:szCs w:val="20"/>
          <w:lang w:val="en-US"/>
        </w:rPr>
      </w:pPr>
      <w:r w:rsidRPr="00014482">
        <w:rPr>
          <w:rFonts w:ascii="Times New Roman" w:hAnsi="Times New Roman" w:cs="Times New Roman"/>
          <w:sz w:val="20"/>
          <w:szCs w:val="20"/>
          <w:lang w:val="en-US"/>
        </w:rPr>
        <w:t>If the transaction meets certain financial thresholds, approval from the Competition Commission of India may be required to ensure that the deal does not create a monopoly or reduce competition in the market.</w:t>
      </w:r>
    </w:p>
    <w:p w14:paraId="5486FD17" w14:textId="77777777" w:rsidR="007F6A0B" w:rsidRPr="00014482" w:rsidRDefault="007F6A0B" w:rsidP="00EE176C">
      <w:pPr>
        <w:pStyle w:val="ListParagraph"/>
        <w:numPr>
          <w:ilvl w:val="0"/>
          <w:numId w:val="12"/>
        </w:numPr>
        <w:rPr>
          <w:rFonts w:ascii="Times New Roman" w:hAnsi="Times New Roman" w:cs="Times New Roman"/>
          <w:sz w:val="20"/>
          <w:szCs w:val="20"/>
          <w:lang w:val="en-US"/>
        </w:rPr>
      </w:pPr>
      <w:r w:rsidRPr="00014482">
        <w:rPr>
          <w:rFonts w:ascii="Times New Roman" w:hAnsi="Times New Roman" w:cs="Times New Roman"/>
          <w:sz w:val="20"/>
          <w:szCs w:val="20"/>
          <w:lang w:val="en-US"/>
        </w:rPr>
        <w:t>Contractual Consents:</w:t>
      </w:r>
    </w:p>
    <w:p w14:paraId="02925349" w14:textId="77777777" w:rsidR="00B848DF" w:rsidRPr="00014482" w:rsidRDefault="007F6A0B" w:rsidP="00A6308E">
      <w:pPr>
        <w:rPr>
          <w:rFonts w:ascii="Times New Roman" w:hAnsi="Times New Roman" w:cs="Times New Roman"/>
          <w:sz w:val="20"/>
          <w:szCs w:val="20"/>
          <w:lang w:val="en-US"/>
        </w:rPr>
      </w:pPr>
      <w:r w:rsidRPr="00014482">
        <w:rPr>
          <w:rFonts w:ascii="Times New Roman" w:hAnsi="Times New Roman" w:cs="Times New Roman"/>
          <w:sz w:val="20"/>
          <w:szCs w:val="20"/>
          <w:lang w:val="en-US"/>
        </w:rPr>
        <w:t>If there are contracts or agreements tied to the assets being transferred, the consent of the counter-parties to those contracts may be necessary</w:t>
      </w:r>
      <w:r w:rsidR="00B848DF" w:rsidRPr="00014482">
        <w:rPr>
          <w:rFonts w:ascii="Times New Roman" w:hAnsi="Times New Roman" w:cs="Times New Roman"/>
          <w:sz w:val="20"/>
          <w:szCs w:val="20"/>
          <w:lang w:val="en-US"/>
        </w:rPr>
        <w:t>.</w:t>
      </w:r>
    </w:p>
    <w:p w14:paraId="005D4C89" w14:textId="55D5B51F" w:rsidR="007F6A0B" w:rsidRPr="00014482" w:rsidRDefault="007F6A0B" w:rsidP="00B848DF">
      <w:pPr>
        <w:pStyle w:val="ListParagraph"/>
        <w:numPr>
          <w:ilvl w:val="0"/>
          <w:numId w:val="12"/>
        </w:numPr>
        <w:rPr>
          <w:rFonts w:ascii="Times New Roman" w:hAnsi="Times New Roman" w:cs="Times New Roman"/>
          <w:sz w:val="20"/>
          <w:szCs w:val="20"/>
          <w:lang w:val="en-US"/>
        </w:rPr>
      </w:pPr>
      <w:r w:rsidRPr="00014482">
        <w:rPr>
          <w:rFonts w:ascii="Times New Roman" w:hAnsi="Times New Roman" w:cs="Times New Roman"/>
          <w:sz w:val="20"/>
          <w:szCs w:val="20"/>
          <w:lang w:val="en-US"/>
        </w:rPr>
        <w:t>Lenders and Creditors:</w:t>
      </w:r>
    </w:p>
    <w:p w14:paraId="42AC248B" w14:textId="61ED024F" w:rsidR="007F6A0B" w:rsidRPr="00014482" w:rsidRDefault="007F6A0B" w:rsidP="007F6A0B">
      <w:pPr>
        <w:rPr>
          <w:rFonts w:ascii="Times New Roman" w:hAnsi="Times New Roman" w:cs="Times New Roman"/>
          <w:sz w:val="20"/>
          <w:szCs w:val="20"/>
          <w:lang w:val="en-US"/>
        </w:rPr>
      </w:pPr>
      <w:r w:rsidRPr="00014482">
        <w:rPr>
          <w:rFonts w:ascii="Times New Roman" w:hAnsi="Times New Roman" w:cs="Times New Roman"/>
          <w:sz w:val="20"/>
          <w:szCs w:val="20"/>
          <w:lang w:val="en-US"/>
        </w:rPr>
        <w:lastRenderedPageBreak/>
        <w:t>If the assets being transferred are secured by loans or if there are outstanding liabilities, the consent of the lenders and creditors may be required. This ensures that the transfer does not violate any loan covenants or agreements with creditors.</w:t>
      </w:r>
    </w:p>
    <w:p w14:paraId="6102C89C" w14:textId="77777777" w:rsidR="007F6A0B" w:rsidRPr="00014482" w:rsidRDefault="007F6A0B" w:rsidP="00EE176C">
      <w:pPr>
        <w:pStyle w:val="ListParagraph"/>
        <w:numPr>
          <w:ilvl w:val="0"/>
          <w:numId w:val="12"/>
        </w:numPr>
        <w:rPr>
          <w:rFonts w:ascii="Times New Roman" w:hAnsi="Times New Roman" w:cs="Times New Roman"/>
          <w:sz w:val="20"/>
          <w:szCs w:val="20"/>
          <w:lang w:val="en-US"/>
        </w:rPr>
      </w:pPr>
      <w:r w:rsidRPr="00014482">
        <w:rPr>
          <w:rFonts w:ascii="Times New Roman" w:hAnsi="Times New Roman" w:cs="Times New Roman"/>
          <w:sz w:val="20"/>
          <w:szCs w:val="20"/>
          <w:lang w:val="en-US"/>
        </w:rPr>
        <w:t>Employee and Labor Laws:</w:t>
      </w:r>
    </w:p>
    <w:p w14:paraId="10FFD914" w14:textId="77777777" w:rsidR="00A10FB9" w:rsidRPr="00014482" w:rsidRDefault="007F6A0B" w:rsidP="00A10FB9">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If the transfer includes a significant number of employees, compliance with labor laws and possibly the consent of the employees may be required. </w:t>
      </w:r>
    </w:p>
    <w:p w14:paraId="27B90EBC" w14:textId="2BD477AC" w:rsidR="007F6A0B" w:rsidRPr="00014482" w:rsidRDefault="007F6A0B" w:rsidP="00A10FB9">
      <w:pPr>
        <w:pStyle w:val="ListParagraph"/>
        <w:numPr>
          <w:ilvl w:val="0"/>
          <w:numId w:val="12"/>
        </w:numPr>
        <w:rPr>
          <w:rFonts w:ascii="Times New Roman" w:hAnsi="Times New Roman" w:cs="Times New Roman"/>
          <w:sz w:val="20"/>
          <w:szCs w:val="20"/>
          <w:lang w:val="en-US"/>
        </w:rPr>
      </w:pPr>
      <w:r w:rsidRPr="00014482">
        <w:rPr>
          <w:rFonts w:ascii="Times New Roman" w:hAnsi="Times New Roman" w:cs="Times New Roman"/>
          <w:sz w:val="20"/>
          <w:szCs w:val="20"/>
          <w:lang w:val="en-US"/>
        </w:rPr>
        <w:t>Tax Authorities:</w:t>
      </w:r>
    </w:p>
    <w:p w14:paraId="7A8F0E31" w14:textId="6E26FEAB" w:rsidR="00EE176C" w:rsidRPr="00014482" w:rsidRDefault="007F6A0B" w:rsidP="007F6A0B">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Compliance with tax regulations, including the payment of any applicable taxes on the transfer, such as capital gains tax, Goods and Services Tax (GST), and stamp duty, is essential. </w:t>
      </w:r>
    </w:p>
    <w:p w14:paraId="6748B645" w14:textId="414968E9" w:rsidR="007F6A0B" w:rsidRPr="00014482" w:rsidRDefault="007F6A0B" w:rsidP="007F6A0B">
      <w:pPr>
        <w:rPr>
          <w:rFonts w:ascii="Times New Roman" w:hAnsi="Times New Roman" w:cs="Times New Roman"/>
          <w:sz w:val="20"/>
          <w:szCs w:val="20"/>
          <w:lang w:val="en-US"/>
        </w:rPr>
      </w:pPr>
      <w:r w:rsidRPr="00014482">
        <w:rPr>
          <w:rFonts w:ascii="Times New Roman" w:hAnsi="Times New Roman" w:cs="Times New Roman"/>
          <w:sz w:val="20"/>
          <w:szCs w:val="20"/>
          <w:lang w:val="en-US"/>
        </w:rPr>
        <w:t>Each of these steps ensures that the asset transfer is legally compliant and all stakeholders' interests are protected. It is advisable to consult with legal and financial advisors to navigate the specific requirements and obtain the necessary approvals.</w:t>
      </w:r>
    </w:p>
    <w:p w14:paraId="1ACB2683" w14:textId="77777777" w:rsidR="000C5CA6" w:rsidRPr="00014482" w:rsidRDefault="000C5CA6" w:rsidP="000C5CA6">
      <w:pPr>
        <w:rPr>
          <w:rFonts w:ascii="Times New Roman" w:hAnsi="Times New Roman" w:cs="Times New Roman"/>
          <w:sz w:val="20"/>
          <w:szCs w:val="20"/>
          <w:lang w:val="en-US"/>
        </w:rPr>
      </w:pPr>
    </w:p>
    <w:p w14:paraId="23CC9464" w14:textId="7D6527A0" w:rsidR="000C5CA6" w:rsidRPr="002C72F7" w:rsidRDefault="00A10FB9" w:rsidP="000C5CA6">
      <w:pPr>
        <w:rPr>
          <w:rFonts w:ascii="Times New Roman" w:hAnsi="Times New Roman" w:cs="Times New Roman"/>
          <w:b/>
          <w:bCs/>
          <w:sz w:val="24"/>
          <w:szCs w:val="24"/>
          <w:lang w:val="en-US"/>
        </w:rPr>
      </w:pPr>
      <w:r w:rsidRPr="002C72F7">
        <w:rPr>
          <w:rFonts w:ascii="Times New Roman" w:hAnsi="Times New Roman" w:cs="Times New Roman"/>
          <w:b/>
          <w:bCs/>
          <w:sz w:val="24"/>
          <w:szCs w:val="24"/>
          <w:lang w:val="en-US"/>
        </w:rPr>
        <w:t>WHY APPROVAL FROM THE NATIONAL COMPANY LAW TRIBUNAL (NCLT) IN SLUMP SALE ASSETS TRANSFER IS NOT REQUIRED AS OPPOSED TO SCHEME OF ARRANGEMENT UNDER SECTION 230 – 232OF COMPANIES ACT?</w:t>
      </w:r>
    </w:p>
    <w:tbl>
      <w:tblPr>
        <w:tblStyle w:val="TableGrid"/>
        <w:tblW w:w="0" w:type="auto"/>
        <w:tblLook w:val="04A0" w:firstRow="1" w:lastRow="0" w:firstColumn="1" w:lastColumn="0" w:noHBand="0" w:noVBand="1"/>
      </w:tblPr>
      <w:tblGrid>
        <w:gridCol w:w="3005"/>
        <w:gridCol w:w="3005"/>
        <w:gridCol w:w="3006"/>
      </w:tblGrid>
      <w:tr w:rsidR="0047377D" w:rsidRPr="00014482" w14:paraId="2D1037B1" w14:textId="77777777" w:rsidTr="0047377D">
        <w:tc>
          <w:tcPr>
            <w:tcW w:w="3005" w:type="dxa"/>
          </w:tcPr>
          <w:p w14:paraId="6F8BA2E5" w14:textId="77777777" w:rsidR="0047377D" w:rsidRPr="00014482" w:rsidRDefault="0047377D" w:rsidP="000C5CA6">
            <w:pPr>
              <w:rPr>
                <w:rFonts w:ascii="Times New Roman" w:hAnsi="Times New Roman" w:cs="Times New Roman"/>
                <w:sz w:val="20"/>
                <w:szCs w:val="20"/>
                <w:lang w:val="en-US"/>
              </w:rPr>
            </w:pPr>
          </w:p>
        </w:tc>
        <w:tc>
          <w:tcPr>
            <w:tcW w:w="3005" w:type="dxa"/>
          </w:tcPr>
          <w:p w14:paraId="5AF512F7" w14:textId="18176A0E" w:rsidR="0047377D" w:rsidRPr="00014482" w:rsidRDefault="0068502E" w:rsidP="000C5CA6">
            <w:pPr>
              <w:rPr>
                <w:rFonts w:ascii="Times New Roman" w:hAnsi="Times New Roman" w:cs="Times New Roman"/>
                <w:b/>
                <w:bCs/>
                <w:sz w:val="20"/>
                <w:szCs w:val="20"/>
                <w:lang w:val="en-US"/>
              </w:rPr>
            </w:pPr>
            <w:r w:rsidRPr="00014482">
              <w:rPr>
                <w:rFonts w:ascii="Times New Roman" w:hAnsi="Times New Roman" w:cs="Times New Roman"/>
                <w:b/>
                <w:bCs/>
                <w:sz w:val="20"/>
                <w:szCs w:val="20"/>
                <w:lang w:val="en-US"/>
              </w:rPr>
              <w:t>SLUMP SALE</w:t>
            </w:r>
          </w:p>
        </w:tc>
        <w:tc>
          <w:tcPr>
            <w:tcW w:w="3006" w:type="dxa"/>
          </w:tcPr>
          <w:p w14:paraId="06E57D9A" w14:textId="4F65346A" w:rsidR="0047377D" w:rsidRPr="00014482" w:rsidRDefault="0068502E" w:rsidP="000C5CA6">
            <w:pPr>
              <w:rPr>
                <w:rFonts w:ascii="Times New Roman" w:hAnsi="Times New Roman" w:cs="Times New Roman"/>
                <w:b/>
                <w:bCs/>
                <w:sz w:val="20"/>
                <w:szCs w:val="20"/>
                <w:lang w:val="en-US"/>
              </w:rPr>
            </w:pPr>
            <w:r w:rsidRPr="00014482">
              <w:rPr>
                <w:rFonts w:ascii="Times New Roman" w:hAnsi="Times New Roman" w:cs="Times New Roman"/>
                <w:b/>
                <w:bCs/>
                <w:sz w:val="20"/>
                <w:szCs w:val="20"/>
                <w:lang w:val="en-US"/>
              </w:rPr>
              <w:t>SCHEME OF ARRANGEMENTS</w:t>
            </w:r>
          </w:p>
        </w:tc>
      </w:tr>
      <w:tr w:rsidR="0047377D" w:rsidRPr="00014482" w14:paraId="5478E5A9" w14:textId="77777777" w:rsidTr="0047377D">
        <w:tc>
          <w:tcPr>
            <w:tcW w:w="3005" w:type="dxa"/>
          </w:tcPr>
          <w:p w14:paraId="6235445C" w14:textId="00B45056" w:rsidR="0047377D" w:rsidRPr="00014482" w:rsidRDefault="0068502E"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Na</w:t>
            </w:r>
            <w:r w:rsidR="001D3139" w:rsidRPr="00014482">
              <w:rPr>
                <w:rFonts w:ascii="Times New Roman" w:hAnsi="Times New Roman" w:cs="Times New Roman"/>
                <w:sz w:val="20"/>
                <w:szCs w:val="20"/>
                <w:lang w:val="en-US"/>
              </w:rPr>
              <w:t>ture of the transaction</w:t>
            </w:r>
          </w:p>
        </w:tc>
        <w:tc>
          <w:tcPr>
            <w:tcW w:w="3005" w:type="dxa"/>
          </w:tcPr>
          <w:p w14:paraId="308C6D11" w14:textId="5D5BBC0A" w:rsidR="0047377D" w:rsidRPr="00014482" w:rsidRDefault="0030460B"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Involves the sale of an undertaking for a lump sum consideration without assigning values to individual assets and liabilities. It is essentially a business transfer as a going concern and does not inherently require NCLT approval.</w:t>
            </w:r>
          </w:p>
        </w:tc>
        <w:tc>
          <w:tcPr>
            <w:tcW w:w="3006" w:type="dxa"/>
          </w:tcPr>
          <w:p w14:paraId="1640F161" w14:textId="36511299" w:rsidR="0047377D" w:rsidRPr="00014482" w:rsidRDefault="00794F8E"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This is a more complex restructuring involving compromises, arrangements, mergers, or demergers that typically affect creditors and shareholders. Such schemes usually need the approval of the NCLT to ensure they are fair and equitable to all stakeholders involved.</w:t>
            </w:r>
          </w:p>
        </w:tc>
      </w:tr>
      <w:tr w:rsidR="0047377D" w:rsidRPr="00014482" w14:paraId="12D36ABD" w14:textId="77777777" w:rsidTr="0047377D">
        <w:tc>
          <w:tcPr>
            <w:tcW w:w="3005" w:type="dxa"/>
          </w:tcPr>
          <w:p w14:paraId="3D0F72EA" w14:textId="3E9A613D" w:rsidR="0047377D" w:rsidRPr="00014482" w:rsidRDefault="001D3139"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Regulatory </w:t>
            </w:r>
            <w:r w:rsidR="00E02684" w:rsidRPr="00014482">
              <w:rPr>
                <w:rFonts w:ascii="Times New Roman" w:hAnsi="Times New Roman" w:cs="Times New Roman"/>
                <w:sz w:val="20"/>
                <w:szCs w:val="20"/>
                <w:lang w:val="en-US"/>
              </w:rPr>
              <w:t>Requirements</w:t>
            </w:r>
          </w:p>
        </w:tc>
        <w:tc>
          <w:tcPr>
            <w:tcW w:w="3005" w:type="dxa"/>
          </w:tcPr>
          <w:p w14:paraId="14B851C7" w14:textId="02352DE9" w:rsidR="0047377D" w:rsidRPr="00014482" w:rsidRDefault="00264B39"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Governed by Sections 180 and 192 of the Companies Act, 2013, which primarily require board and sometimes shareholder approval, especially if it involves the sale of substantial assets.</w:t>
            </w:r>
          </w:p>
        </w:tc>
        <w:tc>
          <w:tcPr>
            <w:tcW w:w="3006" w:type="dxa"/>
          </w:tcPr>
          <w:p w14:paraId="7E25FFCE" w14:textId="29850708" w:rsidR="0047377D" w:rsidRPr="00014482" w:rsidRDefault="00BA6A2F"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Governed by Sections 230-232 of the Companies Act, 2013, requiring a detailed process including applications to the NCLT, meetings of creditors and shareholders, and NCLT's sanction to ensure transparency and fairness.</w:t>
            </w:r>
          </w:p>
        </w:tc>
      </w:tr>
      <w:tr w:rsidR="0047377D" w:rsidRPr="00014482" w14:paraId="412DDB1B" w14:textId="77777777" w:rsidTr="0047377D">
        <w:tc>
          <w:tcPr>
            <w:tcW w:w="3005" w:type="dxa"/>
          </w:tcPr>
          <w:p w14:paraId="53B29386" w14:textId="422C8B9A" w:rsidR="0047377D" w:rsidRPr="00014482" w:rsidRDefault="00AD2001"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Stakeholder Impact</w:t>
            </w:r>
          </w:p>
        </w:tc>
        <w:tc>
          <w:tcPr>
            <w:tcW w:w="3005" w:type="dxa"/>
          </w:tcPr>
          <w:p w14:paraId="04D264BC" w14:textId="7402516F" w:rsidR="0047377D" w:rsidRPr="00014482" w:rsidRDefault="00F50B52"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Typically involves fewer complications since it’s a direct asset transfer, often between two willing parties. The impact on stakeholders is usually limited and straightforward.</w:t>
            </w:r>
          </w:p>
        </w:tc>
        <w:tc>
          <w:tcPr>
            <w:tcW w:w="3006" w:type="dxa"/>
          </w:tcPr>
          <w:p w14:paraId="166F26BD" w14:textId="65DC7616" w:rsidR="0047377D" w:rsidRPr="00014482" w:rsidRDefault="00975BB2"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Potentially affects a wider array of stakeholders including shareholders, creditors, and employees. Hence, a more rigorous process, including NCLT approval, is in place to protect their interests.</w:t>
            </w:r>
          </w:p>
        </w:tc>
      </w:tr>
      <w:tr w:rsidR="0047377D" w:rsidRPr="00014482" w14:paraId="0D66D198" w14:textId="77777777" w:rsidTr="0047377D">
        <w:tc>
          <w:tcPr>
            <w:tcW w:w="3005" w:type="dxa"/>
          </w:tcPr>
          <w:p w14:paraId="173B685D" w14:textId="24472C8F" w:rsidR="0047377D" w:rsidRPr="00014482" w:rsidRDefault="00AD2001"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Procedural </w:t>
            </w:r>
            <w:r w:rsidR="00A84775" w:rsidRPr="00014482">
              <w:rPr>
                <w:rFonts w:ascii="Times New Roman" w:hAnsi="Times New Roman" w:cs="Times New Roman"/>
                <w:sz w:val="20"/>
                <w:szCs w:val="20"/>
                <w:lang w:val="en-US"/>
              </w:rPr>
              <w:t>Simplicity</w:t>
            </w:r>
          </w:p>
        </w:tc>
        <w:tc>
          <w:tcPr>
            <w:tcW w:w="3005" w:type="dxa"/>
          </w:tcPr>
          <w:p w14:paraId="5D1F6B2F" w14:textId="00F282B4" w:rsidR="0047377D" w:rsidRPr="00014482" w:rsidRDefault="00CF511F"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The process is relatively straightforward, involving agreements between the buyer and seller, board resolutions, and regulatory filings, making NCLT approval unnecessary.</w:t>
            </w:r>
          </w:p>
        </w:tc>
        <w:tc>
          <w:tcPr>
            <w:tcW w:w="3006" w:type="dxa"/>
          </w:tcPr>
          <w:p w14:paraId="195FDB25" w14:textId="23B439B6" w:rsidR="0047377D" w:rsidRPr="00014482" w:rsidRDefault="00E61DB7" w:rsidP="000C5CA6">
            <w:pPr>
              <w:rPr>
                <w:rFonts w:ascii="Times New Roman" w:hAnsi="Times New Roman" w:cs="Times New Roman"/>
                <w:sz w:val="20"/>
                <w:szCs w:val="20"/>
                <w:lang w:val="en-US"/>
              </w:rPr>
            </w:pPr>
            <w:r w:rsidRPr="00014482">
              <w:rPr>
                <w:rFonts w:ascii="Times New Roman" w:hAnsi="Times New Roman" w:cs="Times New Roman"/>
                <w:sz w:val="20"/>
                <w:szCs w:val="20"/>
                <w:lang w:val="en-US"/>
              </w:rPr>
              <w:t>Requires a structured process overseen by the NCLT to ensure all procedural requirements are met and the arrangement is just and equitable.</w:t>
            </w:r>
          </w:p>
        </w:tc>
      </w:tr>
    </w:tbl>
    <w:p w14:paraId="61C5C9E4" w14:textId="77777777" w:rsidR="0045487E" w:rsidRPr="00014482" w:rsidRDefault="0045487E" w:rsidP="000C5CA6">
      <w:pPr>
        <w:rPr>
          <w:rFonts w:ascii="Times New Roman" w:hAnsi="Times New Roman" w:cs="Times New Roman"/>
          <w:b/>
          <w:bCs/>
          <w:sz w:val="20"/>
          <w:szCs w:val="20"/>
          <w:lang w:val="en-US"/>
        </w:rPr>
      </w:pPr>
    </w:p>
    <w:p w14:paraId="2D67AA1A" w14:textId="77777777" w:rsidR="002C72F7" w:rsidRDefault="002C72F7" w:rsidP="000C5CA6">
      <w:pPr>
        <w:rPr>
          <w:rFonts w:ascii="Times New Roman" w:hAnsi="Times New Roman" w:cs="Times New Roman"/>
          <w:b/>
          <w:bCs/>
          <w:sz w:val="20"/>
          <w:szCs w:val="20"/>
          <w:lang w:val="en-US"/>
        </w:rPr>
      </w:pPr>
    </w:p>
    <w:p w14:paraId="2BEB68AD" w14:textId="48C8FD31" w:rsidR="000C5CA6" w:rsidRPr="002C72F7" w:rsidRDefault="005043FA" w:rsidP="000C5CA6">
      <w:pPr>
        <w:rPr>
          <w:rFonts w:ascii="Times New Roman" w:hAnsi="Times New Roman" w:cs="Times New Roman"/>
          <w:b/>
          <w:bCs/>
          <w:sz w:val="24"/>
          <w:szCs w:val="24"/>
          <w:lang w:val="en-US"/>
        </w:rPr>
      </w:pPr>
      <w:r w:rsidRPr="002C72F7">
        <w:rPr>
          <w:rFonts w:ascii="Times New Roman" w:hAnsi="Times New Roman" w:cs="Times New Roman"/>
          <w:b/>
          <w:bCs/>
          <w:sz w:val="24"/>
          <w:szCs w:val="24"/>
          <w:lang w:val="en-US"/>
        </w:rPr>
        <w:lastRenderedPageBreak/>
        <w:t>IF TRANSACTION IS OF MORE THAN 600 CRORES, THEN IS COMPETITION ACT REQUIRED OR NOT?</w:t>
      </w:r>
    </w:p>
    <w:p w14:paraId="11DF33E9" w14:textId="6A764228" w:rsidR="00A00828" w:rsidRPr="00014482" w:rsidRDefault="00A00828" w:rsidP="00A00828">
      <w:pPr>
        <w:rPr>
          <w:rFonts w:ascii="Times New Roman" w:hAnsi="Times New Roman" w:cs="Times New Roman"/>
          <w:sz w:val="20"/>
          <w:szCs w:val="20"/>
          <w:lang w:val="en-US"/>
        </w:rPr>
      </w:pPr>
      <w:r w:rsidRPr="00014482">
        <w:rPr>
          <w:rFonts w:ascii="Times New Roman" w:hAnsi="Times New Roman" w:cs="Times New Roman"/>
          <w:sz w:val="20"/>
          <w:szCs w:val="20"/>
          <w:lang w:val="en-US"/>
        </w:rPr>
        <w:t>Yes, if the transaction value is more than 600 crores for a slump sale, it is likely that the approval of the Competition Commission of India (CCI) will be required. The CCI approval is necessary if the transaction crosses certain financial thresholds set by the Competition Act, 2002. The key thresholds for mandatory notification to the CCI are as follows:</w:t>
      </w:r>
    </w:p>
    <w:p w14:paraId="3AD72A24" w14:textId="77777777" w:rsidR="00A00828" w:rsidRPr="00014482" w:rsidRDefault="00A00828" w:rsidP="00A00828">
      <w:pPr>
        <w:rPr>
          <w:rFonts w:ascii="Times New Roman" w:hAnsi="Times New Roman" w:cs="Times New Roman"/>
          <w:sz w:val="20"/>
          <w:szCs w:val="20"/>
          <w:u w:val="single"/>
          <w:lang w:val="en-US"/>
        </w:rPr>
      </w:pPr>
      <w:r w:rsidRPr="00014482">
        <w:rPr>
          <w:rFonts w:ascii="Times New Roman" w:hAnsi="Times New Roman" w:cs="Times New Roman"/>
          <w:sz w:val="20"/>
          <w:szCs w:val="20"/>
          <w:u w:val="single"/>
          <w:lang w:val="en-US"/>
        </w:rPr>
        <w:t>Parties Test:</w:t>
      </w:r>
    </w:p>
    <w:p w14:paraId="6B787F44" w14:textId="77777777" w:rsidR="00A00828" w:rsidRPr="00014482" w:rsidRDefault="00A00828" w:rsidP="005E170D">
      <w:pPr>
        <w:pStyle w:val="ListParagraph"/>
        <w:numPr>
          <w:ilvl w:val="0"/>
          <w:numId w:val="13"/>
        </w:numPr>
        <w:rPr>
          <w:rFonts w:ascii="Times New Roman" w:hAnsi="Times New Roman" w:cs="Times New Roman"/>
          <w:sz w:val="20"/>
          <w:szCs w:val="20"/>
          <w:lang w:val="en-US"/>
        </w:rPr>
      </w:pPr>
      <w:r w:rsidRPr="00014482">
        <w:rPr>
          <w:rFonts w:ascii="Times New Roman" w:hAnsi="Times New Roman" w:cs="Times New Roman"/>
          <w:sz w:val="20"/>
          <w:szCs w:val="20"/>
          <w:lang w:val="en-US"/>
        </w:rPr>
        <w:t>Assets: The combined assets of the parties involved in India exceed INR 2,000 crore, or the combined worldwide assets exceed USD 1 billion, with at least INR 1,000 crore in India.</w:t>
      </w:r>
    </w:p>
    <w:p w14:paraId="7AE72ACA" w14:textId="08BEC9BC" w:rsidR="00A00828" w:rsidRPr="00014482" w:rsidRDefault="00A00828" w:rsidP="005E170D">
      <w:pPr>
        <w:pStyle w:val="ListParagraph"/>
        <w:numPr>
          <w:ilvl w:val="0"/>
          <w:numId w:val="13"/>
        </w:numPr>
        <w:rPr>
          <w:rFonts w:ascii="Times New Roman" w:hAnsi="Times New Roman" w:cs="Times New Roman"/>
          <w:sz w:val="20"/>
          <w:szCs w:val="20"/>
          <w:lang w:val="en-US"/>
        </w:rPr>
      </w:pPr>
      <w:r w:rsidRPr="00014482">
        <w:rPr>
          <w:rFonts w:ascii="Times New Roman" w:hAnsi="Times New Roman" w:cs="Times New Roman"/>
          <w:sz w:val="20"/>
          <w:szCs w:val="20"/>
          <w:lang w:val="en-US"/>
        </w:rPr>
        <w:t>Turnover: The combined turnover of the parties involved in India exceeds INR 6,000 crore, or the combined worldwide turnover exceeds USD 3 billion, with at least INR 3,000 crore in India.</w:t>
      </w:r>
    </w:p>
    <w:p w14:paraId="116173BB" w14:textId="77777777" w:rsidR="00A00828" w:rsidRPr="00014482" w:rsidRDefault="00A00828" w:rsidP="00A00828">
      <w:pPr>
        <w:rPr>
          <w:rFonts w:ascii="Times New Roman" w:hAnsi="Times New Roman" w:cs="Times New Roman"/>
          <w:sz w:val="20"/>
          <w:szCs w:val="20"/>
          <w:u w:val="single"/>
          <w:lang w:val="en-US"/>
        </w:rPr>
      </w:pPr>
      <w:r w:rsidRPr="00014482">
        <w:rPr>
          <w:rFonts w:ascii="Times New Roman" w:hAnsi="Times New Roman" w:cs="Times New Roman"/>
          <w:sz w:val="20"/>
          <w:szCs w:val="20"/>
          <w:u w:val="single"/>
          <w:lang w:val="en-US"/>
        </w:rPr>
        <w:t>Group Test:</w:t>
      </w:r>
    </w:p>
    <w:p w14:paraId="62A19995" w14:textId="77777777" w:rsidR="00A00828" w:rsidRPr="00014482" w:rsidRDefault="00A00828" w:rsidP="005E170D">
      <w:pPr>
        <w:pStyle w:val="ListParagraph"/>
        <w:numPr>
          <w:ilvl w:val="0"/>
          <w:numId w:val="14"/>
        </w:numPr>
        <w:rPr>
          <w:rFonts w:ascii="Times New Roman" w:hAnsi="Times New Roman" w:cs="Times New Roman"/>
          <w:sz w:val="20"/>
          <w:szCs w:val="20"/>
          <w:lang w:val="en-US"/>
        </w:rPr>
      </w:pPr>
      <w:r w:rsidRPr="00014482">
        <w:rPr>
          <w:rFonts w:ascii="Times New Roman" w:hAnsi="Times New Roman" w:cs="Times New Roman"/>
          <w:sz w:val="20"/>
          <w:szCs w:val="20"/>
          <w:lang w:val="en-US"/>
        </w:rPr>
        <w:t>Assets: The group to which the acquired entity belongs has assets in India exceeding INR 8,000 crore, or worldwide assets exceeding USD 4 billion, with at least INR 1,000 crore in India.</w:t>
      </w:r>
    </w:p>
    <w:p w14:paraId="6C8DE25C" w14:textId="77777777" w:rsidR="00A00828" w:rsidRPr="00014482" w:rsidRDefault="00A00828" w:rsidP="005E170D">
      <w:pPr>
        <w:pStyle w:val="ListParagraph"/>
        <w:numPr>
          <w:ilvl w:val="0"/>
          <w:numId w:val="14"/>
        </w:numPr>
        <w:rPr>
          <w:rFonts w:ascii="Times New Roman" w:hAnsi="Times New Roman" w:cs="Times New Roman"/>
          <w:sz w:val="20"/>
          <w:szCs w:val="20"/>
          <w:lang w:val="en-US"/>
        </w:rPr>
      </w:pPr>
      <w:r w:rsidRPr="00014482">
        <w:rPr>
          <w:rFonts w:ascii="Times New Roman" w:hAnsi="Times New Roman" w:cs="Times New Roman"/>
          <w:sz w:val="20"/>
          <w:szCs w:val="20"/>
          <w:lang w:val="en-US"/>
        </w:rPr>
        <w:t>Turnover: The group to which the acquired entity belongs has a turnover in India exceeding INR 24,000 crore, or worldwide turnover exceeding USD 12 billion, with at least INR 3,000 crore in India.</w:t>
      </w:r>
    </w:p>
    <w:p w14:paraId="1A31DF95" w14:textId="77777777" w:rsidR="00A00828" w:rsidRPr="00014482" w:rsidRDefault="00A00828" w:rsidP="00A00828">
      <w:pPr>
        <w:rPr>
          <w:rFonts w:ascii="Times New Roman" w:hAnsi="Times New Roman" w:cs="Times New Roman"/>
          <w:sz w:val="20"/>
          <w:szCs w:val="20"/>
          <w:lang w:val="en-US"/>
        </w:rPr>
      </w:pPr>
    </w:p>
    <w:p w14:paraId="580612BA" w14:textId="758A937F" w:rsidR="005E6CEE" w:rsidRPr="00014482" w:rsidRDefault="00A00828" w:rsidP="00A00828">
      <w:pPr>
        <w:rPr>
          <w:rFonts w:ascii="Times New Roman" w:hAnsi="Times New Roman" w:cs="Times New Roman"/>
          <w:sz w:val="20"/>
          <w:szCs w:val="20"/>
          <w:lang w:val="en-US"/>
        </w:rPr>
      </w:pPr>
      <w:r w:rsidRPr="00014482">
        <w:rPr>
          <w:rFonts w:ascii="Times New Roman" w:hAnsi="Times New Roman" w:cs="Times New Roman"/>
          <w:sz w:val="20"/>
          <w:szCs w:val="20"/>
          <w:lang w:val="en-US"/>
        </w:rPr>
        <w:t>These thresholds ensure that transactions that might significantly impact market competition are reviewed by the CCI. If your slump sale transaction exceeds these thresholds, it will be necessary to notify the CCI and obtain their approval before proceeding.</w:t>
      </w:r>
    </w:p>
    <w:p w14:paraId="1F6D9412" w14:textId="247A739F" w:rsidR="0045487E" w:rsidRDefault="00A00828" w:rsidP="000C5CA6">
      <w:pPr>
        <w:rPr>
          <w:rFonts w:ascii="Times New Roman" w:hAnsi="Times New Roman" w:cs="Times New Roman"/>
          <w:sz w:val="20"/>
          <w:szCs w:val="20"/>
          <w:lang w:val="en-US"/>
        </w:rPr>
      </w:pPr>
      <w:r w:rsidRPr="00014482">
        <w:rPr>
          <w:rFonts w:ascii="Times New Roman" w:hAnsi="Times New Roman" w:cs="Times New Roman"/>
          <w:sz w:val="20"/>
          <w:szCs w:val="20"/>
          <w:u w:val="single"/>
          <w:lang w:val="en-US"/>
        </w:rPr>
        <w:t>De Minimis Exemption</w:t>
      </w:r>
      <w:r w:rsidRPr="00014482">
        <w:rPr>
          <w:rFonts w:ascii="Times New Roman" w:hAnsi="Times New Roman" w:cs="Times New Roman"/>
          <w:sz w:val="20"/>
          <w:szCs w:val="20"/>
          <w:lang w:val="en-US"/>
        </w:rPr>
        <w:t>: Small target exemptions apply if the assets of the target enterprise in India do not exceed INR 350 crore, or the turnover does not exceed INR 1,000 crore.</w:t>
      </w:r>
    </w:p>
    <w:p w14:paraId="40D40DC1" w14:textId="77777777" w:rsidR="00014482" w:rsidRPr="00014482" w:rsidRDefault="00014482" w:rsidP="000C5CA6">
      <w:pPr>
        <w:rPr>
          <w:rFonts w:ascii="Times New Roman" w:hAnsi="Times New Roman" w:cs="Times New Roman"/>
          <w:sz w:val="20"/>
          <w:szCs w:val="20"/>
          <w:lang w:val="en-US"/>
        </w:rPr>
      </w:pPr>
    </w:p>
    <w:p w14:paraId="084E6185" w14:textId="1B99DAF7" w:rsidR="00514E8A" w:rsidRPr="00FA28BF" w:rsidRDefault="005043FA" w:rsidP="00E81D49">
      <w:pPr>
        <w:rPr>
          <w:rFonts w:ascii="Times New Roman" w:hAnsi="Times New Roman" w:cs="Times New Roman"/>
          <w:b/>
          <w:bCs/>
          <w:sz w:val="24"/>
          <w:szCs w:val="24"/>
          <w:lang w:val="en-US"/>
        </w:rPr>
      </w:pPr>
      <w:r w:rsidRPr="002C72F7">
        <w:rPr>
          <w:rFonts w:ascii="Times New Roman" w:hAnsi="Times New Roman" w:cs="Times New Roman"/>
          <w:b/>
          <w:bCs/>
          <w:sz w:val="24"/>
          <w:szCs w:val="24"/>
          <w:lang w:val="en-US"/>
        </w:rPr>
        <w:t>A CHECKLIST OF ALL THE DOCUMENTS NEEDED.</w:t>
      </w:r>
    </w:p>
    <w:p w14:paraId="41DE5D75" w14:textId="46716C23" w:rsidR="00B734DF" w:rsidRPr="00014482" w:rsidRDefault="00B734DF" w:rsidP="00E81D49">
      <w:pPr>
        <w:rPr>
          <w:rFonts w:ascii="Times New Roman" w:hAnsi="Times New Roman" w:cs="Times New Roman"/>
          <w:b/>
          <w:bCs/>
          <w:sz w:val="20"/>
          <w:szCs w:val="20"/>
          <w:lang w:val="en-US"/>
        </w:rPr>
      </w:pPr>
      <w:r w:rsidRPr="00014482">
        <w:rPr>
          <w:rFonts w:ascii="Times New Roman" w:hAnsi="Times New Roman" w:cs="Times New Roman"/>
          <w:b/>
          <w:bCs/>
          <w:sz w:val="20"/>
          <w:szCs w:val="20"/>
          <w:lang w:val="en-US"/>
        </w:rPr>
        <w:t>Transferor Company</w:t>
      </w:r>
    </w:p>
    <w:tbl>
      <w:tblPr>
        <w:tblStyle w:val="TableGrid"/>
        <w:tblW w:w="5517" w:type="dxa"/>
        <w:tblInd w:w="1754" w:type="dxa"/>
        <w:tblLook w:val="04A0" w:firstRow="1" w:lastRow="0" w:firstColumn="1" w:lastColumn="0" w:noHBand="0" w:noVBand="1"/>
      </w:tblPr>
      <w:tblGrid>
        <w:gridCol w:w="986"/>
        <w:gridCol w:w="4531"/>
      </w:tblGrid>
      <w:tr w:rsidR="001542E9" w:rsidRPr="00014482" w14:paraId="45F9AEE4" w14:textId="77777777" w:rsidTr="00B16FA6">
        <w:trPr>
          <w:trHeight w:val="411"/>
        </w:trPr>
        <w:tc>
          <w:tcPr>
            <w:tcW w:w="746" w:type="dxa"/>
          </w:tcPr>
          <w:p w14:paraId="4A4167C8" w14:textId="54A4B373" w:rsidR="001542E9" w:rsidRPr="00014482" w:rsidRDefault="001542E9" w:rsidP="00944196">
            <w:pPr>
              <w:pStyle w:val="ListParagraph"/>
              <w:numPr>
                <w:ilvl w:val="0"/>
                <w:numId w:val="15"/>
              </w:numPr>
              <w:rPr>
                <w:rFonts w:ascii="Times New Roman" w:hAnsi="Times New Roman" w:cs="Times New Roman"/>
                <w:b/>
                <w:bCs/>
                <w:sz w:val="20"/>
                <w:szCs w:val="20"/>
                <w:lang w:val="en-US"/>
              </w:rPr>
            </w:pPr>
          </w:p>
        </w:tc>
        <w:tc>
          <w:tcPr>
            <w:tcW w:w="4771" w:type="dxa"/>
          </w:tcPr>
          <w:p w14:paraId="4C4B0B03" w14:textId="77777777" w:rsidR="00AB1038" w:rsidRPr="00014482" w:rsidRDefault="004E78A7" w:rsidP="00AB1038">
            <w:pPr>
              <w:jc w:val="center"/>
              <w:rPr>
                <w:rFonts w:ascii="Times New Roman" w:hAnsi="Times New Roman" w:cs="Times New Roman"/>
                <w:sz w:val="20"/>
                <w:szCs w:val="20"/>
                <w:u w:val="single"/>
                <w:lang w:val="en-US"/>
              </w:rPr>
            </w:pPr>
            <w:r w:rsidRPr="00014482">
              <w:rPr>
                <w:rFonts w:ascii="Times New Roman" w:hAnsi="Times New Roman" w:cs="Times New Roman"/>
                <w:sz w:val="20"/>
                <w:szCs w:val="20"/>
                <w:u w:val="single"/>
                <w:lang w:val="en-US"/>
              </w:rPr>
              <w:t>Memorandum of Association (MOA)</w:t>
            </w:r>
          </w:p>
          <w:p w14:paraId="4A374909" w14:textId="01F91945" w:rsidR="001542E9" w:rsidRPr="00014482" w:rsidRDefault="004E78A7" w:rsidP="00AB1038">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Include the power to sell the undertaking/business.</w:t>
            </w:r>
          </w:p>
        </w:tc>
      </w:tr>
      <w:tr w:rsidR="001542E9" w:rsidRPr="00014482" w14:paraId="454D2B35" w14:textId="77777777" w:rsidTr="00B16FA6">
        <w:trPr>
          <w:trHeight w:val="396"/>
        </w:trPr>
        <w:tc>
          <w:tcPr>
            <w:tcW w:w="746" w:type="dxa"/>
          </w:tcPr>
          <w:p w14:paraId="16B74BC1" w14:textId="073A447A" w:rsidR="001542E9" w:rsidRPr="00014482" w:rsidRDefault="001542E9" w:rsidP="00944196">
            <w:pPr>
              <w:pStyle w:val="ListParagraph"/>
              <w:numPr>
                <w:ilvl w:val="0"/>
                <w:numId w:val="15"/>
              </w:numPr>
              <w:rPr>
                <w:rFonts w:ascii="Times New Roman" w:hAnsi="Times New Roman" w:cs="Times New Roman"/>
                <w:b/>
                <w:bCs/>
                <w:sz w:val="20"/>
                <w:szCs w:val="20"/>
                <w:lang w:val="en-US"/>
              </w:rPr>
            </w:pPr>
          </w:p>
        </w:tc>
        <w:tc>
          <w:tcPr>
            <w:tcW w:w="4771" w:type="dxa"/>
          </w:tcPr>
          <w:p w14:paraId="71912A80" w14:textId="77777777" w:rsidR="00A578AE" w:rsidRPr="00014482" w:rsidRDefault="00A578AE" w:rsidP="00A578AE">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Audited Balance Sheet:</w:t>
            </w:r>
          </w:p>
          <w:p w14:paraId="10E1E64F" w14:textId="2F103072" w:rsidR="001542E9" w:rsidRPr="00014482" w:rsidRDefault="00A578AE" w:rsidP="00A578AE">
            <w:pPr>
              <w:jc w:val="center"/>
              <w:rPr>
                <w:rFonts w:ascii="Times New Roman" w:hAnsi="Times New Roman" w:cs="Times New Roman"/>
                <w:b/>
                <w:bCs/>
                <w:sz w:val="20"/>
                <w:szCs w:val="20"/>
                <w:lang w:val="en-US"/>
              </w:rPr>
            </w:pPr>
            <w:r w:rsidRPr="00014482">
              <w:rPr>
                <w:rFonts w:ascii="Times New Roman" w:hAnsi="Times New Roman" w:cs="Times New Roman"/>
                <w:sz w:val="20"/>
                <w:szCs w:val="20"/>
                <w:lang w:val="en-US"/>
              </w:rPr>
              <w:t>- For the preceding financial year.</w:t>
            </w:r>
          </w:p>
        </w:tc>
      </w:tr>
      <w:tr w:rsidR="00697CE3" w:rsidRPr="00014482" w14:paraId="28956F0F" w14:textId="77777777" w:rsidTr="00B16FA6">
        <w:trPr>
          <w:trHeight w:val="396"/>
        </w:trPr>
        <w:tc>
          <w:tcPr>
            <w:tcW w:w="746" w:type="dxa"/>
          </w:tcPr>
          <w:p w14:paraId="011F2231" w14:textId="77777777" w:rsidR="00697CE3" w:rsidRPr="00014482" w:rsidRDefault="00697CE3" w:rsidP="00944196">
            <w:pPr>
              <w:pStyle w:val="ListParagraph"/>
              <w:numPr>
                <w:ilvl w:val="0"/>
                <w:numId w:val="15"/>
              </w:numPr>
              <w:rPr>
                <w:rFonts w:ascii="Times New Roman" w:hAnsi="Times New Roman" w:cs="Times New Roman"/>
                <w:b/>
                <w:bCs/>
                <w:sz w:val="20"/>
                <w:szCs w:val="20"/>
                <w:lang w:val="en-US"/>
              </w:rPr>
            </w:pPr>
          </w:p>
        </w:tc>
        <w:tc>
          <w:tcPr>
            <w:tcW w:w="4771" w:type="dxa"/>
          </w:tcPr>
          <w:p w14:paraId="28F651EB" w14:textId="77777777" w:rsidR="00E44945" w:rsidRPr="00014482" w:rsidRDefault="00E44945" w:rsidP="00E44945">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Slump Sale Agreement:</w:t>
            </w:r>
          </w:p>
          <w:p w14:paraId="226F72D7" w14:textId="7900BD61" w:rsidR="00697CE3" w:rsidRPr="00014482" w:rsidRDefault="00E44945" w:rsidP="00E44945">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Drafted and executed, complying with legal provisions.</w:t>
            </w:r>
          </w:p>
        </w:tc>
      </w:tr>
      <w:tr w:rsidR="001542E9" w:rsidRPr="00014482" w14:paraId="3A606FFB" w14:textId="77777777" w:rsidTr="00B16FA6">
        <w:trPr>
          <w:trHeight w:val="411"/>
        </w:trPr>
        <w:tc>
          <w:tcPr>
            <w:tcW w:w="746" w:type="dxa"/>
          </w:tcPr>
          <w:p w14:paraId="3C7F672C" w14:textId="7E903506" w:rsidR="001542E9" w:rsidRPr="00014482" w:rsidRDefault="001542E9" w:rsidP="00944196">
            <w:pPr>
              <w:pStyle w:val="ListParagraph"/>
              <w:numPr>
                <w:ilvl w:val="0"/>
                <w:numId w:val="15"/>
              </w:numPr>
              <w:rPr>
                <w:rFonts w:ascii="Times New Roman" w:hAnsi="Times New Roman" w:cs="Times New Roman"/>
                <w:b/>
                <w:bCs/>
                <w:sz w:val="20"/>
                <w:szCs w:val="20"/>
                <w:lang w:val="en-US"/>
              </w:rPr>
            </w:pPr>
          </w:p>
        </w:tc>
        <w:tc>
          <w:tcPr>
            <w:tcW w:w="4771" w:type="dxa"/>
          </w:tcPr>
          <w:p w14:paraId="69C924FF" w14:textId="77777777" w:rsidR="00993A29" w:rsidRPr="00014482" w:rsidRDefault="00993A29" w:rsidP="00993A29">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Board Resolution:</w:t>
            </w:r>
          </w:p>
          <w:p w14:paraId="7EA5D16E" w14:textId="1AABA4F9" w:rsidR="001542E9" w:rsidRPr="00014482" w:rsidRDefault="00993A29" w:rsidP="00993A29">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Approving the slump sale.</w:t>
            </w:r>
          </w:p>
        </w:tc>
      </w:tr>
      <w:tr w:rsidR="001542E9" w:rsidRPr="00014482" w14:paraId="7A836FA6" w14:textId="77777777" w:rsidTr="00B16FA6">
        <w:trPr>
          <w:trHeight w:val="411"/>
        </w:trPr>
        <w:tc>
          <w:tcPr>
            <w:tcW w:w="746" w:type="dxa"/>
          </w:tcPr>
          <w:p w14:paraId="20B4D650" w14:textId="6335E5C6" w:rsidR="001542E9" w:rsidRPr="00014482" w:rsidRDefault="001542E9" w:rsidP="00944196">
            <w:pPr>
              <w:pStyle w:val="ListParagraph"/>
              <w:numPr>
                <w:ilvl w:val="0"/>
                <w:numId w:val="15"/>
              </w:numPr>
              <w:rPr>
                <w:rFonts w:ascii="Times New Roman" w:hAnsi="Times New Roman" w:cs="Times New Roman"/>
                <w:b/>
                <w:bCs/>
                <w:sz w:val="20"/>
                <w:szCs w:val="20"/>
                <w:lang w:val="en-US"/>
              </w:rPr>
            </w:pPr>
          </w:p>
        </w:tc>
        <w:tc>
          <w:tcPr>
            <w:tcW w:w="4771" w:type="dxa"/>
          </w:tcPr>
          <w:p w14:paraId="521283FC" w14:textId="77777777" w:rsidR="00990E96" w:rsidRPr="00014482" w:rsidRDefault="00990E96" w:rsidP="00990E96">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Shareholders' Resolution:</w:t>
            </w:r>
          </w:p>
          <w:p w14:paraId="548E84A4" w14:textId="2B5E3B35" w:rsidR="001542E9" w:rsidRPr="00014482" w:rsidRDefault="00990E96" w:rsidP="00990E96">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Special resolution, if required.</w:t>
            </w:r>
          </w:p>
        </w:tc>
      </w:tr>
      <w:tr w:rsidR="001542E9" w:rsidRPr="00014482" w14:paraId="20AE4138" w14:textId="77777777" w:rsidTr="00B16FA6">
        <w:trPr>
          <w:trHeight w:val="396"/>
        </w:trPr>
        <w:tc>
          <w:tcPr>
            <w:tcW w:w="746" w:type="dxa"/>
          </w:tcPr>
          <w:p w14:paraId="1F5F3EF9" w14:textId="58DE1A23" w:rsidR="001542E9" w:rsidRPr="00014482" w:rsidRDefault="001542E9" w:rsidP="00944196">
            <w:pPr>
              <w:pStyle w:val="ListParagraph"/>
              <w:numPr>
                <w:ilvl w:val="0"/>
                <w:numId w:val="15"/>
              </w:numPr>
              <w:rPr>
                <w:rFonts w:ascii="Times New Roman" w:hAnsi="Times New Roman" w:cs="Times New Roman"/>
                <w:b/>
                <w:bCs/>
                <w:sz w:val="20"/>
                <w:szCs w:val="20"/>
                <w:lang w:val="en-US"/>
              </w:rPr>
            </w:pPr>
          </w:p>
        </w:tc>
        <w:tc>
          <w:tcPr>
            <w:tcW w:w="4771" w:type="dxa"/>
          </w:tcPr>
          <w:p w14:paraId="216DE08E" w14:textId="77777777" w:rsidR="001E16DF" w:rsidRPr="00014482" w:rsidRDefault="001E16DF" w:rsidP="001E16DF">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Regulatory Filings:</w:t>
            </w:r>
          </w:p>
          <w:p w14:paraId="23FFA01D" w14:textId="0F4C6ACD" w:rsidR="001542E9" w:rsidRPr="00014482" w:rsidRDefault="001E16DF" w:rsidP="001E16DF">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Forms filed with the Registrar of Companies (ROC), e.g., Form MGT-14.</w:t>
            </w:r>
          </w:p>
        </w:tc>
      </w:tr>
      <w:tr w:rsidR="001542E9" w:rsidRPr="00014482" w14:paraId="1BCC190B" w14:textId="77777777" w:rsidTr="00B16FA6">
        <w:trPr>
          <w:trHeight w:val="411"/>
        </w:trPr>
        <w:tc>
          <w:tcPr>
            <w:tcW w:w="746" w:type="dxa"/>
          </w:tcPr>
          <w:p w14:paraId="5808BC29" w14:textId="4540E21D" w:rsidR="001542E9" w:rsidRPr="00014482" w:rsidRDefault="001542E9" w:rsidP="00944196">
            <w:pPr>
              <w:pStyle w:val="ListParagraph"/>
              <w:numPr>
                <w:ilvl w:val="0"/>
                <w:numId w:val="15"/>
              </w:numPr>
              <w:rPr>
                <w:rFonts w:ascii="Times New Roman" w:hAnsi="Times New Roman" w:cs="Times New Roman"/>
                <w:b/>
                <w:bCs/>
                <w:sz w:val="20"/>
                <w:szCs w:val="20"/>
                <w:lang w:val="en-US"/>
              </w:rPr>
            </w:pPr>
          </w:p>
        </w:tc>
        <w:tc>
          <w:tcPr>
            <w:tcW w:w="4771" w:type="dxa"/>
          </w:tcPr>
          <w:p w14:paraId="084952D6" w14:textId="77777777" w:rsidR="00BA7647" w:rsidRPr="00014482" w:rsidRDefault="00BA7647" w:rsidP="00BA7647">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Tax Compliance Documents:</w:t>
            </w:r>
          </w:p>
          <w:p w14:paraId="62276149" w14:textId="7FFB9F2D" w:rsidR="001542E9" w:rsidRPr="00014482" w:rsidRDefault="00BA7647" w:rsidP="00BA7647">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Capital gains tax calculations and any related documentation.</w:t>
            </w:r>
          </w:p>
        </w:tc>
      </w:tr>
      <w:tr w:rsidR="001542E9" w:rsidRPr="00014482" w14:paraId="32173053" w14:textId="77777777" w:rsidTr="00B16FA6">
        <w:trPr>
          <w:trHeight w:val="411"/>
        </w:trPr>
        <w:tc>
          <w:tcPr>
            <w:tcW w:w="746" w:type="dxa"/>
          </w:tcPr>
          <w:p w14:paraId="7FE98792" w14:textId="60BD45A0" w:rsidR="001542E9" w:rsidRPr="00014482" w:rsidRDefault="001542E9" w:rsidP="00944196">
            <w:pPr>
              <w:pStyle w:val="ListParagraph"/>
              <w:numPr>
                <w:ilvl w:val="0"/>
                <w:numId w:val="15"/>
              </w:numPr>
              <w:rPr>
                <w:rFonts w:ascii="Times New Roman" w:hAnsi="Times New Roman" w:cs="Times New Roman"/>
                <w:b/>
                <w:bCs/>
                <w:sz w:val="20"/>
                <w:szCs w:val="20"/>
                <w:lang w:val="en-US"/>
              </w:rPr>
            </w:pPr>
          </w:p>
        </w:tc>
        <w:tc>
          <w:tcPr>
            <w:tcW w:w="4771" w:type="dxa"/>
          </w:tcPr>
          <w:p w14:paraId="79A0FAF3" w14:textId="77777777" w:rsidR="003435E0" w:rsidRPr="00014482" w:rsidRDefault="003435E0" w:rsidP="003435E0">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Due Diligence Reports:</w:t>
            </w:r>
          </w:p>
          <w:p w14:paraId="3D02DE4E" w14:textId="27324B6A" w:rsidR="001542E9" w:rsidRPr="00014482" w:rsidRDefault="003435E0" w:rsidP="003435E0">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Legal and financial due diligence reports.</w:t>
            </w:r>
          </w:p>
        </w:tc>
      </w:tr>
      <w:tr w:rsidR="001542E9" w:rsidRPr="00014482" w14:paraId="45F3F4E2" w14:textId="77777777" w:rsidTr="00B16FA6">
        <w:trPr>
          <w:trHeight w:val="396"/>
        </w:trPr>
        <w:tc>
          <w:tcPr>
            <w:tcW w:w="746" w:type="dxa"/>
          </w:tcPr>
          <w:p w14:paraId="3EA5BFC3" w14:textId="1D4DA86D" w:rsidR="001542E9" w:rsidRPr="00014482" w:rsidRDefault="001542E9" w:rsidP="00944196">
            <w:pPr>
              <w:pStyle w:val="ListParagraph"/>
              <w:numPr>
                <w:ilvl w:val="0"/>
                <w:numId w:val="15"/>
              </w:numPr>
              <w:rPr>
                <w:rFonts w:ascii="Times New Roman" w:hAnsi="Times New Roman" w:cs="Times New Roman"/>
                <w:b/>
                <w:bCs/>
                <w:sz w:val="20"/>
                <w:szCs w:val="20"/>
                <w:lang w:val="en-US"/>
              </w:rPr>
            </w:pPr>
          </w:p>
        </w:tc>
        <w:tc>
          <w:tcPr>
            <w:tcW w:w="4771" w:type="dxa"/>
          </w:tcPr>
          <w:p w14:paraId="2AD8A394" w14:textId="77777777" w:rsidR="006053B3" w:rsidRPr="00014482" w:rsidRDefault="006053B3" w:rsidP="006053B3">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Employee Notices:</w:t>
            </w:r>
          </w:p>
          <w:p w14:paraId="77BA6CFC" w14:textId="54082C52" w:rsidR="001542E9" w:rsidRPr="00014482" w:rsidRDefault="006053B3" w:rsidP="006053B3">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Documentation related to employee matters, if applicable.</w:t>
            </w:r>
          </w:p>
        </w:tc>
      </w:tr>
      <w:tr w:rsidR="00CB0DFF" w:rsidRPr="00014482" w14:paraId="49EA0D77" w14:textId="77777777" w:rsidTr="00B16FA6">
        <w:trPr>
          <w:trHeight w:val="396"/>
        </w:trPr>
        <w:tc>
          <w:tcPr>
            <w:tcW w:w="746" w:type="dxa"/>
          </w:tcPr>
          <w:p w14:paraId="0F601566" w14:textId="6DDFBF40" w:rsidR="00CB0DFF" w:rsidRPr="00014482" w:rsidRDefault="004E78A7" w:rsidP="00944196">
            <w:pPr>
              <w:pStyle w:val="ListParagraph"/>
              <w:numPr>
                <w:ilvl w:val="0"/>
                <w:numId w:val="15"/>
              </w:numPr>
              <w:rPr>
                <w:rFonts w:ascii="Times New Roman" w:hAnsi="Times New Roman" w:cs="Times New Roman"/>
                <w:b/>
                <w:bCs/>
                <w:sz w:val="20"/>
                <w:szCs w:val="20"/>
                <w:lang w:val="en-US"/>
              </w:rPr>
            </w:pPr>
            <w:r w:rsidRPr="00014482">
              <w:rPr>
                <w:rFonts w:ascii="Times New Roman" w:hAnsi="Times New Roman" w:cs="Times New Roman"/>
                <w:b/>
                <w:bCs/>
                <w:sz w:val="20"/>
                <w:szCs w:val="20"/>
                <w:lang w:val="en-US"/>
              </w:rPr>
              <w:lastRenderedPageBreak/>
              <w:t>.</w:t>
            </w:r>
          </w:p>
        </w:tc>
        <w:tc>
          <w:tcPr>
            <w:tcW w:w="4771" w:type="dxa"/>
          </w:tcPr>
          <w:p w14:paraId="23C72845" w14:textId="77777777" w:rsidR="006053B3" w:rsidRPr="00014482" w:rsidRDefault="006053B3" w:rsidP="006053B3">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Creditor Consent:</w:t>
            </w:r>
          </w:p>
          <w:p w14:paraId="7421A5FF" w14:textId="2A609ADC" w:rsidR="00CB0DFF" w:rsidRPr="00014482" w:rsidRDefault="006053B3" w:rsidP="006053B3">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Consents from creditors and lenders, if required.</w:t>
            </w:r>
          </w:p>
        </w:tc>
      </w:tr>
    </w:tbl>
    <w:p w14:paraId="019B2E4E" w14:textId="77777777" w:rsidR="00014482" w:rsidRDefault="00014482" w:rsidP="00514E8A">
      <w:pPr>
        <w:tabs>
          <w:tab w:val="left" w:pos="8292"/>
        </w:tabs>
        <w:rPr>
          <w:rFonts w:ascii="Times New Roman" w:hAnsi="Times New Roman" w:cs="Times New Roman"/>
          <w:b/>
          <w:bCs/>
          <w:sz w:val="20"/>
          <w:szCs w:val="20"/>
          <w:lang w:val="en-US"/>
        </w:rPr>
      </w:pPr>
    </w:p>
    <w:p w14:paraId="367793B0" w14:textId="492A94CC" w:rsidR="007E01D9" w:rsidRPr="00014482" w:rsidRDefault="00514E8A" w:rsidP="00514E8A">
      <w:pPr>
        <w:tabs>
          <w:tab w:val="left" w:pos="8292"/>
        </w:tabs>
        <w:rPr>
          <w:rFonts w:ascii="Times New Roman" w:hAnsi="Times New Roman" w:cs="Times New Roman"/>
          <w:b/>
          <w:bCs/>
          <w:sz w:val="20"/>
          <w:szCs w:val="20"/>
          <w:lang w:val="en-US"/>
        </w:rPr>
      </w:pPr>
      <w:r w:rsidRPr="00014482">
        <w:rPr>
          <w:rFonts w:ascii="Times New Roman" w:hAnsi="Times New Roman" w:cs="Times New Roman"/>
          <w:b/>
          <w:bCs/>
          <w:sz w:val="20"/>
          <w:szCs w:val="20"/>
          <w:lang w:val="en-US"/>
        </w:rPr>
        <w:tab/>
      </w:r>
    </w:p>
    <w:p w14:paraId="101B5CC5" w14:textId="3B3A7135" w:rsidR="00514E8A" w:rsidRPr="00014482" w:rsidRDefault="00514E8A" w:rsidP="00514E8A">
      <w:pPr>
        <w:rPr>
          <w:rFonts w:ascii="Times New Roman" w:hAnsi="Times New Roman" w:cs="Times New Roman"/>
          <w:b/>
          <w:bCs/>
          <w:sz w:val="20"/>
          <w:szCs w:val="20"/>
          <w:lang w:val="en-US"/>
        </w:rPr>
      </w:pPr>
      <w:r w:rsidRPr="00014482">
        <w:rPr>
          <w:rFonts w:ascii="Times New Roman" w:hAnsi="Times New Roman" w:cs="Times New Roman"/>
          <w:b/>
          <w:bCs/>
          <w:sz w:val="20"/>
          <w:szCs w:val="20"/>
          <w:lang w:val="en-US"/>
        </w:rPr>
        <w:t>Transferee Company</w:t>
      </w:r>
    </w:p>
    <w:tbl>
      <w:tblPr>
        <w:tblStyle w:val="TableGrid"/>
        <w:tblW w:w="0" w:type="auto"/>
        <w:tblInd w:w="1838" w:type="dxa"/>
        <w:tblLook w:val="04A0" w:firstRow="1" w:lastRow="0" w:firstColumn="1" w:lastColumn="0" w:noHBand="0" w:noVBand="1"/>
      </w:tblPr>
      <w:tblGrid>
        <w:gridCol w:w="1048"/>
        <w:gridCol w:w="4883"/>
      </w:tblGrid>
      <w:tr w:rsidR="00514E8A" w:rsidRPr="00014482" w14:paraId="29CA89A0" w14:textId="77777777" w:rsidTr="00C62BDB">
        <w:trPr>
          <w:trHeight w:val="595"/>
        </w:trPr>
        <w:tc>
          <w:tcPr>
            <w:tcW w:w="1048" w:type="dxa"/>
          </w:tcPr>
          <w:p w14:paraId="16F003C4" w14:textId="16B2FC0A" w:rsidR="00514E8A" w:rsidRPr="00014482" w:rsidRDefault="00514E8A" w:rsidP="007F6B8C">
            <w:pPr>
              <w:pStyle w:val="ListParagraph"/>
              <w:numPr>
                <w:ilvl w:val="0"/>
                <w:numId w:val="16"/>
              </w:numPr>
              <w:rPr>
                <w:rFonts w:ascii="Times New Roman" w:hAnsi="Times New Roman" w:cs="Times New Roman"/>
                <w:b/>
                <w:bCs/>
                <w:sz w:val="20"/>
                <w:szCs w:val="20"/>
                <w:lang w:val="en-US"/>
              </w:rPr>
            </w:pPr>
          </w:p>
        </w:tc>
        <w:tc>
          <w:tcPr>
            <w:tcW w:w="4883" w:type="dxa"/>
          </w:tcPr>
          <w:p w14:paraId="30591970" w14:textId="77777777" w:rsidR="006962EA" w:rsidRPr="00014482" w:rsidRDefault="006962EA" w:rsidP="006962EA">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Memorandum of Association (MOA):</w:t>
            </w:r>
          </w:p>
          <w:p w14:paraId="10CD29D5" w14:textId="3F5749FE" w:rsidR="00514E8A" w:rsidRPr="00014482" w:rsidRDefault="006962EA" w:rsidP="006962EA">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Includes provision to carry out the business being acquired.</w:t>
            </w:r>
          </w:p>
        </w:tc>
      </w:tr>
      <w:tr w:rsidR="00514E8A" w:rsidRPr="00014482" w14:paraId="4D9A067D" w14:textId="77777777" w:rsidTr="00C62BDB">
        <w:trPr>
          <w:trHeight w:val="572"/>
        </w:trPr>
        <w:tc>
          <w:tcPr>
            <w:tcW w:w="1048" w:type="dxa"/>
          </w:tcPr>
          <w:p w14:paraId="5A0E9045" w14:textId="77777777" w:rsidR="00514E8A" w:rsidRPr="00014482" w:rsidRDefault="00514E8A" w:rsidP="007F6B8C">
            <w:pPr>
              <w:pStyle w:val="ListParagraph"/>
              <w:numPr>
                <w:ilvl w:val="0"/>
                <w:numId w:val="16"/>
              </w:numPr>
              <w:rPr>
                <w:rFonts w:ascii="Times New Roman" w:hAnsi="Times New Roman" w:cs="Times New Roman"/>
                <w:b/>
                <w:bCs/>
                <w:sz w:val="20"/>
                <w:szCs w:val="20"/>
                <w:lang w:val="en-US"/>
              </w:rPr>
            </w:pPr>
          </w:p>
        </w:tc>
        <w:tc>
          <w:tcPr>
            <w:tcW w:w="4883" w:type="dxa"/>
          </w:tcPr>
          <w:p w14:paraId="1BBC19DF" w14:textId="77777777" w:rsidR="00EF624B" w:rsidRPr="00014482" w:rsidRDefault="00EF624B" w:rsidP="00EF624B">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Business Transfer Agreement (BTA):</w:t>
            </w:r>
          </w:p>
          <w:p w14:paraId="7BC19C67" w14:textId="6E8E7776" w:rsidR="00514E8A" w:rsidRPr="00014482" w:rsidRDefault="00EF624B" w:rsidP="00EF624B">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Executed, outlining terms and conditions.</w:t>
            </w:r>
          </w:p>
        </w:tc>
      </w:tr>
      <w:tr w:rsidR="00514E8A" w:rsidRPr="00014482" w14:paraId="44070E6B" w14:textId="77777777" w:rsidTr="00C62BDB">
        <w:trPr>
          <w:trHeight w:val="595"/>
        </w:trPr>
        <w:tc>
          <w:tcPr>
            <w:tcW w:w="1048" w:type="dxa"/>
          </w:tcPr>
          <w:p w14:paraId="28F7D8FB" w14:textId="77777777" w:rsidR="00514E8A" w:rsidRPr="00014482" w:rsidRDefault="00514E8A" w:rsidP="007F6B8C">
            <w:pPr>
              <w:pStyle w:val="ListParagraph"/>
              <w:numPr>
                <w:ilvl w:val="0"/>
                <w:numId w:val="16"/>
              </w:numPr>
              <w:rPr>
                <w:rFonts w:ascii="Times New Roman" w:hAnsi="Times New Roman" w:cs="Times New Roman"/>
                <w:b/>
                <w:bCs/>
                <w:sz w:val="20"/>
                <w:szCs w:val="20"/>
                <w:lang w:val="en-US"/>
              </w:rPr>
            </w:pPr>
          </w:p>
        </w:tc>
        <w:tc>
          <w:tcPr>
            <w:tcW w:w="4883" w:type="dxa"/>
          </w:tcPr>
          <w:p w14:paraId="1F30CA6B" w14:textId="77777777" w:rsidR="005443C2" w:rsidRPr="00014482" w:rsidRDefault="005443C2" w:rsidP="005443C2">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Regulatory Approval Documents:</w:t>
            </w:r>
          </w:p>
          <w:p w14:paraId="474BDA6B" w14:textId="2DD22744" w:rsidR="00514E8A" w:rsidRPr="00014482" w:rsidRDefault="005443C2" w:rsidP="005443C2">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Approvals from regulatory bodies, e.g., Competition Commission of India (CCI) if applicable.</w:t>
            </w:r>
          </w:p>
        </w:tc>
      </w:tr>
      <w:tr w:rsidR="00514E8A" w:rsidRPr="00014482" w14:paraId="37768220" w14:textId="77777777" w:rsidTr="00C62BDB">
        <w:trPr>
          <w:trHeight w:val="595"/>
        </w:trPr>
        <w:tc>
          <w:tcPr>
            <w:tcW w:w="1048" w:type="dxa"/>
          </w:tcPr>
          <w:p w14:paraId="5DC0E6A7" w14:textId="77777777" w:rsidR="00514E8A" w:rsidRPr="00014482" w:rsidRDefault="00514E8A" w:rsidP="007F6B8C">
            <w:pPr>
              <w:pStyle w:val="ListParagraph"/>
              <w:numPr>
                <w:ilvl w:val="0"/>
                <w:numId w:val="16"/>
              </w:numPr>
              <w:rPr>
                <w:rFonts w:ascii="Times New Roman" w:hAnsi="Times New Roman" w:cs="Times New Roman"/>
                <w:b/>
                <w:bCs/>
                <w:sz w:val="20"/>
                <w:szCs w:val="20"/>
                <w:lang w:val="en-US"/>
              </w:rPr>
            </w:pPr>
          </w:p>
        </w:tc>
        <w:tc>
          <w:tcPr>
            <w:tcW w:w="4883" w:type="dxa"/>
          </w:tcPr>
          <w:p w14:paraId="4C260039" w14:textId="77777777" w:rsidR="00C62BDB" w:rsidRPr="00014482" w:rsidRDefault="00C62BDB" w:rsidP="00C62BDB">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Due Diligence Reports:</w:t>
            </w:r>
          </w:p>
          <w:p w14:paraId="4C5D6EF5" w14:textId="3A69C4EE" w:rsidR="00514E8A" w:rsidRPr="00014482" w:rsidRDefault="00C62BDB" w:rsidP="00C62BDB">
            <w:pPr>
              <w:jc w:val="center"/>
              <w:rPr>
                <w:rFonts w:ascii="Times New Roman" w:hAnsi="Times New Roman" w:cs="Times New Roman"/>
                <w:b/>
                <w:bCs/>
                <w:sz w:val="20"/>
                <w:szCs w:val="20"/>
                <w:lang w:val="en-US"/>
              </w:rPr>
            </w:pPr>
            <w:r w:rsidRPr="00014482">
              <w:rPr>
                <w:rFonts w:ascii="Times New Roman" w:hAnsi="Times New Roman" w:cs="Times New Roman"/>
                <w:sz w:val="20"/>
                <w:szCs w:val="20"/>
                <w:lang w:val="en-US"/>
              </w:rPr>
              <w:t>- Legal and financial due diligence reports on the business being acquired.</w:t>
            </w:r>
          </w:p>
        </w:tc>
      </w:tr>
      <w:tr w:rsidR="00514E8A" w:rsidRPr="00014482" w14:paraId="7916E10B" w14:textId="77777777" w:rsidTr="00C62BDB">
        <w:trPr>
          <w:trHeight w:val="572"/>
        </w:trPr>
        <w:tc>
          <w:tcPr>
            <w:tcW w:w="1048" w:type="dxa"/>
          </w:tcPr>
          <w:p w14:paraId="586AC649" w14:textId="77777777" w:rsidR="00514E8A" w:rsidRPr="00014482" w:rsidRDefault="00514E8A" w:rsidP="007F6B8C">
            <w:pPr>
              <w:pStyle w:val="ListParagraph"/>
              <w:numPr>
                <w:ilvl w:val="0"/>
                <w:numId w:val="16"/>
              </w:numPr>
              <w:rPr>
                <w:rFonts w:ascii="Times New Roman" w:hAnsi="Times New Roman" w:cs="Times New Roman"/>
                <w:b/>
                <w:bCs/>
                <w:sz w:val="20"/>
                <w:szCs w:val="20"/>
                <w:lang w:val="en-US"/>
              </w:rPr>
            </w:pPr>
          </w:p>
        </w:tc>
        <w:tc>
          <w:tcPr>
            <w:tcW w:w="4883" w:type="dxa"/>
          </w:tcPr>
          <w:p w14:paraId="7F663937" w14:textId="77777777" w:rsidR="00F169ED" w:rsidRPr="00014482" w:rsidRDefault="00F169ED" w:rsidP="00F169ED">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Payment Proof:</w:t>
            </w:r>
          </w:p>
          <w:p w14:paraId="1345D55C" w14:textId="6D89E312" w:rsidR="00514E8A" w:rsidRPr="00014482" w:rsidRDefault="00F169ED" w:rsidP="00F169ED">
            <w:pPr>
              <w:jc w:val="center"/>
              <w:rPr>
                <w:rFonts w:ascii="Times New Roman" w:hAnsi="Times New Roman" w:cs="Times New Roman"/>
                <w:b/>
                <w:bCs/>
                <w:sz w:val="20"/>
                <w:szCs w:val="20"/>
                <w:lang w:val="en-US"/>
              </w:rPr>
            </w:pPr>
            <w:r w:rsidRPr="00014482">
              <w:rPr>
                <w:rFonts w:ascii="Times New Roman" w:hAnsi="Times New Roman" w:cs="Times New Roman"/>
                <w:sz w:val="20"/>
                <w:szCs w:val="20"/>
                <w:lang w:val="en-US"/>
              </w:rPr>
              <w:t>- Evidence of payment of the agreed consideration.</w:t>
            </w:r>
          </w:p>
        </w:tc>
      </w:tr>
      <w:tr w:rsidR="00514E8A" w:rsidRPr="00014482" w14:paraId="481269AF" w14:textId="77777777" w:rsidTr="00C62BDB">
        <w:trPr>
          <w:trHeight w:val="595"/>
        </w:trPr>
        <w:tc>
          <w:tcPr>
            <w:tcW w:w="1048" w:type="dxa"/>
          </w:tcPr>
          <w:p w14:paraId="7DC44CCB" w14:textId="77777777" w:rsidR="00514E8A" w:rsidRPr="00014482" w:rsidRDefault="00514E8A" w:rsidP="007F6B8C">
            <w:pPr>
              <w:pStyle w:val="ListParagraph"/>
              <w:numPr>
                <w:ilvl w:val="0"/>
                <w:numId w:val="16"/>
              </w:numPr>
              <w:rPr>
                <w:rFonts w:ascii="Times New Roman" w:hAnsi="Times New Roman" w:cs="Times New Roman"/>
                <w:b/>
                <w:bCs/>
                <w:sz w:val="20"/>
                <w:szCs w:val="20"/>
                <w:lang w:val="en-US"/>
              </w:rPr>
            </w:pPr>
          </w:p>
        </w:tc>
        <w:tc>
          <w:tcPr>
            <w:tcW w:w="4883" w:type="dxa"/>
          </w:tcPr>
          <w:p w14:paraId="45D60577" w14:textId="77777777" w:rsidR="00A826A8" w:rsidRPr="00014482" w:rsidRDefault="00A826A8" w:rsidP="00A826A8">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Tax Compliance Documents:</w:t>
            </w:r>
          </w:p>
          <w:p w14:paraId="6EC2F3DD" w14:textId="3E9C8D08" w:rsidR="00514E8A" w:rsidRPr="00014482" w:rsidRDefault="00A826A8" w:rsidP="00A826A8">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GST and other applicable tax documents.</w:t>
            </w:r>
          </w:p>
        </w:tc>
      </w:tr>
      <w:tr w:rsidR="00514E8A" w:rsidRPr="00014482" w14:paraId="46D1D449" w14:textId="77777777" w:rsidTr="00C62BDB">
        <w:trPr>
          <w:trHeight w:val="595"/>
        </w:trPr>
        <w:tc>
          <w:tcPr>
            <w:tcW w:w="1048" w:type="dxa"/>
          </w:tcPr>
          <w:p w14:paraId="056D36EB" w14:textId="77777777" w:rsidR="00514E8A" w:rsidRPr="00014482" w:rsidRDefault="00514E8A" w:rsidP="007F6B8C">
            <w:pPr>
              <w:pStyle w:val="ListParagraph"/>
              <w:numPr>
                <w:ilvl w:val="0"/>
                <w:numId w:val="16"/>
              </w:numPr>
              <w:rPr>
                <w:rFonts w:ascii="Times New Roman" w:hAnsi="Times New Roman" w:cs="Times New Roman"/>
                <w:b/>
                <w:bCs/>
                <w:sz w:val="20"/>
                <w:szCs w:val="20"/>
                <w:lang w:val="en-US"/>
              </w:rPr>
            </w:pPr>
          </w:p>
        </w:tc>
        <w:tc>
          <w:tcPr>
            <w:tcW w:w="4883" w:type="dxa"/>
          </w:tcPr>
          <w:p w14:paraId="1851AF61" w14:textId="77777777" w:rsidR="006A659D" w:rsidRPr="00014482" w:rsidRDefault="006A659D" w:rsidP="006A659D">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Asset Transfer Documents:</w:t>
            </w:r>
          </w:p>
          <w:p w14:paraId="10C1DE41" w14:textId="77777777" w:rsidR="006A659D" w:rsidRPr="00014482" w:rsidRDefault="006A659D" w:rsidP="006A659D">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Documentation related to the transfer and integration of assets.</w:t>
            </w:r>
          </w:p>
          <w:p w14:paraId="49E08EC4" w14:textId="77777777" w:rsidR="00514E8A" w:rsidRPr="00014482" w:rsidRDefault="00514E8A" w:rsidP="006A659D">
            <w:pPr>
              <w:jc w:val="center"/>
              <w:rPr>
                <w:rFonts w:ascii="Times New Roman" w:hAnsi="Times New Roman" w:cs="Times New Roman"/>
                <w:sz w:val="20"/>
                <w:szCs w:val="20"/>
                <w:lang w:val="en-US"/>
              </w:rPr>
            </w:pPr>
          </w:p>
        </w:tc>
      </w:tr>
      <w:tr w:rsidR="00514E8A" w:rsidRPr="00014482" w14:paraId="32F5CD16" w14:textId="77777777" w:rsidTr="00C62BDB">
        <w:trPr>
          <w:trHeight w:val="572"/>
        </w:trPr>
        <w:tc>
          <w:tcPr>
            <w:tcW w:w="1048" w:type="dxa"/>
          </w:tcPr>
          <w:p w14:paraId="7AC9E19D" w14:textId="77777777" w:rsidR="00514E8A" w:rsidRPr="00014482" w:rsidRDefault="00514E8A" w:rsidP="007F6B8C">
            <w:pPr>
              <w:pStyle w:val="ListParagraph"/>
              <w:numPr>
                <w:ilvl w:val="0"/>
                <w:numId w:val="16"/>
              </w:numPr>
              <w:rPr>
                <w:rFonts w:ascii="Times New Roman" w:hAnsi="Times New Roman" w:cs="Times New Roman"/>
                <w:b/>
                <w:bCs/>
                <w:sz w:val="20"/>
                <w:szCs w:val="20"/>
                <w:lang w:val="en-US"/>
              </w:rPr>
            </w:pPr>
          </w:p>
        </w:tc>
        <w:tc>
          <w:tcPr>
            <w:tcW w:w="4883" w:type="dxa"/>
          </w:tcPr>
          <w:p w14:paraId="4D3D249B" w14:textId="77777777" w:rsidR="00CE5681" w:rsidRPr="00014482" w:rsidRDefault="00CE5681" w:rsidP="00CE5681">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Stamp Duty Payment Receipts:</w:t>
            </w:r>
          </w:p>
          <w:p w14:paraId="2DE12FDC" w14:textId="58CFC3DE" w:rsidR="00514E8A" w:rsidRPr="00014482" w:rsidRDefault="00CE5681" w:rsidP="00CE5681">
            <w:pPr>
              <w:jc w:val="center"/>
              <w:rPr>
                <w:rFonts w:ascii="Times New Roman" w:hAnsi="Times New Roman" w:cs="Times New Roman"/>
                <w:sz w:val="20"/>
                <w:szCs w:val="20"/>
                <w:lang w:val="en-US"/>
              </w:rPr>
            </w:pPr>
            <w:r w:rsidRPr="00014482">
              <w:rPr>
                <w:rFonts w:ascii="Times New Roman" w:hAnsi="Times New Roman" w:cs="Times New Roman"/>
                <w:sz w:val="20"/>
                <w:szCs w:val="20"/>
                <w:lang w:val="en-US"/>
              </w:rPr>
              <w:t xml:space="preserve">   - Receipts for stamp duty paid on transfer documents.</w:t>
            </w:r>
            <w:r w:rsidR="00644218" w:rsidRPr="00014482">
              <w:rPr>
                <w:rStyle w:val="EndnoteReference"/>
                <w:rFonts w:ascii="Times New Roman" w:hAnsi="Times New Roman" w:cs="Times New Roman"/>
                <w:sz w:val="20"/>
                <w:szCs w:val="20"/>
                <w:lang w:val="en-US"/>
              </w:rPr>
              <w:endnoteReference w:id="4"/>
            </w:r>
          </w:p>
        </w:tc>
      </w:tr>
    </w:tbl>
    <w:p w14:paraId="7C8308B9" w14:textId="77777777" w:rsidR="00514E8A" w:rsidRPr="00014482" w:rsidRDefault="00514E8A" w:rsidP="00514E8A">
      <w:pPr>
        <w:rPr>
          <w:rFonts w:ascii="Times New Roman" w:hAnsi="Times New Roman" w:cs="Times New Roman"/>
          <w:b/>
          <w:bCs/>
          <w:sz w:val="20"/>
          <w:szCs w:val="20"/>
          <w:lang w:val="en-US"/>
        </w:rPr>
      </w:pPr>
    </w:p>
    <w:p w14:paraId="7621D2B2" w14:textId="428E9117" w:rsidR="004D25AE" w:rsidRPr="005043FA" w:rsidRDefault="005043FA" w:rsidP="004D25AE">
      <w:pPr>
        <w:tabs>
          <w:tab w:val="left" w:pos="8292"/>
        </w:tabs>
        <w:rPr>
          <w:rFonts w:ascii="Times New Roman" w:hAnsi="Times New Roman" w:cs="Times New Roman"/>
          <w:b/>
          <w:bCs/>
          <w:sz w:val="24"/>
          <w:szCs w:val="24"/>
          <w:lang w:val="en-US"/>
        </w:rPr>
      </w:pPr>
      <w:r w:rsidRPr="005043FA">
        <w:rPr>
          <w:rFonts w:ascii="Times New Roman" w:hAnsi="Times New Roman" w:cs="Times New Roman"/>
          <w:b/>
          <w:bCs/>
          <w:sz w:val="24"/>
          <w:szCs w:val="24"/>
          <w:lang w:val="en-US"/>
        </w:rPr>
        <w:t>PROCEDURE:</w:t>
      </w:r>
    </w:p>
    <w:p w14:paraId="60165FC3" w14:textId="77777777" w:rsidR="00C21CD9" w:rsidRPr="00014482" w:rsidRDefault="00F70801" w:rsidP="00EB4B22">
      <w:pPr>
        <w:pStyle w:val="ListParagraph"/>
        <w:numPr>
          <w:ilvl w:val="0"/>
          <w:numId w:val="17"/>
        </w:numPr>
        <w:tabs>
          <w:tab w:val="left" w:pos="8292"/>
        </w:tabs>
        <w:rPr>
          <w:rFonts w:ascii="Times New Roman" w:hAnsi="Times New Roman" w:cs="Times New Roman"/>
          <w:sz w:val="20"/>
          <w:szCs w:val="20"/>
          <w:lang w:val="en-US"/>
        </w:rPr>
      </w:pPr>
      <w:r w:rsidRPr="00014482">
        <w:rPr>
          <w:rFonts w:ascii="Times New Roman" w:hAnsi="Times New Roman" w:cs="Times New Roman"/>
          <w:sz w:val="20"/>
          <w:szCs w:val="20"/>
        </w:rPr>
        <w:t>Verify if the undertaking meets the requirements outlined in section 180(1)(a) in relation to the audited balance sheet from the financial year.</w:t>
      </w:r>
    </w:p>
    <w:p w14:paraId="3F4ABBEA" w14:textId="6E870C8C" w:rsidR="004D25AE" w:rsidRPr="00014482" w:rsidRDefault="00C21CD9" w:rsidP="00EB4B22">
      <w:pPr>
        <w:pStyle w:val="ListParagraph"/>
        <w:numPr>
          <w:ilvl w:val="0"/>
          <w:numId w:val="17"/>
        </w:numPr>
        <w:tabs>
          <w:tab w:val="left" w:pos="8292"/>
        </w:tabs>
        <w:rPr>
          <w:rFonts w:ascii="Times New Roman" w:hAnsi="Times New Roman" w:cs="Times New Roman"/>
          <w:sz w:val="20"/>
          <w:szCs w:val="20"/>
          <w:lang w:val="en-US"/>
        </w:rPr>
      </w:pPr>
      <w:r w:rsidRPr="00014482">
        <w:rPr>
          <w:rFonts w:ascii="Times New Roman" w:hAnsi="Times New Roman" w:cs="Times New Roman"/>
          <w:sz w:val="20"/>
          <w:szCs w:val="20"/>
        </w:rPr>
        <w:t>At least seven days prior to the board meeting, send out a notice calling it.</w:t>
      </w:r>
    </w:p>
    <w:p w14:paraId="2DDC31DB" w14:textId="7345B505" w:rsidR="00BD5F5D" w:rsidRPr="00014482" w:rsidRDefault="00BD5F5D" w:rsidP="00EB4B22">
      <w:pPr>
        <w:pStyle w:val="ListParagraph"/>
        <w:numPr>
          <w:ilvl w:val="0"/>
          <w:numId w:val="17"/>
        </w:numPr>
        <w:tabs>
          <w:tab w:val="left" w:pos="8292"/>
        </w:tabs>
        <w:rPr>
          <w:rFonts w:ascii="Times New Roman" w:hAnsi="Times New Roman" w:cs="Times New Roman"/>
          <w:sz w:val="20"/>
          <w:szCs w:val="20"/>
          <w:lang w:val="en-US"/>
        </w:rPr>
      </w:pPr>
      <w:r w:rsidRPr="00014482">
        <w:rPr>
          <w:rFonts w:ascii="Times New Roman" w:hAnsi="Times New Roman" w:cs="Times New Roman"/>
          <w:sz w:val="20"/>
          <w:szCs w:val="20"/>
        </w:rPr>
        <w:t>Call an EOGM, hold a board meeting, and approve a resolution to sell, lease, or otherwise dispose of the undertaking.</w:t>
      </w:r>
    </w:p>
    <w:p w14:paraId="2905E1CD" w14:textId="77777777" w:rsidR="00CE399E" w:rsidRPr="00014482" w:rsidRDefault="00EF3E05" w:rsidP="00EB4B22">
      <w:pPr>
        <w:pStyle w:val="ListParagraph"/>
        <w:numPr>
          <w:ilvl w:val="0"/>
          <w:numId w:val="17"/>
        </w:numPr>
        <w:tabs>
          <w:tab w:val="left" w:pos="8292"/>
        </w:tabs>
        <w:rPr>
          <w:rFonts w:ascii="Times New Roman" w:hAnsi="Times New Roman" w:cs="Times New Roman"/>
          <w:sz w:val="20"/>
          <w:szCs w:val="20"/>
          <w:lang w:val="en-US"/>
        </w:rPr>
      </w:pPr>
      <w:r w:rsidRPr="00014482">
        <w:rPr>
          <w:rFonts w:ascii="Times New Roman" w:hAnsi="Times New Roman" w:cs="Times New Roman"/>
          <w:sz w:val="20"/>
          <w:szCs w:val="20"/>
        </w:rPr>
        <w:t xml:space="preserve">At least 21 clear days prior to the meeting, send EOGM a notice calling. </w:t>
      </w:r>
    </w:p>
    <w:p w14:paraId="774258AF" w14:textId="7D68655F" w:rsidR="00EF3E05" w:rsidRPr="00014482" w:rsidRDefault="00EF3E05" w:rsidP="00EB4B22">
      <w:pPr>
        <w:pStyle w:val="ListParagraph"/>
        <w:numPr>
          <w:ilvl w:val="0"/>
          <w:numId w:val="17"/>
        </w:numPr>
        <w:tabs>
          <w:tab w:val="left" w:pos="8292"/>
        </w:tabs>
        <w:rPr>
          <w:rFonts w:ascii="Times New Roman" w:hAnsi="Times New Roman" w:cs="Times New Roman"/>
          <w:sz w:val="20"/>
          <w:szCs w:val="20"/>
          <w:lang w:val="en-US"/>
        </w:rPr>
      </w:pPr>
      <w:r w:rsidRPr="00014482">
        <w:rPr>
          <w:rFonts w:ascii="Times New Roman" w:hAnsi="Times New Roman" w:cs="Times New Roman"/>
          <w:sz w:val="20"/>
          <w:szCs w:val="20"/>
        </w:rPr>
        <w:t>Calling an EOGM meeting and passing a special resolution to authorize the sale, leasing, or other disposal of the undertaking.</w:t>
      </w:r>
    </w:p>
    <w:p w14:paraId="6A4780CD" w14:textId="77777777" w:rsidR="004D25AE" w:rsidRPr="00014482" w:rsidRDefault="004D25AE" w:rsidP="00EB4B22">
      <w:pPr>
        <w:pStyle w:val="ListParagraph"/>
        <w:numPr>
          <w:ilvl w:val="0"/>
          <w:numId w:val="17"/>
        </w:numPr>
        <w:tabs>
          <w:tab w:val="left" w:pos="8292"/>
        </w:tabs>
        <w:rPr>
          <w:rFonts w:ascii="Times New Roman" w:hAnsi="Times New Roman" w:cs="Times New Roman"/>
          <w:sz w:val="20"/>
          <w:szCs w:val="20"/>
          <w:lang w:val="en-US"/>
        </w:rPr>
      </w:pPr>
      <w:r w:rsidRPr="00014482">
        <w:rPr>
          <w:rFonts w:ascii="Times New Roman" w:hAnsi="Times New Roman" w:cs="Times New Roman"/>
          <w:sz w:val="20"/>
          <w:szCs w:val="20"/>
          <w:lang w:val="en-US"/>
        </w:rPr>
        <w:t>File E-Form MGT-14 within 30 days from the date of passing of Special Resolution with the required fees with the Registrar of Companies.</w:t>
      </w:r>
    </w:p>
    <w:p w14:paraId="6EF2CCBC" w14:textId="214D32B8" w:rsidR="00892E1D" w:rsidRPr="00014482" w:rsidRDefault="004D25AE" w:rsidP="00EB4B22">
      <w:pPr>
        <w:pStyle w:val="ListParagraph"/>
        <w:numPr>
          <w:ilvl w:val="0"/>
          <w:numId w:val="17"/>
        </w:numPr>
        <w:tabs>
          <w:tab w:val="left" w:pos="8292"/>
        </w:tabs>
        <w:rPr>
          <w:rFonts w:ascii="Times New Roman" w:hAnsi="Times New Roman" w:cs="Times New Roman"/>
          <w:sz w:val="20"/>
          <w:szCs w:val="20"/>
          <w:lang w:val="en-US"/>
        </w:rPr>
      </w:pPr>
      <w:r w:rsidRPr="00014482">
        <w:rPr>
          <w:rFonts w:ascii="Times New Roman" w:hAnsi="Times New Roman" w:cs="Times New Roman"/>
          <w:sz w:val="20"/>
          <w:szCs w:val="20"/>
          <w:lang w:val="en-US"/>
        </w:rPr>
        <w:t>Execute necessary agreements, conveyance/ assignment deed.</w:t>
      </w:r>
      <w:r w:rsidR="003C06E5" w:rsidRPr="00014482">
        <w:rPr>
          <w:rStyle w:val="EndnoteReference"/>
          <w:rFonts w:ascii="Times New Roman" w:hAnsi="Times New Roman" w:cs="Times New Roman"/>
          <w:sz w:val="20"/>
          <w:szCs w:val="20"/>
          <w:lang w:val="en-US"/>
        </w:rPr>
        <w:endnoteReference w:id="5"/>
      </w:r>
    </w:p>
    <w:p w14:paraId="250C80A9" w14:textId="77777777" w:rsidR="00622A19" w:rsidRPr="00014482" w:rsidRDefault="00622A19" w:rsidP="00622A19">
      <w:pPr>
        <w:pStyle w:val="ListParagraph"/>
        <w:tabs>
          <w:tab w:val="left" w:pos="8292"/>
        </w:tabs>
        <w:rPr>
          <w:rFonts w:ascii="Times New Roman" w:hAnsi="Times New Roman" w:cs="Times New Roman"/>
          <w:sz w:val="20"/>
          <w:szCs w:val="20"/>
          <w:lang w:val="en-US"/>
        </w:rPr>
      </w:pPr>
    </w:p>
    <w:p w14:paraId="3222527E" w14:textId="355AB1C0" w:rsidR="00575C86" w:rsidRPr="00014482" w:rsidRDefault="00885814" w:rsidP="00B1406C">
      <w:pPr>
        <w:tabs>
          <w:tab w:val="left" w:pos="8292"/>
        </w:tabs>
        <w:rPr>
          <w:rFonts w:ascii="Times New Roman" w:hAnsi="Times New Roman" w:cs="Times New Roman"/>
          <w:sz w:val="20"/>
          <w:szCs w:val="20"/>
          <w:lang w:val="en-US"/>
        </w:rPr>
      </w:pPr>
      <w:r w:rsidRPr="00014482">
        <w:rPr>
          <w:rFonts w:ascii="Times New Roman" w:hAnsi="Times New Roman" w:cs="Times New Roman"/>
          <w:b/>
          <w:bCs/>
          <w:sz w:val="20"/>
          <w:szCs w:val="20"/>
          <w:lang w:val="en-US"/>
        </w:rPr>
        <w:lastRenderedPageBreak/>
        <w:t xml:space="preserve">AN ILLUSTRARTION </w:t>
      </w:r>
      <w:r w:rsidR="00E03C75" w:rsidRPr="00014482">
        <w:rPr>
          <w:rFonts w:ascii="Times New Roman" w:hAnsi="Times New Roman" w:cs="Times New Roman"/>
          <w:b/>
          <w:bCs/>
          <w:sz w:val="20"/>
          <w:szCs w:val="20"/>
          <w:lang w:val="en-US"/>
        </w:rPr>
        <w:t xml:space="preserve">UNDER </w:t>
      </w:r>
      <w:r w:rsidR="00C87E34" w:rsidRPr="00014482">
        <w:rPr>
          <w:rFonts w:ascii="Times New Roman" w:hAnsi="Times New Roman" w:cs="Times New Roman"/>
          <w:b/>
          <w:bCs/>
          <w:sz w:val="20"/>
          <w:szCs w:val="20"/>
          <w:lang w:val="en-US"/>
        </w:rPr>
        <w:t>COMPANIES ACT</w:t>
      </w:r>
      <w:r w:rsidR="00B1406C" w:rsidRPr="00014482">
        <w:rPr>
          <w:rFonts w:ascii="Times New Roman" w:hAnsi="Times New Roman" w:cs="Times New Roman"/>
          <w:b/>
          <w:bCs/>
          <w:sz w:val="20"/>
          <w:szCs w:val="20"/>
          <w:lang w:val="en-US"/>
        </w:rPr>
        <w:t>, 2013</w:t>
      </w:r>
      <w:r w:rsidR="00E348D5" w:rsidRPr="00014482">
        <w:rPr>
          <w:rFonts w:ascii="Times New Roman" w:hAnsi="Times New Roman" w:cs="Times New Roman"/>
          <w:sz w:val="20"/>
          <w:szCs w:val="20"/>
        </w:rPr>
        <w:t xml:space="preserve"> </w:t>
      </w:r>
      <w:r w:rsidR="008946CF" w:rsidRPr="00014482">
        <w:rPr>
          <w:rStyle w:val="EndnoteReference"/>
          <w:rFonts w:ascii="Times New Roman" w:hAnsi="Times New Roman" w:cs="Times New Roman"/>
          <w:sz w:val="20"/>
          <w:szCs w:val="20"/>
        </w:rPr>
        <w:endnoteReference w:id="6"/>
      </w:r>
      <w:r w:rsidR="00E348D5" w:rsidRPr="00014482">
        <w:rPr>
          <w:rFonts w:ascii="Times New Roman" w:hAnsi="Times New Roman" w:cs="Times New Roman"/>
          <w:noProof/>
          <w:sz w:val="20"/>
          <w:szCs w:val="20"/>
        </w:rPr>
        <w:drawing>
          <wp:inline distT="0" distB="0" distL="0" distR="0" wp14:anchorId="30891708" wp14:editId="598E2624">
            <wp:extent cx="5731510" cy="3223506"/>
            <wp:effectExtent l="0" t="0" r="2540" b="0"/>
            <wp:docPr id="1635464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464092" name=""/>
                    <pic:cNvPicPr/>
                  </pic:nvPicPr>
                  <pic:blipFill>
                    <a:blip r:embed="rId8"/>
                    <a:stretch>
                      <a:fillRect/>
                    </a:stretch>
                  </pic:blipFill>
                  <pic:spPr>
                    <a:xfrm>
                      <a:off x="0" y="0"/>
                      <a:ext cx="5731510" cy="3223506"/>
                    </a:xfrm>
                    <a:prstGeom prst="rect">
                      <a:avLst/>
                    </a:prstGeom>
                  </pic:spPr>
                </pic:pic>
              </a:graphicData>
            </a:graphic>
          </wp:inline>
        </w:drawing>
      </w:r>
    </w:p>
    <w:p w14:paraId="12B41DBF" w14:textId="77777777" w:rsidR="00B734DF" w:rsidRPr="00014482" w:rsidRDefault="00B734DF" w:rsidP="00E81D49">
      <w:pPr>
        <w:rPr>
          <w:rFonts w:ascii="Times New Roman" w:hAnsi="Times New Roman" w:cs="Times New Roman"/>
          <w:b/>
          <w:bCs/>
          <w:sz w:val="20"/>
          <w:szCs w:val="20"/>
          <w:lang w:val="en-US"/>
        </w:rPr>
      </w:pPr>
    </w:p>
    <w:p w14:paraId="5E6383D0" w14:textId="126D8D3B" w:rsidR="00EE3BF9" w:rsidRPr="00014482" w:rsidRDefault="009A262A" w:rsidP="008E06D0">
      <w:pPr>
        <w:jc w:val="right"/>
        <w:rPr>
          <w:rFonts w:ascii="Times New Roman" w:hAnsi="Times New Roman" w:cs="Times New Roman"/>
          <w:sz w:val="20"/>
          <w:szCs w:val="20"/>
          <w:lang w:val="en-US"/>
        </w:rPr>
      </w:pPr>
      <w:r w:rsidRPr="00014482">
        <w:rPr>
          <w:rFonts w:ascii="Times New Roman" w:hAnsi="Times New Roman" w:cs="Times New Roman"/>
          <w:sz w:val="20"/>
          <w:szCs w:val="20"/>
          <w:lang w:val="en-US"/>
        </w:rPr>
        <w:t>THANK YOU</w:t>
      </w:r>
      <w:r w:rsidR="008E06D0" w:rsidRPr="00014482">
        <w:rPr>
          <w:rFonts w:ascii="Times New Roman" w:hAnsi="Times New Roman" w:cs="Times New Roman"/>
          <w:sz w:val="20"/>
          <w:szCs w:val="20"/>
          <w:lang w:val="en-US"/>
        </w:rPr>
        <w:t>!</w:t>
      </w:r>
    </w:p>
    <w:p w14:paraId="46802F34" w14:textId="59EC00AE" w:rsidR="00A507BC" w:rsidRPr="008E06D0" w:rsidRDefault="00A507BC" w:rsidP="008E06D0">
      <w:pPr>
        <w:jc w:val="right"/>
        <w:rPr>
          <w:rFonts w:ascii="Franklin Gothic Medium Cond" w:hAnsi="Franklin Gothic Medium Cond" w:cs="Times New Roman"/>
          <w:sz w:val="28"/>
          <w:szCs w:val="28"/>
          <w:lang w:val="en-US"/>
        </w:rPr>
      </w:pPr>
      <w:r>
        <w:rPr>
          <w:rFonts w:ascii="Franklin Gothic Medium Cond" w:hAnsi="Franklin Gothic Medium Cond" w:cs="Times New Roman"/>
          <w:sz w:val="28"/>
          <w:szCs w:val="28"/>
          <w:lang w:val="en-US"/>
        </w:rPr>
        <w:t>Tanvi Goel.</w:t>
      </w:r>
    </w:p>
    <w:sectPr w:rsidR="00A507BC" w:rsidRPr="008E06D0" w:rsidSect="00050099">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4A83C" w14:textId="77777777" w:rsidR="00953246" w:rsidRDefault="00953246" w:rsidP="00FF09F3">
      <w:pPr>
        <w:spacing w:after="0" w:line="240" w:lineRule="auto"/>
      </w:pPr>
      <w:r>
        <w:separator/>
      </w:r>
    </w:p>
  </w:endnote>
  <w:endnote w:type="continuationSeparator" w:id="0">
    <w:p w14:paraId="69F54B67" w14:textId="77777777" w:rsidR="00953246" w:rsidRDefault="00953246" w:rsidP="00FF09F3">
      <w:pPr>
        <w:spacing w:after="0" w:line="240" w:lineRule="auto"/>
      </w:pPr>
      <w:r>
        <w:continuationSeparator/>
      </w:r>
    </w:p>
  </w:endnote>
  <w:endnote w:id="1">
    <w:p w14:paraId="469879A4" w14:textId="4D1A38AC" w:rsidR="00BE798A" w:rsidRDefault="00906A54">
      <w:pPr>
        <w:pStyle w:val="EndnoteText"/>
      </w:pPr>
      <w:r>
        <w:rPr>
          <w:rStyle w:val="EndnoteReference"/>
        </w:rPr>
        <w:endnoteRef/>
      </w:r>
      <w:r>
        <w:t xml:space="preserve"> </w:t>
      </w:r>
      <w:hyperlink r:id="rId1" w:history="1">
        <w:r w:rsidR="00BE798A" w:rsidRPr="0082426D">
          <w:rPr>
            <w:rStyle w:val="Hyperlink"/>
          </w:rPr>
          <w:t>https://tax2win.in/guide/slump-sale</w:t>
        </w:r>
      </w:hyperlink>
    </w:p>
  </w:endnote>
  <w:endnote w:id="2">
    <w:p w14:paraId="7AEE757D" w14:textId="086C9F9B" w:rsidR="00284E0C" w:rsidRDefault="00776899">
      <w:pPr>
        <w:pStyle w:val="EndnoteText"/>
      </w:pPr>
      <w:r>
        <w:rPr>
          <w:rStyle w:val="EndnoteReference"/>
        </w:rPr>
        <w:endnoteRef/>
      </w:r>
      <w:r>
        <w:t xml:space="preserve"> </w:t>
      </w:r>
      <w:hyperlink r:id="rId2" w:history="1">
        <w:r w:rsidR="00284E0C" w:rsidRPr="0082426D">
          <w:rPr>
            <w:rStyle w:val="Hyperlink"/>
          </w:rPr>
          <w:t>https://taxguru.in/company-law/slump-sale-merger-implications-companies-act-income-tax-act.html#</w:t>
        </w:r>
      </w:hyperlink>
    </w:p>
  </w:endnote>
  <w:endnote w:id="3">
    <w:p w14:paraId="2D8D675E" w14:textId="03B9B3FD" w:rsidR="00BE798A" w:rsidRDefault="009B3DF5">
      <w:pPr>
        <w:pStyle w:val="EndnoteText"/>
      </w:pPr>
      <w:r>
        <w:rPr>
          <w:rStyle w:val="EndnoteReference"/>
        </w:rPr>
        <w:endnoteRef/>
      </w:r>
      <w:r>
        <w:t xml:space="preserve"> </w:t>
      </w:r>
      <w:hyperlink r:id="rId3" w:history="1">
        <w:r w:rsidR="00BE798A" w:rsidRPr="0082426D">
          <w:rPr>
            <w:rStyle w:val="Hyperlink"/>
          </w:rPr>
          <w:t>https://www.investopedia.com/terms/c/capitalgain.asp</w:t>
        </w:r>
      </w:hyperlink>
    </w:p>
  </w:endnote>
  <w:endnote w:id="4">
    <w:p w14:paraId="3DAF5F81" w14:textId="25FF826B" w:rsidR="00BE798A" w:rsidRDefault="00644218">
      <w:pPr>
        <w:pStyle w:val="EndnoteText"/>
      </w:pPr>
      <w:r>
        <w:rPr>
          <w:rStyle w:val="EndnoteReference"/>
        </w:rPr>
        <w:endnoteRef/>
      </w:r>
      <w:r>
        <w:t xml:space="preserve"> </w:t>
      </w:r>
      <w:hyperlink r:id="rId4" w:history="1">
        <w:r w:rsidR="00BE798A" w:rsidRPr="0082426D">
          <w:rPr>
            <w:rStyle w:val="Hyperlink"/>
          </w:rPr>
          <w:t>https://www.caclubindia.com/articles/details.asp?mod_id=41762</w:t>
        </w:r>
      </w:hyperlink>
    </w:p>
  </w:endnote>
  <w:endnote w:id="5">
    <w:p w14:paraId="5BCE4E18" w14:textId="1F1558C7" w:rsidR="00BE798A" w:rsidRDefault="003C06E5">
      <w:pPr>
        <w:pStyle w:val="EndnoteText"/>
      </w:pPr>
      <w:r>
        <w:rPr>
          <w:rStyle w:val="EndnoteReference"/>
        </w:rPr>
        <w:endnoteRef/>
      </w:r>
      <w:r>
        <w:t xml:space="preserve"> </w:t>
      </w:r>
      <w:hyperlink r:id="rId5" w:history="1">
        <w:r w:rsidR="00BE798A" w:rsidRPr="0082426D">
          <w:rPr>
            <w:rStyle w:val="Hyperlink"/>
          </w:rPr>
          <w:t>http://159.65.147.210/governing-laws/the-companies-act-2013/slump-sale/</w:t>
        </w:r>
      </w:hyperlink>
    </w:p>
  </w:endnote>
  <w:endnote w:id="6">
    <w:p w14:paraId="7361D38F" w14:textId="03D76D9A" w:rsidR="008946CF" w:rsidRDefault="008946CF">
      <w:pPr>
        <w:pStyle w:val="EndnoteText"/>
      </w:pPr>
      <w:r>
        <w:rPr>
          <w:rStyle w:val="EndnoteReference"/>
        </w:rPr>
        <w:endnoteRef/>
      </w:r>
      <w:r>
        <w:t xml:space="preserve"> </w:t>
      </w:r>
      <w:hyperlink r:id="rId6" w:history="1">
        <w:r w:rsidR="00BE798A" w:rsidRPr="0082426D">
          <w:rPr>
            <w:rStyle w:val="Hyperlink"/>
          </w:rPr>
          <w:t>https://www.slideshare.net/slideshow/slump-sale-under-companies-act-2013/227117798</w:t>
        </w:r>
      </w:hyperlink>
    </w:p>
    <w:p w14:paraId="1F2D2086" w14:textId="77777777" w:rsidR="00BE798A" w:rsidRDefault="00BE798A">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D14F" w14:textId="77777777" w:rsidR="00953246" w:rsidRDefault="00953246" w:rsidP="00FF09F3">
      <w:pPr>
        <w:spacing w:after="0" w:line="240" w:lineRule="auto"/>
      </w:pPr>
      <w:r>
        <w:separator/>
      </w:r>
    </w:p>
  </w:footnote>
  <w:footnote w:type="continuationSeparator" w:id="0">
    <w:p w14:paraId="10F218E7" w14:textId="77777777" w:rsidR="00953246" w:rsidRDefault="00953246" w:rsidP="00FF0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752F"/>
    <w:multiLevelType w:val="hybridMultilevel"/>
    <w:tmpl w:val="B9CEC0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043EEC"/>
    <w:multiLevelType w:val="hybridMultilevel"/>
    <w:tmpl w:val="4C862B0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8961CA"/>
    <w:multiLevelType w:val="hybridMultilevel"/>
    <w:tmpl w:val="BD2E3F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7A6C54"/>
    <w:multiLevelType w:val="hybridMultilevel"/>
    <w:tmpl w:val="DADA77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0C70E9"/>
    <w:multiLevelType w:val="hybridMultilevel"/>
    <w:tmpl w:val="B6509E4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94304B"/>
    <w:multiLevelType w:val="hybridMultilevel"/>
    <w:tmpl w:val="2C0C0C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70321E"/>
    <w:multiLevelType w:val="hybridMultilevel"/>
    <w:tmpl w:val="6E9831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C637AD"/>
    <w:multiLevelType w:val="hybridMultilevel"/>
    <w:tmpl w:val="4B24F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9345DA"/>
    <w:multiLevelType w:val="hybridMultilevel"/>
    <w:tmpl w:val="EFC28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F82DB2"/>
    <w:multiLevelType w:val="hybridMultilevel"/>
    <w:tmpl w:val="9FE6CE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A68013D"/>
    <w:multiLevelType w:val="hybridMultilevel"/>
    <w:tmpl w:val="7EBEA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C8946EB"/>
    <w:multiLevelType w:val="hybridMultilevel"/>
    <w:tmpl w:val="C21E98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D9D2702"/>
    <w:multiLevelType w:val="hybridMultilevel"/>
    <w:tmpl w:val="2A5696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9D708F"/>
    <w:multiLevelType w:val="hybridMultilevel"/>
    <w:tmpl w:val="F38CED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927419D"/>
    <w:multiLevelType w:val="hybridMultilevel"/>
    <w:tmpl w:val="3E605C72"/>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38D3F71"/>
    <w:multiLevelType w:val="hybridMultilevel"/>
    <w:tmpl w:val="69B231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FF10EE1"/>
    <w:multiLevelType w:val="hybridMultilevel"/>
    <w:tmpl w:val="FD322C6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19263966">
    <w:abstractNumId w:val="7"/>
  </w:num>
  <w:num w:numId="2" w16cid:durableId="1232424113">
    <w:abstractNumId w:val="10"/>
  </w:num>
  <w:num w:numId="3" w16cid:durableId="630017522">
    <w:abstractNumId w:val="0"/>
  </w:num>
  <w:num w:numId="4" w16cid:durableId="256059537">
    <w:abstractNumId w:val="3"/>
  </w:num>
  <w:num w:numId="5" w16cid:durableId="959726614">
    <w:abstractNumId w:val="5"/>
  </w:num>
  <w:num w:numId="6" w16cid:durableId="1239750219">
    <w:abstractNumId w:val="13"/>
  </w:num>
  <w:num w:numId="7" w16cid:durableId="773481105">
    <w:abstractNumId w:val="4"/>
  </w:num>
  <w:num w:numId="8" w16cid:durableId="1929733657">
    <w:abstractNumId w:val="14"/>
  </w:num>
  <w:num w:numId="9" w16cid:durableId="1096515217">
    <w:abstractNumId w:val="11"/>
  </w:num>
  <w:num w:numId="10" w16cid:durableId="968390076">
    <w:abstractNumId w:val="15"/>
  </w:num>
  <w:num w:numId="11" w16cid:durableId="974410413">
    <w:abstractNumId w:val="2"/>
  </w:num>
  <w:num w:numId="12" w16cid:durableId="1075933347">
    <w:abstractNumId w:val="12"/>
  </w:num>
  <w:num w:numId="13" w16cid:durableId="861165349">
    <w:abstractNumId w:val="16"/>
  </w:num>
  <w:num w:numId="14" w16cid:durableId="1345867035">
    <w:abstractNumId w:val="9"/>
  </w:num>
  <w:num w:numId="15" w16cid:durableId="323750619">
    <w:abstractNumId w:val="6"/>
  </w:num>
  <w:num w:numId="16" w16cid:durableId="510484993">
    <w:abstractNumId w:val="1"/>
  </w:num>
  <w:num w:numId="17" w16cid:durableId="338122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0AB"/>
    <w:rsid w:val="00014482"/>
    <w:rsid w:val="00017CBB"/>
    <w:rsid w:val="00024901"/>
    <w:rsid w:val="000260B7"/>
    <w:rsid w:val="00027C1D"/>
    <w:rsid w:val="000346B0"/>
    <w:rsid w:val="00037874"/>
    <w:rsid w:val="00050099"/>
    <w:rsid w:val="00051BAF"/>
    <w:rsid w:val="000525BF"/>
    <w:rsid w:val="00084E05"/>
    <w:rsid w:val="000C0420"/>
    <w:rsid w:val="000C5CA6"/>
    <w:rsid w:val="000E57AA"/>
    <w:rsid w:val="000E5D80"/>
    <w:rsid w:val="000F12E0"/>
    <w:rsid w:val="00104763"/>
    <w:rsid w:val="00110A73"/>
    <w:rsid w:val="001542E9"/>
    <w:rsid w:val="00156C61"/>
    <w:rsid w:val="00165FCF"/>
    <w:rsid w:val="00191FAE"/>
    <w:rsid w:val="001A4C95"/>
    <w:rsid w:val="001A4D3C"/>
    <w:rsid w:val="001D3139"/>
    <w:rsid w:val="001E16DF"/>
    <w:rsid w:val="001E16FE"/>
    <w:rsid w:val="001F6AD2"/>
    <w:rsid w:val="00200402"/>
    <w:rsid w:val="00212E93"/>
    <w:rsid w:val="00215B8F"/>
    <w:rsid w:val="00244921"/>
    <w:rsid w:val="002464A2"/>
    <w:rsid w:val="00254F08"/>
    <w:rsid w:val="0025562F"/>
    <w:rsid w:val="00264B39"/>
    <w:rsid w:val="00266BEA"/>
    <w:rsid w:val="00284E0C"/>
    <w:rsid w:val="0029108B"/>
    <w:rsid w:val="002C72F7"/>
    <w:rsid w:val="002E75C8"/>
    <w:rsid w:val="0030460B"/>
    <w:rsid w:val="00315CE9"/>
    <w:rsid w:val="003435E0"/>
    <w:rsid w:val="00356228"/>
    <w:rsid w:val="00372CFC"/>
    <w:rsid w:val="00383029"/>
    <w:rsid w:val="003A3BF1"/>
    <w:rsid w:val="003A5C94"/>
    <w:rsid w:val="003B197C"/>
    <w:rsid w:val="003C06E5"/>
    <w:rsid w:val="003E61B0"/>
    <w:rsid w:val="003F2FBF"/>
    <w:rsid w:val="00403A06"/>
    <w:rsid w:val="0041002A"/>
    <w:rsid w:val="0043219E"/>
    <w:rsid w:val="0045487E"/>
    <w:rsid w:val="00454FF1"/>
    <w:rsid w:val="0047377D"/>
    <w:rsid w:val="004D25AE"/>
    <w:rsid w:val="004D3808"/>
    <w:rsid w:val="004D51A7"/>
    <w:rsid w:val="004E12CE"/>
    <w:rsid w:val="004E78A7"/>
    <w:rsid w:val="004F438F"/>
    <w:rsid w:val="004F54E1"/>
    <w:rsid w:val="005043FA"/>
    <w:rsid w:val="005101C3"/>
    <w:rsid w:val="00514E8A"/>
    <w:rsid w:val="0052509C"/>
    <w:rsid w:val="005443C2"/>
    <w:rsid w:val="005449FB"/>
    <w:rsid w:val="00551740"/>
    <w:rsid w:val="00556AA5"/>
    <w:rsid w:val="00571B46"/>
    <w:rsid w:val="005723BD"/>
    <w:rsid w:val="00575C86"/>
    <w:rsid w:val="005A340F"/>
    <w:rsid w:val="005A5C39"/>
    <w:rsid w:val="005D0558"/>
    <w:rsid w:val="005D5036"/>
    <w:rsid w:val="005E170D"/>
    <w:rsid w:val="005E6CEE"/>
    <w:rsid w:val="005F30AB"/>
    <w:rsid w:val="005F574C"/>
    <w:rsid w:val="005F7479"/>
    <w:rsid w:val="006053B3"/>
    <w:rsid w:val="0061713A"/>
    <w:rsid w:val="00622A19"/>
    <w:rsid w:val="0063049A"/>
    <w:rsid w:val="00635CF7"/>
    <w:rsid w:val="00644218"/>
    <w:rsid w:val="00646C39"/>
    <w:rsid w:val="00650F08"/>
    <w:rsid w:val="00682CC4"/>
    <w:rsid w:val="00683014"/>
    <w:rsid w:val="0068502E"/>
    <w:rsid w:val="006962EA"/>
    <w:rsid w:val="00697CE3"/>
    <w:rsid w:val="006A659D"/>
    <w:rsid w:val="00711E0E"/>
    <w:rsid w:val="00712535"/>
    <w:rsid w:val="00721B30"/>
    <w:rsid w:val="00723D27"/>
    <w:rsid w:val="00736CC1"/>
    <w:rsid w:val="00754935"/>
    <w:rsid w:val="00776899"/>
    <w:rsid w:val="0078373F"/>
    <w:rsid w:val="00794F8E"/>
    <w:rsid w:val="007A7BBC"/>
    <w:rsid w:val="007D22F1"/>
    <w:rsid w:val="007D30C6"/>
    <w:rsid w:val="007E01D9"/>
    <w:rsid w:val="007E3310"/>
    <w:rsid w:val="007E41A4"/>
    <w:rsid w:val="007F0DE5"/>
    <w:rsid w:val="007F6A0B"/>
    <w:rsid w:val="007F6B8C"/>
    <w:rsid w:val="00812F34"/>
    <w:rsid w:val="00817A84"/>
    <w:rsid w:val="00822B28"/>
    <w:rsid w:val="00846DA3"/>
    <w:rsid w:val="00883E49"/>
    <w:rsid w:val="00885814"/>
    <w:rsid w:val="00892E1D"/>
    <w:rsid w:val="008946CF"/>
    <w:rsid w:val="008A2009"/>
    <w:rsid w:val="008B0ED9"/>
    <w:rsid w:val="008B222C"/>
    <w:rsid w:val="008D5BF6"/>
    <w:rsid w:val="008E06D0"/>
    <w:rsid w:val="008E3240"/>
    <w:rsid w:val="00906A54"/>
    <w:rsid w:val="00911D4D"/>
    <w:rsid w:val="00930A6E"/>
    <w:rsid w:val="009372C8"/>
    <w:rsid w:val="00944196"/>
    <w:rsid w:val="009470F2"/>
    <w:rsid w:val="00953246"/>
    <w:rsid w:val="00956C94"/>
    <w:rsid w:val="0097455A"/>
    <w:rsid w:val="00975BB2"/>
    <w:rsid w:val="00990E96"/>
    <w:rsid w:val="00993A29"/>
    <w:rsid w:val="009A262A"/>
    <w:rsid w:val="009A68D8"/>
    <w:rsid w:val="009B3DF5"/>
    <w:rsid w:val="009B40DF"/>
    <w:rsid w:val="009D39E6"/>
    <w:rsid w:val="009E4DD7"/>
    <w:rsid w:val="00A00828"/>
    <w:rsid w:val="00A05BBA"/>
    <w:rsid w:val="00A10FB9"/>
    <w:rsid w:val="00A146F4"/>
    <w:rsid w:val="00A26754"/>
    <w:rsid w:val="00A360B5"/>
    <w:rsid w:val="00A507BC"/>
    <w:rsid w:val="00A578AE"/>
    <w:rsid w:val="00A613C0"/>
    <w:rsid w:val="00A6308E"/>
    <w:rsid w:val="00A64FA9"/>
    <w:rsid w:val="00A826A8"/>
    <w:rsid w:val="00A84775"/>
    <w:rsid w:val="00A9535B"/>
    <w:rsid w:val="00AB1038"/>
    <w:rsid w:val="00AD2001"/>
    <w:rsid w:val="00AE2779"/>
    <w:rsid w:val="00B07FE1"/>
    <w:rsid w:val="00B1406C"/>
    <w:rsid w:val="00B14DBC"/>
    <w:rsid w:val="00B16FA6"/>
    <w:rsid w:val="00B30097"/>
    <w:rsid w:val="00B305A2"/>
    <w:rsid w:val="00B3326A"/>
    <w:rsid w:val="00B72E12"/>
    <w:rsid w:val="00B734DF"/>
    <w:rsid w:val="00B77524"/>
    <w:rsid w:val="00B848DF"/>
    <w:rsid w:val="00B95F21"/>
    <w:rsid w:val="00B96791"/>
    <w:rsid w:val="00BA6098"/>
    <w:rsid w:val="00BA6A2F"/>
    <w:rsid w:val="00BA7647"/>
    <w:rsid w:val="00BA782E"/>
    <w:rsid w:val="00BB5970"/>
    <w:rsid w:val="00BC5191"/>
    <w:rsid w:val="00BD5A00"/>
    <w:rsid w:val="00BD5F5D"/>
    <w:rsid w:val="00BE798A"/>
    <w:rsid w:val="00BF34A9"/>
    <w:rsid w:val="00BF5E43"/>
    <w:rsid w:val="00C0129D"/>
    <w:rsid w:val="00C1340B"/>
    <w:rsid w:val="00C21CD9"/>
    <w:rsid w:val="00C235B6"/>
    <w:rsid w:val="00C25C08"/>
    <w:rsid w:val="00C25EE9"/>
    <w:rsid w:val="00C61C3A"/>
    <w:rsid w:val="00C62BDB"/>
    <w:rsid w:val="00C87E34"/>
    <w:rsid w:val="00C93A11"/>
    <w:rsid w:val="00C964D3"/>
    <w:rsid w:val="00C96544"/>
    <w:rsid w:val="00C972B0"/>
    <w:rsid w:val="00CB0A28"/>
    <w:rsid w:val="00CB0DFF"/>
    <w:rsid w:val="00CB16B5"/>
    <w:rsid w:val="00CC6B61"/>
    <w:rsid w:val="00CE3596"/>
    <w:rsid w:val="00CE399E"/>
    <w:rsid w:val="00CE5681"/>
    <w:rsid w:val="00CF511F"/>
    <w:rsid w:val="00D010DB"/>
    <w:rsid w:val="00D32EA3"/>
    <w:rsid w:val="00D33242"/>
    <w:rsid w:val="00D35D20"/>
    <w:rsid w:val="00D508BA"/>
    <w:rsid w:val="00D720E6"/>
    <w:rsid w:val="00D74712"/>
    <w:rsid w:val="00D837C0"/>
    <w:rsid w:val="00D91B3C"/>
    <w:rsid w:val="00DF6892"/>
    <w:rsid w:val="00E02684"/>
    <w:rsid w:val="00E03C75"/>
    <w:rsid w:val="00E348D5"/>
    <w:rsid w:val="00E44945"/>
    <w:rsid w:val="00E479E8"/>
    <w:rsid w:val="00E61DB7"/>
    <w:rsid w:val="00E81D49"/>
    <w:rsid w:val="00EB4B22"/>
    <w:rsid w:val="00EC2474"/>
    <w:rsid w:val="00EE176C"/>
    <w:rsid w:val="00EE3BF9"/>
    <w:rsid w:val="00EF3E05"/>
    <w:rsid w:val="00EF624B"/>
    <w:rsid w:val="00F02BC1"/>
    <w:rsid w:val="00F1252C"/>
    <w:rsid w:val="00F169ED"/>
    <w:rsid w:val="00F253C5"/>
    <w:rsid w:val="00F26D08"/>
    <w:rsid w:val="00F354D9"/>
    <w:rsid w:val="00F37557"/>
    <w:rsid w:val="00F50B52"/>
    <w:rsid w:val="00F5350D"/>
    <w:rsid w:val="00F70801"/>
    <w:rsid w:val="00F864F6"/>
    <w:rsid w:val="00FA28BF"/>
    <w:rsid w:val="00FC7C8B"/>
    <w:rsid w:val="00FD409A"/>
    <w:rsid w:val="00FE77DD"/>
    <w:rsid w:val="00FF09F3"/>
    <w:rsid w:val="00FF7C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1767"/>
  <w15:chartTrackingRefBased/>
  <w15:docId w15:val="{6764702D-1F65-4939-A717-8CACE668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F09F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F09F3"/>
    <w:rPr>
      <w:sz w:val="20"/>
      <w:szCs w:val="20"/>
    </w:rPr>
  </w:style>
  <w:style w:type="character" w:styleId="EndnoteReference">
    <w:name w:val="endnote reference"/>
    <w:basedOn w:val="DefaultParagraphFont"/>
    <w:uiPriority w:val="99"/>
    <w:semiHidden/>
    <w:unhideWhenUsed/>
    <w:rsid w:val="00FF09F3"/>
    <w:rPr>
      <w:vertAlign w:val="superscript"/>
    </w:rPr>
  </w:style>
  <w:style w:type="paragraph" w:styleId="ListParagraph">
    <w:name w:val="List Paragraph"/>
    <w:basedOn w:val="Normal"/>
    <w:uiPriority w:val="34"/>
    <w:qFormat/>
    <w:rsid w:val="009372C8"/>
    <w:pPr>
      <w:ind w:left="720"/>
      <w:contextualSpacing/>
    </w:pPr>
  </w:style>
  <w:style w:type="table" w:styleId="TableGrid">
    <w:name w:val="Table Grid"/>
    <w:basedOn w:val="TableNormal"/>
    <w:uiPriority w:val="39"/>
    <w:rsid w:val="00BD5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E798A"/>
    <w:rPr>
      <w:color w:val="0563C1" w:themeColor="hyperlink"/>
      <w:u w:val="single"/>
    </w:rPr>
  </w:style>
  <w:style w:type="character" w:styleId="UnresolvedMention">
    <w:name w:val="Unresolved Mention"/>
    <w:basedOn w:val="DefaultParagraphFont"/>
    <w:uiPriority w:val="99"/>
    <w:semiHidden/>
    <w:unhideWhenUsed/>
    <w:rsid w:val="00BE798A"/>
    <w:rPr>
      <w:color w:val="605E5C"/>
      <w:shd w:val="clear" w:color="auto" w:fill="E1DFDD"/>
    </w:rPr>
  </w:style>
  <w:style w:type="character" w:styleId="FollowedHyperlink">
    <w:name w:val="FollowedHyperlink"/>
    <w:basedOn w:val="DefaultParagraphFont"/>
    <w:uiPriority w:val="99"/>
    <w:semiHidden/>
    <w:unhideWhenUsed/>
    <w:rsid w:val="007E41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22449">
      <w:bodyDiv w:val="1"/>
      <w:marLeft w:val="0"/>
      <w:marRight w:val="0"/>
      <w:marTop w:val="0"/>
      <w:marBottom w:val="0"/>
      <w:divBdr>
        <w:top w:val="none" w:sz="0" w:space="0" w:color="auto"/>
        <w:left w:val="none" w:sz="0" w:space="0" w:color="auto"/>
        <w:bottom w:val="none" w:sz="0" w:space="0" w:color="auto"/>
        <w:right w:val="none" w:sz="0" w:space="0" w:color="auto"/>
      </w:divBdr>
    </w:div>
    <w:div w:id="224150735">
      <w:bodyDiv w:val="1"/>
      <w:marLeft w:val="0"/>
      <w:marRight w:val="0"/>
      <w:marTop w:val="0"/>
      <w:marBottom w:val="0"/>
      <w:divBdr>
        <w:top w:val="none" w:sz="0" w:space="0" w:color="auto"/>
        <w:left w:val="none" w:sz="0" w:space="0" w:color="auto"/>
        <w:bottom w:val="none" w:sz="0" w:space="0" w:color="auto"/>
        <w:right w:val="none" w:sz="0" w:space="0" w:color="auto"/>
      </w:divBdr>
    </w:div>
    <w:div w:id="366033546">
      <w:bodyDiv w:val="1"/>
      <w:marLeft w:val="0"/>
      <w:marRight w:val="0"/>
      <w:marTop w:val="0"/>
      <w:marBottom w:val="0"/>
      <w:divBdr>
        <w:top w:val="none" w:sz="0" w:space="0" w:color="auto"/>
        <w:left w:val="none" w:sz="0" w:space="0" w:color="auto"/>
        <w:bottom w:val="none" w:sz="0" w:space="0" w:color="auto"/>
        <w:right w:val="none" w:sz="0" w:space="0" w:color="auto"/>
      </w:divBdr>
    </w:div>
    <w:div w:id="926038764">
      <w:bodyDiv w:val="1"/>
      <w:marLeft w:val="0"/>
      <w:marRight w:val="0"/>
      <w:marTop w:val="0"/>
      <w:marBottom w:val="0"/>
      <w:divBdr>
        <w:top w:val="none" w:sz="0" w:space="0" w:color="auto"/>
        <w:left w:val="none" w:sz="0" w:space="0" w:color="auto"/>
        <w:bottom w:val="none" w:sz="0" w:space="0" w:color="auto"/>
        <w:right w:val="none" w:sz="0" w:space="0" w:color="auto"/>
      </w:divBdr>
    </w:div>
    <w:div w:id="1035813200">
      <w:bodyDiv w:val="1"/>
      <w:marLeft w:val="0"/>
      <w:marRight w:val="0"/>
      <w:marTop w:val="0"/>
      <w:marBottom w:val="0"/>
      <w:divBdr>
        <w:top w:val="none" w:sz="0" w:space="0" w:color="auto"/>
        <w:left w:val="none" w:sz="0" w:space="0" w:color="auto"/>
        <w:bottom w:val="none" w:sz="0" w:space="0" w:color="auto"/>
        <w:right w:val="none" w:sz="0" w:space="0" w:color="auto"/>
      </w:divBdr>
    </w:div>
    <w:div w:id="199572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investopedia.com/terms/c/capitalgain.asp" TargetMode="External"/><Relationship Id="rId2" Type="http://schemas.openxmlformats.org/officeDocument/2006/relationships/hyperlink" Target="https://taxguru.in/company-law/slump-sale-merger-implications-companies-act-income-tax-act.html" TargetMode="External"/><Relationship Id="rId1" Type="http://schemas.openxmlformats.org/officeDocument/2006/relationships/hyperlink" Target="https://tax2win.in/guide/slump-sale" TargetMode="External"/><Relationship Id="rId6" Type="http://schemas.openxmlformats.org/officeDocument/2006/relationships/hyperlink" Target="https://www.slideshare.net/slideshow/slump-sale-under-companies-act-2013/227117798" TargetMode="External"/><Relationship Id="rId5" Type="http://schemas.openxmlformats.org/officeDocument/2006/relationships/hyperlink" Target="http://159.65.147.210/governing-laws/the-companies-act-2013/slump-sale/" TargetMode="External"/><Relationship Id="rId4" Type="http://schemas.openxmlformats.org/officeDocument/2006/relationships/hyperlink" Target="https://www.caclubindia.com/articles/details.asp?mod_id=41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BA769-FAAD-4214-A910-1775CE02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7</Pages>
  <Words>2412</Words>
  <Characters>13751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Goel</dc:creator>
  <cp:keywords/>
  <dc:description/>
  <cp:lastModifiedBy>Tanvi Goel</cp:lastModifiedBy>
  <cp:revision>245</cp:revision>
  <cp:lastPrinted>2025-02-16T14:49:00Z</cp:lastPrinted>
  <dcterms:created xsi:type="dcterms:W3CDTF">2024-07-23T06:04:00Z</dcterms:created>
  <dcterms:modified xsi:type="dcterms:W3CDTF">2025-02-16T14:49:00Z</dcterms:modified>
</cp:coreProperties>
</file>