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10502" w14:textId="77777777" w:rsidR="00BD19E7" w:rsidRDefault="00BD19E7" w:rsidP="00CA2700">
      <w:pPr>
        <w:spacing w:after="0" w:line="240" w:lineRule="auto"/>
        <w:jc w:val="center"/>
        <w:rPr>
          <w:rFonts w:ascii="Times New Roman" w:hAnsi="Times New Roman" w:cs="Times New Roman"/>
          <w:b/>
          <w:bCs/>
          <w:color w:val="000000" w:themeColor="text1"/>
          <w:sz w:val="28"/>
          <w:szCs w:val="28"/>
        </w:rPr>
      </w:pPr>
      <w:r w:rsidRPr="00BD19E7">
        <w:rPr>
          <w:rFonts w:ascii="Times New Roman" w:hAnsi="Times New Roman" w:cs="Times New Roman"/>
          <w:b/>
          <w:bCs/>
          <w:color w:val="000000" w:themeColor="text1"/>
          <w:sz w:val="28"/>
          <w:szCs w:val="28"/>
        </w:rPr>
        <w:t>Effects of Khan Academy Instructional Videos to Students’ Conceptual Understanding in Molecular Polarity</w:t>
      </w:r>
    </w:p>
    <w:p w14:paraId="736B6AC8" w14:textId="2AB2CB7A" w:rsidR="00DA52F4" w:rsidRPr="009D6B4C" w:rsidRDefault="00BD19E7" w:rsidP="00CA2700">
      <w:pPr>
        <w:spacing w:after="0" w:line="240" w:lineRule="auto"/>
        <w:jc w:val="center"/>
        <w:rPr>
          <w:rFonts w:ascii="Times New Roman" w:hAnsi="Times New Roman" w:cs="Times New Roman"/>
          <w:b/>
          <w:bCs/>
          <w:color w:val="000000" w:themeColor="text1"/>
          <w:sz w:val="24"/>
          <w:szCs w:val="24"/>
        </w:rPr>
      </w:pPr>
      <w:r w:rsidRPr="00BD19E7">
        <w:rPr>
          <w:rFonts w:ascii="Times New Roman" w:hAnsi="Times New Roman" w:cs="Times New Roman"/>
          <w:b/>
          <w:bCs/>
          <w:color w:val="000000" w:themeColor="text1"/>
          <w:sz w:val="24"/>
          <w:szCs w:val="24"/>
        </w:rPr>
        <w:t>Arnel R</w:t>
      </w:r>
      <w:r>
        <w:rPr>
          <w:rFonts w:ascii="Times New Roman" w:hAnsi="Times New Roman" w:cs="Times New Roman"/>
          <w:b/>
          <w:bCs/>
          <w:color w:val="000000" w:themeColor="text1"/>
          <w:sz w:val="24"/>
          <w:szCs w:val="24"/>
        </w:rPr>
        <w:t>.</w:t>
      </w:r>
      <w:r w:rsidRPr="00BD19E7">
        <w:rPr>
          <w:rFonts w:ascii="Times New Roman" w:hAnsi="Times New Roman" w:cs="Times New Roman"/>
          <w:b/>
          <w:bCs/>
          <w:color w:val="000000" w:themeColor="text1"/>
          <w:sz w:val="24"/>
          <w:szCs w:val="24"/>
        </w:rPr>
        <w:t xml:space="preserve"> Andrin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E6C72">
        <w:rPr>
          <w:rFonts w:ascii="Times New Roman" w:hAnsi="Times New Roman" w:cs="Times New Roman"/>
          <w:b/>
          <w:bCs/>
          <w:color w:val="000000" w:themeColor="text1"/>
          <w:sz w:val="24"/>
          <w:szCs w:val="24"/>
        </w:rPr>
        <w:t>Kier L. Ecle</w:t>
      </w:r>
      <w:r w:rsidR="00DA52F4" w:rsidRPr="001E51F3">
        <w:rPr>
          <w:rFonts w:ascii="Times New Roman" w:hAnsi="Times New Roman" w:cs="Times New Roman"/>
          <w:b/>
          <w:bCs/>
          <w:color w:val="000000" w:themeColor="text1"/>
          <w:sz w:val="24"/>
          <w:szCs w:val="24"/>
          <w:vertAlign w:val="superscript"/>
        </w:rPr>
        <w:t>2</w:t>
      </w:r>
      <w:r w:rsidR="00144971">
        <w:rPr>
          <w:rFonts w:ascii="Times New Roman" w:hAnsi="Times New Roman" w:cs="Times New Roman"/>
          <w:b/>
          <w:bCs/>
          <w:color w:val="000000" w:themeColor="text1"/>
          <w:sz w:val="24"/>
          <w:szCs w:val="24"/>
        </w:rPr>
        <w:t>,</w:t>
      </w:r>
      <w:r w:rsidR="009D6B4C">
        <w:rPr>
          <w:rFonts w:ascii="Times New Roman" w:hAnsi="Times New Roman" w:cs="Times New Roman"/>
          <w:b/>
          <w:bCs/>
          <w:color w:val="000000" w:themeColor="text1"/>
          <w:sz w:val="24"/>
          <w:szCs w:val="24"/>
        </w:rPr>
        <w:t xml:space="preserve"> </w:t>
      </w:r>
      <w:r w:rsidR="009D6B4C" w:rsidRPr="009D6B4C">
        <w:rPr>
          <w:rFonts w:ascii="Times New Roman" w:hAnsi="Times New Roman" w:cs="Times New Roman"/>
          <w:b/>
          <w:bCs/>
          <w:color w:val="000000" w:themeColor="text1"/>
          <w:sz w:val="24"/>
          <w:szCs w:val="24"/>
        </w:rPr>
        <w:t>Daryl James B. Capacio</w:t>
      </w:r>
      <w:r w:rsidR="009D6B4C">
        <w:rPr>
          <w:rFonts w:ascii="Times New Roman" w:hAnsi="Times New Roman" w:cs="Times New Roman"/>
          <w:b/>
          <w:bCs/>
          <w:color w:val="000000" w:themeColor="text1"/>
          <w:sz w:val="24"/>
          <w:szCs w:val="24"/>
          <w:vertAlign w:val="superscript"/>
        </w:rPr>
        <w:t>3</w:t>
      </w:r>
    </w:p>
    <w:p w14:paraId="7AEC63B4" w14:textId="25D28DE3" w:rsidR="00DA52F4" w:rsidRPr="001E51F3" w:rsidRDefault="00DA52F4" w:rsidP="00CA2700">
      <w:pPr>
        <w:spacing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E6C72" w:rsidRPr="004E6C72">
        <w:rPr>
          <w:rFonts w:ascii="Times New Roman" w:hAnsi="Times New Roman" w:cs="Times New Roman"/>
          <w:color w:val="000000" w:themeColor="text1"/>
        </w:rPr>
        <w:t>Don Ruben Edera Ecleo Sr. Memorial National High School, P-3 Don Ruben (Baltazar), San Jose, Province of Dinagat Islands 8427, Philippines</w:t>
      </w:r>
    </w:p>
    <w:p w14:paraId="632756EC" w14:textId="13E91D75" w:rsidR="004E6C72" w:rsidRPr="004E6C72" w:rsidRDefault="00DA52F4" w:rsidP="00CA2700">
      <w:pPr>
        <w:spacing w:after="0" w:line="240" w:lineRule="auto"/>
        <w:jc w:val="center"/>
        <w:rPr>
          <w:rFonts w:ascii="Times New Roman" w:hAnsi="Times New Roman" w:cs="Times New Roman"/>
          <w:color w:val="000000" w:themeColor="text1"/>
          <w:lang w:val="ro-RO"/>
        </w:rPr>
      </w:pPr>
      <w:r w:rsidRPr="001E51F3">
        <w:rPr>
          <w:rFonts w:ascii="Times New Roman" w:hAnsi="Times New Roman" w:cs="Times New Roman"/>
          <w:color w:val="000000" w:themeColor="text1"/>
          <w:vertAlign w:val="superscript"/>
        </w:rPr>
        <w:t>2</w:t>
      </w:r>
      <w:bookmarkStart w:id="0" w:name="_Hlk187423473"/>
      <w:bookmarkStart w:id="1" w:name="_Hlk187423048"/>
      <w:bookmarkStart w:id="2" w:name="_Hlk187422893"/>
      <w:r w:rsidR="004E6C72" w:rsidRPr="004E6C72">
        <w:rPr>
          <w:rFonts w:ascii="Times New Roman" w:hAnsi="Times New Roman" w:cs="Times New Roman"/>
          <w:color w:val="000000" w:themeColor="text1"/>
          <w:lang w:val="ro-RO"/>
        </w:rPr>
        <w:t>College of Teacher Education,</w:t>
      </w:r>
      <w:bookmarkEnd w:id="0"/>
      <w:r w:rsidR="004E6C72" w:rsidRPr="004E6C72">
        <w:rPr>
          <w:rFonts w:ascii="Times New Roman" w:hAnsi="Times New Roman" w:cs="Times New Roman"/>
          <w:color w:val="000000" w:themeColor="text1"/>
          <w:lang w:val="ro-RO"/>
        </w:rPr>
        <w:t xml:space="preserve"> Surigao del Norte State University (SNSU), Narciso Street, Surigao City 8400, Philippines</w:t>
      </w:r>
      <w:bookmarkEnd w:id="1"/>
      <w:r w:rsidR="004E6C72" w:rsidRPr="004E6C72">
        <w:rPr>
          <w:rFonts w:ascii="Times New Roman" w:hAnsi="Times New Roman" w:cs="Times New Roman"/>
          <w:color w:val="000000" w:themeColor="text1"/>
          <w:lang w:val="ro-RO"/>
        </w:rPr>
        <w:t>.</w:t>
      </w:r>
      <w:bookmarkEnd w:id="2"/>
      <w:r w:rsidR="004E6C72" w:rsidRPr="004E6C72">
        <w:rPr>
          <w:rFonts w:ascii="Times New Roman" w:hAnsi="Times New Roman" w:cs="Times New Roman"/>
          <w:color w:val="000000" w:themeColor="text1"/>
          <w:lang w:val="ro-RO"/>
        </w:rPr>
        <w:t xml:space="preserve"> </w:t>
      </w:r>
    </w:p>
    <w:p w14:paraId="2AA61525" w14:textId="67BADC58" w:rsidR="009D6B4C" w:rsidRDefault="00DA52F4" w:rsidP="00CA2700">
      <w:pPr>
        <w:spacing w:after="0" w:line="24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9D6B4C" w:rsidRPr="009D6B4C">
        <w:rPr>
          <w:rFonts w:ascii="Times New Roman" w:hAnsi="Times New Roman" w:cs="Times New Roman"/>
          <w:color w:val="000000" w:themeColor="text1"/>
        </w:rPr>
        <w:t xml:space="preserve"> </w:t>
      </w:r>
      <w:r w:rsidR="008A1F3C">
        <w:rPr>
          <w:rFonts w:ascii="Times New Roman" w:hAnsi="Times New Roman" w:cs="Times New Roman"/>
          <w:color w:val="000000" w:themeColor="text1"/>
        </w:rPr>
        <w:t>New Nazareth National High School</w:t>
      </w:r>
      <w:r w:rsidR="009D6B4C" w:rsidRPr="004E6C72">
        <w:rPr>
          <w:rFonts w:ascii="Times New Roman" w:hAnsi="Times New Roman" w:cs="Times New Roman"/>
          <w:color w:val="000000" w:themeColor="text1"/>
        </w:rPr>
        <w:t xml:space="preserve">, </w:t>
      </w:r>
      <w:r w:rsidR="008A1F3C">
        <w:rPr>
          <w:rFonts w:ascii="Times New Roman" w:hAnsi="Times New Roman" w:cs="Times New Roman"/>
          <w:color w:val="000000" w:themeColor="text1"/>
        </w:rPr>
        <w:t>New Nazareth</w:t>
      </w:r>
      <w:r w:rsidR="009D6B4C" w:rsidRPr="004E6C72">
        <w:rPr>
          <w:rFonts w:ascii="Times New Roman" w:hAnsi="Times New Roman" w:cs="Times New Roman"/>
          <w:color w:val="000000" w:themeColor="text1"/>
        </w:rPr>
        <w:t xml:space="preserve">, </w:t>
      </w:r>
      <w:r w:rsidR="008A1F3C">
        <w:rPr>
          <w:rFonts w:ascii="Times New Roman" w:hAnsi="Times New Roman" w:cs="Times New Roman"/>
          <w:color w:val="000000" w:themeColor="text1"/>
        </w:rPr>
        <w:t>Basilisa</w:t>
      </w:r>
      <w:r w:rsidR="009D6B4C" w:rsidRPr="004E6C72">
        <w:rPr>
          <w:rFonts w:ascii="Times New Roman" w:hAnsi="Times New Roman" w:cs="Times New Roman"/>
          <w:color w:val="000000" w:themeColor="text1"/>
        </w:rPr>
        <w:t>, Province of Dinagat Islands</w:t>
      </w:r>
      <w:r w:rsidR="008A1F3C">
        <w:rPr>
          <w:rFonts w:ascii="Times New Roman" w:hAnsi="Times New Roman" w:cs="Times New Roman"/>
          <w:color w:val="000000" w:themeColor="text1"/>
        </w:rPr>
        <w:t xml:space="preserve"> </w:t>
      </w:r>
      <w:r w:rsidR="00FB5E64" w:rsidRPr="00FB5E64">
        <w:rPr>
          <w:rFonts w:ascii="Times New Roman" w:hAnsi="Times New Roman" w:cs="Times New Roman"/>
          <w:color w:val="000000" w:themeColor="text1"/>
        </w:rPr>
        <w:t>8413</w:t>
      </w:r>
      <w:r w:rsidR="009D6B4C" w:rsidRPr="004E6C72">
        <w:rPr>
          <w:rFonts w:ascii="Times New Roman" w:hAnsi="Times New Roman" w:cs="Times New Roman"/>
          <w:color w:val="000000" w:themeColor="text1"/>
        </w:rPr>
        <w:t>, Philippines</w:t>
      </w:r>
    </w:p>
    <w:p w14:paraId="54350244" w14:textId="10A4C18C" w:rsidR="009D6B4C" w:rsidRPr="001E51F3" w:rsidRDefault="009D6B4C" w:rsidP="00CA2700">
      <w:pPr>
        <w:spacing w:after="0" w:line="240" w:lineRule="auto"/>
        <w:jc w:val="center"/>
        <w:rPr>
          <w:rFonts w:ascii="Times New Roman" w:hAnsi="Times New Roman" w:cs="Times New Roman"/>
          <w:color w:val="000000" w:themeColor="text1"/>
        </w:rPr>
      </w:pPr>
      <w:r w:rsidRPr="004E6C72">
        <w:rPr>
          <w:rFonts w:ascii="Times New Roman" w:hAnsi="Times New Roman" w:cs="Times New Roman"/>
          <w:color w:val="000000" w:themeColor="text1"/>
          <w:lang w:val="ro-RO"/>
        </w:rPr>
        <w:t xml:space="preserve">Corresponding author: A. R. Andrin, </w:t>
      </w:r>
      <w:r>
        <w:fldChar w:fldCharType="begin"/>
      </w:r>
      <w:r>
        <w:instrText>HYPERLINK "mailto:aandrin@ssct.edu.ph"</w:instrText>
      </w:r>
      <w:r>
        <w:fldChar w:fldCharType="separate"/>
      </w:r>
      <w:r w:rsidRPr="004E6C72">
        <w:rPr>
          <w:rStyle w:val="Hyperlink"/>
          <w:rFonts w:ascii="Times New Roman" w:hAnsi="Times New Roman"/>
          <w:lang w:val="ro-RO"/>
        </w:rPr>
        <w:t>aandrin@ssct.edu.ph</w:t>
      </w:r>
      <w:r>
        <w:fldChar w:fldCharType="end"/>
      </w:r>
    </w:p>
    <w:p w14:paraId="268FF5C8" w14:textId="4085F56C" w:rsidR="00B16A7D" w:rsidRDefault="00B16A7D" w:rsidP="00CA2700">
      <w:pPr>
        <w:spacing w:after="0" w:line="240" w:lineRule="auto"/>
        <w:jc w:val="center"/>
        <w:rPr>
          <w:rFonts w:ascii="Times New Roman" w:hAnsi="Times New Roman" w:cs="Times New Roman"/>
          <w:b/>
          <w:bCs/>
          <w:color w:val="000000" w:themeColor="text1"/>
          <w:sz w:val="24"/>
          <w:szCs w:val="24"/>
        </w:rPr>
      </w:pPr>
    </w:p>
    <w:p w14:paraId="4DA1AA6A" w14:textId="77777777" w:rsidR="00B16A7D" w:rsidRDefault="00B16A7D" w:rsidP="00CA2700">
      <w:pPr>
        <w:spacing w:after="0" w:line="240" w:lineRule="auto"/>
        <w:jc w:val="center"/>
        <w:rPr>
          <w:rFonts w:ascii="Times New Roman" w:hAnsi="Times New Roman" w:cs="Times New Roman"/>
          <w:b/>
          <w:bCs/>
          <w:color w:val="000000" w:themeColor="text1"/>
          <w:sz w:val="24"/>
          <w:szCs w:val="24"/>
        </w:rPr>
        <w:sectPr w:rsidR="00B16A7D"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262D7931" w14:textId="71F3BD1F" w:rsidR="00DA52F4" w:rsidRPr="00BE369E" w:rsidRDefault="00DA52F4" w:rsidP="00CA2700">
      <w:pPr>
        <w:spacing w:after="0" w:line="240" w:lineRule="auto"/>
        <w:jc w:val="center"/>
        <w:rPr>
          <w:rFonts w:ascii="Times New Roman" w:hAnsi="Times New Roman" w:cs="Times New Roman"/>
          <w:b/>
          <w:bCs/>
          <w:color w:val="000000" w:themeColor="text1"/>
          <w:sz w:val="20"/>
          <w:szCs w:val="20"/>
        </w:rPr>
      </w:pPr>
      <w:r w:rsidRPr="00BE369E">
        <w:rPr>
          <w:rFonts w:ascii="Times New Roman" w:hAnsi="Times New Roman" w:cs="Times New Roman"/>
          <w:b/>
          <w:bCs/>
          <w:color w:val="000000" w:themeColor="text1"/>
          <w:sz w:val="20"/>
          <w:szCs w:val="20"/>
        </w:rPr>
        <w:t>ABSTRACT</w:t>
      </w:r>
      <w:r w:rsidR="00144971" w:rsidRPr="00BE369E">
        <w:rPr>
          <w:rFonts w:ascii="Times New Roman" w:hAnsi="Times New Roman" w:cs="Times New Roman"/>
          <w:b/>
          <w:bCs/>
          <w:color w:val="000000" w:themeColor="text1"/>
          <w:sz w:val="20"/>
          <w:szCs w:val="20"/>
        </w:rPr>
        <w:t xml:space="preserve"> </w:t>
      </w:r>
    </w:p>
    <w:p w14:paraId="131ACC54" w14:textId="7EA1AD22" w:rsidR="00BE369E" w:rsidRDefault="00BE369E" w:rsidP="00CA2700">
      <w:pPr>
        <w:pBdr>
          <w:bottom w:val="single" w:sz="4" w:space="1" w:color="auto"/>
        </w:pBd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BE369E">
        <w:rPr>
          <w:rFonts w:ascii="Times New Roman" w:hAnsi="Times New Roman" w:cs="Times New Roman"/>
          <w:color w:val="000000" w:themeColor="text1"/>
          <w:sz w:val="20"/>
          <w:szCs w:val="20"/>
        </w:rPr>
        <w:t xml:space="preserve">This study examines the effectiveness of Khan Academy instructional videos in enhancing students' understanding of molecular polarity compared to traditional PowerPoint lectures. Utilizing a quasi-experimental design, the research involved 70 Senior High School students divided into control and experimental groups. The control group received conventional lectures, while the experimental group used Khan Academy videos. Pre-test and post-test assessments measured conceptual understanding and retention. </w:t>
      </w:r>
      <w:r w:rsidR="00F332CC" w:rsidRPr="00F332CC">
        <w:rPr>
          <w:rFonts w:ascii="Times New Roman" w:hAnsi="Times New Roman" w:cs="Times New Roman"/>
          <w:color w:val="000000" w:themeColor="text1"/>
          <w:sz w:val="20"/>
          <w:szCs w:val="20"/>
        </w:rPr>
        <w:t>The results indicated that the experimental group consistently achieved significantly higher post-test scores compared to the control group. Statistical tests, including paired and independent sample t-tests, validated the effectiveness of video-based learning. These results suggest that using digital learning platforms like Khan Academy can greatly improve student engagement and understanding of concepts, proving to be an effective approach for teaching complex scientific topics such as molecular polarity.</w:t>
      </w:r>
    </w:p>
    <w:p w14:paraId="189A82FE" w14:textId="467273FB" w:rsidR="00E3688D" w:rsidRPr="00E3688D" w:rsidRDefault="00DA52F4" w:rsidP="00CA2700">
      <w:pPr>
        <w:pBdr>
          <w:bottom w:val="single" w:sz="4" w:space="1" w:color="auto"/>
        </w:pBdr>
        <w:spacing w:after="0" w:line="24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bookmarkStart w:id="4" w:name="_Hlk190436835"/>
      <w:r w:rsidR="00F332CC" w:rsidRPr="00F332CC">
        <w:rPr>
          <w:rFonts w:ascii="Times New Roman" w:hAnsi="Times New Roman" w:cs="Times New Roman"/>
          <w:color w:val="000000" w:themeColor="text1"/>
          <w:sz w:val="20"/>
          <w:szCs w:val="20"/>
        </w:rPr>
        <w:t>Khan Academy</w:t>
      </w:r>
      <w:r w:rsidR="00BE369E">
        <w:rPr>
          <w:rFonts w:ascii="Times New Roman" w:hAnsi="Times New Roman" w:cs="Times New Roman"/>
          <w:color w:val="000000" w:themeColor="text1"/>
          <w:sz w:val="20"/>
          <w:szCs w:val="20"/>
        </w:rPr>
        <w:t xml:space="preserve">, </w:t>
      </w:r>
      <w:r w:rsidR="00F332CC">
        <w:rPr>
          <w:rFonts w:ascii="Times New Roman" w:hAnsi="Times New Roman" w:cs="Times New Roman"/>
          <w:color w:val="000000" w:themeColor="text1"/>
          <w:sz w:val="20"/>
          <w:szCs w:val="20"/>
        </w:rPr>
        <w:t>m</w:t>
      </w:r>
      <w:r w:rsidR="00F332CC" w:rsidRPr="00F332CC">
        <w:rPr>
          <w:rFonts w:ascii="Times New Roman" w:hAnsi="Times New Roman" w:cs="Times New Roman"/>
          <w:color w:val="000000" w:themeColor="text1"/>
          <w:sz w:val="20"/>
          <w:szCs w:val="20"/>
        </w:rPr>
        <w:t>olecular polarity</w:t>
      </w:r>
      <w:r w:rsidR="00BE369E">
        <w:rPr>
          <w:rFonts w:ascii="Times New Roman" w:hAnsi="Times New Roman" w:cs="Times New Roman"/>
          <w:color w:val="000000" w:themeColor="text1"/>
          <w:sz w:val="20"/>
          <w:szCs w:val="20"/>
        </w:rPr>
        <w:t xml:space="preserve">, </w:t>
      </w:r>
      <w:r w:rsidR="00F332CC">
        <w:rPr>
          <w:rFonts w:ascii="Times New Roman" w:hAnsi="Times New Roman" w:cs="Times New Roman"/>
          <w:color w:val="000000" w:themeColor="text1"/>
          <w:sz w:val="20"/>
          <w:szCs w:val="20"/>
        </w:rPr>
        <w:t>v</w:t>
      </w:r>
      <w:r w:rsidR="00F332CC" w:rsidRPr="00F332CC">
        <w:rPr>
          <w:rFonts w:ascii="Times New Roman" w:hAnsi="Times New Roman" w:cs="Times New Roman"/>
          <w:color w:val="000000" w:themeColor="text1"/>
          <w:sz w:val="20"/>
          <w:szCs w:val="20"/>
        </w:rPr>
        <w:t>ideo-based learning</w:t>
      </w:r>
      <w:r w:rsidR="00F332CC">
        <w:rPr>
          <w:rFonts w:ascii="Times New Roman" w:hAnsi="Times New Roman" w:cs="Times New Roman"/>
          <w:color w:val="000000" w:themeColor="text1"/>
          <w:sz w:val="20"/>
          <w:szCs w:val="20"/>
        </w:rPr>
        <w:t>.</w:t>
      </w:r>
    </w:p>
    <w:p w14:paraId="4DA53919" w14:textId="77777777" w:rsidR="00CA2700" w:rsidRDefault="00CA2700" w:rsidP="00CA2700">
      <w:pPr>
        <w:pStyle w:val="Default"/>
        <w:rPr>
          <w:b/>
          <w:bCs/>
          <w:color w:val="000000" w:themeColor="text1"/>
          <w:sz w:val="20"/>
          <w:szCs w:val="20"/>
        </w:rPr>
      </w:pPr>
    </w:p>
    <w:p w14:paraId="05660945" w14:textId="4BA9D6E0" w:rsidR="00BE369E" w:rsidRPr="00BE369E" w:rsidRDefault="00E3688D" w:rsidP="00CA2700">
      <w:pPr>
        <w:pStyle w:val="Default"/>
        <w:rPr>
          <w:b/>
          <w:bCs/>
          <w:color w:val="000000" w:themeColor="text1"/>
          <w:sz w:val="20"/>
          <w:szCs w:val="20"/>
        </w:rPr>
      </w:pPr>
      <w:r w:rsidRPr="00E3688D">
        <w:rPr>
          <w:b/>
          <w:bCs/>
          <w:color w:val="000000" w:themeColor="text1"/>
          <w:sz w:val="20"/>
          <w:szCs w:val="20"/>
        </w:rPr>
        <w:t>INTRODUCTION</w:t>
      </w:r>
      <w:bookmarkEnd w:id="4"/>
    </w:p>
    <w:p w14:paraId="5187783A" w14:textId="3BA74D58" w:rsidR="00F332CC" w:rsidRDefault="00BE369E" w:rsidP="00F332C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332CC" w:rsidRPr="00F332CC">
        <w:rPr>
          <w:rFonts w:ascii="Times New Roman" w:hAnsi="Times New Roman" w:cs="Times New Roman"/>
          <w:color w:val="000000" w:themeColor="text1"/>
          <w:sz w:val="20"/>
          <w:szCs w:val="20"/>
        </w:rPr>
        <w:t xml:space="preserve">The integration of technology in education has transformed traditional teaching methods, especially in science education. Khan Academy, a globally recognized open educational resource (OER), offers an extensive collection of instructional videos that are accessible anytime and anywhere, effectively supporting student learning (Yassine et al., 2020). According to Torres et al. (2022), the interactive nature of these videos simplifies complex concepts and aligns with modern teaching approaches that emphasize active student participation.  Teaching challenging scientific topics like molecular polarity, which involves understanding abstract ideas and is often among the most difficult competencies for students, highlights the need for enhanced educational strategies to bridge this knowledge gap (Crowther et al., 2023; </w:t>
      </w:r>
      <w:proofErr w:type="spellStart"/>
      <w:r w:rsidR="00F332CC" w:rsidRPr="00F332CC">
        <w:rPr>
          <w:rFonts w:ascii="Times New Roman" w:hAnsi="Times New Roman" w:cs="Times New Roman"/>
          <w:color w:val="000000" w:themeColor="text1"/>
          <w:sz w:val="20"/>
          <w:szCs w:val="20"/>
        </w:rPr>
        <w:t>Talanquer</w:t>
      </w:r>
      <w:proofErr w:type="spellEnd"/>
      <w:r w:rsidR="00F332CC" w:rsidRPr="00F332CC">
        <w:rPr>
          <w:rFonts w:ascii="Times New Roman" w:hAnsi="Times New Roman" w:cs="Times New Roman"/>
          <w:color w:val="000000" w:themeColor="text1"/>
          <w:sz w:val="20"/>
          <w:szCs w:val="20"/>
        </w:rPr>
        <w:t xml:space="preserve">, 2014).  </w:t>
      </w:r>
    </w:p>
    <w:p w14:paraId="1AE156C4" w14:textId="77777777" w:rsidR="00F332CC" w:rsidRPr="00F332CC" w:rsidRDefault="00F332CC" w:rsidP="00F332CC">
      <w:pPr>
        <w:spacing w:after="0" w:line="240" w:lineRule="auto"/>
        <w:jc w:val="both"/>
        <w:rPr>
          <w:rFonts w:ascii="Times New Roman" w:hAnsi="Times New Roman" w:cs="Times New Roman"/>
          <w:color w:val="000000" w:themeColor="text1"/>
          <w:sz w:val="20"/>
          <w:szCs w:val="20"/>
        </w:rPr>
      </w:pPr>
    </w:p>
    <w:p w14:paraId="3357579C" w14:textId="51CA6270" w:rsidR="00F332CC" w:rsidRDefault="00F332CC" w:rsidP="00F332C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F332CC">
        <w:rPr>
          <w:rFonts w:ascii="Times New Roman" w:hAnsi="Times New Roman" w:cs="Times New Roman"/>
          <w:color w:val="000000" w:themeColor="text1"/>
          <w:sz w:val="20"/>
          <w:szCs w:val="20"/>
        </w:rPr>
        <w:t xml:space="preserve">Recent research suggests that traditional teaching methods may not address diverse student learning styles, potentially leading to gaps in comprehension and engagement (Putri, 2021). Video instruction has been shown to enhance understanding and retention of scientific concepts, emphasizing the importance of evaluating the effectiveness of these resources in chemistry education (Stieff et al., 2018; Brame, 2016). However, while videos can boost engagement and visually clarify complex ideas, they do not always result in significant learning gains </w:t>
      </w:r>
      <w:r w:rsidRPr="00F332CC">
        <w:rPr>
          <w:rFonts w:ascii="Times New Roman" w:hAnsi="Times New Roman" w:cs="Times New Roman"/>
          <w:color w:val="000000" w:themeColor="text1"/>
          <w:sz w:val="20"/>
          <w:szCs w:val="20"/>
        </w:rPr>
        <w:t xml:space="preserve">(Amalric et al., 2022; Kelly &amp; Rutherford, 2017). This highlights the need to assess the impact of Khan Academy videos within the Senior High School Curriculum, particularly in enhancing students' understanding of molecular polarity, a fundamental concept in chemistry (Sentanin et al., 2023).  </w:t>
      </w:r>
    </w:p>
    <w:p w14:paraId="5AE83049" w14:textId="77777777" w:rsidR="00F332CC" w:rsidRPr="00F332CC" w:rsidRDefault="00F332CC" w:rsidP="00F332CC">
      <w:pPr>
        <w:spacing w:after="0" w:line="240" w:lineRule="auto"/>
        <w:jc w:val="both"/>
        <w:rPr>
          <w:rFonts w:ascii="Times New Roman" w:hAnsi="Times New Roman" w:cs="Times New Roman"/>
          <w:color w:val="000000" w:themeColor="text1"/>
          <w:sz w:val="20"/>
          <w:szCs w:val="20"/>
        </w:rPr>
      </w:pPr>
    </w:p>
    <w:p w14:paraId="38C8D7E9" w14:textId="189156FC" w:rsidR="00F332CC" w:rsidRPr="00F332CC" w:rsidRDefault="00F332CC" w:rsidP="00F332C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F332CC">
        <w:rPr>
          <w:rFonts w:ascii="Times New Roman" w:hAnsi="Times New Roman" w:cs="Times New Roman"/>
          <w:color w:val="000000" w:themeColor="text1"/>
          <w:sz w:val="20"/>
          <w:szCs w:val="20"/>
        </w:rPr>
        <w:t>This study explores how digital learning tools like Khan Academy can aid students in mastering molecular polarity, a challenging yet essential topic. Additionally, evaluating the role of video instruction in enhancing student engagement and comprehension can provide valuable insights for educators and curriculum developers, helping to establish effective strategies for integrating technology into science teaching (</w:t>
      </w:r>
      <w:proofErr w:type="spellStart"/>
      <w:r w:rsidRPr="00F332CC">
        <w:rPr>
          <w:rFonts w:ascii="Times New Roman" w:hAnsi="Times New Roman" w:cs="Times New Roman"/>
          <w:color w:val="000000" w:themeColor="text1"/>
          <w:sz w:val="20"/>
          <w:szCs w:val="20"/>
        </w:rPr>
        <w:t>Blacer</w:t>
      </w:r>
      <w:proofErr w:type="spellEnd"/>
      <w:r w:rsidRPr="00F332CC">
        <w:rPr>
          <w:rFonts w:ascii="Times New Roman" w:hAnsi="Times New Roman" w:cs="Times New Roman"/>
          <w:color w:val="000000" w:themeColor="text1"/>
          <w:sz w:val="20"/>
          <w:szCs w:val="20"/>
        </w:rPr>
        <w:t xml:space="preserve">-Bacolod &amp; Bacolod, 2020; </w:t>
      </w:r>
      <w:proofErr w:type="spellStart"/>
      <w:r w:rsidRPr="00F332CC">
        <w:rPr>
          <w:rFonts w:ascii="Times New Roman" w:hAnsi="Times New Roman" w:cs="Times New Roman"/>
          <w:color w:val="000000" w:themeColor="text1"/>
          <w:sz w:val="20"/>
          <w:szCs w:val="20"/>
        </w:rPr>
        <w:t>Scagnoli</w:t>
      </w:r>
      <w:proofErr w:type="spellEnd"/>
      <w:r w:rsidRPr="00F332CC">
        <w:rPr>
          <w:rFonts w:ascii="Times New Roman" w:hAnsi="Times New Roman" w:cs="Times New Roman"/>
          <w:color w:val="000000" w:themeColor="text1"/>
          <w:sz w:val="20"/>
          <w:szCs w:val="20"/>
        </w:rPr>
        <w:t xml:space="preserve"> et al., 2017).  </w:t>
      </w:r>
    </w:p>
    <w:p w14:paraId="1A406395" w14:textId="77777777" w:rsidR="00F332CC" w:rsidRDefault="00F332CC" w:rsidP="00CA2700">
      <w:pPr>
        <w:pStyle w:val="Default"/>
        <w:rPr>
          <w:b/>
          <w:bCs/>
          <w:color w:val="000000" w:themeColor="text1"/>
          <w:sz w:val="20"/>
          <w:szCs w:val="20"/>
        </w:rPr>
      </w:pPr>
    </w:p>
    <w:p w14:paraId="1096B7F2" w14:textId="5C2F363B" w:rsidR="00B16A7D" w:rsidRPr="00E3688D" w:rsidRDefault="00E3688D" w:rsidP="00CA2700">
      <w:pPr>
        <w:pStyle w:val="Default"/>
        <w:rPr>
          <w:color w:val="000000" w:themeColor="text1"/>
        </w:rPr>
      </w:pPr>
      <w:r w:rsidRPr="00E3688D">
        <w:rPr>
          <w:b/>
          <w:bCs/>
          <w:color w:val="000000" w:themeColor="text1"/>
          <w:sz w:val="20"/>
          <w:szCs w:val="20"/>
        </w:rPr>
        <w:t>OBJECTIVE</w:t>
      </w:r>
    </w:p>
    <w:p w14:paraId="01F01873" w14:textId="7F0C8CB2" w:rsidR="00BE369E" w:rsidRDefault="00BE369E"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332CC" w:rsidRPr="00F332CC">
        <w:rPr>
          <w:rFonts w:ascii="Times New Roman" w:hAnsi="Times New Roman" w:cs="Times New Roman"/>
          <w:color w:val="000000" w:themeColor="text1"/>
          <w:sz w:val="20"/>
          <w:szCs w:val="20"/>
        </w:rPr>
        <w:t>This study aims to assess the impact of Khan Academy instructional videos on enhancing students' understanding of molecular polarity concepts. The results of this research could provide valuable insights for optimizing teaching methods to better support students' learning needs, potentially incorporating blended learning models as a supplementary instructional approach.</w:t>
      </w:r>
    </w:p>
    <w:p w14:paraId="5113E3E6" w14:textId="77777777" w:rsidR="00F332CC" w:rsidRPr="00BE369E" w:rsidRDefault="00F332CC" w:rsidP="00CA2700">
      <w:pPr>
        <w:spacing w:after="0" w:line="240" w:lineRule="auto"/>
        <w:jc w:val="both"/>
        <w:rPr>
          <w:rFonts w:ascii="Times New Roman" w:hAnsi="Times New Roman" w:cs="Times New Roman"/>
          <w:color w:val="000000" w:themeColor="text1"/>
          <w:sz w:val="20"/>
          <w:szCs w:val="20"/>
        </w:rPr>
      </w:pPr>
    </w:p>
    <w:p w14:paraId="1F23509B" w14:textId="14C0E985" w:rsidR="004E04E8" w:rsidRPr="00E3688D" w:rsidRDefault="00E3688D" w:rsidP="00CA2700">
      <w:pPr>
        <w:pStyle w:val="Default"/>
      </w:pPr>
      <w:r w:rsidRPr="00E3688D">
        <w:rPr>
          <w:b/>
          <w:bCs/>
          <w:color w:val="000000" w:themeColor="text1"/>
          <w:sz w:val="20"/>
          <w:szCs w:val="20"/>
        </w:rPr>
        <w:t>REVIEW OF RELATED LITERATURE</w:t>
      </w:r>
    </w:p>
    <w:p w14:paraId="74619FA8" w14:textId="77777777" w:rsidR="00F332CC" w:rsidRPr="00F332CC" w:rsidRDefault="00BE369E" w:rsidP="00F332C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332CC" w:rsidRPr="00F332CC">
        <w:rPr>
          <w:rFonts w:ascii="Times New Roman" w:hAnsi="Times New Roman" w:cs="Times New Roman"/>
          <w:color w:val="000000" w:themeColor="text1"/>
          <w:sz w:val="20"/>
          <w:szCs w:val="20"/>
        </w:rPr>
        <w:t>The use of video-based learning (VBL) in education has become increasingly popular, especially with platforms like Khan Academy that offer instructional videos on a wide range of subjects, including chemistry. Research by Putri (2021) indicates that VBL can improve student engagement and understanding of complex topics, such as molecular polarity, by providing visual and auditory learning experiences that cater to different learning preferences. Khan Academy's instructional videos are particularly effective because they simplify complex ideas into smaller, manageable sections, enabling students to learn at their own pace and revisit difficult content when needed (</w:t>
      </w:r>
      <w:proofErr w:type="spellStart"/>
      <w:r w:rsidR="00F332CC" w:rsidRPr="00F332CC">
        <w:rPr>
          <w:rFonts w:ascii="Times New Roman" w:hAnsi="Times New Roman" w:cs="Times New Roman"/>
          <w:color w:val="000000" w:themeColor="text1"/>
          <w:sz w:val="20"/>
          <w:szCs w:val="20"/>
        </w:rPr>
        <w:t>Blacer</w:t>
      </w:r>
      <w:proofErr w:type="spellEnd"/>
      <w:r w:rsidR="00F332CC" w:rsidRPr="00F332CC">
        <w:rPr>
          <w:rFonts w:ascii="Times New Roman" w:hAnsi="Times New Roman" w:cs="Times New Roman"/>
          <w:color w:val="000000" w:themeColor="text1"/>
          <w:sz w:val="20"/>
          <w:szCs w:val="20"/>
        </w:rPr>
        <w:t xml:space="preserve">-Bacolod &amp; Bacolod, 2020). This adaptable approach is especially useful in chemistry education, where students often find it challenging to grasp abstract ideas related to molecular interactions and properties (Irwanto et al., 2024).  </w:t>
      </w:r>
    </w:p>
    <w:p w14:paraId="6036F6AD" w14:textId="77777777" w:rsidR="00F332CC" w:rsidRPr="00F332CC" w:rsidRDefault="00F332CC" w:rsidP="00F332CC">
      <w:pPr>
        <w:spacing w:after="0" w:line="240" w:lineRule="auto"/>
        <w:jc w:val="both"/>
        <w:rPr>
          <w:rFonts w:ascii="Times New Roman" w:hAnsi="Times New Roman" w:cs="Times New Roman"/>
          <w:color w:val="000000" w:themeColor="text1"/>
          <w:sz w:val="20"/>
          <w:szCs w:val="20"/>
        </w:rPr>
      </w:pPr>
    </w:p>
    <w:p w14:paraId="37A2346C" w14:textId="74F1CE08" w:rsidR="00F332CC" w:rsidRPr="00F332CC" w:rsidRDefault="00F332CC" w:rsidP="00F332C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F332CC">
        <w:rPr>
          <w:rFonts w:ascii="Times New Roman" w:hAnsi="Times New Roman" w:cs="Times New Roman"/>
          <w:color w:val="000000" w:themeColor="text1"/>
          <w:sz w:val="20"/>
          <w:szCs w:val="20"/>
        </w:rPr>
        <w:t xml:space="preserve">Molecular polarity is a fundamental chemistry concept that affects various chemical properties and behaviors, yet misconceptions about it are common and can hinder students' understanding (Li et al., 2022). For example, Ibañez &amp; </w:t>
      </w:r>
      <w:proofErr w:type="spellStart"/>
      <w:r w:rsidRPr="00F332CC">
        <w:rPr>
          <w:rFonts w:ascii="Times New Roman" w:hAnsi="Times New Roman" w:cs="Times New Roman"/>
          <w:color w:val="000000" w:themeColor="text1"/>
          <w:sz w:val="20"/>
          <w:szCs w:val="20"/>
        </w:rPr>
        <w:t>Pentang</w:t>
      </w:r>
      <w:proofErr w:type="spellEnd"/>
      <w:r w:rsidRPr="00F332CC">
        <w:rPr>
          <w:rFonts w:ascii="Times New Roman" w:hAnsi="Times New Roman" w:cs="Times New Roman"/>
          <w:color w:val="000000" w:themeColor="text1"/>
          <w:sz w:val="20"/>
          <w:szCs w:val="20"/>
        </w:rPr>
        <w:t xml:space="preserve"> (2021) note that misunderstandings about the relationship between </w:t>
      </w:r>
      <w:r w:rsidRPr="00F332CC">
        <w:rPr>
          <w:rFonts w:ascii="Times New Roman" w:hAnsi="Times New Roman" w:cs="Times New Roman"/>
          <w:color w:val="000000" w:themeColor="text1"/>
          <w:sz w:val="20"/>
          <w:szCs w:val="20"/>
        </w:rPr>
        <w:lastRenderedPageBreak/>
        <w:t xml:space="preserve">molecular shape, electronegativity, and polarity can create gaps in students' knowledge. Instructional videos help clarify these misconceptions by offering clear, visual explanations of molecular polarity and its role in chemical interactions (Bayda &amp; Sutliff, 2020). Studies show that multimedia resources help students build a more cohesive understanding of complex scientific ideas by connecting theoretical knowledge to real-world applications (Bennison et al., 2020).  </w:t>
      </w:r>
    </w:p>
    <w:p w14:paraId="64C1EA73" w14:textId="77777777" w:rsidR="00F332CC" w:rsidRPr="00F332CC" w:rsidRDefault="00F332CC" w:rsidP="00F332CC">
      <w:pPr>
        <w:spacing w:after="0" w:line="240" w:lineRule="auto"/>
        <w:jc w:val="both"/>
        <w:rPr>
          <w:rFonts w:ascii="Times New Roman" w:hAnsi="Times New Roman" w:cs="Times New Roman"/>
          <w:color w:val="000000" w:themeColor="text1"/>
          <w:sz w:val="20"/>
          <w:szCs w:val="20"/>
        </w:rPr>
      </w:pPr>
    </w:p>
    <w:p w14:paraId="7E4C2819" w14:textId="1F6013D4" w:rsidR="00F332CC" w:rsidRPr="00F332CC" w:rsidRDefault="00F332CC" w:rsidP="00F332CC">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F332CC">
        <w:rPr>
          <w:rFonts w:ascii="Times New Roman" w:hAnsi="Times New Roman" w:cs="Times New Roman"/>
          <w:color w:val="000000" w:themeColor="text1"/>
          <w:sz w:val="20"/>
          <w:szCs w:val="20"/>
        </w:rPr>
        <w:t xml:space="preserve">Continuing research on the impact of Khan Academy videos on students' understanding of molecular polarity underscores the potential of video-based learning to transform educational practices. By addressing misconceptions, using visual aids, and promoting interactive learning, these videos can significantly enhance students' grasp of challenging chemical concepts. As teaching methods evolve, it is essential to explore and improve the use of digital tools like Khan Academy to better support learners in chemistry education (Yassine et al., 2020).  </w:t>
      </w:r>
    </w:p>
    <w:p w14:paraId="4AAB3D9E" w14:textId="77777777" w:rsidR="00F332CC" w:rsidRPr="00F332CC" w:rsidRDefault="00F332CC" w:rsidP="00F332CC">
      <w:pPr>
        <w:spacing w:after="0" w:line="240" w:lineRule="auto"/>
        <w:jc w:val="both"/>
        <w:rPr>
          <w:rFonts w:ascii="Times New Roman" w:hAnsi="Times New Roman" w:cs="Times New Roman"/>
          <w:color w:val="000000" w:themeColor="text1"/>
          <w:sz w:val="20"/>
          <w:szCs w:val="20"/>
        </w:rPr>
      </w:pPr>
    </w:p>
    <w:p w14:paraId="7C350D88" w14:textId="5BB8534E" w:rsidR="00453C9D" w:rsidRPr="00E3688D" w:rsidRDefault="00E3688D" w:rsidP="00CA2700">
      <w:pPr>
        <w:pStyle w:val="Default"/>
        <w:rPr>
          <w:color w:val="000000" w:themeColor="text1"/>
        </w:rPr>
      </w:pPr>
      <w:r w:rsidRPr="00E3688D">
        <w:rPr>
          <w:b/>
          <w:bCs/>
          <w:color w:val="000000" w:themeColor="text1"/>
          <w:sz w:val="20"/>
          <w:szCs w:val="20"/>
        </w:rPr>
        <w:t>METHODOLOGY</w:t>
      </w:r>
    </w:p>
    <w:p w14:paraId="4E24D877" w14:textId="77777777" w:rsidR="001A5639" w:rsidRDefault="00BE369E" w:rsidP="00CA2700">
      <w:pPr>
        <w:pStyle w:val="Default"/>
        <w:jc w:val="both"/>
        <w:rPr>
          <w:color w:val="000000" w:themeColor="text1"/>
          <w:sz w:val="20"/>
          <w:szCs w:val="20"/>
        </w:rPr>
      </w:pPr>
      <w:r>
        <w:rPr>
          <w:b/>
          <w:bCs/>
          <w:color w:val="2E5395"/>
        </w:rPr>
        <w:tab/>
      </w:r>
      <w:r w:rsidR="001A5639" w:rsidRPr="001A5639">
        <w:rPr>
          <w:color w:val="000000" w:themeColor="text1"/>
          <w:sz w:val="20"/>
          <w:szCs w:val="20"/>
        </w:rPr>
        <w:t>This section covers the entry protocol, research setting, research design, participants, research tools, data collection process, and data analysis methods.</w:t>
      </w:r>
    </w:p>
    <w:p w14:paraId="1A6DB228" w14:textId="77777777" w:rsidR="001A5639" w:rsidRDefault="007873A1" w:rsidP="00CA2700">
      <w:pPr>
        <w:pStyle w:val="Default"/>
        <w:jc w:val="both"/>
        <w:rPr>
          <w:color w:val="000000" w:themeColor="text1"/>
          <w:sz w:val="20"/>
          <w:szCs w:val="20"/>
        </w:rPr>
      </w:pPr>
      <w:r w:rsidRPr="00453C9D">
        <w:rPr>
          <w:b/>
          <w:bCs/>
          <w:color w:val="000000" w:themeColor="text1"/>
          <w:sz w:val="20"/>
          <w:szCs w:val="20"/>
        </w:rPr>
        <w:t xml:space="preserve">Entry </w:t>
      </w:r>
      <w:r w:rsidRPr="00BE369E">
        <w:rPr>
          <w:b/>
          <w:bCs/>
          <w:color w:val="000000" w:themeColor="text1"/>
          <w:sz w:val="20"/>
          <w:szCs w:val="20"/>
        </w:rPr>
        <w:t>Protocol</w:t>
      </w:r>
      <w:r w:rsidR="00BE369E">
        <w:rPr>
          <w:color w:val="000000" w:themeColor="text1"/>
          <w:sz w:val="20"/>
          <w:szCs w:val="20"/>
        </w:rPr>
        <w:t xml:space="preserve">. </w:t>
      </w:r>
      <w:r w:rsidR="001A5639" w:rsidRPr="001A5639">
        <w:rPr>
          <w:color w:val="000000" w:themeColor="text1"/>
          <w:sz w:val="20"/>
          <w:szCs w:val="20"/>
        </w:rPr>
        <w:t>A research permit (RP) was obtained through a formal communication letter addressed to the principal of the Senior High School (SHS) Department as a sign of respect, professionalism, and ethical compliance before conducting the study.</w:t>
      </w:r>
    </w:p>
    <w:p w14:paraId="13FBD670" w14:textId="67F39474" w:rsidR="00453C9D" w:rsidRPr="00BE369E" w:rsidRDefault="007873A1" w:rsidP="00CA2700">
      <w:pPr>
        <w:pStyle w:val="Default"/>
        <w:jc w:val="both"/>
        <w:rPr>
          <w:b/>
          <w:bCs/>
          <w:color w:val="000000" w:themeColor="text1"/>
          <w:sz w:val="20"/>
          <w:szCs w:val="20"/>
        </w:rPr>
      </w:pPr>
      <w:r w:rsidRPr="007873A1">
        <w:rPr>
          <w:b/>
          <w:bCs/>
          <w:color w:val="000000" w:themeColor="text1"/>
          <w:sz w:val="20"/>
          <w:szCs w:val="20"/>
        </w:rPr>
        <w:t xml:space="preserve">Research </w:t>
      </w:r>
      <w:r w:rsidRPr="00BE369E">
        <w:rPr>
          <w:b/>
          <w:bCs/>
          <w:color w:val="000000" w:themeColor="text1"/>
          <w:sz w:val="20"/>
          <w:szCs w:val="20"/>
        </w:rPr>
        <w:t>Environment</w:t>
      </w:r>
      <w:r w:rsidR="00BE369E">
        <w:rPr>
          <w:color w:val="000000" w:themeColor="text1"/>
          <w:sz w:val="20"/>
          <w:szCs w:val="20"/>
        </w:rPr>
        <w:t xml:space="preserve">. </w:t>
      </w:r>
      <w:r w:rsidR="001A5639" w:rsidRPr="001A5639">
        <w:rPr>
          <w:color w:val="000000" w:themeColor="text1"/>
          <w:sz w:val="20"/>
          <w:szCs w:val="20"/>
        </w:rPr>
        <w:t>The study was conducted in Don Ruben (Baltazar), San Jose, located in the Province of Dinagat Islands, Philippines.</w:t>
      </w:r>
      <w:r w:rsidR="001A5639">
        <w:rPr>
          <w:color w:val="000000" w:themeColor="text1"/>
          <w:sz w:val="20"/>
          <w:szCs w:val="20"/>
        </w:rPr>
        <w:t xml:space="preserve"> </w:t>
      </w:r>
      <w:r w:rsidRPr="007873A1">
        <w:rPr>
          <w:color w:val="000000" w:themeColor="text1"/>
          <w:sz w:val="20"/>
          <w:szCs w:val="20"/>
        </w:rPr>
        <w:t xml:space="preserve">Global Positioning System (GPS) application has been used to document the exact position and altitude of the study station, referred to as school of Don Ruben </w:t>
      </w:r>
      <w:r w:rsidR="00453C9D" w:rsidRPr="00453C9D">
        <w:rPr>
          <w:color w:val="000000" w:themeColor="text1"/>
          <w:sz w:val="20"/>
          <w:szCs w:val="20"/>
        </w:rPr>
        <w:t>Edera Ecleo Sr. Memorial National High School (DREESMNHS). Geographically lies at N 10</w:t>
      </w:r>
      <w:r w:rsidR="00453C9D" w:rsidRPr="00453C9D">
        <w:rPr>
          <w:color w:val="000000" w:themeColor="text1"/>
          <w:sz w:val="20"/>
          <w:szCs w:val="20"/>
          <w:vertAlign w:val="superscript"/>
        </w:rPr>
        <w:t>0</w:t>
      </w:r>
      <w:r w:rsidR="00453C9D" w:rsidRPr="00453C9D">
        <w:rPr>
          <w:color w:val="000000" w:themeColor="text1"/>
          <w:sz w:val="20"/>
          <w:szCs w:val="20"/>
        </w:rPr>
        <w:t xml:space="preserve"> 0’58’’ E 125</w:t>
      </w:r>
      <w:r w:rsidR="00453C9D" w:rsidRPr="00453C9D">
        <w:rPr>
          <w:color w:val="000000" w:themeColor="text1"/>
          <w:sz w:val="20"/>
          <w:szCs w:val="20"/>
          <w:vertAlign w:val="superscript"/>
        </w:rPr>
        <w:t>0</w:t>
      </w:r>
      <w:r w:rsidR="00453C9D" w:rsidRPr="00453C9D">
        <w:rPr>
          <w:color w:val="000000" w:themeColor="text1"/>
          <w:sz w:val="20"/>
          <w:szCs w:val="20"/>
        </w:rPr>
        <w:t xml:space="preserve"> 34’31’’.</w:t>
      </w:r>
    </w:p>
    <w:p w14:paraId="731F80F5" w14:textId="5FE56872" w:rsidR="00453C9D" w:rsidRPr="00BE369E" w:rsidRDefault="00453C9D" w:rsidP="00CA2700">
      <w:pPr>
        <w:pStyle w:val="Default"/>
        <w:jc w:val="both"/>
        <w:rPr>
          <w:b/>
          <w:bCs/>
          <w:color w:val="000000" w:themeColor="text1"/>
          <w:sz w:val="20"/>
          <w:szCs w:val="20"/>
        </w:rPr>
      </w:pPr>
      <w:r w:rsidRPr="00453C9D">
        <w:rPr>
          <w:b/>
          <w:bCs/>
          <w:color w:val="000000" w:themeColor="text1"/>
          <w:sz w:val="20"/>
          <w:szCs w:val="20"/>
        </w:rPr>
        <w:t xml:space="preserve">Research </w:t>
      </w:r>
      <w:r w:rsidRPr="00BE369E">
        <w:rPr>
          <w:b/>
          <w:bCs/>
          <w:color w:val="000000" w:themeColor="text1"/>
          <w:sz w:val="20"/>
          <w:szCs w:val="20"/>
        </w:rPr>
        <w:t>Design</w:t>
      </w:r>
      <w:r w:rsidR="00BE369E">
        <w:rPr>
          <w:color w:val="000000" w:themeColor="text1"/>
          <w:sz w:val="20"/>
          <w:szCs w:val="20"/>
        </w:rPr>
        <w:t xml:space="preserve">. </w:t>
      </w:r>
      <w:r w:rsidRPr="00BE369E">
        <w:rPr>
          <w:color w:val="000000" w:themeColor="text1"/>
          <w:sz w:val="20"/>
          <w:szCs w:val="20"/>
        </w:rPr>
        <w:t>A</w:t>
      </w:r>
      <w:r w:rsidRPr="00453C9D">
        <w:rPr>
          <w:color w:val="000000" w:themeColor="text1"/>
          <w:sz w:val="20"/>
          <w:szCs w:val="20"/>
        </w:rPr>
        <w:t xml:space="preserve"> quasi-experimental design with two groups of </w:t>
      </w:r>
      <w:bookmarkStart w:id="5" w:name="_Hlk190501743"/>
      <w:r w:rsidR="0070587A">
        <w:rPr>
          <w:color w:val="000000" w:themeColor="text1"/>
          <w:sz w:val="20"/>
          <w:szCs w:val="20"/>
        </w:rPr>
        <w:t>Senior High School</w:t>
      </w:r>
      <w:r w:rsidRPr="00453C9D">
        <w:rPr>
          <w:color w:val="000000" w:themeColor="text1"/>
          <w:sz w:val="20"/>
          <w:szCs w:val="20"/>
        </w:rPr>
        <w:t xml:space="preserve"> students enrolled in General Chemistry 1</w:t>
      </w:r>
      <w:r w:rsidR="0070587A">
        <w:rPr>
          <w:color w:val="000000" w:themeColor="text1"/>
          <w:sz w:val="20"/>
          <w:szCs w:val="20"/>
        </w:rPr>
        <w:t xml:space="preserve"> and Physical Science</w:t>
      </w:r>
      <w:bookmarkEnd w:id="5"/>
      <w:r w:rsidRPr="00453C9D">
        <w:rPr>
          <w:color w:val="000000" w:themeColor="text1"/>
          <w:sz w:val="20"/>
          <w:szCs w:val="20"/>
        </w:rPr>
        <w:t xml:space="preserve">. One of the two will get the traditional lecture using illustration or PowerPoint presentation for molecular polarity and the other one will do Khan Academy videos on the same topic. A pre-test and post-test employed both groups, in order to determine if there is any difference in retention and comprehension of the topic. </w:t>
      </w:r>
    </w:p>
    <w:p w14:paraId="6810CE4C" w14:textId="0623A5D1" w:rsidR="0078747A" w:rsidRDefault="00453C9D" w:rsidP="00CA2700">
      <w:pPr>
        <w:pStyle w:val="Default"/>
        <w:jc w:val="both"/>
        <w:rPr>
          <w:color w:val="000000" w:themeColor="text1"/>
          <w:sz w:val="20"/>
          <w:szCs w:val="20"/>
        </w:rPr>
      </w:pPr>
      <w:r w:rsidRPr="00BE369E">
        <w:rPr>
          <w:b/>
          <w:bCs/>
          <w:color w:val="000000" w:themeColor="text1"/>
          <w:sz w:val="20"/>
          <w:szCs w:val="20"/>
        </w:rPr>
        <w:t>Research Respondents</w:t>
      </w:r>
      <w:r w:rsidR="00BE369E" w:rsidRPr="00BE369E">
        <w:rPr>
          <w:color w:val="000000" w:themeColor="text1"/>
          <w:sz w:val="20"/>
          <w:szCs w:val="20"/>
        </w:rPr>
        <w:t>.</w:t>
      </w:r>
      <w:r w:rsidR="00BE369E">
        <w:rPr>
          <w:b/>
          <w:bCs/>
          <w:color w:val="000000" w:themeColor="text1"/>
          <w:sz w:val="20"/>
          <w:szCs w:val="20"/>
        </w:rPr>
        <w:t xml:space="preserve"> </w:t>
      </w:r>
      <w:r w:rsidRPr="00453C9D">
        <w:rPr>
          <w:color w:val="000000" w:themeColor="text1"/>
          <w:sz w:val="20"/>
          <w:szCs w:val="20"/>
        </w:rPr>
        <w:t xml:space="preserve">The respondent in this study is involved </w:t>
      </w:r>
      <w:r w:rsidR="0070587A">
        <w:rPr>
          <w:color w:val="000000" w:themeColor="text1"/>
          <w:sz w:val="20"/>
          <w:szCs w:val="20"/>
        </w:rPr>
        <w:t>70 Senior High School</w:t>
      </w:r>
      <w:r w:rsidRPr="00453C9D">
        <w:rPr>
          <w:color w:val="000000" w:themeColor="text1"/>
          <w:sz w:val="20"/>
          <w:szCs w:val="20"/>
        </w:rPr>
        <w:t xml:space="preserve"> students of Don Ruben E. Ecleo Sr. Memorial National High School (DREESMNHS). </w:t>
      </w:r>
      <w:r w:rsidR="0070587A">
        <w:rPr>
          <w:color w:val="000000" w:themeColor="text1"/>
          <w:sz w:val="20"/>
          <w:szCs w:val="20"/>
        </w:rPr>
        <w:t>Thirty-Five</w:t>
      </w:r>
      <w:r w:rsidRPr="00453C9D">
        <w:rPr>
          <w:color w:val="000000" w:themeColor="text1"/>
          <w:sz w:val="20"/>
          <w:szCs w:val="20"/>
        </w:rPr>
        <w:t xml:space="preserve"> (</w:t>
      </w:r>
      <w:r w:rsidR="0070587A">
        <w:rPr>
          <w:color w:val="000000" w:themeColor="text1"/>
          <w:sz w:val="20"/>
          <w:szCs w:val="20"/>
        </w:rPr>
        <w:t>35</w:t>
      </w:r>
      <w:r w:rsidRPr="00453C9D">
        <w:rPr>
          <w:color w:val="000000" w:themeColor="text1"/>
          <w:sz w:val="20"/>
          <w:szCs w:val="20"/>
        </w:rPr>
        <w:t xml:space="preserve">) students for the experimental group, and </w:t>
      </w:r>
      <w:r w:rsidR="0070587A">
        <w:rPr>
          <w:color w:val="000000" w:themeColor="text1"/>
          <w:sz w:val="20"/>
          <w:szCs w:val="20"/>
        </w:rPr>
        <w:t>thirty-five</w:t>
      </w:r>
      <w:r w:rsidR="0070587A" w:rsidRPr="00453C9D">
        <w:rPr>
          <w:color w:val="000000" w:themeColor="text1"/>
          <w:sz w:val="20"/>
          <w:szCs w:val="20"/>
        </w:rPr>
        <w:t xml:space="preserve"> (</w:t>
      </w:r>
      <w:r w:rsidR="0070587A">
        <w:rPr>
          <w:color w:val="000000" w:themeColor="text1"/>
          <w:sz w:val="20"/>
          <w:szCs w:val="20"/>
        </w:rPr>
        <w:t>35</w:t>
      </w:r>
      <w:r w:rsidR="0070587A" w:rsidRPr="00453C9D">
        <w:rPr>
          <w:color w:val="000000" w:themeColor="text1"/>
          <w:sz w:val="20"/>
          <w:szCs w:val="20"/>
        </w:rPr>
        <w:t xml:space="preserve">) students </w:t>
      </w:r>
      <w:r w:rsidRPr="00453C9D">
        <w:rPr>
          <w:color w:val="000000" w:themeColor="text1"/>
          <w:sz w:val="20"/>
          <w:szCs w:val="20"/>
        </w:rPr>
        <w:t>in the control group based on sex determination.</w:t>
      </w:r>
    </w:p>
    <w:p w14:paraId="43AFBBB1" w14:textId="77777777" w:rsidR="00CA2700" w:rsidRDefault="00CA2700" w:rsidP="00CA2700">
      <w:pPr>
        <w:pStyle w:val="Default"/>
        <w:jc w:val="both"/>
        <w:rPr>
          <w:color w:val="000000" w:themeColor="text1"/>
          <w:sz w:val="20"/>
          <w:szCs w:val="20"/>
        </w:rPr>
      </w:pPr>
    </w:p>
    <w:p w14:paraId="3624DB36" w14:textId="77777777" w:rsidR="00CA2700" w:rsidRDefault="00CA2700" w:rsidP="00CA2700">
      <w:pPr>
        <w:pStyle w:val="Default"/>
        <w:jc w:val="both"/>
        <w:rPr>
          <w:color w:val="000000" w:themeColor="text1"/>
          <w:sz w:val="20"/>
          <w:szCs w:val="20"/>
        </w:rPr>
      </w:pPr>
    </w:p>
    <w:p w14:paraId="6467A208" w14:textId="77777777" w:rsidR="001A5639" w:rsidRDefault="001A5639" w:rsidP="00CA2700">
      <w:pPr>
        <w:pStyle w:val="Default"/>
        <w:jc w:val="both"/>
        <w:rPr>
          <w:color w:val="000000" w:themeColor="text1"/>
          <w:sz w:val="20"/>
          <w:szCs w:val="20"/>
        </w:rPr>
      </w:pPr>
    </w:p>
    <w:p w14:paraId="3E5C9885" w14:textId="77777777" w:rsidR="001A5639" w:rsidRDefault="001A5639" w:rsidP="00CA2700">
      <w:pPr>
        <w:pStyle w:val="Default"/>
        <w:jc w:val="both"/>
        <w:rPr>
          <w:color w:val="000000" w:themeColor="text1"/>
          <w:sz w:val="20"/>
          <w:szCs w:val="20"/>
        </w:rPr>
      </w:pPr>
    </w:p>
    <w:p w14:paraId="0E7451C2" w14:textId="77777777" w:rsidR="001A5639" w:rsidRDefault="001A5639" w:rsidP="00CA2700">
      <w:pPr>
        <w:pStyle w:val="Default"/>
        <w:jc w:val="both"/>
        <w:rPr>
          <w:color w:val="000000" w:themeColor="text1"/>
          <w:sz w:val="20"/>
          <w:szCs w:val="20"/>
        </w:rPr>
      </w:pPr>
    </w:p>
    <w:p w14:paraId="5654C573" w14:textId="77777777" w:rsidR="001A5639" w:rsidRDefault="001A5639" w:rsidP="00CA2700">
      <w:pPr>
        <w:pStyle w:val="Default"/>
        <w:jc w:val="both"/>
        <w:rPr>
          <w:color w:val="000000" w:themeColor="text1"/>
          <w:sz w:val="20"/>
          <w:szCs w:val="20"/>
        </w:rPr>
      </w:pPr>
    </w:p>
    <w:p w14:paraId="28309BEE" w14:textId="77777777" w:rsidR="00CA2700" w:rsidRDefault="00CA2700" w:rsidP="00CA2700">
      <w:pPr>
        <w:pStyle w:val="Default"/>
        <w:jc w:val="both"/>
        <w:rPr>
          <w:color w:val="000000" w:themeColor="text1"/>
          <w:sz w:val="20"/>
          <w:szCs w:val="20"/>
        </w:rPr>
      </w:pPr>
    </w:p>
    <w:p w14:paraId="450E60F7" w14:textId="77777777" w:rsidR="00CA2700" w:rsidRPr="00BE369E" w:rsidRDefault="00CA2700" w:rsidP="00CA2700">
      <w:pPr>
        <w:pStyle w:val="Default"/>
        <w:jc w:val="both"/>
        <w:rPr>
          <w:b/>
          <w:bCs/>
          <w:color w:val="000000" w:themeColor="text1"/>
          <w:sz w:val="20"/>
          <w:szCs w:val="20"/>
        </w:rPr>
      </w:pPr>
    </w:p>
    <w:p w14:paraId="3BF4787E" w14:textId="77777777" w:rsidR="00453C9D" w:rsidRPr="0078747A" w:rsidRDefault="00453C9D" w:rsidP="00CA2700">
      <w:pPr>
        <w:spacing w:line="240" w:lineRule="auto"/>
        <w:jc w:val="center"/>
        <w:rPr>
          <w:rFonts w:ascii="Times New Roman" w:hAnsi="Times New Roman" w:cs="Times New Roman"/>
          <w:b/>
          <w:bCs/>
          <w:sz w:val="20"/>
          <w:szCs w:val="20"/>
        </w:rPr>
      </w:pPr>
      <w:r w:rsidRPr="0078747A">
        <w:rPr>
          <w:rFonts w:ascii="Times New Roman" w:hAnsi="Times New Roman" w:cs="Times New Roman"/>
          <w:b/>
          <w:bCs/>
          <w:sz w:val="20"/>
          <w:szCs w:val="20"/>
        </w:rPr>
        <w:t xml:space="preserve">Table 1. </w:t>
      </w:r>
      <w:r w:rsidRPr="00BE369E">
        <w:rPr>
          <w:rFonts w:ascii="Times New Roman" w:hAnsi="Times New Roman" w:cs="Times New Roman"/>
          <w:b/>
          <w:bCs/>
          <w:sz w:val="20"/>
          <w:szCs w:val="20"/>
        </w:rPr>
        <w:t>Distribution of Students by Sex and Assigned Study Groups</w:t>
      </w:r>
    </w:p>
    <w:tbl>
      <w:tblPr>
        <w:tblStyle w:val="TableGrid"/>
        <w:tblW w:w="0" w:type="auto"/>
        <w:jc w:val="center"/>
        <w:tblLook w:val="04A0" w:firstRow="1" w:lastRow="0" w:firstColumn="1" w:lastColumn="0" w:noHBand="0" w:noVBand="1"/>
      </w:tblPr>
      <w:tblGrid>
        <w:gridCol w:w="1333"/>
        <w:gridCol w:w="583"/>
        <w:gridCol w:w="583"/>
        <w:gridCol w:w="797"/>
        <w:gridCol w:w="583"/>
        <w:gridCol w:w="797"/>
      </w:tblGrid>
      <w:tr w:rsidR="00453C9D" w:rsidRPr="00453C9D" w14:paraId="354E4AF6" w14:textId="77777777" w:rsidTr="0070587A">
        <w:trPr>
          <w:jc w:val="center"/>
        </w:trPr>
        <w:tc>
          <w:tcPr>
            <w:tcW w:w="1558" w:type="dxa"/>
          </w:tcPr>
          <w:p w14:paraId="2CBF50FE" w14:textId="77777777" w:rsidR="00453C9D" w:rsidRPr="0078747A" w:rsidRDefault="00453C9D" w:rsidP="00CA2700">
            <w:pPr>
              <w:jc w:val="center"/>
              <w:rPr>
                <w:rFonts w:ascii="Times New Roman" w:hAnsi="Times New Roman" w:cs="Times New Roman"/>
                <w:b/>
                <w:bCs/>
              </w:rPr>
            </w:pPr>
          </w:p>
        </w:tc>
        <w:tc>
          <w:tcPr>
            <w:tcW w:w="1558" w:type="dxa"/>
          </w:tcPr>
          <w:p w14:paraId="4292E43C" w14:textId="77777777" w:rsidR="00453C9D" w:rsidRPr="0078747A" w:rsidRDefault="00453C9D" w:rsidP="00CA2700">
            <w:pPr>
              <w:jc w:val="center"/>
              <w:rPr>
                <w:rFonts w:ascii="Times New Roman" w:hAnsi="Times New Roman" w:cs="Times New Roman"/>
                <w:b/>
                <w:bCs/>
              </w:rPr>
            </w:pPr>
          </w:p>
        </w:tc>
        <w:tc>
          <w:tcPr>
            <w:tcW w:w="3116" w:type="dxa"/>
            <w:gridSpan w:val="2"/>
          </w:tcPr>
          <w:p w14:paraId="184AA1F9" w14:textId="77777777" w:rsidR="00453C9D" w:rsidRPr="0078747A" w:rsidRDefault="00453C9D" w:rsidP="00CA2700">
            <w:pPr>
              <w:jc w:val="center"/>
              <w:rPr>
                <w:rFonts w:ascii="Times New Roman" w:hAnsi="Times New Roman" w:cs="Times New Roman"/>
                <w:b/>
                <w:bCs/>
              </w:rPr>
            </w:pPr>
            <w:r w:rsidRPr="0078747A">
              <w:rPr>
                <w:rFonts w:ascii="Times New Roman" w:hAnsi="Times New Roman" w:cs="Times New Roman"/>
                <w:b/>
                <w:bCs/>
              </w:rPr>
              <w:t>Male</w:t>
            </w:r>
          </w:p>
        </w:tc>
        <w:tc>
          <w:tcPr>
            <w:tcW w:w="3118" w:type="dxa"/>
            <w:gridSpan w:val="2"/>
          </w:tcPr>
          <w:p w14:paraId="02348E93" w14:textId="77777777" w:rsidR="00453C9D" w:rsidRPr="0078747A" w:rsidRDefault="00453C9D" w:rsidP="00CA2700">
            <w:pPr>
              <w:jc w:val="center"/>
              <w:rPr>
                <w:rFonts w:ascii="Times New Roman" w:hAnsi="Times New Roman" w:cs="Times New Roman"/>
                <w:b/>
                <w:bCs/>
              </w:rPr>
            </w:pPr>
            <w:r w:rsidRPr="0078747A">
              <w:rPr>
                <w:rFonts w:ascii="Times New Roman" w:hAnsi="Times New Roman" w:cs="Times New Roman"/>
                <w:b/>
                <w:bCs/>
              </w:rPr>
              <w:t>Female</w:t>
            </w:r>
          </w:p>
        </w:tc>
      </w:tr>
      <w:tr w:rsidR="00453C9D" w:rsidRPr="00453C9D" w14:paraId="06A3DE09" w14:textId="77777777" w:rsidTr="0070587A">
        <w:trPr>
          <w:jc w:val="center"/>
        </w:trPr>
        <w:tc>
          <w:tcPr>
            <w:tcW w:w="1558" w:type="dxa"/>
          </w:tcPr>
          <w:p w14:paraId="179E83A2" w14:textId="40BE14D2"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Group</w:t>
            </w:r>
            <w:r w:rsidR="0070587A">
              <w:rPr>
                <w:rFonts w:ascii="Times New Roman" w:hAnsi="Times New Roman" w:cs="Times New Roman"/>
                <w:b/>
                <w:bCs/>
              </w:rPr>
              <w:t>s</w:t>
            </w:r>
          </w:p>
        </w:tc>
        <w:tc>
          <w:tcPr>
            <w:tcW w:w="1558" w:type="dxa"/>
          </w:tcPr>
          <w:p w14:paraId="372C942D"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n</w:t>
            </w:r>
          </w:p>
        </w:tc>
        <w:tc>
          <w:tcPr>
            <w:tcW w:w="1558" w:type="dxa"/>
          </w:tcPr>
          <w:p w14:paraId="443D5046"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f</w:t>
            </w:r>
          </w:p>
        </w:tc>
        <w:tc>
          <w:tcPr>
            <w:tcW w:w="1558" w:type="dxa"/>
          </w:tcPr>
          <w:p w14:paraId="7F3D63AB"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w:t>
            </w:r>
          </w:p>
        </w:tc>
        <w:tc>
          <w:tcPr>
            <w:tcW w:w="1559" w:type="dxa"/>
          </w:tcPr>
          <w:p w14:paraId="712599F1"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f</w:t>
            </w:r>
          </w:p>
        </w:tc>
        <w:tc>
          <w:tcPr>
            <w:tcW w:w="1559" w:type="dxa"/>
          </w:tcPr>
          <w:p w14:paraId="4A8FB873"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w:t>
            </w:r>
          </w:p>
        </w:tc>
      </w:tr>
      <w:tr w:rsidR="00453C9D" w:rsidRPr="00453C9D" w14:paraId="1BFFAD1B" w14:textId="77777777" w:rsidTr="0070587A">
        <w:trPr>
          <w:jc w:val="center"/>
        </w:trPr>
        <w:tc>
          <w:tcPr>
            <w:tcW w:w="1558" w:type="dxa"/>
          </w:tcPr>
          <w:p w14:paraId="5789B2F8" w14:textId="77777777" w:rsidR="00453C9D" w:rsidRPr="00453C9D" w:rsidRDefault="00453C9D" w:rsidP="00CA2700">
            <w:pPr>
              <w:jc w:val="center"/>
              <w:rPr>
                <w:rFonts w:ascii="Times New Roman" w:hAnsi="Times New Roman" w:cs="Times New Roman"/>
              </w:rPr>
            </w:pPr>
            <w:r w:rsidRPr="00453C9D">
              <w:rPr>
                <w:rFonts w:ascii="Times New Roman" w:hAnsi="Times New Roman" w:cs="Times New Roman"/>
              </w:rPr>
              <w:t>Control</w:t>
            </w:r>
          </w:p>
        </w:tc>
        <w:tc>
          <w:tcPr>
            <w:tcW w:w="1558" w:type="dxa"/>
          </w:tcPr>
          <w:p w14:paraId="58A3BAAB" w14:textId="08304D9E" w:rsidR="00453C9D" w:rsidRPr="00453C9D" w:rsidRDefault="001702C9" w:rsidP="00CA2700">
            <w:pPr>
              <w:jc w:val="center"/>
              <w:rPr>
                <w:rFonts w:ascii="Times New Roman" w:hAnsi="Times New Roman" w:cs="Times New Roman"/>
              </w:rPr>
            </w:pPr>
            <w:r>
              <w:rPr>
                <w:rFonts w:ascii="Times New Roman" w:hAnsi="Times New Roman" w:cs="Times New Roman"/>
              </w:rPr>
              <w:t>35</w:t>
            </w:r>
          </w:p>
        </w:tc>
        <w:tc>
          <w:tcPr>
            <w:tcW w:w="1558" w:type="dxa"/>
          </w:tcPr>
          <w:p w14:paraId="1C3D2583" w14:textId="5CAF2F4A" w:rsidR="00453C9D" w:rsidRPr="00453C9D" w:rsidRDefault="001702C9" w:rsidP="00CA2700">
            <w:pPr>
              <w:jc w:val="center"/>
              <w:rPr>
                <w:rFonts w:ascii="Times New Roman" w:hAnsi="Times New Roman" w:cs="Times New Roman"/>
              </w:rPr>
            </w:pPr>
            <w:r>
              <w:rPr>
                <w:rFonts w:ascii="Times New Roman" w:hAnsi="Times New Roman" w:cs="Times New Roman"/>
              </w:rPr>
              <w:t>15</w:t>
            </w:r>
          </w:p>
        </w:tc>
        <w:tc>
          <w:tcPr>
            <w:tcW w:w="1558" w:type="dxa"/>
          </w:tcPr>
          <w:p w14:paraId="70D4E1F0" w14:textId="77777777" w:rsidR="00453C9D" w:rsidRPr="00453C9D" w:rsidRDefault="00453C9D" w:rsidP="00CA2700">
            <w:pPr>
              <w:jc w:val="center"/>
              <w:rPr>
                <w:rFonts w:ascii="Times New Roman" w:hAnsi="Times New Roman" w:cs="Times New Roman"/>
              </w:rPr>
            </w:pPr>
            <w:r w:rsidRPr="00453C9D">
              <w:rPr>
                <w:rFonts w:ascii="Times New Roman" w:hAnsi="Times New Roman" w:cs="Times New Roman"/>
              </w:rPr>
              <w:t>50.0</w:t>
            </w:r>
          </w:p>
        </w:tc>
        <w:tc>
          <w:tcPr>
            <w:tcW w:w="1559" w:type="dxa"/>
          </w:tcPr>
          <w:p w14:paraId="31EC9BBD" w14:textId="704CA5B0" w:rsidR="00453C9D" w:rsidRPr="00453C9D" w:rsidRDefault="001702C9" w:rsidP="00CA2700">
            <w:pPr>
              <w:jc w:val="center"/>
              <w:rPr>
                <w:rFonts w:ascii="Times New Roman" w:hAnsi="Times New Roman" w:cs="Times New Roman"/>
              </w:rPr>
            </w:pPr>
            <w:r>
              <w:rPr>
                <w:rFonts w:ascii="Times New Roman" w:hAnsi="Times New Roman" w:cs="Times New Roman"/>
              </w:rPr>
              <w:t>20</w:t>
            </w:r>
          </w:p>
        </w:tc>
        <w:tc>
          <w:tcPr>
            <w:tcW w:w="1559" w:type="dxa"/>
          </w:tcPr>
          <w:p w14:paraId="5D1F7CB2" w14:textId="77777777" w:rsidR="00453C9D" w:rsidRPr="00453C9D" w:rsidRDefault="00453C9D" w:rsidP="00CA2700">
            <w:pPr>
              <w:jc w:val="center"/>
              <w:rPr>
                <w:rFonts w:ascii="Times New Roman" w:hAnsi="Times New Roman" w:cs="Times New Roman"/>
              </w:rPr>
            </w:pPr>
            <w:r w:rsidRPr="00453C9D">
              <w:rPr>
                <w:rFonts w:ascii="Times New Roman" w:hAnsi="Times New Roman" w:cs="Times New Roman"/>
              </w:rPr>
              <w:t>50.0</w:t>
            </w:r>
          </w:p>
        </w:tc>
      </w:tr>
      <w:tr w:rsidR="00453C9D" w:rsidRPr="00453C9D" w14:paraId="60E6A078" w14:textId="77777777" w:rsidTr="0070587A">
        <w:trPr>
          <w:jc w:val="center"/>
        </w:trPr>
        <w:tc>
          <w:tcPr>
            <w:tcW w:w="1558" w:type="dxa"/>
          </w:tcPr>
          <w:p w14:paraId="3AA0A2A0" w14:textId="77777777" w:rsidR="00453C9D" w:rsidRPr="00453C9D" w:rsidRDefault="00453C9D" w:rsidP="00CA2700">
            <w:pPr>
              <w:jc w:val="center"/>
              <w:rPr>
                <w:rFonts w:ascii="Times New Roman" w:hAnsi="Times New Roman" w:cs="Times New Roman"/>
              </w:rPr>
            </w:pPr>
            <w:r w:rsidRPr="00453C9D">
              <w:rPr>
                <w:rFonts w:ascii="Times New Roman" w:hAnsi="Times New Roman" w:cs="Times New Roman"/>
              </w:rPr>
              <w:t>Experimental</w:t>
            </w:r>
          </w:p>
        </w:tc>
        <w:tc>
          <w:tcPr>
            <w:tcW w:w="1558" w:type="dxa"/>
          </w:tcPr>
          <w:p w14:paraId="3F8BA858" w14:textId="69A99E2E" w:rsidR="00453C9D" w:rsidRPr="00453C9D" w:rsidRDefault="001702C9" w:rsidP="00CA2700">
            <w:pPr>
              <w:jc w:val="center"/>
              <w:rPr>
                <w:rFonts w:ascii="Times New Roman" w:hAnsi="Times New Roman" w:cs="Times New Roman"/>
              </w:rPr>
            </w:pPr>
            <w:r>
              <w:rPr>
                <w:rFonts w:ascii="Times New Roman" w:hAnsi="Times New Roman" w:cs="Times New Roman"/>
              </w:rPr>
              <w:t>35</w:t>
            </w:r>
          </w:p>
        </w:tc>
        <w:tc>
          <w:tcPr>
            <w:tcW w:w="1558" w:type="dxa"/>
          </w:tcPr>
          <w:p w14:paraId="6BC61819" w14:textId="4C2FFDBD" w:rsidR="00453C9D" w:rsidRPr="00453C9D" w:rsidRDefault="001702C9" w:rsidP="00CA2700">
            <w:pPr>
              <w:jc w:val="center"/>
              <w:rPr>
                <w:rFonts w:ascii="Times New Roman" w:hAnsi="Times New Roman" w:cs="Times New Roman"/>
              </w:rPr>
            </w:pPr>
            <w:r>
              <w:rPr>
                <w:rFonts w:ascii="Times New Roman" w:hAnsi="Times New Roman" w:cs="Times New Roman"/>
              </w:rPr>
              <w:t>15</w:t>
            </w:r>
          </w:p>
        </w:tc>
        <w:tc>
          <w:tcPr>
            <w:tcW w:w="1558" w:type="dxa"/>
          </w:tcPr>
          <w:p w14:paraId="29977902" w14:textId="77777777" w:rsidR="00453C9D" w:rsidRPr="00453C9D" w:rsidRDefault="00453C9D" w:rsidP="00CA2700">
            <w:pPr>
              <w:jc w:val="center"/>
              <w:rPr>
                <w:rFonts w:ascii="Times New Roman" w:hAnsi="Times New Roman" w:cs="Times New Roman"/>
              </w:rPr>
            </w:pPr>
            <w:r w:rsidRPr="00453C9D">
              <w:rPr>
                <w:rFonts w:ascii="Times New Roman" w:hAnsi="Times New Roman" w:cs="Times New Roman"/>
              </w:rPr>
              <w:t>50.0</w:t>
            </w:r>
          </w:p>
        </w:tc>
        <w:tc>
          <w:tcPr>
            <w:tcW w:w="1559" w:type="dxa"/>
          </w:tcPr>
          <w:p w14:paraId="330A1A5E" w14:textId="012448AA" w:rsidR="00453C9D" w:rsidRPr="00453C9D" w:rsidRDefault="001702C9" w:rsidP="00CA2700">
            <w:pPr>
              <w:jc w:val="center"/>
              <w:rPr>
                <w:rFonts w:ascii="Times New Roman" w:hAnsi="Times New Roman" w:cs="Times New Roman"/>
              </w:rPr>
            </w:pPr>
            <w:r>
              <w:rPr>
                <w:rFonts w:ascii="Times New Roman" w:hAnsi="Times New Roman" w:cs="Times New Roman"/>
              </w:rPr>
              <w:t>20</w:t>
            </w:r>
          </w:p>
        </w:tc>
        <w:tc>
          <w:tcPr>
            <w:tcW w:w="1559" w:type="dxa"/>
          </w:tcPr>
          <w:p w14:paraId="25A25D6B" w14:textId="77777777" w:rsidR="00453C9D" w:rsidRPr="00453C9D" w:rsidRDefault="00453C9D" w:rsidP="00CA2700">
            <w:pPr>
              <w:jc w:val="center"/>
              <w:rPr>
                <w:rFonts w:ascii="Times New Roman" w:hAnsi="Times New Roman" w:cs="Times New Roman"/>
              </w:rPr>
            </w:pPr>
            <w:r w:rsidRPr="00453C9D">
              <w:rPr>
                <w:rFonts w:ascii="Times New Roman" w:hAnsi="Times New Roman" w:cs="Times New Roman"/>
              </w:rPr>
              <w:t>50.0</w:t>
            </w:r>
          </w:p>
        </w:tc>
      </w:tr>
      <w:tr w:rsidR="00453C9D" w:rsidRPr="00453C9D" w14:paraId="01AA1AF3" w14:textId="77777777" w:rsidTr="0070587A">
        <w:trPr>
          <w:jc w:val="center"/>
        </w:trPr>
        <w:tc>
          <w:tcPr>
            <w:tcW w:w="1558" w:type="dxa"/>
          </w:tcPr>
          <w:p w14:paraId="0AA70A31"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Total</w:t>
            </w:r>
          </w:p>
        </w:tc>
        <w:tc>
          <w:tcPr>
            <w:tcW w:w="1558" w:type="dxa"/>
          </w:tcPr>
          <w:p w14:paraId="453EB12C" w14:textId="08ED1060" w:rsidR="00453C9D" w:rsidRPr="00453C9D" w:rsidRDefault="001702C9" w:rsidP="00CA2700">
            <w:pPr>
              <w:jc w:val="center"/>
              <w:rPr>
                <w:rFonts w:ascii="Times New Roman" w:hAnsi="Times New Roman" w:cs="Times New Roman"/>
                <w:b/>
                <w:bCs/>
              </w:rPr>
            </w:pPr>
            <w:r>
              <w:rPr>
                <w:rFonts w:ascii="Times New Roman" w:hAnsi="Times New Roman" w:cs="Times New Roman"/>
                <w:b/>
                <w:bCs/>
              </w:rPr>
              <w:t>70</w:t>
            </w:r>
          </w:p>
        </w:tc>
        <w:tc>
          <w:tcPr>
            <w:tcW w:w="1558" w:type="dxa"/>
          </w:tcPr>
          <w:p w14:paraId="111FC7BE" w14:textId="3E855F4A" w:rsidR="00453C9D" w:rsidRPr="00453C9D" w:rsidRDefault="001702C9" w:rsidP="00CA2700">
            <w:pPr>
              <w:jc w:val="center"/>
              <w:rPr>
                <w:rFonts w:ascii="Times New Roman" w:hAnsi="Times New Roman" w:cs="Times New Roman"/>
                <w:b/>
                <w:bCs/>
              </w:rPr>
            </w:pPr>
            <w:r>
              <w:rPr>
                <w:rFonts w:ascii="Times New Roman" w:hAnsi="Times New Roman" w:cs="Times New Roman"/>
                <w:b/>
                <w:bCs/>
              </w:rPr>
              <w:t>30</w:t>
            </w:r>
          </w:p>
        </w:tc>
        <w:tc>
          <w:tcPr>
            <w:tcW w:w="1558" w:type="dxa"/>
          </w:tcPr>
          <w:p w14:paraId="0B3E86F0"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100.0</w:t>
            </w:r>
          </w:p>
        </w:tc>
        <w:tc>
          <w:tcPr>
            <w:tcW w:w="1559" w:type="dxa"/>
          </w:tcPr>
          <w:p w14:paraId="78CB6087" w14:textId="7F8860B3" w:rsidR="00453C9D" w:rsidRPr="00453C9D" w:rsidRDefault="001702C9" w:rsidP="00CA2700">
            <w:pPr>
              <w:jc w:val="center"/>
              <w:rPr>
                <w:rFonts w:ascii="Times New Roman" w:hAnsi="Times New Roman" w:cs="Times New Roman"/>
                <w:b/>
                <w:bCs/>
              </w:rPr>
            </w:pPr>
            <w:r>
              <w:rPr>
                <w:rFonts w:ascii="Times New Roman" w:hAnsi="Times New Roman" w:cs="Times New Roman"/>
                <w:b/>
                <w:bCs/>
              </w:rPr>
              <w:t>40</w:t>
            </w:r>
          </w:p>
        </w:tc>
        <w:tc>
          <w:tcPr>
            <w:tcW w:w="1559" w:type="dxa"/>
          </w:tcPr>
          <w:p w14:paraId="2D4315DA" w14:textId="77777777" w:rsidR="00453C9D" w:rsidRPr="00453C9D" w:rsidRDefault="00453C9D" w:rsidP="00CA2700">
            <w:pPr>
              <w:jc w:val="center"/>
              <w:rPr>
                <w:rFonts w:ascii="Times New Roman" w:hAnsi="Times New Roman" w:cs="Times New Roman"/>
                <w:b/>
                <w:bCs/>
              </w:rPr>
            </w:pPr>
            <w:r w:rsidRPr="00453C9D">
              <w:rPr>
                <w:rFonts w:ascii="Times New Roman" w:hAnsi="Times New Roman" w:cs="Times New Roman"/>
                <w:b/>
                <w:bCs/>
              </w:rPr>
              <w:t>100.0</w:t>
            </w:r>
          </w:p>
        </w:tc>
      </w:tr>
    </w:tbl>
    <w:p w14:paraId="75D88C14" w14:textId="77777777" w:rsidR="00453C9D" w:rsidRPr="00453C9D" w:rsidRDefault="00453C9D" w:rsidP="00CA2700">
      <w:pPr>
        <w:spacing w:after="0" w:line="240" w:lineRule="auto"/>
        <w:jc w:val="both"/>
        <w:rPr>
          <w:rFonts w:ascii="Times New Roman" w:hAnsi="Times New Roman" w:cs="Times New Roman"/>
          <w:b/>
          <w:bCs/>
          <w:sz w:val="20"/>
          <w:szCs w:val="20"/>
        </w:rPr>
      </w:pPr>
    </w:p>
    <w:p w14:paraId="2589FD7E" w14:textId="209CF415" w:rsidR="00E3688D" w:rsidRPr="00453C9D" w:rsidRDefault="00453C9D" w:rsidP="00CA2700">
      <w:pPr>
        <w:spacing w:after="0" w:line="240" w:lineRule="auto"/>
        <w:jc w:val="both"/>
        <w:rPr>
          <w:rFonts w:ascii="Times New Roman" w:hAnsi="Times New Roman" w:cs="Times New Roman"/>
          <w:sz w:val="20"/>
          <w:szCs w:val="20"/>
        </w:rPr>
      </w:pPr>
      <w:r w:rsidRPr="00453C9D">
        <w:rPr>
          <w:rFonts w:ascii="Times New Roman" w:hAnsi="Times New Roman" w:cs="Times New Roman"/>
          <w:b/>
          <w:bCs/>
          <w:sz w:val="20"/>
          <w:szCs w:val="20"/>
        </w:rPr>
        <w:t>Research Instrument.</w:t>
      </w:r>
      <w:r w:rsidRPr="00453C9D">
        <w:rPr>
          <w:rFonts w:ascii="Times New Roman" w:hAnsi="Times New Roman" w:cs="Times New Roman"/>
          <w:sz w:val="20"/>
          <w:szCs w:val="20"/>
        </w:rPr>
        <w:t xml:space="preserve"> A questionnaire with 30 questions in Molecular Polarity crafted from the Deped Caraga Sukdanan Standardized test was used. The </w:t>
      </w:r>
      <w:r w:rsidR="0070587A">
        <w:rPr>
          <w:rFonts w:ascii="Times New Roman" w:hAnsi="Times New Roman" w:cs="Times New Roman"/>
          <w:sz w:val="20"/>
          <w:szCs w:val="20"/>
        </w:rPr>
        <w:t>demographic profile of the learners</w:t>
      </w:r>
      <w:r w:rsidRPr="00453C9D">
        <w:rPr>
          <w:rFonts w:ascii="Times New Roman" w:hAnsi="Times New Roman" w:cs="Times New Roman"/>
          <w:sz w:val="20"/>
          <w:szCs w:val="20"/>
        </w:rPr>
        <w:t xml:space="preserve">, </w:t>
      </w:r>
      <w:r w:rsidR="0070587A">
        <w:rPr>
          <w:rFonts w:ascii="Times New Roman" w:hAnsi="Times New Roman" w:cs="Times New Roman"/>
          <w:sz w:val="20"/>
          <w:szCs w:val="20"/>
        </w:rPr>
        <w:t xml:space="preserve">learning experiences with Khan videos and </w:t>
      </w:r>
      <w:r w:rsidR="000B6A95">
        <w:rPr>
          <w:rFonts w:ascii="Times New Roman" w:hAnsi="Times New Roman" w:cs="Times New Roman"/>
          <w:sz w:val="20"/>
          <w:szCs w:val="20"/>
        </w:rPr>
        <w:t>c</w:t>
      </w:r>
      <w:r w:rsidR="000B6A95" w:rsidRPr="000B6A95">
        <w:rPr>
          <w:rFonts w:ascii="Times New Roman" w:hAnsi="Times New Roman" w:cs="Times New Roman"/>
          <w:sz w:val="20"/>
          <w:szCs w:val="20"/>
        </w:rPr>
        <w:t xml:space="preserve">onceptual </w:t>
      </w:r>
      <w:r w:rsidR="000B6A95">
        <w:rPr>
          <w:rFonts w:ascii="Times New Roman" w:hAnsi="Times New Roman" w:cs="Times New Roman"/>
          <w:sz w:val="20"/>
          <w:szCs w:val="20"/>
        </w:rPr>
        <w:t>u</w:t>
      </w:r>
      <w:r w:rsidR="000B6A95" w:rsidRPr="000B6A95">
        <w:rPr>
          <w:rFonts w:ascii="Times New Roman" w:hAnsi="Times New Roman" w:cs="Times New Roman"/>
          <w:sz w:val="20"/>
          <w:szCs w:val="20"/>
        </w:rPr>
        <w:t xml:space="preserve">nderstanding of </w:t>
      </w:r>
      <w:r w:rsidR="000B6A95">
        <w:rPr>
          <w:rFonts w:ascii="Times New Roman" w:hAnsi="Times New Roman" w:cs="Times New Roman"/>
          <w:sz w:val="20"/>
          <w:szCs w:val="20"/>
        </w:rPr>
        <w:t>m</w:t>
      </w:r>
      <w:r w:rsidR="000B6A95" w:rsidRPr="000B6A95">
        <w:rPr>
          <w:rFonts w:ascii="Times New Roman" w:hAnsi="Times New Roman" w:cs="Times New Roman"/>
          <w:sz w:val="20"/>
          <w:szCs w:val="20"/>
        </w:rPr>
        <w:t xml:space="preserve">olecular </w:t>
      </w:r>
      <w:r w:rsidR="000B6A95">
        <w:rPr>
          <w:rFonts w:ascii="Times New Roman" w:hAnsi="Times New Roman" w:cs="Times New Roman"/>
          <w:sz w:val="20"/>
          <w:szCs w:val="20"/>
        </w:rPr>
        <w:t>p</w:t>
      </w:r>
      <w:r w:rsidR="000B6A95" w:rsidRPr="000B6A95">
        <w:rPr>
          <w:rFonts w:ascii="Times New Roman" w:hAnsi="Times New Roman" w:cs="Times New Roman"/>
          <w:sz w:val="20"/>
          <w:szCs w:val="20"/>
        </w:rPr>
        <w:t>olarity</w:t>
      </w:r>
      <w:r w:rsidRPr="00453C9D">
        <w:rPr>
          <w:rFonts w:ascii="Times New Roman" w:hAnsi="Times New Roman" w:cs="Times New Roman"/>
          <w:sz w:val="20"/>
          <w:szCs w:val="20"/>
        </w:rPr>
        <w:t xml:space="preserve"> were gauged by </w:t>
      </w:r>
      <w:r w:rsidR="000B6A95">
        <w:rPr>
          <w:rFonts w:ascii="Times New Roman" w:hAnsi="Times New Roman" w:cs="Times New Roman"/>
          <w:sz w:val="20"/>
          <w:szCs w:val="20"/>
        </w:rPr>
        <w:t xml:space="preserve">the </w:t>
      </w:r>
      <w:r w:rsidRPr="00453C9D">
        <w:rPr>
          <w:rFonts w:ascii="Times New Roman" w:hAnsi="Times New Roman" w:cs="Times New Roman"/>
          <w:sz w:val="20"/>
          <w:szCs w:val="20"/>
        </w:rPr>
        <w:t>survey. To ensure the validity and reliability of test instrument was examined by the statistical tool for validity while reliability was a subject specialists and master teachers before it was employed to the students.</w:t>
      </w:r>
    </w:p>
    <w:p w14:paraId="1E65CD54" w14:textId="77777777" w:rsidR="00BE369E" w:rsidRDefault="00453C9D" w:rsidP="00CA2700">
      <w:pPr>
        <w:spacing w:after="0" w:line="240" w:lineRule="auto"/>
        <w:jc w:val="both"/>
        <w:rPr>
          <w:rFonts w:ascii="Times New Roman" w:hAnsi="Times New Roman" w:cs="Times New Roman"/>
          <w:color w:val="FF0000"/>
          <w:sz w:val="20"/>
          <w:szCs w:val="20"/>
        </w:rPr>
      </w:pPr>
      <w:r w:rsidRPr="00453C9D">
        <w:rPr>
          <w:rFonts w:ascii="Times New Roman" w:hAnsi="Times New Roman" w:cs="Times New Roman"/>
          <w:b/>
          <w:bCs/>
          <w:sz w:val="20"/>
          <w:szCs w:val="20"/>
        </w:rPr>
        <w:t xml:space="preserve">Data Gathering Procedure. </w:t>
      </w:r>
      <w:r w:rsidRPr="001702C9">
        <w:rPr>
          <w:rFonts w:ascii="Times New Roman" w:hAnsi="Times New Roman" w:cs="Times New Roman"/>
          <w:color w:val="000000" w:themeColor="text1"/>
          <w:sz w:val="20"/>
          <w:szCs w:val="20"/>
        </w:rPr>
        <w:t xml:space="preserve">This quasi-experimental study involves two groups of </w:t>
      </w:r>
      <w:r w:rsidR="000B6A95" w:rsidRPr="001702C9">
        <w:rPr>
          <w:rFonts w:ascii="Times New Roman" w:hAnsi="Times New Roman" w:cs="Times New Roman"/>
          <w:color w:val="000000" w:themeColor="text1"/>
          <w:sz w:val="20"/>
          <w:szCs w:val="20"/>
        </w:rPr>
        <w:t>Senior High School students enrolled in General Chemistry 1 and Physical Science</w:t>
      </w:r>
      <w:r w:rsidRPr="001702C9">
        <w:rPr>
          <w:rFonts w:ascii="Times New Roman" w:hAnsi="Times New Roman" w:cs="Times New Roman"/>
          <w:color w:val="000000" w:themeColor="text1"/>
          <w:sz w:val="20"/>
          <w:szCs w:val="20"/>
        </w:rPr>
        <w:t xml:space="preserve"> to evaluate the effects of different teaching methods on molecular polarity. One group will receive traditional lectures with PowerPoint presentations and illustrations, while the other group will utilize Khan Academy videos covering the same topic. A pre-test was administered to both groups to assess baseline knowledge before the instructional phase</w:t>
      </w:r>
      <w:r w:rsidR="000B6A95" w:rsidRPr="001702C9">
        <w:rPr>
          <w:rFonts w:ascii="Times New Roman" w:hAnsi="Times New Roman" w:cs="Times New Roman"/>
          <w:color w:val="000000" w:themeColor="text1"/>
          <w:sz w:val="20"/>
          <w:szCs w:val="20"/>
        </w:rPr>
        <w:t xml:space="preserve"> via paper and pen test</w:t>
      </w:r>
      <w:r w:rsidRPr="001702C9">
        <w:rPr>
          <w:rFonts w:ascii="Times New Roman" w:hAnsi="Times New Roman" w:cs="Times New Roman"/>
          <w:color w:val="000000" w:themeColor="text1"/>
          <w:sz w:val="20"/>
          <w:szCs w:val="20"/>
        </w:rPr>
        <w:t xml:space="preserve">, which will last for </w:t>
      </w:r>
      <w:r w:rsidR="001702C9">
        <w:rPr>
          <w:rFonts w:ascii="Times New Roman" w:hAnsi="Times New Roman" w:cs="Times New Roman"/>
          <w:color w:val="000000" w:themeColor="text1"/>
          <w:sz w:val="20"/>
          <w:szCs w:val="20"/>
        </w:rPr>
        <w:t>a week</w:t>
      </w:r>
      <w:r w:rsidRPr="001702C9">
        <w:rPr>
          <w:rFonts w:ascii="Times New Roman" w:hAnsi="Times New Roman" w:cs="Times New Roman"/>
          <w:color w:val="000000" w:themeColor="text1"/>
          <w:sz w:val="20"/>
          <w:szCs w:val="20"/>
        </w:rPr>
        <w:t xml:space="preserve">. After the intervention, a post-test was conducted to measure immediate comprehension, followed by a retention test two weeks later to evaluate long-term knowledge retention. The pre-test and post-test it composed of 30 multiple-choice questions, and their reliability and validity were ensured through pilot testing or examine by statistical tool and being evaluated by subject specialists and master teachers. </w:t>
      </w:r>
    </w:p>
    <w:p w14:paraId="78E51081" w14:textId="524E3C22" w:rsidR="006A6434" w:rsidRPr="00E3688D" w:rsidRDefault="00453C9D" w:rsidP="00CA2700">
      <w:pPr>
        <w:spacing w:after="0" w:line="240" w:lineRule="auto"/>
        <w:jc w:val="both"/>
        <w:rPr>
          <w:rFonts w:ascii="Times New Roman" w:hAnsi="Times New Roman" w:cs="Times New Roman"/>
          <w:color w:val="FF0000"/>
          <w:sz w:val="20"/>
          <w:szCs w:val="20"/>
        </w:rPr>
      </w:pPr>
      <w:r w:rsidRPr="00453C9D">
        <w:rPr>
          <w:rFonts w:ascii="Times New Roman" w:hAnsi="Times New Roman" w:cs="Times New Roman"/>
          <w:b/>
          <w:bCs/>
          <w:sz w:val="20"/>
          <w:szCs w:val="20"/>
        </w:rPr>
        <w:t xml:space="preserve">Data Analysis. </w:t>
      </w:r>
      <w:r w:rsidRPr="00453C9D">
        <w:rPr>
          <w:rFonts w:ascii="Times New Roman" w:hAnsi="Times New Roman" w:cs="Times New Roman"/>
          <w:sz w:val="20"/>
          <w:szCs w:val="20"/>
        </w:rPr>
        <w:t>Data was analyzed using</w:t>
      </w:r>
      <w:r w:rsidR="008B55E8">
        <w:rPr>
          <w:rFonts w:ascii="Times New Roman" w:hAnsi="Times New Roman" w:cs="Times New Roman"/>
          <w:sz w:val="20"/>
          <w:szCs w:val="20"/>
        </w:rPr>
        <w:t xml:space="preserve"> descriptive statistics </w:t>
      </w:r>
      <w:r w:rsidR="0078747A">
        <w:rPr>
          <w:rFonts w:ascii="Times New Roman" w:hAnsi="Times New Roman" w:cs="Times New Roman"/>
          <w:sz w:val="20"/>
          <w:szCs w:val="20"/>
        </w:rPr>
        <w:t>for the totality of scores within</w:t>
      </w:r>
      <w:r w:rsidR="008B55E8">
        <w:rPr>
          <w:rFonts w:ascii="Times New Roman" w:hAnsi="Times New Roman" w:cs="Times New Roman"/>
          <w:sz w:val="20"/>
          <w:szCs w:val="20"/>
        </w:rPr>
        <w:t xml:space="preserve"> the groups.</w:t>
      </w:r>
      <w:r w:rsidRPr="00453C9D">
        <w:rPr>
          <w:rFonts w:ascii="Times New Roman" w:hAnsi="Times New Roman" w:cs="Times New Roman"/>
          <w:sz w:val="20"/>
          <w:szCs w:val="20"/>
        </w:rPr>
        <w:t xml:space="preserve"> paired t-tests to compare scores within each group and independent t-tests to examine differences between the groups using</w:t>
      </w:r>
      <w:r w:rsidRPr="00453C9D">
        <w:rPr>
          <w:rFonts w:ascii="Times New Roman" w:hAnsi="Times New Roman" w:cs="Times New Roman"/>
          <w:i/>
          <w:iCs/>
          <w:sz w:val="20"/>
          <w:szCs w:val="20"/>
        </w:rPr>
        <w:t xml:space="preserve"> </w:t>
      </w:r>
      <w:r w:rsidRPr="00453C9D">
        <w:rPr>
          <w:rFonts w:ascii="Times New Roman" w:hAnsi="Times New Roman" w:cs="Times New Roman"/>
          <w:b/>
          <w:bCs/>
          <w:i/>
          <w:iCs/>
          <w:sz w:val="20"/>
          <w:szCs w:val="20"/>
        </w:rPr>
        <w:t>Jamovi</w:t>
      </w:r>
      <w:r w:rsidRPr="00453C9D">
        <w:rPr>
          <w:rFonts w:ascii="Times New Roman" w:hAnsi="Times New Roman" w:cs="Times New Roman"/>
          <w:b/>
          <w:bCs/>
          <w:sz w:val="20"/>
          <w:szCs w:val="20"/>
        </w:rPr>
        <w:t xml:space="preserve"> </w:t>
      </w:r>
      <w:r w:rsidRPr="00453C9D">
        <w:rPr>
          <w:rFonts w:ascii="Times New Roman" w:hAnsi="Times New Roman" w:cs="Times New Roman"/>
          <w:b/>
          <w:bCs/>
          <w:i/>
          <w:iCs/>
          <w:sz w:val="20"/>
          <w:szCs w:val="20"/>
        </w:rPr>
        <w:t xml:space="preserve">statistical </w:t>
      </w:r>
      <w:r w:rsidRPr="00453C9D">
        <w:rPr>
          <w:rFonts w:ascii="Times New Roman" w:hAnsi="Times New Roman" w:cs="Times New Roman"/>
          <w:b/>
          <w:bCs/>
          <w:sz w:val="20"/>
          <w:szCs w:val="20"/>
        </w:rPr>
        <w:t>software</w:t>
      </w:r>
      <w:r w:rsidRPr="00453C9D">
        <w:rPr>
          <w:rFonts w:ascii="Times New Roman" w:hAnsi="Times New Roman" w:cs="Times New Roman"/>
          <w:sz w:val="20"/>
          <w:szCs w:val="20"/>
        </w:rPr>
        <w:t xml:space="preserve">. This approach aims to determine whether video-based learning provides comparable or superior outcomes in comprehension and retention compared to traditional lecture methods. </w:t>
      </w:r>
    </w:p>
    <w:p w14:paraId="55E1769C" w14:textId="77777777" w:rsidR="00CA2700" w:rsidRDefault="00CA2700" w:rsidP="00CA2700">
      <w:pPr>
        <w:spacing w:after="0" w:line="240" w:lineRule="auto"/>
        <w:rPr>
          <w:rFonts w:ascii="Times New Roman" w:hAnsi="Times New Roman" w:cs="Times New Roman"/>
          <w:b/>
          <w:bCs/>
          <w:color w:val="000000" w:themeColor="text1"/>
          <w:sz w:val="20"/>
          <w:szCs w:val="20"/>
        </w:rPr>
      </w:pPr>
    </w:p>
    <w:p w14:paraId="2F3C66E8" w14:textId="53AAADFC" w:rsidR="00DA52F4" w:rsidRPr="00E3688D" w:rsidRDefault="00DA52F4" w:rsidP="00CA2700">
      <w:pPr>
        <w:spacing w:after="0" w:line="240" w:lineRule="auto"/>
        <w:rPr>
          <w:rFonts w:ascii="Times New Roman" w:hAnsi="Times New Roman" w:cs="Times New Roman"/>
          <w:b/>
          <w:bCs/>
          <w:color w:val="000000" w:themeColor="text1"/>
          <w:sz w:val="20"/>
          <w:szCs w:val="20"/>
        </w:rPr>
      </w:pPr>
      <w:r w:rsidRPr="00E3688D">
        <w:rPr>
          <w:rFonts w:ascii="Times New Roman" w:hAnsi="Times New Roman" w:cs="Times New Roman"/>
          <w:b/>
          <w:bCs/>
          <w:color w:val="000000" w:themeColor="text1"/>
          <w:sz w:val="20"/>
          <w:szCs w:val="20"/>
        </w:rPr>
        <w:t>RESULTS AND DISCUSSION</w:t>
      </w:r>
    </w:p>
    <w:p w14:paraId="4AF25A8C" w14:textId="624C0580" w:rsidR="001214C2" w:rsidRDefault="00E3688D"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F754F" w:rsidRPr="00453C9D">
        <w:rPr>
          <w:rFonts w:ascii="Times New Roman" w:hAnsi="Times New Roman" w:cs="Times New Roman"/>
          <w:color w:val="000000" w:themeColor="text1"/>
          <w:sz w:val="20"/>
          <w:szCs w:val="20"/>
        </w:rPr>
        <w:t xml:space="preserve">In this </w:t>
      </w:r>
      <w:r>
        <w:rPr>
          <w:rFonts w:ascii="Times New Roman" w:hAnsi="Times New Roman" w:cs="Times New Roman"/>
          <w:color w:val="000000" w:themeColor="text1"/>
          <w:sz w:val="20"/>
          <w:szCs w:val="20"/>
        </w:rPr>
        <w:t>s</w:t>
      </w:r>
      <w:r w:rsidR="00FF754F" w:rsidRPr="00453C9D">
        <w:rPr>
          <w:rFonts w:ascii="Times New Roman" w:hAnsi="Times New Roman" w:cs="Times New Roman"/>
          <w:color w:val="000000" w:themeColor="text1"/>
          <w:sz w:val="20"/>
          <w:szCs w:val="20"/>
        </w:rPr>
        <w:t xml:space="preserve">ection </w:t>
      </w:r>
      <w:r>
        <w:rPr>
          <w:rFonts w:ascii="Times New Roman" w:hAnsi="Times New Roman" w:cs="Times New Roman"/>
          <w:color w:val="000000" w:themeColor="text1"/>
          <w:sz w:val="20"/>
          <w:szCs w:val="20"/>
        </w:rPr>
        <w:t>p</w:t>
      </w:r>
      <w:r w:rsidRPr="00E3688D">
        <w:rPr>
          <w:rFonts w:ascii="Times New Roman" w:hAnsi="Times New Roman" w:cs="Times New Roman"/>
          <w:color w:val="000000" w:themeColor="text1"/>
          <w:sz w:val="20"/>
          <w:szCs w:val="20"/>
        </w:rPr>
        <w:t>resented the interpretation and the analysis of the respective results. Tables were used to illustrate the findings of the study and the discussion and interpretation of tabular and graphical data were made for easy understanding.</w:t>
      </w:r>
    </w:p>
    <w:p w14:paraId="45F1D547"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4DCA50A1"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15B54861"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1B3B7215"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1EDEDD76"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25D06739"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005A6E5A"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72353FEF"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32C034BA"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100C526C" w14:textId="77777777" w:rsidR="00CA2700" w:rsidRDefault="00CA2700" w:rsidP="00CA2700">
      <w:pPr>
        <w:spacing w:after="0" w:line="240" w:lineRule="auto"/>
        <w:jc w:val="both"/>
        <w:rPr>
          <w:rFonts w:ascii="Times New Roman" w:hAnsi="Times New Roman" w:cs="Times New Roman"/>
          <w:color w:val="000000" w:themeColor="text1"/>
          <w:sz w:val="20"/>
          <w:szCs w:val="20"/>
        </w:rPr>
      </w:pPr>
    </w:p>
    <w:p w14:paraId="2056FD8C" w14:textId="77777777" w:rsidR="00CA2700" w:rsidRPr="001214C2" w:rsidRDefault="00CA2700" w:rsidP="00CA2700">
      <w:pPr>
        <w:spacing w:after="0" w:line="240" w:lineRule="auto"/>
        <w:jc w:val="both"/>
        <w:rPr>
          <w:rFonts w:ascii="Times New Roman" w:hAnsi="Times New Roman" w:cs="Times New Roman"/>
          <w:color w:val="000000" w:themeColor="text1"/>
          <w:sz w:val="20"/>
          <w:szCs w:val="20"/>
        </w:rPr>
      </w:pPr>
    </w:p>
    <w:p w14:paraId="2EBB2A64" w14:textId="6C53B223" w:rsidR="008B55E8" w:rsidRPr="001214C2" w:rsidRDefault="00DA52F4" w:rsidP="00CA2700">
      <w:pPr>
        <w:spacing w:after="0" w:line="240" w:lineRule="auto"/>
        <w:jc w:val="center"/>
        <w:rPr>
          <w:rFonts w:ascii="Times New Roman" w:hAnsi="Times New Roman" w:cs="Times New Roman"/>
          <w:b/>
          <w:bCs/>
          <w:color w:val="000000" w:themeColor="text1"/>
          <w:sz w:val="20"/>
          <w:szCs w:val="20"/>
        </w:rPr>
      </w:pPr>
      <w:r w:rsidRPr="001214C2">
        <w:rPr>
          <w:rFonts w:ascii="Times New Roman" w:hAnsi="Times New Roman" w:cs="Times New Roman"/>
          <w:b/>
          <w:bCs/>
          <w:color w:val="000000" w:themeColor="text1"/>
          <w:sz w:val="20"/>
          <w:szCs w:val="20"/>
        </w:rPr>
        <w:lastRenderedPageBreak/>
        <w:t xml:space="preserve">Table </w:t>
      </w:r>
      <w:r w:rsidR="00794556">
        <w:rPr>
          <w:rFonts w:ascii="Times New Roman" w:hAnsi="Times New Roman" w:cs="Times New Roman"/>
          <w:b/>
          <w:bCs/>
          <w:color w:val="000000" w:themeColor="text1"/>
          <w:sz w:val="20"/>
          <w:szCs w:val="20"/>
        </w:rPr>
        <w:t>2</w:t>
      </w:r>
      <w:r w:rsidRPr="001214C2">
        <w:rPr>
          <w:rFonts w:ascii="Times New Roman" w:hAnsi="Times New Roman" w:cs="Times New Roman"/>
          <w:b/>
          <w:bCs/>
          <w:color w:val="000000" w:themeColor="text1"/>
          <w:sz w:val="20"/>
          <w:szCs w:val="20"/>
        </w:rPr>
        <w:t xml:space="preserve">. </w:t>
      </w:r>
      <w:r w:rsidR="008B55E8" w:rsidRPr="001214C2">
        <w:rPr>
          <w:rFonts w:ascii="Times New Roman" w:hAnsi="Times New Roman" w:cs="Times New Roman"/>
          <w:b/>
          <w:bCs/>
          <w:color w:val="000000" w:themeColor="text1"/>
          <w:sz w:val="20"/>
          <w:szCs w:val="20"/>
        </w:rPr>
        <w:t>Pretest and Post-test Scores within the Groups</w:t>
      </w:r>
    </w:p>
    <w:p w14:paraId="66A172D4" w14:textId="77777777" w:rsidR="001214C2" w:rsidRPr="00453C9D" w:rsidRDefault="001214C2" w:rsidP="00CA2700">
      <w:pPr>
        <w:spacing w:after="0" w:line="240" w:lineRule="auto"/>
        <w:jc w:val="center"/>
        <w:rPr>
          <w:rFonts w:ascii="Times New Roman" w:hAnsi="Times New Roman" w:cs="Times New Roman"/>
          <w:color w:val="000000" w:themeColor="text1"/>
          <w:sz w:val="20"/>
          <w:szCs w:val="20"/>
        </w:rPr>
      </w:pPr>
    </w:p>
    <w:tbl>
      <w:tblPr>
        <w:tblStyle w:val="TableGrid"/>
        <w:tblW w:w="5000" w:type="pct"/>
        <w:tblLook w:val="04A0" w:firstRow="1" w:lastRow="0" w:firstColumn="1" w:lastColumn="0" w:noHBand="0" w:noVBand="1"/>
      </w:tblPr>
      <w:tblGrid>
        <w:gridCol w:w="1116"/>
        <w:gridCol w:w="557"/>
        <w:gridCol w:w="633"/>
        <w:gridCol w:w="1116"/>
        <w:gridCol w:w="600"/>
        <w:gridCol w:w="654"/>
      </w:tblGrid>
      <w:tr w:rsidR="00FD69A3" w:rsidRPr="00FD69A3" w14:paraId="1D0269AB" w14:textId="77777777" w:rsidTr="00FD69A3">
        <w:trPr>
          <w:trHeight w:val="290"/>
        </w:trPr>
        <w:tc>
          <w:tcPr>
            <w:tcW w:w="753" w:type="pct"/>
            <w:vMerge w:val="restart"/>
            <w:noWrap/>
            <w:hideMark/>
          </w:tcPr>
          <w:p w14:paraId="7920B9CA" w14:textId="77777777"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color w:val="000000"/>
                <w:sz w:val="16"/>
                <w:szCs w:val="16"/>
                <w:lang w:val="en-PH" w:eastAsia="en-PH"/>
              </w:rPr>
              <w:t>No. of Respondents</w:t>
            </w:r>
          </w:p>
        </w:tc>
        <w:tc>
          <w:tcPr>
            <w:tcW w:w="1714" w:type="pct"/>
            <w:gridSpan w:val="2"/>
            <w:noWrap/>
            <w:hideMark/>
          </w:tcPr>
          <w:p w14:paraId="77847470" w14:textId="77777777"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color w:val="000000"/>
                <w:sz w:val="16"/>
                <w:szCs w:val="16"/>
                <w:lang w:val="en-PH" w:eastAsia="en-PH"/>
              </w:rPr>
              <w:t>Control Groups</w:t>
            </w:r>
          </w:p>
        </w:tc>
        <w:tc>
          <w:tcPr>
            <w:tcW w:w="1193" w:type="pct"/>
            <w:vMerge w:val="restart"/>
            <w:noWrap/>
            <w:hideMark/>
          </w:tcPr>
          <w:p w14:paraId="2F73E8D8" w14:textId="77777777"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color w:val="000000"/>
                <w:sz w:val="16"/>
                <w:szCs w:val="16"/>
                <w:lang w:val="en-PH" w:eastAsia="en-PH"/>
              </w:rPr>
              <w:t>No. of Respondents</w:t>
            </w:r>
          </w:p>
        </w:tc>
        <w:tc>
          <w:tcPr>
            <w:tcW w:w="1340" w:type="pct"/>
            <w:gridSpan w:val="2"/>
            <w:noWrap/>
            <w:hideMark/>
          </w:tcPr>
          <w:p w14:paraId="0CB87F90" w14:textId="77777777"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color w:val="000000"/>
                <w:sz w:val="16"/>
                <w:szCs w:val="16"/>
                <w:lang w:val="en-PH" w:eastAsia="en-PH"/>
              </w:rPr>
              <w:t>Experimental Groups</w:t>
            </w:r>
          </w:p>
        </w:tc>
      </w:tr>
      <w:tr w:rsidR="00FD69A3" w:rsidRPr="00FD69A3" w14:paraId="0D6E3B42" w14:textId="77777777" w:rsidTr="00FD69A3">
        <w:trPr>
          <w:trHeight w:val="290"/>
        </w:trPr>
        <w:tc>
          <w:tcPr>
            <w:tcW w:w="753" w:type="pct"/>
            <w:vMerge/>
            <w:hideMark/>
          </w:tcPr>
          <w:p w14:paraId="009C7B00" w14:textId="77777777" w:rsidR="008B55E8" w:rsidRPr="00FD69A3" w:rsidRDefault="008B55E8" w:rsidP="00CA2700">
            <w:pPr>
              <w:rPr>
                <w:rFonts w:ascii="Times New Roman" w:eastAsia="Times New Roman" w:hAnsi="Times New Roman" w:cs="Times New Roman"/>
                <w:b/>
                <w:bCs/>
                <w:color w:val="000000"/>
                <w:sz w:val="16"/>
                <w:szCs w:val="16"/>
                <w:lang w:val="en-PH" w:eastAsia="en-PH"/>
              </w:rPr>
            </w:pPr>
          </w:p>
        </w:tc>
        <w:tc>
          <w:tcPr>
            <w:tcW w:w="1037" w:type="pct"/>
            <w:noWrap/>
            <w:hideMark/>
          </w:tcPr>
          <w:p w14:paraId="0E27531E" w14:textId="756C859D"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b/>
                <w:bCs/>
                <w:color w:val="000000"/>
                <w:sz w:val="16"/>
                <w:szCs w:val="16"/>
                <w:lang w:val="en-PH" w:eastAsia="en-PH"/>
              </w:rPr>
              <w:t xml:space="preserve">Pretest </w:t>
            </w:r>
          </w:p>
        </w:tc>
        <w:tc>
          <w:tcPr>
            <w:tcW w:w="677" w:type="pct"/>
            <w:noWrap/>
            <w:hideMark/>
          </w:tcPr>
          <w:p w14:paraId="15AC6E82" w14:textId="77777777"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b/>
                <w:bCs/>
                <w:color w:val="000000"/>
                <w:sz w:val="16"/>
                <w:szCs w:val="16"/>
                <w:lang w:val="en-PH" w:eastAsia="en-PH"/>
              </w:rPr>
              <w:t xml:space="preserve">Post-test </w:t>
            </w:r>
          </w:p>
        </w:tc>
        <w:tc>
          <w:tcPr>
            <w:tcW w:w="1193" w:type="pct"/>
            <w:vMerge/>
            <w:hideMark/>
          </w:tcPr>
          <w:p w14:paraId="13183095" w14:textId="77777777" w:rsidR="008B55E8" w:rsidRPr="00FD69A3" w:rsidRDefault="008B55E8" w:rsidP="00CA2700">
            <w:pPr>
              <w:rPr>
                <w:rFonts w:ascii="Times New Roman" w:eastAsia="Times New Roman" w:hAnsi="Times New Roman" w:cs="Times New Roman"/>
                <w:b/>
                <w:bCs/>
                <w:color w:val="000000"/>
                <w:sz w:val="16"/>
                <w:szCs w:val="16"/>
                <w:lang w:val="en-PH" w:eastAsia="en-PH"/>
              </w:rPr>
            </w:pPr>
          </w:p>
        </w:tc>
        <w:tc>
          <w:tcPr>
            <w:tcW w:w="638" w:type="pct"/>
            <w:noWrap/>
            <w:hideMark/>
          </w:tcPr>
          <w:p w14:paraId="3BAF4CEA" w14:textId="77777777" w:rsid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b/>
                <w:bCs/>
                <w:color w:val="000000"/>
                <w:sz w:val="16"/>
                <w:szCs w:val="16"/>
                <w:lang w:val="en-PH" w:eastAsia="en-PH"/>
              </w:rPr>
              <w:t>Pre</w:t>
            </w:r>
          </w:p>
          <w:p w14:paraId="220C7A91" w14:textId="7F46015D"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b/>
                <w:bCs/>
                <w:color w:val="000000"/>
                <w:sz w:val="16"/>
                <w:szCs w:val="16"/>
                <w:lang w:val="en-PH" w:eastAsia="en-PH"/>
              </w:rPr>
              <w:t xml:space="preserve">test </w:t>
            </w:r>
          </w:p>
        </w:tc>
        <w:tc>
          <w:tcPr>
            <w:tcW w:w="701" w:type="pct"/>
            <w:noWrap/>
            <w:hideMark/>
          </w:tcPr>
          <w:p w14:paraId="53C6D1DF" w14:textId="77777777" w:rsidR="008B55E8" w:rsidRPr="00FD69A3" w:rsidRDefault="008B55E8" w:rsidP="00CA2700">
            <w:pPr>
              <w:jc w:val="center"/>
              <w:rPr>
                <w:rFonts w:ascii="Times New Roman" w:eastAsia="Times New Roman" w:hAnsi="Times New Roman" w:cs="Times New Roman"/>
                <w:b/>
                <w:bCs/>
                <w:color w:val="000000"/>
                <w:sz w:val="16"/>
                <w:szCs w:val="16"/>
                <w:lang w:val="en-PH" w:eastAsia="en-PH"/>
              </w:rPr>
            </w:pPr>
            <w:r w:rsidRPr="00FD69A3">
              <w:rPr>
                <w:rFonts w:ascii="Times New Roman" w:eastAsia="Times New Roman" w:hAnsi="Times New Roman" w:cs="Times New Roman"/>
                <w:b/>
                <w:bCs/>
                <w:color w:val="000000"/>
                <w:sz w:val="16"/>
                <w:szCs w:val="16"/>
                <w:lang w:val="en-PH" w:eastAsia="en-PH"/>
              </w:rPr>
              <w:t xml:space="preserve">Post-test </w:t>
            </w:r>
          </w:p>
        </w:tc>
      </w:tr>
      <w:tr w:rsidR="00FD69A3" w:rsidRPr="003B354D" w14:paraId="1616304B" w14:textId="77777777" w:rsidTr="00FD69A3">
        <w:trPr>
          <w:trHeight w:val="290"/>
        </w:trPr>
        <w:tc>
          <w:tcPr>
            <w:tcW w:w="753" w:type="pct"/>
            <w:noWrap/>
            <w:hideMark/>
          </w:tcPr>
          <w:p w14:paraId="58E409AC"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w:t>
            </w:r>
          </w:p>
        </w:tc>
        <w:tc>
          <w:tcPr>
            <w:tcW w:w="1037" w:type="pct"/>
            <w:noWrap/>
            <w:hideMark/>
          </w:tcPr>
          <w:p w14:paraId="3F53FC40" w14:textId="0E7FFAF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677" w:type="pct"/>
            <w:noWrap/>
            <w:hideMark/>
          </w:tcPr>
          <w:p w14:paraId="14010B41" w14:textId="2260CCB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6</w:t>
            </w:r>
          </w:p>
        </w:tc>
        <w:tc>
          <w:tcPr>
            <w:tcW w:w="1193" w:type="pct"/>
            <w:noWrap/>
            <w:hideMark/>
          </w:tcPr>
          <w:p w14:paraId="07197497" w14:textId="40E8A53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w:t>
            </w:r>
          </w:p>
        </w:tc>
        <w:tc>
          <w:tcPr>
            <w:tcW w:w="638" w:type="pct"/>
            <w:noWrap/>
            <w:hideMark/>
          </w:tcPr>
          <w:p w14:paraId="769A6C44" w14:textId="57A9C0D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701" w:type="pct"/>
            <w:noWrap/>
            <w:hideMark/>
          </w:tcPr>
          <w:p w14:paraId="1D385B60" w14:textId="3F165CA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23</w:t>
            </w:r>
          </w:p>
        </w:tc>
      </w:tr>
      <w:tr w:rsidR="00FD69A3" w:rsidRPr="003B354D" w14:paraId="48664DB6" w14:textId="77777777" w:rsidTr="00FD69A3">
        <w:trPr>
          <w:trHeight w:val="290"/>
        </w:trPr>
        <w:tc>
          <w:tcPr>
            <w:tcW w:w="753" w:type="pct"/>
            <w:noWrap/>
            <w:hideMark/>
          </w:tcPr>
          <w:p w14:paraId="6C476C7C"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w:t>
            </w:r>
          </w:p>
        </w:tc>
        <w:tc>
          <w:tcPr>
            <w:tcW w:w="1037" w:type="pct"/>
            <w:noWrap/>
            <w:hideMark/>
          </w:tcPr>
          <w:p w14:paraId="0B19B694" w14:textId="14D5731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677" w:type="pct"/>
            <w:noWrap/>
            <w:hideMark/>
          </w:tcPr>
          <w:p w14:paraId="747E0409" w14:textId="3D8C5AC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1193" w:type="pct"/>
            <w:noWrap/>
            <w:hideMark/>
          </w:tcPr>
          <w:p w14:paraId="216DB6EC" w14:textId="7B15A77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w:t>
            </w:r>
          </w:p>
        </w:tc>
        <w:tc>
          <w:tcPr>
            <w:tcW w:w="638" w:type="pct"/>
            <w:noWrap/>
            <w:hideMark/>
          </w:tcPr>
          <w:p w14:paraId="090F33B6" w14:textId="2D42216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701" w:type="pct"/>
            <w:noWrap/>
            <w:hideMark/>
          </w:tcPr>
          <w:p w14:paraId="273F7488" w14:textId="2727C25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r>
      <w:tr w:rsidR="00FD69A3" w:rsidRPr="003B354D" w14:paraId="7BE65E90" w14:textId="77777777" w:rsidTr="00FD69A3">
        <w:trPr>
          <w:trHeight w:val="290"/>
        </w:trPr>
        <w:tc>
          <w:tcPr>
            <w:tcW w:w="753" w:type="pct"/>
            <w:noWrap/>
            <w:hideMark/>
          </w:tcPr>
          <w:p w14:paraId="17C023D3"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w:t>
            </w:r>
          </w:p>
        </w:tc>
        <w:tc>
          <w:tcPr>
            <w:tcW w:w="1037" w:type="pct"/>
            <w:noWrap/>
            <w:hideMark/>
          </w:tcPr>
          <w:p w14:paraId="412B0DEC" w14:textId="0C25438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6</w:t>
            </w:r>
          </w:p>
        </w:tc>
        <w:tc>
          <w:tcPr>
            <w:tcW w:w="677" w:type="pct"/>
            <w:noWrap/>
            <w:hideMark/>
          </w:tcPr>
          <w:p w14:paraId="2BC20063" w14:textId="552326B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1193" w:type="pct"/>
            <w:noWrap/>
            <w:hideMark/>
          </w:tcPr>
          <w:p w14:paraId="4C958DC9" w14:textId="660E777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w:t>
            </w:r>
          </w:p>
        </w:tc>
        <w:tc>
          <w:tcPr>
            <w:tcW w:w="638" w:type="pct"/>
            <w:noWrap/>
            <w:hideMark/>
          </w:tcPr>
          <w:p w14:paraId="206D3E39" w14:textId="202A614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701" w:type="pct"/>
            <w:noWrap/>
            <w:hideMark/>
          </w:tcPr>
          <w:p w14:paraId="19F8E142" w14:textId="663373D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28</w:t>
            </w:r>
          </w:p>
        </w:tc>
      </w:tr>
      <w:tr w:rsidR="00FD69A3" w:rsidRPr="003B354D" w14:paraId="31D5C457" w14:textId="77777777" w:rsidTr="00FD69A3">
        <w:trPr>
          <w:trHeight w:val="290"/>
        </w:trPr>
        <w:tc>
          <w:tcPr>
            <w:tcW w:w="753" w:type="pct"/>
            <w:noWrap/>
            <w:hideMark/>
          </w:tcPr>
          <w:p w14:paraId="4FC6C65A"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4</w:t>
            </w:r>
          </w:p>
        </w:tc>
        <w:tc>
          <w:tcPr>
            <w:tcW w:w="1037" w:type="pct"/>
            <w:noWrap/>
            <w:hideMark/>
          </w:tcPr>
          <w:p w14:paraId="17B45745" w14:textId="22CDB75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677" w:type="pct"/>
            <w:noWrap/>
            <w:hideMark/>
          </w:tcPr>
          <w:p w14:paraId="7C84AD1B" w14:textId="28EB501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c>
          <w:tcPr>
            <w:tcW w:w="1193" w:type="pct"/>
            <w:noWrap/>
            <w:hideMark/>
          </w:tcPr>
          <w:p w14:paraId="08F1EA1C" w14:textId="1EAA009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4</w:t>
            </w:r>
          </w:p>
        </w:tc>
        <w:tc>
          <w:tcPr>
            <w:tcW w:w="638" w:type="pct"/>
            <w:noWrap/>
            <w:hideMark/>
          </w:tcPr>
          <w:p w14:paraId="43AEED0B" w14:textId="4E386CF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701" w:type="pct"/>
            <w:noWrap/>
            <w:hideMark/>
          </w:tcPr>
          <w:p w14:paraId="28C893AB" w14:textId="29CC2EF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r>
      <w:tr w:rsidR="00FD69A3" w:rsidRPr="003B354D" w14:paraId="48B7146C" w14:textId="77777777" w:rsidTr="00FD69A3">
        <w:trPr>
          <w:trHeight w:val="290"/>
        </w:trPr>
        <w:tc>
          <w:tcPr>
            <w:tcW w:w="753" w:type="pct"/>
            <w:noWrap/>
            <w:hideMark/>
          </w:tcPr>
          <w:p w14:paraId="70DA0070"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5</w:t>
            </w:r>
          </w:p>
        </w:tc>
        <w:tc>
          <w:tcPr>
            <w:tcW w:w="1037" w:type="pct"/>
            <w:noWrap/>
            <w:hideMark/>
          </w:tcPr>
          <w:p w14:paraId="764FC9C9" w14:textId="6A6C123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3</w:t>
            </w:r>
          </w:p>
        </w:tc>
        <w:tc>
          <w:tcPr>
            <w:tcW w:w="677" w:type="pct"/>
            <w:noWrap/>
            <w:hideMark/>
          </w:tcPr>
          <w:p w14:paraId="6DFD2305" w14:textId="60B032E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3</w:t>
            </w:r>
          </w:p>
        </w:tc>
        <w:tc>
          <w:tcPr>
            <w:tcW w:w="1193" w:type="pct"/>
            <w:noWrap/>
            <w:hideMark/>
          </w:tcPr>
          <w:p w14:paraId="23357286" w14:textId="3DD208F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5</w:t>
            </w:r>
          </w:p>
        </w:tc>
        <w:tc>
          <w:tcPr>
            <w:tcW w:w="638" w:type="pct"/>
            <w:noWrap/>
            <w:hideMark/>
          </w:tcPr>
          <w:p w14:paraId="54775452" w14:textId="61776A1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701" w:type="pct"/>
            <w:noWrap/>
            <w:hideMark/>
          </w:tcPr>
          <w:p w14:paraId="00EABF3C" w14:textId="3F5B2BA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r>
      <w:tr w:rsidR="00FD69A3" w:rsidRPr="003B354D" w14:paraId="07C017E3" w14:textId="77777777" w:rsidTr="00FD69A3">
        <w:trPr>
          <w:trHeight w:val="290"/>
        </w:trPr>
        <w:tc>
          <w:tcPr>
            <w:tcW w:w="753" w:type="pct"/>
            <w:noWrap/>
            <w:hideMark/>
          </w:tcPr>
          <w:p w14:paraId="329752D8"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6</w:t>
            </w:r>
          </w:p>
        </w:tc>
        <w:tc>
          <w:tcPr>
            <w:tcW w:w="1037" w:type="pct"/>
            <w:noWrap/>
            <w:hideMark/>
          </w:tcPr>
          <w:p w14:paraId="72520514" w14:textId="14F951A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677" w:type="pct"/>
            <w:noWrap/>
            <w:hideMark/>
          </w:tcPr>
          <w:p w14:paraId="4F99BD96" w14:textId="0A94353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18</w:t>
            </w:r>
          </w:p>
        </w:tc>
        <w:tc>
          <w:tcPr>
            <w:tcW w:w="1193" w:type="pct"/>
            <w:noWrap/>
            <w:hideMark/>
          </w:tcPr>
          <w:p w14:paraId="580AFDEE" w14:textId="68EBCD5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6</w:t>
            </w:r>
          </w:p>
        </w:tc>
        <w:tc>
          <w:tcPr>
            <w:tcW w:w="638" w:type="pct"/>
            <w:noWrap/>
            <w:hideMark/>
          </w:tcPr>
          <w:p w14:paraId="38BC7684" w14:textId="1962016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701" w:type="pct"/>
            <w:noWrap/>
            <w:hideMark/>
          </w:tcPr>
          <w:p w14:paraId="311B84BD" w14:textId="118635D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r>
      <w:tr w:rsidR="00FD69A3" w:rsidRPr="003B354D" w14:paraId="5F3DA8B0" w14:textId="77777777" w:rsidTr="00FD69A3">
        <w:trPr>
          <w:trHeight w:val="290"/>
        </w:trPr>
        <w:tc>
          <w:tcPr>
            <w:tcW w:w="753" w:type="pct"/>
            <w:noWrap/>
            <w:hideMark/>
          </w:tcPr>
          <w:p w14:paraId="6F610F0B"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7</w:t>
            </w:r>
          </w:p>
        </w:tc>
        <w:tc>
          <w:tcPr>
            <w:tcW w:w="1037" w:type="pct"/>
            <w:noWrap/>
            <w:hideMark/>
          </w:tcPr>
          <w:p w14:paraId="798AFFF2" w14:textId="31ED778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677" w:type="pct"/>
            <w:noWrap/>
            <w:hideMark/>
          </w:tcPr>
          <w:p w14:paraId="6489D6EE" w14:textId="1354645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1193" w:type="pct"/>
            <w:noWrap/>
            <w:hideMark/>
          </w:tcPr>
          <w:p w14:paraId="17075795" w14:textId="0F19CFB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7</w:t>
            </w:r>
          </w:p>
        </w:tc>
        <w:tc>
          <w:tcPr>
            <w:tcW w:w="638" w:type="pct"/>
            <w:noWrap/>
            <w:hideMark/>
          </w:tcPr>
          <w:p w14:paraId="0FB7B0EB" w14:textId="073EC8A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701" w:type="pct"/>
            <w:noWrap/>
            <w:hideMark/>
          </w:tcPr>
          <w:p w14:paraId="150AED48" w14:textId="5D00E7C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25</w:t>
            </w:r>
          </w:p>
        </w:tc>
      </w:tr>
      <w:tr w:rsidR="00FD69A3" w:rsidRPr="003B354D" w14:paraId="1B87A171" w14:textId="77777777" w:rsidTr="00FD69A3">
        <w:trPr>
          <w:trHeight w:val="290"/>
        </w:trPr>
        <w:tc>
          <w:tcPr>
            <w:tcW w:w="753" w:type="pct"/>
            <w:noWrap/>
            <w:hideMark/>
          </w:tcPr>
          <w:p w14:paraId="5B7D575B"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8</w:t>
            </w:r>
          </w:p>
        </w:tc>
        <w:tc>
          <w:tcPr>
            <w:tcW w:w="1037" w:type="pct"/>
            <w:noWrap/>
            <w:hideMark/>
          </w:tcPr>
          <w:p w14:paraId="728D1BB7" w14:textId="5825550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677" w:type="pct"/>
            <w:noWrap/>
            <w:hideMark/>
          </w:tcPr>
          <w:p w14:paraId="2A6D3DA2" w14:textId="28EAD68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19</w:t>
            </w:r>
          </w:p>
        </w:tc>
        <w:tc>
          <w:tcPr>
            <w:tcW w:w="1193" w:type="pct"/>
            <w:noWrap/>
            <w:hideMark/>
          </w:tcPr>
          <w:p w14:paraId="3BE236F6" w14:textId="437600B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8</w:t>
            </w:r>
          </w:p>
        </w:tc>
        <w:tc>
          <w:tcPr>
            <w:tcW w:w="638" w:type="pct"/>
            <w:noWrap/>
            <w:hideMark/>
          </w:tcPr>
          <w:p w14:paraId="70633D4D" w14:textId="4438CCE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701" w:type="pct"/>
            <w:noWrap/>
            <w:hideMark/>
          </w:tcPr>
          <w:p w14:paraId="2A33AD2F" w14:textId="3DB303B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16</w:t>
            </w:r>
          </w:p>
        </w:tc>
      </w:tr>
      <w:tr w:rsidR="00FD69A3" w:rsidRPr="003B354D" w14:paraId="03695FD4" w14:textId="77777777" w:rsidTr="00FD69A3">
        <w:trPr>
          <w:trHeight w:val="290"/>
        </w:trPr>
        <w:tc>
          <w:tcPr>
            <w:tcW w:w="753" w:type="pct"/>
            <w:noWrap/>
            <w:hideMark/>
          </w:tcPr>
          <w:p w14:paraId="3D493CD3"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9</w:t>
            </w:r>
          </w:p>
        </w:tc>
        <w:tc>
          <w:tcPr>
            <w:tcW w:w="1037" w:type="pct"/>
            <w:noWrap/>
            <w:hideMark/>
          </w:tcPr>
          <w:p w14:paraId="3DAF3D26" w14:textId="5C7F767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677" w:type="pct"/>
            <w:noWrap/>
            <w:hideMark/>
          </w:tcPr>
          <w:p w14:paraId="06C9B41F" w14:textId="55333E0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1193" w:type="pct"/>
            <w:noWrap/>
            <w:hideMark/>
          </w:tcPr>
          <w:p w14:paraId="030FD086" w14:textId="0A1D79F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9</w:t>
            </w:r>
          </w:p>
        </w:tc>
        <w:tc>
          <w:tcPr>
            <w:tcW w:w="638" w:type="pct"/>
            <w:noWrap/>
            <w:hideMark/>
          </w:tcPr>
          <w:p w14:paraId="10BF4E31" w14:textId="3AEE3C3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701" w:type="pct"/>
            <w:noWrap/>
            <w:hideMark/>
          </w:tcPr>
          <w:p w14:paraId="16277969" w14:textId="193DEE1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r>
      <w:tr w:rsidR="00FD69A3" w:rsidRPr="003B354D" w14:paraId="34246BF1" w14:textId="77777777" w:rsidTr="00FD69A3">
        <w:trPr>
          <w:trHeight w:val="290"/>
        </w:trPr>
        <w:tc>
          <w:tcPr>
            <w:tcW w:w="753" w:type="pct"/>
            <w:noWrap/>
            <w:hideMark/>
          </w:tcPr>
          <w:p w14:paraId="7C8E01B5"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10</w:t>
            </w:r>
          </w:p>
        </w:tc>
        <w:tc>
          <w:tcPr>
            <w:tcW w:w="1037" w:type="pct"/>
            <w:noWrap/>
            <w:hideMark/>
          </w:tcPr>
          <w:p w14:paraId="6EE477B5" w14:textId="2494D23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677" w:type="pct"/>
            <w:noWrap/>
            <w:hideMark/>
          </w:tcPr>
          <w:p w14:paraId="4DD15DCE" w14:textId="648823B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1193" w:type="pct"/>
            <w:noWrap/>
            <w:hideMark/>
          </w:tcPr>
          <w:p w14:paraId="740875D5" w14:textId="3B98438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10</w:t>
            </w:r>
          </w:p>
        </w:tc>
        <w:tc>
          <w:tcPr>
            <w:tcW w:w="638" w:type="pct"/>
            <w:noWrap/>
            <w:hideMark/>
          </w:tcPr>
          <w:p w14:paraId="039D6FF5" w14:textId="5B4F2FD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701" w:type="pct"/>
            <w:noWrap/>
            <w:hideMark/>
          </w:tcPr>
          <w:p w14:paraId="49DCBBFB" w14:textId="0A0E274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r>
      <w:tr w:rsidR="00FD69A3" w:rsidRPr="003B354D" w14:paraId="7F3EC2D2" w14:textId="77777777" w:rsidTr="00FD69A3">
        <w:trPr>
          <w:trHeight w:val="290"/>
        </w:trPr>
        <w:tc>
          <w:tcPr>
            <w:tcW w:w="753" w:type="pct"/>
            <w:noWrap/>
            <w:hideMark/>
          </w:tcPr>
          <w:p w14:paraId="744DDBA2"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11</w:t>
            </w:r>
          </w:p>
        </w:tc>
        <w:tc>
          <w:tcPr>
            <w:tcW w:w="1037" w:type="pct"/>
            <w:noWrap/>
            <w:hideMark/>
          </w:tcPr>
          <w:p w14:paraId="69EFC2F2" w14:textId="1859E17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677" w:type="pct"/>
            <w:noWrap/>
            <w:hideMark/>
          </w:tcPr>
          <w:p w14:paraId="2E16A9BD" w14:textId="7EFD2BA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1193" w:type="pct"/>
            <w:noWrap/>
            <w:hideMark/>
          </w:tcPr>
          <w:p w14:paraId="367A79BF" w14:textId="197AA3B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11</w:t>
            </w:r>
          </w:p>
        </w:tc>
        <w:tc>
          <w:tcPr>
            <w:tcW w:w="638" w:type="pct"/>
            <w:noWrap/>
            <w:hideMark/>
          </w:tcPr>
          <w:p w14:paraId="139D762C" w14:textId="5A12E65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701" w:type="pct"/>
            <w:noWrap/>
            <w:hideMark/>
          </w:tcPr>
          <w:p w14:paraId="1ACB2B09" w14:textId="2E94E94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r>
      <w:tr w:rsidR="00FD69A3" w:rsidRPr="003B354D" w14:paraId="773CC733" w14:textId="77777777" w:rsidTr="00FD69A3">
        <w:trPr>
          <w:trHeight w:val="290"/>
        </w:trPr>
        <w:tc>
          <w:tcPr>
            <w:tcW w:w="753" w:type="pct"/>
            <w:noWrap/>
            <w:hideMark/>
          </w:tcPr>
          <w:p w14:paraId="25C4E83A"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12</w:t>
            </w:r>
          </w:p>
        </w:tc>
        <w:tc>
          <w:tcPr>
            <w:tcW w:w="1037" w:type="pct"/>
            <w:noWrap/>
            <w:hideMark/>
          </w:tcPr>
          <w:p w14:paraId="0E0DCF51" w14:textId="040357D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677" w:type="pct"/>
            <w:noWrap/>
            <w:hideMark/>
          </w:tcPr>
          <w:p w14:paraId="42D70C86" w14:textId="5C0ECC7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1193" w:type="pct"/>
            <w:noWrap/>
            <w:hideMark/>
          </w:tcPr>
          <w:p w14:paraId="4F085010" w14:textId="79804EE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12</w:t>
            </w:r>
          </w:p>
        </w:tc>
        <w:tc>
          <w:tcPr>
            <w:tcW w:w="638" w:type="pct"/>
            <w:noWrap/>
            <w:hideMark/>
          </w:tcPr>
          <w:p w14:paraId="0CF4586C" w14:textId="3ED6E98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701" w:type="pct"/>
            <w:noWrap/>
            <w:hideMark/>
          </w:tcPr>
          <w:p w14:paraId="14F0DC36" w14:textId="13603E3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r>
      <w:tr w:rsidR="00FD69A3" w:rsidRPr="003B354D" w14:paraId="1EE93F53" w14:textId="77777777" w:rsidTr="00FD69A3">
        <w:trPr>
          <w:trHeight w:val="290"/>
        </w:trPr>
        <w:tc>
          <w:tcPr>
            <w:tcW w:w="753" w:type="pct"/>
            <w:noWrap/>
            <w:hideMark/>
          </w:tcPr>
          <w:p w14:paraId="71B2E995"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13</w:t>
            </w:r>
          </w:p>
        </w:tc>
        <w:tc>
          <w:tcPr>
            <w:tcW w:w="1037" w:type="pct"/>
            <w:noWrap/>
            <w:hideMark/>
          </w:tcPr>
          <w:p w14:paraId="77B7F548" w14:textId="215CC5D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c>
          <w:tcPr>
            <w:tcW w:w="677" w:type="pct"/>
            <w:noWrap/>
            <w:hideMark/>
          </w:tcPr>
          <w:p w14:paraId="6749CA9B" w14:textId="3532821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1193" w:type="pct"/>
            <w:noWrap/>
            <w:hideMark/>
          </w:tcPr>
          <w:p w14:paraId="14EE9B77" w14:textId="5BFD33D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13</w:t>
            </w:r>
          </w:p>
        </w:tc>
        <w:tc>
          <w:tcPr>
            <w:tcW w:w="638" w:type="pct"/>
            <w:noWrap/>
            <w:hideMark/>
          </w:tcPr>
          <w:p w14:paraId="20CEE113" w14:textId="1FD48B0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c>
          <w:tcPr>
            <w:tcW w:w="701" w:type="pct"/>
            <w:noWrap/>
            <w:hideMark/>
          </w:tcPr>
          <w:p w14:paraId="3B9D5C43" w14:textId="4691512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r>
      <w:tr w:rsidR="00FD69A3" w:rsidRPr="003B354D" w14:paraId="5F0AF77B" w14:textId="77777777" w:rsidTr="00FD69A3">
        <w:trPr>
          <w:trHeight w:val="290"/>
        </w:trPr>
        <w:tc>
          <w:tcPr>
            <w:tcW w:w="753" w:type="pct"/>
            <w:noWrap/>
            <w:hideMark/>
          </w:tcPr>
          <w:p w14:paraId="752F037A"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14</w:t>
            </w:r>
          </w:p>
        </w:tc>
        <w:tc>
          <w:tcPr>
            <w:tcW w:w="1037" w:type="pct"/>
            <w:noWrap/>
            <w:hideMark/>
          </w:tcPr>
          <w:p w14:paraId="27A56598" w14:textId="22FAA55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3</w:t>
            </w:r>
          </w:p>
        </w:tc>
        <w:tc>
          <w:tcPr>
            <w:tcW w:w="677" w:type="pct"/>
            <w:noWrap/>
            <w:hideMark/>
          </w:tcPr>
          <w:p w14:paraId="0F373EE1" w14:textId="0F01336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19</w:t>
            </w:r>
          </w:p>
        </w:tc>
        <w:tc>
          <w:tcPr>
            <w:tcW w:w="1193" w:type="pct"/>
            <w:noWrap/>
            <w:hideMark/>
          </w:tcPr>
          <w:p w14:paraId="5573FC3A" w14:textId="5F5C7B2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14</w:t>
            </w:r>
          </w:p>
        </w:tc>
        <w:tc>
          <w:tcPr>
            <w:tcW w:w="638" w:type="pct"/>
            <w:noWrap/>
            <w:hideMark/>
          </w:tcPr>
          <w:p w14:paraId="5DA029A4" w14:textId="019538C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c>
          <w:tcPr>
            <w:tcW w:w="701" w:type="pct"/>
            <w:noWrap/>
            <w:hideMark/>
          </w:tcPr>
          <w:p w14:paraId="646A59FC" w14:textId="28B404B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r>
      <w:tr w:rsidR="00FD69A3" w:rsidRPr="003B354D" w14:paraId="034C8B4E" w14:textId="77777777" w:rsidTr="00FD69A3">
        <w:trPr>
          <w:trHeight w:val="290"/>
        </w:trPr>
        <w:tc>
          <w:tcPr>
            <w:tcW w:w="753" w:type="pct"/>
            <w:noWrap/>
            <w:hideMark/>
          </w:tcPr>
          <w:p w14:paraId="42C508D8"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15</w:t>
            </w:r>
          </w:p>
        </w:tc>
        <w:tc>
          <w:tcPr>
            <w:tcW w:w="1037" w:type="pct"/>
            <w:noWrap/>
            <w:hideMark/>
          </w:tcPr>
          <w:p w14:paraId="1BF1142C" w14:textId="4B4A6B4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677" w:type="pct"/>
            <w:noWrap/>
            <w:hideMark/>
          </w:tcPr>
          <w:p w14:paraId="0A9F9D53" w14:textId="00D470B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21</w:t>
            </w:r>
          </w:p>
        </w:tc>
        <w:tc>
          <w:tcPr>
            <w:tcW w:w="1193" w:type="pct"/>
            <w:noWrap/>
            <w:hideMark/>
          </w:tcPr>
          <w:p w14:paraId="28633B9E" w14:textId="3578630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15</w:t>
            </w:r>
          </w:p>
        </w:tc>
        <w:tc>
          <w:tcPr>
            <w:tcW w:w="638" w:type="pct"/>
            <w:noWrap/>
            <w:hideMark/>
          </w:tcPr>
          <w:p w14:paraId="01F2D44D" w14:textId="29A0529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3</w:t>
            </w:r>
          </w:p>
        </w:tc>
        <w:tc>
          <w:tcPr>
            <w:tcW w:w="701" w:type="pct"/>
            <w:noWrap/>
            <w:hideMark/>
          </w:tcPr>
          <w:p w14:paraId="5BC72E6A" w14:textId="07153D1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6</w:t>
            </w:r>
          </w:p>
        </w:tc>
      </w:tr>
      <w:tr w:rsidR="00FD69A3" w:rsidRPr="003B354D" w14:paraId="542A8AAB" w14:textId="77777777" w:rsidTr="00FD69A3">
        <w:trPr>
          <w:trHeight w:val="290"/>
        </w:trPr>
        <w:tc>
          <w:tcPr>
            <w:tcW w:w="753" w:type="pct"/>
            <w:noWrap/>
            <w:hideMark/>
          </w:tcPr>
          <w:p w14:paraId="2A88DDF1"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16</w:t>
            </w:r>
          </w:p>
        </w:tc>
        <w:tc>
          <w:tcPr>
            <w:tcW w:w="1037" w:type="pct"/>
            <w:noWrap/>
            <w:hideMark/>
          </w:tcPr>
          <w:p w14:paraId="5FB73FA4" w14:textId="6260C5B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677" w:type="pct"/>
            <w:noWrap/>
            <w:hideMark/>
          </w:tcPr>
          <w:p w14:paraId="1411664D" w14:textId="7B28827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1193" w:type="pct"/>
            <w:noWrap/>
            <w:hideMark/>
          </w:tcPr>
          <w:p w14:paraId="7A8E44C7" w14:textId="45FAB3B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16</w:t>
            </w:r>
          </w:p>
        </w:tc>
        <w:tc>
          <w:tcPr>
            <w:tcW w:w="638" w:type="pct"/>
            <w:noWrap/>
            <w:hideMark/>
          </w:tcPr>
          <w:p w14:paraId="3EF177F6" w14:textId="09E1417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c>
          <w:tcPr>
            <w:tcW w:w="701" w:type="pct"/>
            <w:noWrap/>
            <w:hideMark/>
          </w:tcPr>
          <w:p w14:paraId="5093E0F9" w14:textId="6A483E8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19</w:t>
            </w:r>
          </w:p>
        </w:tc>
      </w:tr>
      <w:tr w:rsidR="00FD69A3" w:rsidRPr="003B354D" w14:paraId="38AB08FF" w14:textId="77777777" w:rsidTr="00FD69A3">
        <w:trPr>
          <w:trHeight w:val="290"/>
        </w:trPr>
        <w:tc>
          <w:tcPr>
            <w:tcW w:w="753" w:type="pct"/>
            <w:noWrap/>
            <w:hideMark/>
          </w:tcPr>
          <w:p w14:paraId="7F16B6A2"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17</w:t>
            </w:r>
          </w:p>
        </w:tc>
        <w:tc>
          <w:tcPr>
            <w:tcW w:w="1037" w:type="pct"/>
            <w:noWrap/>
            <w:hideMark/>
          </w:tcPr>
          <w:p w14:paraId="25695000" w14:textId="0827A9F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677" w:type="pct"/>
            <w:noWrap/>
            <w:hideMark/>
          </w:tcPr>
          <w:p w14:paraId="542EE03F" w14:textId="2054302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1193" w:type="pct"/>
            <w:noWrap/>
            <w:hideMark/>
          </w:tcPr>
          <w:p w14:paraId="255DBF55" w14:textId="2A4FCA8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17</w:t>
            </w:r>
          </w:p>
        </w:tc>
        <w:tc>
          <w:tcPr>
            <w:tcW w:w="638" w:type="pct"/>
            <w:noWrap/>
            <w:hideMark/>
          </w:tcPr>
          <w:p w14:paraId="1881EFAE" w14:textId="56B29C3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c>
          <w:tcPr>
            <w:tcW w:w="701" w:type="pct"/>
            <w:noWrap/>
            <w:hideMark/>
          </w:tcPr>
          <w:p w14:paraId="4BD4AAD8" w14:textId="57DB8B6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r>
      <w:tr w:rsidR="00FD69A3" w:rsidRPr="003B354D" w14:paraId="09B57BD2" w14:textId="77777777" w:rsidTr="00FD69A3">
        <w:trPr>
          <w:trHeight w:val="290"/>
        </w:trPr>
        <w:tc>
          <w:tcPr>
            <w:tcW w:w="753" w:type="pct"/>
            <w:noWrap/>
            <w:hideMark/>
          </w:tcPr>
          <w:p w14:paraId="1484E107"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18</w:t>
            </w:r>
          </w:p>
        </w:tc>
        <w:tc>
          <w:tcPr>
            <w:tcW w:w="1037" w:type="pct"/>
            <w:noWrap/>
            <w:hideMark/>
          </w:tcPr>
          <w:p w14:paraId="48B97A79" w14:textId="4A40826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677" w:type="pct"/>
            <w:noWrap/>
            <w:hideMark/>
          </w:tcPr>
          <w:p w14:paraId="0E9C3EE3" w14:textId="2F4A104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1193" w:type="pct"/>
            <w:noWrap/>
            <w:hideMark/>
          </w:tcPr>
          <w:p w14:paraId="1B255685" w14:textId="403017D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18</w:t>
            </w:r>
          </w:p>
        </w:tc>
        <w:tc>
          <w:tcPr>
            <w:tcW w:w="638" w:type="pct"/>
            <w:noWrap/>
            <w:hideMark/>
          </w:tcPr>
          <w:p w14:paraId="0274EDCF" w14:textId="7BF9337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701" w:type="pct"/>
            <w:noWrap/>
            <w:hideMark/>
          </w:tcPr>
          <w:p w14:paraId="5AD3C83C" w14:textId="53D1FFC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19</w:t>
            </w:r>
          </w:p>
        </w:tc>
      </w:tr>
      <w:tr w:rsidR="00FD69A3" w:rsidRPr="003B354D" w14:paraId="3A79EF1E" w14:textId="77777777" w:rsidTr="00FD69A3">
        <w:trPr>
          <w:trHeight w:val="290"/>
        </w:trPr>
        <w:tc>
          <w:tcPr>
            <w:tcW w:w="753" w:type="pct"/>
            <w:noWrap/>
            <w:hideMark/>
          </w:tcPr>
          <w:p w14:paraId="125BDF7D"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19</w:t>
            </w:r>
          </w:p>
        </w:tc>
        <w:tc>
          <w:tcPr>
            <w:tcW w:w="1037" w:type="pct"/>
            <w:noWrap/>
            <w:hideMark/>
          </w:tcPr>
          <w:p w14:paraId="69997ABA" w14:textId="4DB1155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677" w:type="pct"/>
            <w:noWrap/>
            <w:hideMark/>
          </w:tcPr>
          <w:p w14:paraId="400613E0" w14:textId="27425F8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1193" w:type="pct"/>
            <w:noWrap/>
            <w:hideMark/>
          </w:tcPr>
          <w:p w14:paraId="44355E34" w14:textId="29B0D6F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19</w:t>
            </w:r>
          </w:p>
        </w:tc>
        <w:tc>
          <w:tcPr>
            <w:tcW w:w="638" w:type="pct"/>
            <w:noWrap/>
            <w:hideMark/>
          </w:tcPr>
          <w:p w14:paraId="4E6BC4F6" w14:textId="118B2CE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701" w:type="pct"/>
            <w:noWrap/>
            <w:hideMark/>
          </w:tcPr>
          <w:p w14:paraId="176FE391" w14:textId="356DBEF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18</w:t>
            </w:r>
          </w:p>
        </w:tc>
      </w:tr>
      <w:tr w:rsidR="00FD69A3" w:rsidRPr="003B354D" w14:paraId="228D881E" w14:textId="77777777" w:rsidTr="00FD69A3">
        <w:trPr>
          <w:trHeight w:val="290"/>
        </w:trPr>
        <w:tc>
          <w:tcPr>
            <w:tcW w:w="753" w:type="pct"/>
            <w:noWrap/>
            <w:hideMark/>
          </w:tcPr>
          <w:p w14:paraId="72D729A3"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20</w:t>
            </w:r>
          </w:p>
        </w:tc>
        <w:tc>
          <w:tcPr>
            <w:tcW w:w="1037" w:type="pct"/>
            <w:noWrap/>
            <w:hideMark/>
          </w:tcPr>
          <w:p w14:paraId="436546F4" w14:textId="6314FFC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677" w:type="pct"/>
            <w:noWrap/>
            <w:hideMark/>
          </w:tcPr>
          <w:p w14:paraId="1F5FD87B" w14:textId="7816F7C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1193" w:type="pct"/>
            <w:noWrap/>
            <w:hideMark/>
          </w:tcPr>
          <w:p w14:paraId="3B00B85B" w14:textId="2E2756E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20</w:t>
            </w:r>
          </w:p>
        </w:tc>
        <w:tc>
          <w:tcPr>
            <w:tcW w:w="638" w:type="pct"/>
            <w:noWrap/>
            <w:hideMark/>
          </w:tcPr>
          <w:p w14:paraId="25AD5473" w14:textId="46BC2EB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701" w:type="pct"/>
            <w:noWrap/>
            <w:hideMark/>
          </w:tcPr>
          <w:p w14:paraId="058D8E02" w14:textId="228B763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17</w:t>
            </w:r>
          </w:p>
        </w:tc>
      </w:tr>
      <w:tr w:rsidR="00FD69A3" w:rsidRPr="003B354D" w14:paraId="1DAAF82C" w14:textId="77777777" w:rsidTr="00FD69A3">
        <w:trPr>
          <w:trHeight w:val="290"/>
        </w:trPr>
        <w:tc>
          <w:tcPr>
            <w:tcW w:w="753" w:type="pct"/>
            <w:noWrap/>
            <w:hideMark/>
          </w:tcPr>
          <w:p w14:paraId="2AABB2E1"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21</w:t>
            </w:r>
          </w:p>
        </w:tc>
        <w:tc>
          <w:tcPr>
            <w:tcW w:w="1037" w:type="pct"/>
            <w:noWrap/>
            <w:hideMark/>
          </w:tcPr>
          <w:p w14:paraId="17FA1C43" w14:textId="5BEAFEC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677" w:type="pct"/>
            <w:noWrap/>
            <w:hideMark/>
          </w:tcPr>
          <w:p w14:paraId="711AE47E" w14:textId="1B21F7F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1193" w:type="pct"/>
            <w:noWrap/>
            <w:hideMark/>
          </w:tcPr>
          <w:p w14:paraId="2FBCB1C8" w14:textId="7C8EC43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21</w:t>
            </w:r>
          </w:p>
        </w:tc>
        <w:tc>
          <w:tcPr>
            <w:tcW w:w="638" w:type="pct"/>
            <w:noWrap/>
            <w:hideMark/>
          </w:tcPr>
          <w:p w14:paraId="74FD10CE" w14:textId="2FC6CE8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701" w:type="pct"/>
            <w:noWrap/>
            <w:hideMark/>
          </w:tcPr>
          <w:p w14:paraId="2B7AB628" w14:textId="57A3F0F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r>
      <w:tr w:rsidR="00FD69A3" w:rsidRPr="003B354D" w14:paraId="7AF5EA5A" w14:textId="77777777" w:rsidTr="00FD69A3">
        <w:trPr>
          <w:trHeight w:val="290"/>
        </w:trPr>
        <w:tc>
          <w:tcPr>
            <w:tcW w:w="753" w:type="pct"/>
            <w:noWrap/>
            <w:hideMark/>
          </w:tcPr>
          <w:p w14:paraId="42FF6914"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22</w:t>
            </w:r>
          </w:p>
        </w:tc>
        <w:tc>
          <w:tcPr>
            <w:tcW w:w="1037" w:type="pct"/>
            <w:noWrap/>
            <w:hideMark/>
          </w:tcPr>
          <w:p w14:paraId="5B6F0DD7" w14:textId="4AB40E7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677" w:type="pct"/>
            <w:noWrap/>
            <w:hideMark/>
          </w:tcPr>
          <w:p w14:paraId="4E72C852" w14:textId="0E1FEFF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1193" w:type="pct"/>
            <w:noWrap/>
            <w:hideMark/>
          </w:tcPr>
          <w:p w14:paraId="247BDC1D" w14:textId="6E316DA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22</w:t>
            </w:r>
          </w:p>
        </w:tc>
        <w:tc>
          <w:tcPr>
            <w:tcW w:w="638" w:type="pct"/>
            <w:noWrap/>
            <w:hideMark/>
          </w:tcPr>
          <w:p w14:paraId="3EB814B5" w14:textId="27C4C10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701" w:type="pct"/>
            <w:noWrap/>
            <w:hideMark/>
          </w:tcPr>
          <w:p w14:paraId="36FF4B3B" w14:textId="6CBFB3F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17</w:t>
            </w:r>
          </w:p>
        </w:tc>
      </w:tr>
      <w:tr w:rsidR="00FD69A3" w:rsidRPr="003B354D" w14:paraId="4CD26321" w14:textId="77777777" w:rsidTr="00FD69A3">
        <w:trPr>
          <w:trHeight w:val="290"/>
        </w:trPr>
        <w:tc>
          <w:tcPr>
            <w:tcW w:w="753" w:type="pct"/>
            <w:noWrap/>
            <w:hideMark/>
          </w:tcPr>
          <w:p w14:paraId="472C6951"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23</w:t>
            </w:r>
          </w:p>
        </w:tc>
        <w:tc>
          <w:tcPr>
            <w:tcW w:w="1037" w:type="pct"/>
            <w:noWrap/>
            <w:hideMark/>
          </w:tcPr>
          <w:p w14:paraId="0DD1348D" w14:textId="449555B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677" w:type="pct"/>
            <w:noWrap/>
            <w:hideMark/>
          </w:tcPr>
          <w:p w14:paraId="2DD9BCD2" w14:textId="5B40C77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1193" w:type="pct"/>
            <w:noWrap/>
            <w:hideMark/>
          </w:tcPr>
          <w:p w14:paraId="152D9597" w14:textId="1AEF4A4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23</w:t>
            </w:r>
          </w:p>
        </w:tc>
        <w:tc>
          <w:tcPr>
            <w:tcW w:w="638" w:type="pct"/>
            <w:noWrap/>
            <w:hideMark/>
          </w:tcPr>
          <w:p w14:paraId="10D07868" w14:textId="7294A87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16</w:t>
            </w:r>
          </w:p>
        </w:tc>
        <w:tc>
          <w:tcPr>
            <w:tcW w:w="701" w:type="pct"/>
            <w:noWrap/>
            <w:hideMark/>
          </w:tcPr>
          <w:p w14:paraId="28A7EA40" w14:textId="0860CD4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25</w:t>
            </w:r>
          </w:p>
        </w:tc>
      </w:tr>
      <w:tr w:rsidR="00FD69A3" w:rsidRPr="003B354D" w14:paraId="3BB9AA74" w14:textId="77777777" w:rsidTr="00FD69A3">
        <w:trPr>
          <w:trHeight w:val="290"/>
        </w:trPr>
        <w:tc>
          <w:tcPr>
            <w:tcW w:w="753" w:type="pct"/>
            <w:noWrap/>
            <w:hideMark/>
          </w:tcPr>
          <w:p w14:paraId="3E31C693"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24</w:t>
            </w:r>
          </w:p>
        </w:tc>
        <w:tc>
          <w:tcPr>
            <w:tcW w:w="1037" w:type="pct"/>
            <w:noWrap/>
            <w:hideMark/>
          </w:tcPr>
          <w:p w14:paraId="169BCA39" w14:textId="3D992A1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677" w:type="pct"/>
            <w:noWrap/>
            <w:hideMark/>
          </w:tcPr>
          <w:p w14:paraId="71A9B7DB" w14:textId="7DC02DA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1193" w:type="pct"/>
            <w:noWrap/>
            <w:hideMark/>
          </w:tcPr>
          <w:p w14:paraId="16FF53E2" w14:textId="4E40D6D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24</w:t>
            </w:r>
          </w:p>
        </w:tc>
        <w:tc>
          <w:tcPr>
            <w:tcW w:w="638" w:type="pct"/>
            <w:noWrap/>
            <w:hideMark/>
          </w:tcPr>
          <w:p w14:paraId="5C41BA60" w14:textId="5EA9426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701" w:type="pct"/>
            <w:noWrap/>
            <w:hideMark/>
          </w:tcPr>
          <w:p w14:paraId="6097D455" w14:textId="26A53F4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16</w:t>
            </w:r>
          </w:p>
        </w:tc>
      </w:tr>
      <w:tr w:rsidR="00FD69A3" w:rsidRPr="003B354D" w14:paraId="6DC48059" w14:textId="77777777" w:rsidTr="00FD69A3">
        <w:trPr>
          <w:trHeight w:val="290"/>
        </w:trPr>
        <w:tc>
          <w:tcPr>
            <w:tcW w:w="753" w:type="pct"/>
            <w:noWrap/>
            <w:hideMark/>
          </w:tcPr>
          <w:p w14:paraId="5CCCFB5B"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25</w:t>
            </w:r>
          </w:p>
        </w:tc>
        <w:tc>
          <w:tcPr>
            <w:tcW w:w="1037" w:type="pct"/>
            <w:noWrap/>
            <w:hideMark/>
          </w:tcPr>
          <w:p w14:paraId="3ED3BC62" w14:textId="6FE4B87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677" w:type="pct"/>
            <w:noWrap/>
            <w:hideMark/>
          </w:tcPr>
          <w:p w14:paraId="5BEECBC6" w14:textId="320F015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27</w:t>
            </w:r>
          </w:p>
        </w:tc>
        <w:tc>
          <w:tcPr>
            <w:tcW w:w="1193" w:type="pct"/>
            <w:noWrap/>
            <w:hideMark/>
          </w:tcPr>
          <w:p w14:paraId="730C5267" w14:textId="368EB2A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25</w:t>
            </w:r>
          </w:p>
        </w:tc>
        <w:tc>
          <w:tcPr>
            <w:tcW w:w="638" w:type="pct"/>
            <w:noWrap/>
            <w:hideMark/>
          </w:tcPr>
          <w:p w14:paraId="3AC233B4" w14:textId="569CEA5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12</w:t>
            </w:r>
          </w:p>
        </w:tc>
        <w:tc>
          <w:tcPr>
            <w:tcW w:w="701" w:type="pct"/>
            <w:noWrap/>
            <w:hideMark/>
          </w:tcPr>
          <w:p w14:paraId="474644A6" w14:textId="201AAFE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19</w:t>
            </w:r>
          </w:p>
        </w:tc>
      </w:tr>
      <w:tr w:rsidR="00FD69A3" w:rsidRPr="003B354D" w14:paraId="00D208AA" w14:textId="77777777" w:rsidTr="00FD69A3">
        <w:trPr>
          <w:trHeight w:val="290"/>
        </w:trPr>
        <w:tc>
          <w:tcPr>
            <w:tcW w:w="753" w:type="pct"/>
            <w:noWrap/>
            <w:hideMark/>
          </w:tcPr>
          <w:p w14:paraId="267CD3B0"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26</w:t>
            </w:r>
          </w:p>
        </w:tc>
        <w:tc>
          <w:tcPr>
            <w:tcW w:w="1037" w:type="pct"/>
            <w:noWrap/>
            <w:hideMark/>
          </w:tcPr>
          <w:p w14:paraId="1DD1DC6F" w14:textId="6FF4036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677" w:type="pct"/>
            <w:noWrap/>
            <w:hideMark/>
          </w:tcPr>
          <w:p w14:paraId="17024B78" w14:textId="53562B6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22</w:t>
            </w:r>
          </w:p>
        </w:tc>
        <w:tc>
          <w:tcPr>
            <w:tcW w:w="1193" w:type="pct"/>
            <w:noWrap/>
            <w:hideMark/>
          </w:tcPr>
          <w:p w14:paraId="4E15F676" w14:textId="3EA08AB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26</w:t>
            </w:r>
          </w:p>
        </w:tc>
        <w:tc>
          <w:tcPr>
            <w:tcW w:w="638" w:type="pct"/>
            <w:noWrap/>
            <w:hideMark/>
          </w:tcPr>
          <w:p w14:paraId="3B9CEBBA" w14:textId="6EDF6DF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701" w:type="pct"/>
            <w:noWrap/>
            <w:hideMark/>
          </w:tcPr>
          <w:p w14:paraId="0E0C16C4" w14:textId="2B31F81E"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20</w:t>
            </w:r>
          </w:p>
        </w:tc>
      </w:tr>
      <w:tr w:rsidR="00FD69A3" w:rsidRPr="003B354D" w14:paraId="4EDB4226" w14:textId="77777777" w:rsidTr="00FD69A3">
        <w:trPr>
          <w:trHeight w:val="290"/>
        </w:trPr>
        <w:tc>
          <w:tcPr>
            <w:tcW w:w="753" w:type="pct"/>
            <w:noWrap/>
            <w:hideMark/>
          </w:tcPr>
          <w:p w14:paraId="14A322B9"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27</w:t>
            </w:r>
          </w:p>
        </w:tc>
        <w:tc>
          <w:tcPr>
            <w:tcW w:w="1037" w:type="pct"/>
            <w:noWrap/>
            <w:hideMark/>
          </w:tcPr>
          <w:p w14:paraId="5177D931" w14:textId="728FD50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677" w:type="pct"/>
            <w:noWrap/>
            <w:hideMark/>
          </w:tcPr>
          <w:p w14:paraId="7DD404CD" w14:textId="22B9EE9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1193" w:type="pct"/>
            <w:noWrap/>
            <w:hideMark/>
          </w:tcPr>
          <w:p w14:paraId="49C92675" w14:textId="08A8774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27</w:t>
            </w:r>
          </w:p>
        </w:tc>
        <w:tc>
          <w:tcPr>
            <w:tcW w:w="638" w:type="pct"/>
            <w:noWrap/>
            <w:hideMark/>
          </w:tcPr>
          <w:p w14:paraId="44D52541" w14:textId="56BD982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3</w:t>
            </w:r>
          </w:p>
        </w:tc>
        <w:tc>
          <w:tcPr>
            <w:tcW w:w="701" w:type="pct"/>
            <w:noWrap/>
            <w:hideMark/>
          </w:tcPr>
          <w:p w14:paraId="400304C8" w14:textId="379F4F2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r>
      <w:tr w:rsidR="00FD69A3" w:rsidRPr="003B354D" w14:paraId="7FE7632C" w14:textId="77777777" w:rsidTr="00FD69A3">
        <w:trPr>
          <w:trHeight w:val="290"/>
        </w:trPr>
        <w:tc>
          <w:tcPr>
            <w:tcW w:w="753" w:type="pct"/>
            <w:noWrap/>
            <w:hideMark/>
          </w:tcPr>
          <w:p w14:paraId="4C858F4F"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28</w:t>
            </w:r>
          </w:p>
        </w:tc>
        <w:tc>
          <w:tcPr>
            <w:tcW w:w="1037" w:type="pct"/>
            <w:noWrap/>
            <w:hideMark/>
          </w:tcPr>
          <w:p w14:paraId="3AD7ABEE" w14:textId="0E15B861"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c>
          <w:tcPr>
            <w:tcW w:w="677" w:type="pct"/>
            <w:noWrap/>
            <w:hideMark/>
          </w:tcPr>
          <w:p w14:paraId="7EEBA851" w14:textId="5E7026F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1193" w:type="pct"/>
            <w:noWrap/>
            <w:hideMark/>
          </w:tcPr>
          <w:p w14:paraId="31A529FB" w14:textId="00CA291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28</w:t>
            </w:r>
          </w:p>
        </w:tc>
        <w:tc>
          <w:tcPr>
            <w:tcW w:w="638" w:type="pct"/>
            <w:noWrap/>
            <w:hideMark/>
          </w:tcPr>
          <w:p w14:paraId="28485415" w14:textId="49C6BAE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4</w:t>
            </w:r>
          </w:p>
        </w:tc>
        <w:tc>
          <w:tcPr>
            <w:tcW w:w="701" w:type="pct"/>
            <w:noWrap/>
            <w:hideMark/>
          </w:tcPr>
          <w:p w14:paraId="79CE718F" w14:textId="63F8841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8</w:t>
            </w:r>
          </w:p>
        </w:tc>
      </w:tr>
      <w:tr w:rsidR="00FD69A3" w:rsidRPr="003B354D" w14:paraId="13441397" w14:textId="77777777" w:rsidTr="00FD69A3">
        <w:trPr>
          <w:trHeight w:val="290"/>
        </w:trPr>
        <w:tc>
          <w:tcPr>
            <w:tcW w:w="753" w:type="pct"/>
            <w:noWrap/>
            <w:hideMark/>
          </w:tcPr>
          <w:p w14:paraId="6AD4824C"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29</w:t>
            </w:r>
          </w:p>
        </w:tc>
        <w:tc>
          <w:tcPr>
            <w:tcW w:w="1037" w:type="pct"/>
            <w:noWrap/>
            <w:hideMark/>
          </w:tcPr>
          <w:p w14:paraId="75978C6D" w14:textId="3B739E2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677" w:type="pct"/>
            <w:noWrap/>
            <w:hideMark/>
          </w:tcPr>
          <w:p w14:paraId="51F32450" w14:textId="3B70395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6</w:t>
            </w:r>
          </w:p>
        </w:tc>
        <w:tc>
          <w:tcPr>
            <w:tcW w:w="1193" w:type="pct"/>
            <w:noWrap/>
            <w:hideMark/>
          </w:tcPr>
          <w:p w14:paraId="77C4EE7F" w14:textId="3482A82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29</w:t>
            </w:r>
          </w:p>
        </w:tc>
        <w:tc>
          <w:tcPr>
            <w:tcW w:w="638" w:type="pct"/>
            <w:noWrap/>
            <w:hideMark/>
          </w:tcPr>
          <w:p w14:paraId="58FE6B62" w14:textId="4184A97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701" w:type="pct"/>
            <w:noWrap/>
            <w:hideMark/>
          </w:tcPr>
          <w:p w14:paraId="336A6226" w14:textId="0B175BB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10</w:t>
            </w:r>
          </w:p>
        </w:tc>
      </w:tr>
      <w:tr w:rsidR="00FD69A3" w:rsidRPr="003B354D" w14:paraId="0BE3647A" w14:textId="77777777" w:rsidTr="00FD69A3">
        <w:trPr>
          <w:trHeight w:val="290"/>
        </w:trPr>
        <w:tc>
          <w:tcPr>
            <w:tcW w:w="753" w:type="pct"/>
            <w:noWrap/>
            <w:hideMark/>
          </w:tcPr>
          <w:p w14:paraId="35B03BC8"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30</w:t>
            </w:r>
          </w:p>
        </w:tc>
        <w:tc>
          <w:tcPr>
            <w:tcW w:w="1037" w:type="pct"/>
            <w:noWrap/>
            <w:hideMark/>
          </w:tcPr>
          <w:p w14:paraId="44F23CC6" w14:textId="32A8EFF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677" w:type="pct"/>
            <w:noWrap/>
            <w:hideMark/>
          </w:tcPr>
          <w:p w14:paraId="1C125EF5" w14:textId="49E17CD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1193" w:type="pct"/>
            <w:noWrap/>
            <w:hideMark/>
          </w:tcPr>
          <w:p w14:paraId="07D1AD7B" w14:textId="59C3664D"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30</w:t>
            </w:r>
          </w:p>
        </w:tc>
        <w:tc>
          <w:tcPr>
            <w:tcW w:w="638" w:type="pct"/>
            <w:noWrap/>
            <w:hideMark/>
          </w:tcPr>
          <w:p w14:paraId="11F8FE4F" w14:textId="27599E7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701" w:type="pct"/>
            <w:noWrap/>
            <w:hideMark/>
          </w:tcPr>
          <w:p w14:paraId="1840E023" w14:textId="52B666D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24</w:t>
            </w:r>
          </w:p>
        </w:tc>
      </w:tr>
      <w:tr w:rsidR="00FD69A3" w:rsidRPr="003B354D" w14:paraId="7663DBA9" w14:textId="77777777" w:rsidTr="00FD69A3">
        <w:trPr>
          <w:trHeight w:val="290"/>
        </w:trPr>
        <w:tc>
          <w:tcPr>
            <w:tcW w:w="753" w:type="pct"/>
            <w:noWrap/>
            <w:hideMark/>
          </w:tcPr>
          <w:p w14:paraId="2D9253EB"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31</w:t>
            </w:r>
          </w:p>
        </w:tc>
        <w:tc>
          <w:tcPr>
            <w:tcW w:w="1037" w:type="pct"/>
            <w:noWrap/>
            <w:hideMark/>
          </w:tcPr>
          <w:p w14:paraId="61AA2FAB" w14:textId="5F4C90AA"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3</w:t>
            </w:r>
          </w:p>
        </w:tc>
        <w:tc>
          <w:tcPr>
            <w:tcW w:w="677" w:type="pct"/>
            <w:noWrap/>
            <w:hideMark/>
          </w:tcPr>
          <w:p w14:paraId="58F39008" w14:textId="7597AAA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1193" w:type="pct"/>
            <w:noWrap/>
            <w:hideMark/>
          </w:tcPr>
          <w:p w14:paraId="12E965BD" w14:textId="6AA3910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31</w:t>
            </w:r>
          </w:p>
        </w:tc>
        <w:tc>
          <w:tcPr>
            <w:tcW w:w="638" w:type="pct"/>
            <w:noWrap/>
            <w:hideMark/>
          </w:tcPr>
          <w:p w14:paraId="1EF0CD8B" w14:textId="7E30784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701" w:type="pct"/>
            <w:noWrap/>
            <w:hideMark/>
          </w:tcPr>
          <w:p w14:paraId="170A04B9" w14:textId="788253B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r>
      <w:tr w:rsidR="00FD69A3" w:rsidRPr="003B354D" w14:paraId="6AE75522" w14:textId="77777777" w:rsidTr="00FD69A3">
        <w:trPr>
          <w:trHeight w:val="290"/>
        </w:trPr>
        <w:tc>
          <w:tcPr>
            <w:tcW w:w="753" w:type="pct"/>
            <w:noWrap/>
            <w:hideMark/>
          </w:tcPr>
          <w:p w14:paraId="6FEED3E9"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32</w:t>
            </w:r>
          </w:p>
        </w:tc>
        <w:tc>
          <w:tcPr>
            <w:tcW w:w="1037" w:type="pct"/>
            <w:noWrap/>
            <w:hideMark/>
          </w:tcPr>
          <w:p w14:paraId="384472AD" w14:textId="2AEC21C8"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4</w:t>
            </w:r>
          </w:p>
        </w:tc>
        <w:tc>
          <w:tcPr>
            <w:tcW w:w="677" w:type="pct"/>
            <w:noWrap/>
            <w:hideMark/>
          </w:tcPr>
          <w:p w14:paraId="34F03961" w14:textId="7A63BAE7"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1193" w:type="pct"/>
            <w:noWrap/>
            <w:hideMark/>
          </w:tcPr>
          <w:p w14:paraId="7ED6129B" w14:textId="19C30C3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32</w:t>
            </w:r>
          </w:p>
        </w:tc>
        <w:tc>
          <w:tcPr>
            <w:tcW w:w="638" w:type="pct"/>
            <w:noWrap/>
            <w:hideMark/>
          </w:tcPr>
          <w:p w14:paraId="7594B260" w14:textId="56D5971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4</w:t>
            </w:r>
          </w:p>
        </w:tc>
        <w:tc>
          <w:tcPr>
            <w:tcW w:w="701" w:type="pct"/>
            <w:noWrap/>
            <w:hideMark/>
          </w:tcPr>
          <w:p w14:paraId="648C06A2" w14:textId="525F542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r>
      <w:tr w:rsidR="00FD69A3" w:rsidRPr="003B354D" w14:paraId="68F65863" w14:textId="77777777" w:rsidTr="00FD69A3">
        <w:trPr>
          <w:trHeight w:val="290"/>
        </w:trPr>
        <w:tc>
          <w:tcPr>
            <w:tcW w:w="753" w:type="pct"/>
            <w:noWrap/>
            <w:hideMark/>
          </w:tcPr>
          <w:p w14:paraId="47B9E2DA"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33</w:t>
            </w:r>
          </w:p>
        </w:tc>
        <w:tc>
          <w:tcPr>
            <w:tcW w:w="1037" w:type="pct"/>
            <w:noWrap/>
            <w:hideMark/>
          </w:tcPr>
          <w:p w14:paraId="41409572" w14:textId="1F94C335"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677" w:type="pct"/>
            <w:noWrap/>
            <w:hideMark/>
          </w:tcPr>
          <w:p w14:paraId="65B1FE7E" w14:textId="224DFDDF"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1193" w:type="pct"/>
            <w:noWrap/>
            <w:hideMark/>
          </w:tcPr>
          <w:p w14:paraId="787D1DEF" w14:textId="2E770953"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33</w:t>
            </w:r>
          </w:p>
        </w:tc>
        <w:tc>
          <w:tcPr>
            <w:tcW w:w="638" w:type="pct"/>
            <w:noWrap/>
            <w:hideMark/>
          </w:tcPr>
          <w:p w14:paraId="72F244D2" w14:textId="7C301D0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5</w:t>
            </w:r>
          </w:p>
        </w:tc>
        <w:tc>
          <w:tcPr>
            <w:tcW w:w="701" w:type="pct"/>
            <w:noWrap/>
            <w:hideMark/>
          </w:tcPr>
          <w:p w14:paraId="534714D0" w14:textId="1382718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16</w:t>
            </w:r>
          </w:p>
        </w:tc>
      </w:tr>
      <w:tr w:rsidR="00FD69A3" w:rsidRPr="003B354D" w14:paraId="6CC292B1" w14:textId="77777777" w:rsidTr="00FD69A3">
        <w:trPr>
          <w:trHeight w:val="290"/>
        </w:trPr>
        <w:tc>
          <w:tcPr>
            <w:tcW w:w="753" w:type="pct"/>
            <w:noWrap/>
            <w:hideMark/>
          </w:tcPr>
          <w:p w14:paraId="4DA9AC39"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34</w:t>
            </w:r>
          </w:p>
        </w:tc>
        <w:tc>
          <w:tcPr>
            <w:tcW w:w="1037" w:type="pct"/>
            <w:noWrap/>
            <w:hideMark/>
          </w:tcPr>
          <w:p w14:paraId="0140F3E2" w14:textId="4A57CF8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13</w:t>
            </w:r>
          </w:p>
        </w:tc>
        <w:tc>
          <w:tcPr>
            <w:tcW w:w="677" w:type="pct"/>
            <w:noWrap/>
            <w:hideMark/>
          </w:tcPr>
          <w:p w14:paraId="33D8CB2B" w14:textId="7CDC60BC"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c>
          <w:tcPr>
            <w:tcW w:w="1193" w:type="pct"/>
            <w:noWrap/>
            <w:hideMark/>
          </w:tcPr>
          <w:p w14:paraId="1EF6EE97" w14:textId="46A16B7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34</w:t>
            </w:r>
          </w:p>
        </w:tc>
        <w:tc>
          <w:tcPr>
            <w:tcW w:w="638" w:type="pct"/>
            <w:noWrap/>
            <w:hideMark/>
          </w:tcPr>
          <w:p w14:paraId="022BDE27" w14:textId="3953AF7B"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9</w:t>
            </w:r>
          </w:p>
        </w:tc>
        <w:tc>
          <w:tcPr>
            <w:tcW w:w="701" w:type="pct"/>
            <w:noWrap/>
            <w:hideMark/>
          </w:tcPr>
          <w:p w14:paraId="67F63E58" w14:textId="77CD419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17</w:t>
            </w:r>
          </w:p>
        </w:tc>
      </w:tr>
      <w:tr w:rsidR="00FD69A3" w:rsidRPr="003B354D" w14:paraId="1401858C" w14:textId="77777777" w:rsidTr="00FD69A3">
        <w:trPr>
          <w:trHeight w:val="290"/>
        </w:trPr>
        <w:tc>
          <w:tcPr>
            <w:tcW w:w="753" w:type="pct"/>
            <w:noWrap/>
            <w:hideMark/>
          </w:tcPr>
          <w:p w14:paraId="7F828BDB" w14:textId="77777777" w:rsidR="003B354D" w:rsidRPr="003B354D" w:rsidRDefault="003B354D" w:rsidP="00CA2700">
            <w:pPr>
              <w:jc w:val="center"/>
              <w:rPr>
                <w:rFonts w:ascii="Times New Roman" w:eastAsia="Times New Roman" w:hAnsi="Times New Roman" w:cs="Times New Roman"/>
                <w:b/>
                <w:bCs/>
                <w:color w:val="000000"/>
                <w:lang w:val="en-PH" w:eastAsia="en-PH"/>
              </w:rPr>
            </w:pPr>
            <w:r w:rsidRPr="003B354D">
              <w:rPr>
                <w:rFonts w:ascii="Times New Roman" w:eastAsia="Times New Roman" w:hAnsi="Times New Roman" w:cs="Times New Roman"/>
                <w:color w:val="000000"/>
                <w:lang w:val="en-PH" w:eastAsia="en-PH"/>
              </w:rPr>
              <w:t>35</w:t>
            </w:r>
          </w:p>
        </w:tc>
        <w:tc>
          <w:tcPr>
            <w:tcW w:w="1037" w:type="pct"/>
            <w:noWrap/>
            <w:hideMark/>
          </w:tcPr>
          <w:p w14:paraId="4E3C3EA1" w14:textId="77663579"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7</w:t>
            </w:r>
          </w:p>
        </w:tc>
        <w:tc>
          <w:tcPr>
            <w:tcW w:w="677" w:type="pct"/>
            <w:noWrap/>
            <w:hideMark/>
          </w:tcPr>
          <w:p w14:paraId="783B79E1" w14:textId="54B20380"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11</w:t>
            </w:r>
          </w:p>
        </w:tc>
        <w:tc>
          <w:tcPr>
            <w:tcW w:w="1193" w:type="pct"/>
            <w:noWrap/>
            <w:hideMark/>
          </w:tcPr>
          <w:p w14:paraId="1CBFB350" w14:textId="059E27F2"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eastAsia="Times New Roman" w:hAnsi="Times New Roman" w:cs="Times New Roman"/>
                <w:color w:val="000000"/>
                <w:lang w:val="en-PH" w:eastAsia="en-PH"/>
              </w:rPr>
              <w:t>35</w:t>
            </w:r>
          </w:p>
        </w:tc>
        <w:tc>
          <w:tcPr>
            <w:tcW w:w="638" w:type="pct"/>
            <w:noWrap/>
            <w:hideMark/>
          </w:tcPr>
          <w:p w14:paraId="014EC03C" w14:textId="2E3B2464"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6</w:t>
            </w:r>
          </w:p>
        </w:tc>
        <w:tc>
          <w:tcPr>
            <w:tcW w:w="701" w:type="pct"/>
            <w:noWrap/>
            <w:hideMark/>
          </w:tcPr>
          <w:p w14:paraId="45316BCE" w14:textId="67AF6886" w:rsidR="003B354D" w:rsidRPr="003B354D" w:rsidRDefault="003B354D" w:rsidP="00CA2700">
            <w:pPr>
              <w:jc w:val="center"/>
              <w:rPr>
                <w:rFonts w:ascii="Times New Roman" w:eastAsia="Times New Roman" w:hAnsi="Times New Roman" w:cs="Times New Roman"/>
                <w:color w:val="000000"/>
                <w:lang w:val="en-PH" w:eastAsia="en-PH"/>
              </w:rPr>
            </w:pPr>
            <w:r w:rsidRPr="003B354D">
              <w:rPr>
                <w:rFonts w:ascii="Times New Roman" w:hAnsi="Times New Roman" w:cs="Times New Roman"/>
              </w:rPr>
              <w:t>14</w:t>
            </w:r>
          </w:p>
        </w:tc>
      </w:tr>
    </w:tbl>
    <w:p w14:paraId="283D60B1" w14:textId="2777153C" w:rsidR="00E94486" w:rsidRPr="00E94486" w:rsidRDefault="00E94486" w:rsidP="00CA2700">
      <w:pPr>
        <w:spacing w:after="0" w:line="240" w:lineRule="auto"/>
        <w:jc w:val="both"/>
        <w:rPr>
          <w:rFonts w:ascii="Times New Roman" w:hAnsi="Times New Roman" w:cs="Times New Roman"/>
          <w:color w:val="000000" w:themeColor="text1"/>
          <w:sz w:val="20"/>
          <w:szCs w:val="20"/>
        </w:rPr>
      </w:pPr>
      <w:r w:rsidRPr="00E94486">
        <w:rPr>
          <w:rFonts w:ascii="Times New Roman" w:hAnsi="Times New Roman" w:cs="Times New Roman"/>
          <w:color w:val="000000" w:themeColor="text1"/>
          <w:sz w:val="20"/>
          <w:szCs w:val="20"/>
        </w:rPr>
        <w:t xml:space="preserve"> </w:t>
      </w:r>
    </w:p>
    <w:p w14:paraId="4B046F19" w14:textId="1E86E81F" w:rsidR="00794556" w:rsidRPr="00B2643B" w:rsidRDefault="00FD69A3" w:rsidP="00CA2700">
      <w:pPr>
        <w:spacing w:after="0" w:line="240" w:lineRule="auto"/>
        <w:jc w:val="both"/>
        <w:rPr>
          <w:rFonts w:ascii="Times New Roman" w:hAnsi="Times New Roman" w:cs="Times New Roman"/>
          <w:color w:val="000000" w:themeColor="text1"/>
          <w:sz w:val="20"/>
          <w:szCs w:val="20"/>
          <w:lang w:val="en-PH"/>
        </w:rPr>
      </w:pPr>
      <w:r>
        <w:rPr>
          <w:rFonts w:ascii="Times New Roman" w:hAnsi="Times New Roman" w:cs="Times New Roman"/>
          <w:color w:val="000000" w:themeColor="text1"/>
          <w:sz w:val="20"/>
          <w:szCs w:val="20"/>
          <w:lang w:val="en-PH"/>
        </w:rPr>
        <w:tab/>
      </w:r>
      <w:r w:rsidR="00E94486" w:rsidRPr="00E94486">
        <w:rPr>
          <w:rFonts w:ascii="Times New Roman" w:hAnsi="Times New Roman" w:cs="Times New Roman"/>
          <w:color w:val="000000" w:themeColor="text1"/>
          <w:sz w:val="20"/>
          <w:szCs w:val="20"/>
          <w:lang w:val="en-PH"/>
        </w:rPr>
        <w:t>The table compares pretest and post-test scores of two groups</w:t>
      </w:r>
      <w:r w:rsidR="00E94486">
        <w:rPr>
          <w:rFonts w:ascii="Times New Roman" w:hAnsi="Times New Roman" w:cs="Times New Roman"/>
          <w:color w:val="000000" w:themeColor="text1"/>
          <w:sz w:val="20"/>
          <w:szCs w:val="20"/>
          <w:lang w:val="en-PH"/>
        </w:rPr>
        <w:t xml:space="preserve"> the c</w:t>
      </w:r>
      <w:r w:rsidR="00E94486" w:rsidRPr="00E94486">
        <w:rPr>
          <w:rFonts w:ascii="Times New Roman" w:hAnsi="Times New Roman" w:cs="Times New Roman"/>
          <w:color w:val="000000" w:themeColor="text1"/>
          <w:sz w:val="20"/>
          <w:szCs w:val="20"/>
          <w:lang w:val="en-PH"/>
        </w:rPr>
        <w:t>ontrol</w:t>
      </w:r>
      <w:r w:rsidR="00E94486">
        <w:rPr>
          <w:rFonts w:ascii="Times New Roman" w:hAnsi="Times New Roman" w:cs="Times New Roman"/>
          <w:color w:val="000000" w:themeColor="text1"/>
          <w:sz w:val="20"/>
          <w:szCs w:val="20"/>
          <w:lang w:val="en-PH"/>
        </w:rPr>
        <w:t xml:space="preserve"> </w:t>
      </w:r>
      <w:r w:rsidR="00E94486" w:rsidRPr="00E94486">
        <w:rPr>
          <w:rFonts w:ascii="Times New Roman" w:hAnsi="Times New Roman" w:cs="Times New Roman"/>
          <w:color w:val="000000" w:themeColor="text1"/>
          <w:sz w:val="20"/>
          <w:szCs w:val="20"/>
          <w:lang w:val="en-PH"/>
        </w:rPr>
        <w:t>using traditional PowerPoint lectures</w:t>
      </w:r>
      <w:r w:rsidR="00E94486">
        <w:rPr>
          <w:rFonts w:ascii="Times New Roman" w:hAnsi="Times New Roman" w:cs="Times New Roman"/>
          <w:color w:val="000000" w:themeColor="text1"/>
          <w:sz w:val="20"/>
          <w:szCs w:val="20"/>
          <w:lang w:val="en-PH"/>
        </w:rPr>
        <w:t xml:space="preserve"> while in</w:t>
      </w:r>
      <w:r w:rsidR="00E94486" w:rsidRPr="00E94486">
        <w:rPr>
          <w:rFonts w:ascii="Times New Roman" w:hAnsi="Times New Roman" w:cs="Times New Roman"/>
          <w:color w:val="000000" w:themeColor="text1"/>
          <w:sz w:val="20"/>
          <w:szCs w:val="20"/>
          <w:lang w:val="en-PH"/>
        </w:rPr>
        <w:t xml:space="preserve"> </w:t>
      </w:r>
      <w:r w:rsidR="00E94486">
        <w:rPr>
          <w:rFonts w:ascii="Times New Roman" w:hAnsi="Times New Roman" w:cs="Times New Roman"/>
          <w:color w:val="000000" w:themeColor="text1"/>
          <w:sz w:val="20"/>
          <w:szCs w:val="20"/>
          <w:lang w:val="en-PH"/>
        </w:rPr>
        <w:t>e</w:t>
      </w:r>
      <w:r w:rsidR="00E94486" w:rsidRPr="00E94486">
        <w:rPr>
          <w:rFonts w:ascii="Times New Roman" w:hAnsi="Times New Roman" w:cs="Times New Roman"/>
          <w:color w:val="000000" w:themeColor="text1"/>
          <w:sz w:val="20"/>
          <w:szCs w:val="20"/>
          <w:lang w:val="en-PH"/>
        </w:rPr>
        <w:t>xperimental</w:t>
      </w:r>
      <w:r w:rsidR="00E94486">
        <w:rPr>
          <w:rFonts w:ascii="Times New Roman" w:hAnsi="Times New Roman" w:cs="Times New Roman"/>
          <w:color w:val="000000" w:themeColor="text1"/>
          <w:sz w:val="20"/>
          <w:szCs w:val="20"/>
          <w:lang w:val="en-PH"/>
        </w:rPr>
        <w:t xml:space="preserve"> group </w:t>
      </w:r>
      <w:r w:rsidR="00E94486" w:rsidRPr="00E94486">
        <w:rPr>
          <w:rFonts w:ascii="Times New Roman" w:hAnsi="Times New Roman" w:cs="Times New Roman"/>
          <w:color w:val="000000" w:themeColor="text1"/>
          <w:sz w:val="20"/>
          <w:szCs w:val="20"/>
          <w:lang w:val="en-PH"/>
        </w:rPr>
        <w:t>using Khan Academy videos</w:t>
      </w:r>
      <w:r w:rsidR="00E94486">
        <w:rPr>
          <w:rFonts w:ascii="Times New Roman" w:hAnsi="Times New Roman" w:cs="Times New Roman"/>
          <w:color w:val="000000" w:themeColor="text1"/>
          <w:sz w:val="20"/>
          <w:szCs w:val="20"/>
          <w:lang w:val="en-PH"/>
        </w:rPr>
        <w:t xml:space="preserve"> where </w:t>
      </w:r>
      <w:r w:rsidR="00E94486" w:rsidRPr="00E94486">
        <w:rPr>
          <w:rFonts w:ascii="Times New Roman" w:hAnsi="Times New Roman" w:cs="Times New Roman"/>
          <w:color w:val="000000" w:themeColor="text1"/>
          <w:sz w:val="20"/>
          <w:szCs w:val="20"/>
          <w:lang w:val="en-PH"/>
        </w:rPr>
        <w:t xml:space="preserve">each </w:t>
      </w:r>
      <w:r w:rsidR="00E94486">
        <w:rPr>
          <w:rFonts w:ascii="Times New Roman" w:hAnsi="Times New Roman" w:cs="Times New Roman"/>
          <w:color w:val="000000" w:themeColor="text1"/>
          <w:sz w:val="20"/>
          <w:szCs w:val="20"/>
          <w:lang w:val="en-PH"/>
        </w:rPr>
        <w:t xml:space="preserve">groups has </w:t>
      </w:r>
      <w:r w:rsidR="00E94486" w:rsidRPr="00E94486">
        <w:rPr>
          <w:rFonts w:ascii="Times New Roman" w:hAnsi="Times New Roman" w:cs="Times New Roman"/>
          <w:color w:val="000000" w:themeColor="text1"/>
          <w:sz w:val="20"/>
          <w:szCs w:val="20"/>
          <w:lang w:val="en-PH"/>
        </w:rPr>
        <w:t>35 respondents. In the control group, pretest scores ranged from 3 to 14, and post-test scores varied from 3 to 27</w:t>
      </w:r>
      <w:r w:rsidR="00E94486">
        <w:rPr>
          <w:rFonts w:ascii="Times New Roman" w:hAnsi="Times New Roman" w:cs="Times New Roman"/>
          <w:color w:val="000000" w:themeColor="text1"/>
          <w:sz w:val="20"/>
          <w:szCs w:val="20"/>
          <w:lang w:val="en-PH"/>
        </w:rPr>
        <w:t xml:space="preserve"> shows a</w:t>
      </w:r>
      <w:r w:rsidR="00E94486" w:rsidRPr="00E94486">
        <w:rPr>
          <w:rFonts w:ascii="Times New Roman" w:hAnsi="Times New Roman" w:cs="Times New Roman"/>
          <w:color w:val="000000" w:themeColor="text1"/>
          <w:sz w:val="20"/>
          <w:szCs w:val="20"/>
          <w:lang w:val="en-PH"/>
        </w:rPr>
        <w:t xml:space="preserve"> mixed improvement. </w:t>
      </w:r>
      <w:r w:rsidR="00E94486">
        <w:rPr>
          <w:rFonts w:ascii="Times New Roman" w:hAnsi="Times New Roman" w:cs="Times New Roman"/>
          <w:color w:val="000000" w:themeColor="text1"/>
          <w:sz w:val="20"/>
          <w:szCs w:val="20"/>
          <w:lang w:val="en-PH"/>
        </w:rPr>
        <w:t xml:space="preserve">It noticed that some </w:t>
      </w:r>
      <w:r w:rsidR="00E94486" w:rsidRPr="00E94486">
        <w:rPr>
          <w:rFonts w:ascii="Times New Roman" w:hAnsi="Times New Roman" w:cs="Times New Roman"/>
          <w:color w:val="000000" w:themeColor="text1"/>
          <w:sz w:val="20"/>
          <w:szCs w:val="20"/>
          <w:lang w:val="en-PH"/>
        </w:rPr>
        <w:t>respondents improved significantly, while others showed little or no change</w:t>
      </w:r>
      <w:r w:rsidR="00E94486">
        <w:rPr>
          <w:rFonts w:ascii="Times New Roman" w:hAnsi="Times New Roman" w:cs="Times New Roman"/>
          <w:color w:val="000000" w:themeColor="text1"/>
          <w:sz w:val="20"/>
          <w:szCs w:val="20"/>
          <w:lang w:val="en-PH"/>
        </w:rPr>
        <w:t xml:space="preserve"> which indicates a</w:t>
      </w:r>
      <w:r w:rsidR="00E94486" w:rsidRPr="00E94486">
        <w:rPr>
          <w:rFonts w:ascii="Times New Roman" w:hAnsi="Times New Roman" w:cs="Times New Roman"/>
          <w:color w:val="000000" w:themeColor="text1"/>
          <w:sz w:val="20"/>
          <w:szCs w:val="20"/>
          <w:lang w:val="en-PH"/>
        </w:rPr>
        <w:t xml:space="preserve"> limited effectiveness of traditional lectures.</w:t>
      </w:r>
      <w:r w:rsidR="00E94486">
        <w:rPr>
          <w:rFonts w:ascii="Times New Roman" w:hAnsi="Times New Roman" w:cs="Times New Roman"/>
          <w:color w:val="000000" w:themeColor="text1"/>
          <w:sz w:val="20"/>
          <w:szCs w:val="20"/>
          <w:lang w:val="en-PH"/>
        </w:rPr>
        <w:t xml:space="preserve"> </w:t>
      </w:r>
      <w:r w:rsidR="00E94486" w:rsidRPr="00E94486">
        <w:rPr>
          <w:rFonts w:ascii="Times New Roman" w:hAnsi="Times New Roman" w:cs="Times New Roman"/>
          <w:color w:val="000000" w:themeColor="text1"/>
          <w:sz w:val="20"/>
          <w:szCs w:val="20"/>
          <w:lang w:val="en-PH"/>
        </w:rPr>
        <w:t>In contrast, the experimental group</w:t>
      </w:r>
      <w:r w:rsidR="00E94486">
        <w:rPr>
          <w:rFonts w:ascii="Times New Roman" w:hAnsi="Times New Roman" w:cs="Times New Roman"/>
          <w:color w:val="000000" w:themeColor="text1"/>
          <w:sz w:val="20"/>
          <w:szCs w:val="20"/>
          <w:lang w:val="en-PH"/>
        </w:rPr>
        <w:t xml:space="preserve">s </w:t>
      </w:r>
      <w:r w:rsidR="00E94486" w:rsidRPr="00E94486">
        <w:rPr>
          <w:rFonts w:ascii="Times New Roman" w:hAnsi="Times New Roman" w:cs="Times New Roman"/>
          <w:color w:val="000000" w:themeColor="text1"/>
          <w:sz w:val="20"/>
          <w:szCs w:val="20"/>
          <w:lang w:val="en-PH"/>
        </w:rPr>
        <w:t xml:space="preserve">pretest scores ranged </w:t>
      </w:r>
      <w:r w:rsidR="00E94486" w:rsidRPr="00E94486">
        <w:rPr>
          <w:rFonts w:ascii="Times New Roman" w:hAnsi="Times New Roman" w:cs="Times New Roman"/>
          <w:color w:val="000000" w:themeColor="text1"/>
          <w:sz w:val="20"/>
          <w:szCs w:val="20"/>
          <w:lang w:val="en-PH"/>
        </w:rPr>
        <w:t>from 3 to 16</w:t>
      </w:r>
      <w:r w:rsidR="00E94486">
        <w:rPr>
          <w:rFonts w:ascii="Times New Roman" w:hAnsi="Times New Roman" w:cs="Times New Roman"/>
          <w:color w:val="000000" w:themeColor="text1"/>
          <w:sz w:val="20"/>
          <w:szCs w:val="20"/>
          <w:lang w:val="en-PH"/>
        </w:rPr>
        <w:t xml:space="preserve"> </w:t>
      </w:r>
      <w:r w:rsidR="00E94486" w:rsidRPr="00E94486">
        <w:rPr>
          <w:rFonts w:ascii="Times New Roman" w:hAnsi="Times New Roman" w:cs="Times New Roman"/>
          <w:color w:val="000000" w:themeColor="text1"/>
          <w:sz w:val="20"/>
          <w:szCs w:val="20"/>
          <w:lang w:val="en-PH"/>
        </w:rPr>
        <w:t>w</w:t>
      </w:r>
      <w:r w:rsidR="00E94486">
        <w:rPr>
          <w:rFonts w:ascii="Times New Roman" w:hAnsi="Times New Roman" w:cs="Times New Roman"/>
          <w:color w:val="000000" w:themeColor="text1"/>
          <w:sz w:val="20"/>
          <w:szCs w:val="20"/>
          <w:lang w:val="en-PH"/>
        </w:rPr>
        <w:t>hile</w:t>
      </w:r>
      <w:r w:rsidR="00E94486" w:rsidRPr="00E94486">
        <w:rPr>
          <w:rFonts w:ascii="Times New Roman" w:hAnsi="Times New Roman" w:cs="Times New Roman"/>
          <w:color w:val="000000" w:themeColor="text1"/>
          <w:sz w:val="20"/>
          <w:szCs w:val="20"/>
          <w:lang w:val="en-PH"/>
        </w:rPr>
        <w:t xml:space="preserve"> post-test scores increasing more consistently, from 5 to 28. Most participants showed significant gains, suggesting that Khan Academy videos were more effective in enhancing learning outcomes. Overall, the experimental group achieved greater and more consistent progress, highlighting the effectiveness of online videos compared to traditional lectures.</w:t>
      </w:r>
    </w:p>
    <w:p w14:paraId="5B8558EC" w14:textId="0DD81755" w:rsidR="003B354D" w:rsidRDefault="003B354D" w:rsidP="00CA2700">
      <w:pPr>
        <w:spacing w:after="0" w:line="240" w:lineRule="auto"/>
        <w:jc w:val="center"/>
        <w:rPr>
          <w:rFonts w:ascii="Times New Roman" w:hAnsi="Times New Roman" w:cs="Times New Roman"/>
          <w:b/>
          <w:bCs/>
          <w:color w:val="000000" w:themeColor="text1"/>
          <w:sz w:val="20"/>
          <w:szCs w:val="20"/>
        </w:rPr>
      </w:pPr>
      <w:r w:rsidRPr="003B354D">
        <w:rPr>
          <w:rFonts w:ascii="Times New Roman" w:hAnsi="Times New Roman" w:cs="Times New Roman"/>
          <w:b/>
          <w:bCs/>
          <w:color w:val="000000" w:themeColor="text1"/>
          <w:sz w:val="20"/>
          <w:szCs w:val="20"/>
        </w:rPr>
        <w:t>Table 3. Pre-test and Post-test Scores of Experimental and Control Group using Paired Sample T-test</w:t>
      </w:r>
    </w:p>
    <w:p w14:paraId="6509A438" w14:textId="77777777" w:rsidR="00794556" w:rsidRPr="003B354D" w:rsidRDefault="00794556" w:rsidP="00CA2700">
      <w:pPr>
        <w:spacing w:after="0" w:line="240" w:lineRule="auto"/>
        <w:jc w:val="center"/>
        <w:rPr>
          <w:rFonts w:ascii="Times New Roman" w:hAnsi="Times New Roman" w:cs="Times New Roman"/>
          <w:b/>
          <w:bCs/>
          <w:color w:val="000000" w:themeColor="text1"/>
          <w:sz w:val="20"/>
          <w:szCs w:val="20"/>
        </w:rPr>
      </w:pPr>
    </w:p>
    <w:tbl>
      <w:tblPr>
        <w:tblStyle w:val="PlainTable2"/>
        <w:tblW w:w="5000" w:type="pct"/>
        <w:tblLayout w:type="fixed"/>
        <w:tblLook w:val="04A0" w:firstRow="1" w:lastRow="0" w:firstColumn="1" w:lastColumn="0" w:noHBand="0" w:noVBand="1"/>
      </w:tblPr>
      <w:tblGrid>
        <w:gridCol w:w="652"/>
        <w:gridCol w:w="765"/>
        <w:gridCol w:w="829"/>
        <w:gridCol w:w="907"/>
        <w:gridCol w:w="567"/>
        <w:gridCol w:w="966"/>
      </w:tblGrid>
      <w:tr w:rsidR="00FD69A3" w:rsidRPr="00B2643B" w14:paraId="09F11ED7" w14:textId="77777777" w:rsidTr="00FD69A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11" w:type="pct"/>
            <w:gridSpan w:val="2"/>
            <w:hideMark/>
          </w:tcPr>
          <w:p w14:paraId="317EDFD3" w14:textId="53A7B5D1" w:rsidR="00FD69A3" w:rsidRPr="00B2643B" w:rsidRDefault="00FD69A3" w:rsidP="00CA2700">
            <w:pPr>
              <w:jc w:val="center"/>
              <w:rPr>
                <w:rFonts w:ascii="Times New Roman" w:eastAsia="Times New Roman" w:hAnsi="Times New Roman" w:cs="Times New Roman"/>
                <w:b w:val="0"/>
                <w:bCs w:val="0"/>
                <w:color w:val="333333"/>
                <w:sz w:val="20"/>
                <w:szCs w:val="20"/>
                <w:lang w:eastAsia="en-PH"/>
              </w:rPr>
            </w:pPr>
            <w:r w:rsidRPr="00B2643B">
              <w:rPr>
                <w:rFonts w:ascii="Times New Roman" w:eastAsia="Times New Roman" w:hAnsi="Times New Roman" w:cs="Times New Roman"/>
                <w:color w:val="333333"/>
                <w:sz w:val="20"/>
                <w:szCs w:val="20"/>
                <w:lang w:eastAsia="en-PH"/>
              </w:rPr>
              <w:t>Test</w:t>
            </w:r>
          </w:p>
        </w:tc>
        <w:tc>
          <w:tcPr>
            <w:tcW w:w="885" w:type="pct"/>
            <w:hideMark/>
          </w:tcPr>
          <w:p w14:paraId="6B5D5DBE" w14:textId="77777777" w:rsidR="00FD69A3" w:rsidRPr="00B2643B"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B2643B">
              <w:rPr>
                <w:rFonts w:ascii="Times New Roman" w:eastAsia="Times New Roman" w:hAnsi="Times New Roman" w:cs="Times New Roman"/>
                <w:color w:val="333333"/>
                <w:sz w:val="20"/>
                <w:szCs w:val="20"/>
                <w:lang w:eastAsia="en-PH"/>
              </w:rPr>
              <w:t> </w:t>
            </w:r>
          </w:p>
        </w:tc>
        <w:tc>
          <w:tcPr>
            <w:tcW w:w="968" w:type="pct"/>
            <w:hideMark/>
          </w:tcPr>
          <w:p w14:paraId="77E235C9" w14:textId="77777777" w:rsidR="00FD69A3" w:rsidRPr="00B2643B"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B2643B">
              <w:rPr>
                <w:rFonts w:ascii="Times New Roman" w:eastAsia="Times New Roman" w:hAnsi="Times New Roman" w:cs="Times New Roman"/>
                <w:color w:val="333333"/>
                <w:sz w:val="20"/>
                <w:szCs w:val="20"/>
                <w:lang w:eastAsia="en-PH"/>
              </w:rPr>
              <w:t>Statistic</w:t>
            </w:r>
          </w:p>
        </w:tc>
        <w:tc>
          <w:tcPr>
            <w:tcW w:w="605" w:type="pct"/>
            <w:hideMark/>
          </w:tcPr>
          <w:p w14:paraId="3C365249" w14:textId="77777777" w:rsidR="00FD69A3" w:rsidRPr="00B2643B"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B2643B">
              <w:rPr>
                <w:rFonts w:ascii="Times New Roman" w:eastAsia="Times New Roman" w:hAnsi="Times New Roman" w:cs="Times New Roman"/>
                <w:color w:val="333333"/>
                <w:sz w:val="20"/>
                <w:szCs w:val="20"/>
                <w:lang w:eastAsia="en-PH"/>
              </w:rPr>
              <w:t>df</w:t>
            </w:r>
          </w:p>
        </w:tc>
        <w:tc>
          <w:tcPr>
            <w:tcW w:w="1031" w:type="pct"/>
            <w:hideMark/>
          </w:tcPr>
          <w:p w14:paraId="0AFF9483" w14:textId="77777777" w:rsidR="00FD69A3" w:rsidRPr="00B2643B"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B2643B">
              <w:rPr>
                <w:rFonts w:ascii="Times New Roman" w:eastAsia="Times New Roman" w:hAnsi="Times New Roman" w:cs="Times New Roman"/>
                <w:color w:val="333333"/>
                <w:sz w:val="20"/>
                <w:szCs w:val="20"/>
                <w:lang w:eastAsia="en-PH"/>
              </w:rPr>
              <w:t>p</w:t>
            </w:r>
          </w:p>
        </w:tc>
      </w:tr>
      <w:tr w:rsidR="00FD69A3" w:rsidRPr="00B2643B" w14:paraId="0B81CDAC" w14:textId="77777777" w:rsidTr="00FD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5" w:type="pct"/>
            <w:hideMark/>
          </w:tcPr>
          <w:p w14:paraId="577FA1CD" w14:textId="3AE048B3" w:rsidR="00FD69A3" w:rsidRPr="00FD69A3" w:rsidRDefault="00FD69A3" w:rsidP="00CA2700">
            <w:pPr>
              <w:rPr>
                <w:rFonts w:ascii="Times New Roman" w:eastAsia="Times New Roman" w:hAnsi="Times New Roman" w:cs="Times New Roman"/>
                <w:b w:val="0"/>
                <w:bCs w:val="0"/>
                <w:color w:val="333333"/>
                <w:sz w:val="20"/>
                <w:szCs w:val="20"/>
                <w:lang w:eastAsia="en-PH"/>
              </w:rPr>
            </w:pPr>
            <w:r w:rsidRPr="00FD69A3">
              <w:rPr>
                <w:rFonts w:ascii="Times New Roman" w:eastAsia="Times New Roman" w:hAnsi="Times New Roman" w:cs="Times New Roman"/>
                <w:b w:val="0"/>
                <w:bCs w:val="0"/>
                <w:color w:val="333333"/>
                <w:sz w:val="20"/>
                <w:szCs w:val="20"/>
                <w:lang w:eastAsia="en-PH"/>
              </w:rPr>
              <w:t>Pre-test (C)</w:t>
            </w:r>
          </w:p>
        </w:tc>
        <w:tc>
          <w:tcPr>
            <w:tcW w:w="816" w:type="pct"/>
            <w:hideMark/>
          </w:tcPr>
          <w:p w14:paraId="00407AFF" w14:textId="07C0844F" w:rsidR="00FD69A3" w:rsidRPr="00FD69A3" w:rsidRDefault="00FD69A3" w:rsidP="00CA27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FD69A3">
              <w:rPr>
                <w:rFonts w:ascii="Times New Roman" w:eastAsia="Times New Roman" w:hAnsi="Times New Roman" w:cs="Times New Roman"/>
                <w:color w:val="333333"/>
                <w:sz w:val="20"/>
                <w:szCs w:val="20"/>
                <w:lang w:eastAsia="en-PH"/>
              </w:rPr>
              <w:t>Pre-test (E)</w:t>
            </w:r>
          </w:p>
        </w:tc>
        <w:tc>
          <w:tcPr>
            <w:tcW w:w="885" w:type="pct"/>
            <w:hideMark/>
          </w:tcPr>
          <w:p w14:paraId="5E40133C" w14:textId="68CED3BF" w:rsidR="00FD69A3" w:rsidRPr="00B2643B" w:rsidRDefault="00FD69A3" w:rsidP="00CA27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B2643B">
              <w:rPr>
                <w:rFonts w:ascii="Times New Roman" w:eastAsia="Times New Roman" w:hAnsi="Times New Roman" w:cs="Times New Roman"/>
                <w:color w:val="333333"/>
                <w:sz w:val="20"/>
                <w:szCs w:val="20"/>
                <w:lang w:eastAsia="en-PH"/>
              </w:rPr>
              <w:t>Student's t</w:t>
            </w:r>
          </w:p>
        </w:tc>
        <w:tc>
          <w:tcPr>
            <w:tcW w:w="968" w:type="pct"/>
            <w:hideMark/>
          </w:tcPr>
          <w:p w14:paraId="2AB62C00" w14:textId="16AFAE94" w:rsidR="00FD69A3" w:rsidRPr="00B2643B" w:rsidRDefault="00FD69A3" w:rsidP="00CA27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756A8D">
              <w:rPr>
                <w:rFonts w:ascii="Times New Roman" w:hAnsi="Times New Roman" w:cs="Times New Roman"/>
                <w:sz w:val="20"/>
                <w:szCs w:val="20"/>
              </w:rPr>
              <w:t>0.00</w:t>
            </w:r>
          </w:p>
        </w:tc>
        <w:tc>
          <w:tcPr>
            <w:tcW w:w="605" w:type="pct"/>
            <w:hideMark/>
          </w:tcPr>
          <w:p w14:paraId="31FA11A2" w14:textId="22BADE27" w:rsidR="00FD69A3" w:rsidRPr="00B2643B" w:rsidRDefault="00FD69A3" w:rsidP="00CA27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756A8D">
              <w:rPr>
                <w:rFonts w:ascii="Times New Roman" w:hAnsi="Times New Roman" w:cs="Times New Roman"/>
                <w:sz w:val="20"/>
                <w:szCs w:val="20"/>
              </w:rPr>
              <w:t>34.0</w:t>
            </w:r>
          </w:p>
        </w:tc>
        <w:tc>
          <w:tcPr>
            <w:tcW w:w="1031" w:type="pct"/>
            <w:hideMark/>
          </w:tcPr>
          <w:p w14:paraId="0373C60F" w14:textId="32A7A9DC" w:rsidR="00FD69A3" w:rsidRPr="00B2643B" w:rsidRDefault="00FD69A3" w:rsidP="00CA27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Pr>
                <w:rFonts w:ascii="Times New Roman" w:hAnsi="Times New Roman" w:cs="Times New Roman"/>
              </w:rPr>
              <w:t xml:space="preserve">  </w:t>
            </w:r>
            <w:r w:rsidRPr="00756A8D">
              <w:rPr>
                <w:rFonts w:ascii="Times New Roman" w:hAnsi="Times New Roman" w:cs="Times New Roman"/>
                <w:sz w:val="20"/>
                <w:szCs w:val="20"/>
              </w:rPr>
              <w:t>1.000</w:t>
            </w:r>
          </w:p>
        </w:tc>
      </w:tr>
      <w:tr w:rsidR="00FD69A3" w:rsidRPr="00B2643B" w14:paraId="2060B454" w14:textId="77777777" w:rsidTr="00FD69A3">
        <w:tc>
          <w:tcPr>
            <w:cnfStyle w:val="001000000000" w:firstRow="0" w:lastRow="0" w:firstColumn="1" w:lastColumn="0" w:oddVBand="0" w:evenVBand="0" w:oddHBand="0" w:evenHBand="0" w:firstRowFirstColumn="0" w:firstRowLastColumn="0" w:lastRowFirstColumn="0" w:lastRowLastColumn="0"/>
            <w:tcW w:w="695" w:type="pct"/>
            <w:hideMark/>
          </w:tcPr>
          <w:p w14:paraId="7EFFD20D" w14:textId="7A43602E" w:rsidR="00FD69A3" w:rsidRPr="00FD69A3" w:rsidRDefault="00FD69A3" w:rsidP="00CA2700">
            <w:pPr>
              <w:rPr>
                <w:rFonts w:ascii="Times New Roman" w:eastAsia="Times New Roman" w:hAnsi="Times New Roman" w:cs="Times New Roman"/>
                <w:b w:val="0"/>
                <w:bCs w:val="0"/>
                <w:color w:val="333333"/>
                <w:sz w:val="20"/>
                <w:szCs w:val="20"/>
                <w:lang w:eastAsia="en-PH"/>
              </w:rPr>
            </w:pPr>
            <w:r w:rsidRPr="00FD69A3">
              <w:rPr>
                <w:rFonts w:ascii="Times New Roman" w:eastAsia="Times New Roman" w:hAnsi="Times New Roman" w:cs="Times New Roman"/>
                <w:b w:val="0"/>
                <w:bCs w:val="0"/>
                <w:color w:val="333333"/>
                <w:sz w:val="20"/>
                <w:szCs w:val="20"/>
                <w:lang w:eastAsia="en-PH"/>
              </w:rPr>
              <w:t>Post-test (C)</w:t>
            </w:r>
          </w:p>
        </w:tc>
        <w:tc>
          <w:tcPr>
            <w:tcW w:w="816" w:type="pct"/>
            <w:hideMark/>
          </w:tcPr>
          <w:p w14:paraId="6B84156D" w14:textId="17FCD4C2" w:rsidR="00FD69A3" w:rsidRPr="00FD69A3" w:rsidRDefault="00FD69A3" w:rsidP="00CA27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FD69A3">
              <w:rPr>
                <w:rFonts w:ascii="Times New Roman" w:eastAsia="Times New Roman" w:hAnsi="Times New Roman" w:cs="Times New Roman"/>
                <w:color w:val="333333"/>
                <w:sz w:val="20"/>
                <w:szCs w:val="20"/>
                <w:lang w:eastAsia="en-PH"/>
              </w:rPr>
              <w:t>Post-test (E)</w:t>
            </w:r>
          </w:p>
        </w:tc>
        <w:tc>
          <w:tcPr>
            <w:tcW w:w="885" w:type="pct"/>
            <w:hideMark/>
          </w:tcPr>
          <w:p w14:paraId="67D511BC" w14:textId="3A498F98" w:rsidR="00FD69A3" w:rsidRPr="00B2643B" w:rsidRDefault="00FD69A3" w:rsidP="00CA27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B2643B">
              <w:rPr>
                <w:rFonts w:ascii="Times New Roman" w:eastAsia="Times New Roman" w:hAnsi="Times New Roman" w:cs="Times New Roman"/>
                <w:color w:val="333333"/>
                <w:sz w:val="20"/>
                <w:szCs w:val="20"/>
                <w:lang w:eastAsia="en-PH"/>
              </w:rPr>
              <w:t>Student's t</w:t>
            </w:r>
          </w:p>
        </w:tc>
        <w:tc>
          <w:tcPr>
            <w:tcW w:w="968" w:type="pct"/>
            <w:hideMark/>
          </w:tcPr>
          <w:p w14:paraId="13D12A96" w14:textId="42B16437" w:rsidR="00FD69A3" w:rsidRPr="00B2643B" w:rsidRDefault="00FD69A3" w:rsidP="00CA270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756A8D">
              <w:rPr>
                <w:rFonts w:ascii="Times New Roman" w:hAnsi="Times New Roman" w:cs="Times New Roman"/>
                <w:sz w:val="20"/>
                <w:szCs w:val="20"/>
              </w:rPr>
              <w:t>-2.38</w:t>
            </w:r>
          </w:p>
        </w:tc>
        <w:tc>
          <w:tcPr>
            <w:tcW w:w="605" w:type="pct"/>
            <w:hideMark/>
          </w:tcPr>
          <w:p w14:paraId="02EE773B" w14:textId="55009157" w:rsidR="00FD69A3" w:rsidRPr="00B2643B" w:rsidRDefault="00FD69A3" w:rsidP="00CA270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756A8D">
              <w:rPr>
                <w:rFonts w:ascii="Times New Roman" w:hAnsi="Times New Roman" w:cs="Times New Roman"/>
                <w:sz w:val="20"/>
                <w:szCs w:val="20"/>
              </w:rPr>
              <w:t>34.0</w:t>
            </w:r>
          </w:p>
        </w:tc>
        <w:tc>
          <w:tcPr>
            <w:tcW w:w="1031" w:type="pct"/>
            <w:hideMark/>
          </w:tcPr>
          <w:p w14:paraId="4B193059" w14:textId="3409762C" w:rsidR="00FD69A3" w:rsidRPr="00B2643B" w:rsidRDefault="00FD69A3" w:rsidP="00CA27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756A8D">
              <w:rPr>
                <w:rFonts w:ascii="Times New Roman" w:hAnsi="Times New Roman" w:cs="Times New Roman"/>
                <w:sz w:val="20"/>
                <w:szCs w:val="20"/>
              </w:rPr>
              <w:t>0.023</w:t>
            </w:r>
          </w:p>
        </w:tc>
      </w:tr>
      <w:tr w:rsidR="00B2643B" w:rsidRPr="00B2643B" w14:paraId="54C41002" w14:textId="77777777" w:rsidTr="00FD69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gridSpan w:val="6"/>
            <w:hideMark/>
          </w:tcPr>
          <w:p w14:paraId="38F2C6DE" w14:textId="09BCCED8" w:rsidR="00B2643B" w:rsidRPr="00257674" w:rsidRDefault="00B2643B" w:rsidP="00CA2700">
            <w:pPr>
              <w:rPr>
                <w:rFonts w:ascii="Times New Roman" w:eastAsia="Times New Roman" w:hAnsi="Times New Roman" w:cs="Times New Roman"/>
                <w:b w:val="0"/>
                <w:bCs w:val="0"/>
                <w:color w:val="333333"/>
                <w:sz w:val="20"/>
                <w:szCs w:val="20"/>
                <w:lang w:eastAsia="en-PH"/>
              </w:rPr>
            </w:pPr>
            <w:r w:rsidRPr="00257674">
              <w:rPr>
                <w:rFonts w:ascii="Times New Roman" w:eastAsia="Times New Roman" w:hAnsi="Times New Roman" w:cs="Times New Roman"/>
                <w:b w:val="0"/>
                <w:bCs w:val="0"/>
                <w:color w:val="333333"/>
                <w:sz w:val="20"/>
                <w:szCs w:val="20"/>
                <w:lang w:eastAsia="en-PH"/>
              </w:rPr>
              <w:t>Note. Hₐ μ </w:t>
            </w:r>
            <w:r w:rsidRPr="00257674">
              <w:rPr>
                <w:rFonts w:ascii="Times New Roman" w:eastAsia="Times New Roman" w:hAnsi="Times New Roman" w:cs="Times New Roman"/>
                <w:b w:val="0"/>
                <w:bCs w:val="0"/>
                <w:color w:val="333333"/>
                <w:sz w:val="20"/>
                <w:szCs w:val="20"/>
                <w:vertAlign w:val="subscript"/>
                <w:lang w:eastAsia="en-PH"/>
              </w:rPr>
              <w:t>Measure 1 - Measure 2</w:t>
            </w:r>
            <w:r w:rsidRPr="00257674">
              <w:rPr>
                <w:rFonts w:ascii="Times New Roman" w:eastAsia="Times New Roman" w:hAnsi="Times New Roman" w:cs="Times New Roman"/>
                <w:b w:val="0"/>
                <w:bCs w:val="0"/>
                <w:color w:val="333333"/>
                <w:sz w:val="20"/>
                <w:szCs w:val="20"/>
                <w:lang w:eastAsia="en-PH"/>
              </w:rPr>
              <w:t xml:space="preserve"> ≠ 0, p &lt; 0.05</w:t>
            </w:r>
          </w:p>
        </w:tc>
      </w:tr>
      <w:tr w:rsidR="00B2643B" w:rsidRPr="00B2643B" w14:paraId="222B14E2" w14:textId="77777777" w:rsidTr="00FD69A3">
        <w:tc>
          <w:tcPr>
            <w:cnfStyle w:val="001000000000" w:firstRow="0" w:lastRow="0" w:firstColumn="1" w:lastColumn="0" w:oddVBand="0" w:evenVBand="0" w:oddHBand="0" w:evenHBand="0" w:firstRowFirstColumn="0" w:firstRowLastColumn="0" w:lastRowFirstColumn="0" w:lastRowLastColumn="0"/>
            <w:tcW w:w="5000" w:type="pct"/>
            <w:gridSpan w:val="6"/>
            <w:hideMark/>
          </w:tcPr>
          <w:p w14:paraId="00A70302" w14:textId="77777777" w:rsidR="00B2643B" w:rsidRPr="00B2643B" w:rsidRDefault="00B2643B" w:rsidP="00CA2700">
            <w:pPr>
              <w:rPr>
                <w:rFonts w:ascii="Times New Roman" w:eastAsia="Times New Roman" w:hAnsi="Times New Roman" w:cs="Times New Roman"/>
                <w:color w:val="333333"/>
                <w:sz w:val="20"/>
                <w:szCs w:val="20"/>
                <w:lang w:eastAsia="en-PH"/>
              </w:rPr>
            </w:pPr>
          </w:p>
        </w:tc>
      </w:tr>
    </w:tbl>
    <w:p w14:paraId="693A7482" w14:textId="77777777" w:rsidR="00794556" w:rsidRDefault="00B2643B"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
    <w:p w14:paraId="5108D064" w14:textId="3C4B60BE" w:rsidR="00794556" w:rsidRDefault="00794556"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B2643B" w:rsidRPr="00B2643B">
        <w:rPr>
          <w:rFonts w:ascii="Times New Roman" w:hAnsi="Times New Roman" w:cs="Times New Roman"/>
          <w:color w:val="000000" w:themeColor="text1"/>
          <w:sz w:val="20"/>
          <w:szCs w:val="20"/>
        </w:rPr>
        <w:t xml:space="preserve">Table </w:t>
      </w:r>
      <w:r w:rsidR="00B2643B">
        <w:rPr>
          <w:rFonts w:ascii="Times New Roman" w:hAnsi="Times New Roman" w:cs="Times New Roman"/>
          <w:color w:val="000000" w:themeColor="text1"/>
          <w:sz w:val="20"/>
          <w:szCs w:val="20"/>
        </w:rPr>
        <w:t>3</w:t>
      </w:r>
      <w:r w:rsidR="00B2643B" w:rsidRPr="00B2643B">
        <w:rPr>
          <w:rFonts w:ascii="Times New Roman" w:hAnsi="Times New Roman" w:cs="Times New Roman"/>
          <w:color w:val="000000" w:themeColor="text1"/>
          <w:sz w:val="20"/>
          <w:szCs w:val="20"/>
        </w:rPr>
        <w:t>, shows the results of the Paired Samples T-Test indicates the significant differences in student scores on the topic of molecular polarity between the control and experimental groups.</w:t>
      </w:r>
      <w:r>
        <w:rPr>
          <w:rFonts w:ascii="Times New Roman" w:hAnsi="Times New Roman" w:cs="Times New Roman"/>
          <w:color w:val="000000" w:themeColor="text1"/>
          <w:sz w:val="20"/>
          <w:szCs w:val="20"/>
        </w:rPr>
        <w:t xml:space="preserve"> </w:t>
      </w:r>
      <w:r w:rsidRPr="00794556">
        <w:rPr>
          <w:rFonts w:ascii="Times New Roman" w:hAnsi="Times New Roman" w:cs="Times New Roman"/>
          <w:color w:val="000000" w:themeColor="text1"/>
          <w:sz w:val="20"/>
          <w:szCs w:val="20"/>
        </w:rPr>
        <w:t>For the pre-test scores, the t-value is 0.00 with 34 degrees of freedom (df) and a p-value of 1.000. This indicates no significant difference between the pretest scores of the control and experimental groups, suggesting that both groups started with similar levels of knowledge or ability.</w:t>
      </w:r>
      <w:r w:rsidR="008450FD">
        <w:rPr>
          <w:rFonts w:ascii="Times New Roman" w:hAnsi="Times New Roman" w:cs="Times New Roman"/>
          <w:color w:val="000000" w:themeColor="text1"/>
          <w:sz w:val="20"/>
          <w:szCs w:val="20"/>
        </w:rPr>
        <w:t xml:space="preserve"> Whereas, </w:t>
      </w:r>
      <w:r>
        <w:rPr>
          <w:rFonts w:ascii="Times New Roman" w:hAnsi="Times New Roman" w:cs="Times New Roman"/>
          <w:color w:val="000000" w:themeColor="text1"/>
          <w:sz w:val="20"/>
          <w:szCs w:val="20"/>
        </w:rPr>
        <w:t>f</w:t>
      </w:r>
      <w:r w:rsidRPr="00794556">
        <w:rPr>
          <w:rFonts w:ascii="Times New Roman" w:hAnsi="Times New Roman" w:cs="Times New Roman"/>
          <w:color w:val="000000" w:themeColor="text1"/>
          <w:sz w:val="20"/>
          <w:szCs w:val="20"/>
        </w:rPr>
        <w:t>or the post-test scores</w:t>
      </w:r>
      <w:r>
        <w:rPr>
          <w:rFonts w:ascii="Times New Roman" w:hAnsi="Times New Roman" w:cs="Times New Roman"/>
          <w:color w:val="000000" w:themeColor="text1"/>
          <w:sz w:val="20"/>
          <w:szCs w:val="20"/>
        </w:rPr>
        <w:t xml:space="preserve"> </w:t>
      </w:r>
      <w:r w:rsidRPr="00794556">
        <w:rPr>
          <w:rFonts w:ascii="Times New Roman" w:hAnsi="Times New Roman" w:cs="Times New Roman"/>
          <w:color w:val="000000" w:themeColor="text1"/>
          <w:sz w:val="20"/>
          <w:szCs w:val="20"/>
        </w:rPr>
        <w:t>the t-value is -2.38 with the same degrees of freedom, and the p-value is 0.023. Since the p-value is less than 0.05, this result is statistically significant</w:t>
      </w:r>
      <w:r>
        <w:rPr>
          <w:rFonts w:ascii="Times New Roman" w:hAnsi="Times New Roman" w:cs="Times New Roman"/>
          <w:color w:val="000000" w:themeColor="text1"/>
          <w:sz w:val="20"/>
          <w:szCs w:val="20"/>
        </w:rPr>
        <w:t xml:space="preserve"> </w:t>
      </w:r>
      <w:r w:rsidRPr="00794556">
        <w:rPr>
          <w:rFonts w:ascii="Times New Roman" w:hAnsi="Times New Roman" w:cs="Times New Roman"/>
          <w:color w:val="000000" w:themeColor="text1"/>
          <w:sz w:val="20"/>
          <w:szCs w:val="20"/>
        </w:rPr>
        <w:t>indicat</w:t>
      </w:r>
      <w:r>
        <w:rPr>
          <w:rFonts w:ascii="Times New Roman" w:hAnsi="Times New Roman" w:cs="Times New Roman"/>
          <w:color w:val="000000" w:themeColor="text1"/>
          <w:sz w:val="20"/>
          <w:szCs w:val="20"/>
        </w:rPr>
        <w:t>es</w:t>
      </w:r>
      <w:r w:rsidRPr="00794556">
        <w:rPr>
          <w:rFonts w:ascii="Times New Roman" w:hAnsi="Times New Roman" w:cs="Times New Roman"/>
          <w:color w:val="000000" w:themeColor="text1"/>
          <w:sz w:val="20"/>
          <w:szCs w:val="20"/>
        </w:rPr>
        <w:t xml:space="preserve"> a meaningful difference in post-test scores between the two groups. Specifically, the negative t-value suggests that the experimental group</w:t>
      </w:r>
      <w:r>
        <w:rPr>
          <w:rFonts w:ascii="Times New Roman" w:hAnsi="Times New Roman" w:cs="Times New Roman"/>
          <w:color w:val="000000" w:themeColor="text1"/>
          <w:sz w:val="20"/>
          <w:szCs w:val="20"/>
        </w:rPr>
        <w:t xml:space="preserve"> the</w:t>
      </w:r>
      <w:r w:rsidRPr="00794556">
        <w:rPr>
          <w:rFonts w:ascii="Times New Roman" w:hAnsi="Times New Roman" w:cs="Times New Roman"/>
          <w:color w:val="000000" w:themeColor="text1"/>
          <w:sz w:val="20"/>
          <w:szCs w:val="20"/>
        </w:rPr>
        <w:t xml:space="preserve"> used </w:t>
      </w:r>
      <w:r>
        <w:rPr>
          <w:rFonts w:ascii="Times New Roman" w:hAnsi="Times New Roman" w:cs="Times New Roman"/>
          <w:color w:val="000000" w:themeColor="text1"/>
          <w:sz w:val="20"/>
          <w:szCs w:val="20"/>
        </w:rPr>
        <w:t xml:space="preserve">of </w:t>
      </w:r>
      <w:r w:rsidRPr="00794556">
        <w:rPr>
          <w:rFonts w:ascii="Times New Roman" w:hAnsi="Times New Roman" w:cs="Times New Roman"/>
          <w:color w:val="000000" w:themeColor="text1"/>
          <w:sz w:val="20"/>
          <w:szCs w:val="20"/>
        </w:rPr>
        <w:t>Khan Academy online videos</w:t>
      </w:r>
      <w:r>
        <w:rPr>
          <w:rFonts w:ascii="Times New Roman" w:hAnsi="Times New Roman" w:cs="Times New Roman"/>
          <w:color w:val="000000" w:themeColor="text1"/>
          <w:sz w:val="20"/>
          <w:szCs w:val="20"/>
        </w:rPr>
        <w:t xml:space="preserve"> were </w:t>
      </w:r>
      <w:r w:rsidRPr="00794556">
        <w:rPr>
          <w:rFonts w:ascii="Times New Roman" w:hAnsi="Times New Roman" w:cs="Times New Roman"/>
          <w:color w:val="000000" w:themeColor="text1"/>
          <w:sz w:val="20"/>
          <w:szCs w:val="20"/>
        </w:rPr>
        <w:t>outperformed the control group that used traditional lectures with PowerPoint presentations.</w:t>
      </w:r>
    </w:p>
    <w:p w14:paraId="0A847273" w14:textId="00808E4E" w:rsidR="00794556" w:rsidRDefault="00794556" w:rsidP="00CA2700">
      <w:pPr>
        <w:spacing w:after="0" w:line="240" w:lineRule="auto"/>
        <w:jc w:val="both"/>
        <w:rPr>
          <w:rFonts w:ascii="Times New Roman" w:hAnsi="Times New Roman" w:cs="Times New Roman"/>
          <w:color w:val="000000" w:themeColor="text1"/>
          <w:sz w:val="20"/>
          <w:szCs w:val="20"/>
        </w:rPr>
      </w:pPr>
    </w:p>
    <w:p w14:paraId="66CE2EB8" w14:textId="00274B0D" w:rsidR="00794556" w:rsidRDefault="00794556" w:rsidP="00CA2700">
      <w:pPr>
        <w:spacing w:after="0" w:line="240" w:lineRule="auto"/>
        <w:jc w:val="center"/>
        <w:rPr>
          <w:rFonts w:ascii="Times New Roman" w:hAnsi="Times New Roman" w:cs="Times New Roman"/>
          <w:b/>
          <w:bCs/>
          <w:color w:val="000000" w:themeColor="text1"/>
          <w:sz w:val="20"/>
          <w:szCs w:val="20"/>
        </w:rPr>
      </w:pPr>
      <w:r w:rsidRPr="003B354D">
        <w:rPr>
          <w:rFonts w:ascii="Times New Roman" w:hAnsi="Times New Roman" w:cs="Times New Roman"/>
          <w:b/>
          <w:bCs/>
          <w:color w:val="000000" w:themeColor="text1"/>
          <w:sz w:val="20"/>
          <w:szCs w:val="20"/>
        </w:rPr>
        <w:t xml:space="preserve">Table </w:t>
      </w:r>
      <w:r>
        <w:rPr>
          <w:rFonts w:ascii="Times New Roman" w:hAnsi="Times New Roman" w:cs="Times New Roman"/>
          <w:b/>
          <w:bCs/>
          <w:color w:val="000000" w:themeColor="text1"/>
          <w:sz w:val="20"/>
          <w:szCs w:val="20"/>
        </w:rPr>
        <w:t>4</w:t>
      </w:r>
      <w:r w:rsidRPr="003B354D">
        <w:rPr>
          <w:rFonts w:ascii="Times New Roman" w:hAnsi="Times New Roman" w:cs="Times New Roman"/>
          <w:b/>
          <w:bCs/>
          <w:color w:val="000000" w:themeColor="text1"/>
          <w:sz w:val="20"/>
          <w:szCs w:val="20"/>
        </w:rPr>
        <w:t xml:space="preserve">. </w:t>
      </w:r>
      <w:r w:rsidRPr="00794556">
        <w:rPr>
          <w:rFonts w:ascii="Times New Roman" w:hAnsi="Times New Roman" w:cs="Times New Roman"/>
          <w:b/>
          <w:bCs/>
          <w:color w:val="000000" w:themeColor="text1"/>
          <w:sz w:val="20"/>
          <w:szCs w:val="20"/>
        </w:rPr>
        <w:t>Test Difference Scores of Experimental and Control Group using Independent Sample T-test</w:t>
      </w:r>
    </w:p>
    <w:p w14:paraId="3374597E" w14:textId="77777777" w:rsidR="00794556" w:rsidRDefault="00794556" w:rsidP="00CA2700">
      <w:pPr>
        <w:spacing w:after="0" w:line="240" w:lineRule="auto"/>
        <w:jc w:val="center"/>
        <w:rPr>
          <w:rFonts w:ascii="Times New Roman" w:hAnsi="Times New Roman" w:cs="Times New Roman"/>
          <w:b/>
          <w:bCs/>
          <w:color w:val="000000" w:themeColor="text1"/>
          <w:sz w:val="20"/>
          <w:szCs w:val="20"/>
        </w:rPr>
      </w:pPr>
    </w:p>
    <w:tbl>
      <w:tblPr>
        <w:tblStyle w:val="PlainTable2"/>
        <w:tblW w:w="0" w:type="auto"/>
        <w:tblLook w:val="04A0" w:firstRow="1" w:lastRow="0" w:firstColumn="1" w:lastColumn="0" w:noHBand="0" w:noVBand="1"/>
      </w:tblPr>
      <w:tblGrid>
        <w:gridCol w:w="1427"/>
        <w:gridCol w:w="1069"/>
        <w:gridCol w:w="905"/>
        <w:gridCol w:w="566"/>
        <w:gridCol w:w="719"/>
      </w:tblGrid>
      <w:tr w:rsidR="00FD69A3" w:rsidRPr="008450FD" w14:paraId="2A733415" w14:textId="77777777" w:rsidTr="002576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hideMark/>
          </w:tcPr>
          <w:p w14:paraId="5677DE4A" w14:textId="1FEBBCBE" w:rsidR="00FD69A3" w:rsidRPr="00257674" w:rsidRDefault="00FD69A3" w:rsidP="00CA2700">
            <w:pPr>
              <w:jc w:val="center"/>
              <w:rPr>
                <w:rFonts w:ascii="Times New Roman" w:eastAsia="Times New Roman" w:hAnsi="Times New Roman" w:cs="Times New Roman"/>
                <w:b w:val="0"/>
                <w:bCs w:val="0"/>
                <w:color w:val="333333"/>
                <w:sz w:val="20"/>
                <w:szCs w:val="20"/>
                <w:lang w:eastAsia="en-PH"/>
              </w:rPr>
            </w:pPr>
            <w:r w:rsidRPr="00257674">
              <w:rPr>
                <w:rFonts w:ascii="Times New Roman" w:eastAsia="Times New Roman" w:hAnsi="Times New Roman" w:cs="Times New Roman"/>
                <w:b w:val="0"/>
                <w:bCs w:val="0"/>
                <w:color w:val="333333"/>
                <w:sz w:val="20"/>
                <w:szCs w:val="20"/>
                <w:lang w:eastAsia="en-PH"/>
              </w:rPr>
              <w:t>Groups</w:t>
            </w:r>
          </w:p>
        </w:tc>
        <w:tc>
          <w:tcPr>
            <w:tcW w:w="1073" w:type="dxa"/>
            <w:hideMark/>
          </w:tcPr>
          <w:p w14:paraId="071356A6" w14:textId="77777777" w:rsidR="00FD69A3" w:rsidRPr="008450FD"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8450FD">
              <w:rPr>
                <w:rFonts w:ascii="Times New Roman" w:eastAsia="Times New Roman" w:hAnsi="Times New Roman" w:cs="Times New Roman"/>
                <w:color w:val="333333"/>
                <w:sz w:val="20"/>
                <w:szCs w:val="20"/>
                <w:lang w:eastAsia="en-PH"/>
              </w:rPr>
              <w:t> </w:t>
            </w:r>
          </w:p>
        </w:tc>
        <w:tc>
          <w:tcPr>
            <w:tcW w:w="0" w:type="auto"/>
            <w:hideMark/>
          </w:tcPr>
          <w:p w14:paraId="0BEFCBB7" w14:textId="77777777" w:rsidR="00FD69A3" w:rsidRPr="008450FD"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8450FD">
              <w:rPr>
                <w:rFonts w:ascii="Times New Roman" w:eastAsia="Times New Roman" w:hAnsi="Times New Roman" w:cs="Times New Roman"/>
                <w:color w:val="333333"/>
                <w:sz w:val="20"/>
                <w:szCs w:val="20"/>
                <w:lang w:eastAsia="en-PH"/>
              </w:rPr>
              <w:t>Statistic</w:t>
            </w:r>
          </w:p>
        </w:tc>
        <w:tc>
          <w:tcPr>
            <w:tcW w:w="0" w:type="auto"/>
            <w:hideMark/>
          </w:tcPr>
          <w:p w14:paraId="0966E1CF" w14:textId="77777777" w:rsidR="00FD69A3" w:rsidRPr="008450FD"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8450FD">
              <w:rPr>
                <w:rFonts w:ascii="Times New Roman" w:eastAsia="Times New Roman" w:hAnsi="Times New Roman" w:cs="Times New Roman"/>
                <w:color w:val="333333"/>
                <w:sz w:val="20"/>
                <w:szCs w:val="20"/>
                <w:lang w:eastAsia="en-PH"/>
              </w:rPr>
              <w:t>df</w:t>
            </w:r>
          </w:p>
        </w:tc>
        <w:tc>
          <w:tcPr>
            <w:tcW w:w="0" w:type="auto"/>
            <w:hideMark/>
          </w:tcPr>
          <w:p w14:paraId="4AF169C3" w14:textId="77777777" w:rsidR="00FD69A3" w:rsidRPr="008450FD" w:rsidRDefault="00FD69A3" w:rsidP="00CA270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333333"/>
                <w:sz w:val="20"/>
                <w:szCs w:val="20"/>
                <w:lang w:eastAsia="en-PH"/>
              </w:rPr>
            </w:pPr>
            <w:r w:rsidRPr="008450FD">
              <w:rPr>
                <w:rFonts w:ascii="Times New Roman" w:eastAsia="Times New Roman" w:hAnsi="Times New Roman" w:cs="Times New Roman"/>
                <w:color w:val="333333"/>
                <w:sz w:val="20"/>
                <w:szCs w:val="20"/>
                <w:lang w:eastAsia="en-PH"/>
              </w:rPr>
              <w:t>p</w:t>
            </w:r>
          </w:p>
        </w:tc>
      </w:tr>
      <w:tr w:rsidR="00FD69A3" w:rsidRPr="008450FD" w14:paraId="21D5A662" w14:textId="77777777" w:rsidTr="0025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94" w:type="dxa"/>
            <w:hideMark/>
          </w:tcPr>
          <w:p w14:paraId="7E04DFBC" w14:textId="1A2CD230" w:rsidR="00FD69A3" w:rsidRPr="00257674" w:rsidRDefault="00FD69A3" w:rsidP="00CA2700">
            <w:pPr>
              <w:rPr>
                <w:rFonts w:ascii="Times New Roman" w:eastAsia="Times New Roman" w:hAnsi="Times New Roman" w:cs="Times New Roman"/>
                <w:b w:val="0"/>
                <w:bCs w:val="0"/>
                <w:color w:val="333333"/>
                <w:sz w:val="20"/>
                <w:szCs w:val="20"/>
                <w:lang w:eastAsia="en-PH"/>
              </w:rPr>
            </w:pPr>
            <w:r w:rsidRPr="00257674">
              <w:rPr>
                <w:rFonts w:ascii="Times New Roman" w:eastAsia="Times New Roman" w:hAnsi="Times New Roman" w:cs="Times New Roman"/>
                <w:b w:val="0"/>
                <w:bCs w:val="0"/>
                <w:color w:val="333333"/>
                <w:sz w:val="20"/>
                <w:szCs w:val="20"/>
                <w:lang w:eastAsia="en-PH"/>
              </w:rPr>
              <w:t>Control</w:t>
            </w:r>
          </w:p>
        </w:tc>
        <w:tc>
          <w:tcPr>
            <w:tcW w:w="1073" w:type="dxa"/>
            <w:hideMark/>
          </w:tcPr>
          <w:p w14:paraId="6FD2D0D3" w14:textId="53764202" w:rsidR="00FD69A3" w:rsidRPr="008450FD" w:rsidRDefault="00FD69A3" w:rsidP="00CA2700">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eastAsia="Times New Roman" w:hAnsi="Times New Roman" w:cs="Times New Roman"/>
                <w:color w:val="333333"/>
                <w:sz w:val="20"/>
                <w:szCs w:val="20"/>
                <w:lang w:eastAsia="en-PH"/>
              </w:rPr>
              <w:t>Student's t</w:t>
            </w:r>
          </w:p>
        </w:tc>
        <w:tc>
          <w:tcPr>
            <w:tcW w:w="0" w:type="auto"/>
            <w:hideMark/>
          </w:tcPr>
          <w:p w14:paraId="3700FAEE" w14:textId="2E571FFD" w:rsidR="00FD69A3" w:rsidRPr="008450FD" w:rsidRDefault="00FD69A3" w:rsidP="00CA270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hAnsi="Times New Roman" w:cs="Times New Roman"/>
                <w:sz w:val="20"/>
                <w:szCs w:val="20"/>
              </w:rPr>
              <w:t>-2.49</w:t>
            </w:r>
          </w:p>
        </w:tc>
        <w:tc>
          <w:tcPr>
            <w:tcW w:w="0" w:type="auto"/>
            <w:hideMark/>
          </w:tcPr>
          <w:p w14:paraId="1E39330D" w14:textId="21746B97" w:rsidR="00FD69A3" w:rsidRPr="008450FD" w:rsidRDefault="00FD69A3" w:rsidP="00CA27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hAnsi="Times New Roman" w:cs="Times New Roman"/>
                <w:sz w:val="20"/>
                <w:szCs w:val="20"/>
              </w:rPr>
              <w:t>68.0</w:t>
            </w:r>
          </w:p>
        </w:tc>
        <w:tc>
          <w:tcPr>
            <w:tcW w:w="0" w:type="auto"/>
            <w:hideMark/>
          </w:tcPr>
          <w:p w14:paraId="21890D73" w14:textId="22F1E4C3" w:rsidR="00FD69A3" w:rsidRPr="008450FD" w:rsidRDefault="00FD69A3" w:rsidP="00CA2700">
            <w:pPr>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hAnsi="Times New Roman" w:cs="Times New Roman"/>
                <w:sz w:val="20"/>
                <w:szCs w:val="20"/>
              </w:rPr>
              <w:t>0.015</w:t>
            </w:r>
          </w:p>
        </w:tc>
      </w:tr>
      <w:tr w:rsidR="00FD69A3" w:rsidRPr="008450FD" w14:paraId="2D0B413E" w14:textId="77777777" w:rsidTr="00257674">
        <w:tc>
          <w:tcPr>
            <w:cnfStyle w:val="001000000000" w:firstRow="0" w:lastRow="0" w:firstColumn="1" w:lastColumn="0" w:oddVBand="0" w:evenVBand="0" w:oddHBand="0" w:evenHBand="0" w:firstRowFirstColumn="0" w:firstRowLastColumn="0" w:lastRowFirstColumn="0" w:lastRowLastColumn="0"/>
            <w:tcW w:w="1294" w:type="dxa"/>
            <w:hideMark/>
          </w:tcPr>
          <w:p w14:paraId="2C6C4DA5" w14:textId="61E55A27" w:rsidR="00FD69A3" w:rsidRPr="00257674" w:rsidRDefault="00FD69A3" w:rsidP="00CA2700">
            <w:pPr>
              <w:rPr>
                <w:rFonts w:ascii="Times New Roman" w:eastAsia="Times New Roman" w:hAnsi="Times New Roman" w:cs="Times New Roman"/>
                <w:b w:val="0"/>
                <w:bCs w:val="0"/>
                <w:color w:val="333333"/>
                <w:sz w:val="20"/>
                <w:szCs w:val="20"/>
                <w:lang w:eastAsia="en-PH"/>
              </w:rPr>
            </w:pPr>
            <w:r w:rsidRPr="00257674">
              <w:rPr>
                <w:rFonts w:ascii="Times New Roman" w:eastAsia="Times New Roman" w:hAnsi="Times New Roman" w:cs="Times New Roman"/>
                <w:b w:val="0"/>
                <w:bCs w:val="0"/>
                <w:color w:val="333333"/>
                <w:sz w:val="20"/>
                <w:szCs w:val="20"/>
                <w:lang w:eastAsia="en-PH"/>
              </w:rPr>
              <w:t>Experimental</w:t>
            </w:r>
          </w:p>
        </w:tc>
        <w:tc>
          <w:tcPr>
            <w:tcW w:w="1073" w:type="dxa"/>
            <w:hideMark/>
          </w:tcPr>
          <w:p w14:paraId="432382BB" w14:textId="72FBA8B7" w:rsidR="00FD69A3" w:rsidRPr="008450FD" w:rsidRDefault="00FD69A3" w:rsidP="00CA2700">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eastAsia="Times New Roman" w:hAnsi="Times New Roman" w:cs="Times New Roman"/>
                <w:color w:val="333333"/>
                <w:sz w:val="20"/>
                <w:szCs w:val="20"/>
                <w:lang w:eastAsia="en-PH"/>
              </w:rPr>
              <w:t>Student's t</w:t>
            </w:r>
          </w:p>
        </w:tc>
        <w:tc>
          <w:tcPr>
            <w:tcW w:w="0" w:type="auto"/>
            <w:hideMark/>
          </w:tcPr>
          <w:p w14:paraId="77E6FC5B" w14:textId="2FD18C93" w:rsidR="00FD69A3" w:rsidRPr="008450FD" w:rsidRDefault="00FD69A3" w:rsidP="00CA2700">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hAnsi="Times New Roman" w:cs="Times New Roman"/>
                <w:sz w:val="20"/>
                <w:szCs w:val="20"/>
              </w:rPr>
              <w:t>-5.14ᵃ</w:t>
            </w:r>
          </w:p>
        </w:tc>
        <w:tc>
          <w:tcPr>
            <w:tcW w:w="0" w:type="auto"/>
            <w:hideMark/>
          </w:tcPr>
          <w:p w14:paraId="158F4F6C" w14:textId="5176D17D" w:rsidR="00FD69A3" w:rsidRPr="008450FD" w:rsidRDefault="00FD69A3" w:rsidP="00CA270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hAnsi="Times New Roman" w:cs="Times New Roman"/>
                <w:sz w:val="20"/>
                <w:szCs w:val="20"/>
              </w:rPr>
              <w:t>68.0</w:t>
            </w:r>
          </w:p>
        </w:tc>
        <w:tc>
          <w:tcPr>
            <w:tcW w:w="0" w:type="auto"/>
            <w:hideMark/>
          </w:tcPr>
          <w:p w14:paraId="6A3276FA" w14:textId="00D19E17" w:rsidR="00FD69A3" w:rsidRPr="008450FD" w:rsidRDefault="00FD69A3" w:rsidP="00CA2700">
            <w:pPr>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333333"/>
                <w:sz w:val="20"/>
                <w:szCs w:val="20"/>
                <w:lang w:eastAsia="en-PH"/>
              </w:rPr>
            </w:pPr>
            <w:r w:rsidRPr="008450FD">
              <w:rPr>
                <w:rFonts w:ascii="Times New Roman" w:hAnsi="Times New Roman" w:cs="Times New Roman"/>
                <w:sz w:val="20"/>
                <w:szCs w:val="20"/>
              </w:rPr>
              <w:t>&lt; .001</w:t>
            </w:r>
          </w:p>
        </w:tc>
      </w:tr>
      <w:tr w:rsidR="008450FD" w:rsidRPr="008450FD" w14:paraId="665C8973" w14:textId="77777777" w:rsidTr="0025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23D2BAFF" w14:textId="1B8CDA5E" w:rsidR="008450FD" w:rsidRPr="00257674" w:rsidRDefault="008450FD" w:rsidP="00CA2700">
            <w:pPr>
              <w:rPr>
                <w:rFonts w:ascii="Times New Roman" w:eastAsia="Times New Roman" w:hAnsi="Times New Roman" w:cs="Times New Roman"/>
                <w:b w:val="0"/>
                <w:bCs w:val="0"/>
                <w:color w:val="333333"/>
                <w:sz w:val="20"/>
                <w:szCs w:val="20"/>
                <w:lang w:eastAsia="en-PH"/>
              </w:rPr>
            </w:pPr>
            <w:r w:rsidRPr="00257674">
              <w:rPr>
                <w:rFonts w:ascii="Times New Roman" w:eastAsia="Times New Roman" w:hAnsi="Times New Roman" w:cs="Times New Roman"/>
                <w:b w:val="0"/>
                <w:bCs w:val="0"/>
                <w:color w:val="333333"/>
                <w:sz w:val="20"/>
                <w:szCs w:val="20"/>
                <w:lang w:eastAsia="en-PH"/>
              </w:rPr>
              <w:t>Note. Hₐ μ 1 ≠ μ 2, p &lt; 0.05</w:t>
            </w:r>
          </w:p>
        </w:tc>
      </w:tr>
      <w:tr w:rsidR="008450FD" w:rsidRPr="008450FD" w14:paraId="2B14A9FF" w14:textId="77777777" w:rsidTr="00257674">
        <w:tc>
          <w:tcPr>
            <w:cnfStyle w:val="001000000000" w:firstRow="0" w:lastRow="0" w:firstColumn="1" w:lastColumn="0" w:oddVBand="0" w:evenVBand="0" w:oddHBand="0" w:evenHBand="0" w:firstRowFirstColumn="0" w:firstRowLastColumn="0" w:lastRowFirstColumn="0" w:lastRowLastColumn="0"/>
            <w:tcW w:w="0" w:type="auto"/>
            <w:gridSpan w:val="5"/>
          </w:tcPr>
          <w:p w14:paraId="167BEBE0" w14:textId="30E60863" w:rsidR="008450FD" w:rsidRPr="00257674" w:rsidRDefault="008450FD" w:rsidP="00CA2700">
            <w:pPr>
              <w:rPr>
                <w:rFonts w:ascii="Times New Roman" w:eastAsia="Times New Roman" w:hAnsi="Times New Roman" w:cs="Times New Roman"/>
                <w:b w:val="0"/>
                <w:bCs w:val="0"/>
                <w:color w:val="333333"/>
                <w:sz w:val="20"/>
                <w:szCs w:val="20"/>
                <w:lang w:eastAsia="en-PH"/>
              </w:rPr>
            </w:pPr>
            <w:r w:rsidRPr="00257674">
              <w:rPr>
                <w:rFonts w:ascii="Times New Roman" w:eastAsia="Times New Roman" w:hAnsi="Times New Roman" w:cs="Times New Roman"/>
                <w:b w:val="0"/>
                <w:bCs w:val="0"/>
                <w:color w:val="333333"/>
                <w:sz w:val="20"/>
                <w:szCs w:val="20"/>
                <w:lang w:eastAsia="en-PH"/>
              </w:rPr>
              <w:t>ᵃ Levene's test is significant (p &lt; .05), suggesting a violation of the assumption of equal variances</w:t>
            </w:r>
          </w:p>
        </w:tc>
      </w:tr>
      <w:tr w:rsidR="008450FD" w:rsidRPr="008450FD" w14:paraId="53AC092E" w14:textId="77777777" w:rsidTr="002576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gridSpan w:val="5"/>
            <w:hideMark/>
          </w:tcPr>
          <w:p w14:paraId="0711DF31" w14:textId="77777777" w:rsidR="008450FD" w:rsidRPr="008450FD" w:rsidRDefault="008450FD" w:rsidP="00CA2700">
            <w:pPr>
              <w:rPr>
                <w:rFonts w:ascii="Times New Roman" w:eastAsia="Times New Roman" w:hAnsi="Times New Roman" w:cs="Times New Roman"/>
                <w:color w:val="333333"/>
                <w:sz w:val="20"/>
                <w:szCs w:val="20"/>
                <w:lang w:eastAsia="en-PH"/>
              </w:rPr>
            </w:pPr>
          </w:p>
        </w:tc>
      </w:tr>
    </w:tbl>
    <w:p w14:paraId="7787ADFF" w14:textId="77777777" w:rsidR="008450FD" w:rsidRDefault="008450FD" w:rsidP="00CA2700">
      <w:pPr>
        <w:spacing w:after="0" w:line="240"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
      </w:r>
    </w:p>
    <w:p w14:paraId="0B1D6D19" w14:textId="2B57EE04" w:rsidR="008450FD" w:rsidRPr="00794556" w:rsidRDefault="008450FD"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sidRPr="00B2643B">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4</w:t>
      </w:r>
      <w:r w:rsidRPr="00B2643B">
        <w:rPr>
          <w:rFonts w:ascii="Times New Roman" w:hAnsi="Times New Roman" w:cs="Times New Roman"/>
          <w:color w:val="000000" w:themeColor="text1"/>
          <w:sz w:val="20"/>
          <w:szCs w:val="20"/>
        </w:rPr>
        <w:t>, shows the results of the</w:t>
      </w:r>
      <w:r w:rsidRPr="008450FD">
        <w:rPr>
          <w:rFonts w:ascii="Times New Roman" w:hAnsi="Times New Roman" w:cs="Times New Roman"/>
          <w:color w:val="000000" w:themeColor="text1"/>
          <w:sz w:val="20"/>
          <w:szCs w:val="20"/>
        </w:rPr>
        <w:t xml:space="preserve"> Independent Samples T-Test compares the performance between two groups</w:t>
      </w:r>
      <w:r>
        <w:rPr>
          <w:rFonts w:ascii="Times New Roman" w:hAnsi="Times New Roman" w:cs="Times New Roman"/>
          <w:color w:val="000000" w:themeColor="text1"/>
          <w:sz w:val="20"/>
          <w:szCs w:val="20"/>
        </w:rPr>
        <w:t xml:space="preserve">. </w:t>
      </w:r>
      <w:r w:rsidRPr="008450FD">
        <w:rPr>
          <w:rFonts w:ascii="Times New Roman" w:hAnsi="Times New Roman" w:cs="Times New Roman"/>
          <w:color w:val="000000" w:themeColor="text1"/>
          <w:sz w:val="20"/>
          <w:szCs w:val="20"/>
        </w:rPr>
        <w:t xml:space="preserve">For the control group, the t-value is -2.49 with 68 degrees of freedom (df) and a p-value of 0.015. Since the p-value is less than 0.05, the result is statistically significant, indicating a meaningful difference between pretest and post-test scores in the control group, likely due to the traditional lecture method using PowerPoint presentations.  </w:t>
      </w:r>
      <w:r>
        <w:rPr>
          <w:rFonts w:ascii="Times New Roman" w:hAnsi="Times New Roman" w:cs="Times New Roman"/>
          <w:color w:val="000000" w:themeColor="text1"/>
          <w:sz w:val="20"/>
          <w:szCs w:val="20"/>
        </w:rPr>
        <w:t>Whereas, f</w:t>
      </w:r>
      <w:r w:rsidRPr="008450FD">
        <w:rPr>
          <w:rFonts w:ascii="Times New Roman" w:hAnsi="Times New Roman" w:cs="Times New Roman"/>
          <w:color w:val="000000" w:themeColor="text1"/>
          <w:sz w:val="20"/>
          <w:szCs w:val="20"/>
        </w:rPr>
        <w:t xml:space="preserve">or the experimental group, the t-value is -5.14 with the same degrees of freedom, and the p-value is less than 0.001, showing a highly significant difference between pretest and post-test scores. This suggests that the use of Khan Academy online videos had a strong positive impact on learning outcomes. Additionally, the note mentions that Levene's test is </w:t>
      </w:r>
      <w:r w:rsidRPr="008450FD">
        <w:rPr>
          <w:rFonts w:ascii="Times New Roman" w:hAnsi="Times New Roman" w:cs="Times New Roman"/>
          <w:color w:val="000000" w:themeColor="text1"/>
          <w:sz w:val="20"/>
          <w:szCs w:val="20"/>
        </w:rPr>
        <w:lastRenderedPageBreak/>
        <w:t xml:space="preserve">significant (p &lt; .05), indicating a violation of the assumption of equal variances. This suggests that the variability in scores between the two groups was not consistent, which should be considered when interpreting the results. </w:t>
      </w:r>
      <w:r>
        <w:rPr>
          <w:rFonts w:ascii="Times New Roman" w:hAnsi="Times New Roman" w:cs="Times New Roman"/>
          <w:color w:val="000000" w:themeColor="text1"/>
          <w:sz w:val="20"/>
          <w:szCs w:val="20"/>
        </w:rPr>
        <w:t>It means that</w:t>
      </w:r>
      <w:r w:rsidRPr="008450FD">
        <w:rPr>
          <w:rFonts w:ascii="Times New Roman" w:hAnsi="Times New Roman" w:cs="Times New Roman"/>
          <w:color w:val="000000" w:themeColor="text1"/>
          <w:sz w:val="20"/>
          <w:szCs w:val="20"/>
        </w:rPr>
        <w:t xml:space="preserve"> the findings indicate that both instructional methods led to improvements, but the Khan Academy videos were significantly more effective than the traditional lecture approach.</w:t>
      </w:r>
    </w:p>
    <w:p w14:paraId="3A07A87A" w14:textId="77777777" w:rsidR="00257674" w:rsidRDefault="00257674" w:rsidP="00CA2700">
      <w:pPr>
        <w:spacing w:after="0" w:line="240" w:lineRule="auto"/>
        <w:rPr>
          <w:rFonts w:ascii="Times New Roman" w:hAnsi="Times New Roman" w:cs="Times New Roman"/>
          <w:b/>
          <w:bCs/>
          <w:color w:val="000000" w:themeColor="text1"/>
          <w:sz w:val="20"/>
          <w:szCs w:val="20"/>
        </w:rPr>
      </w:pPr>
    </w:p>
    <w:p w14:paraId="2A689519" w14:textId="0BCC5C90" w:rsidR="00DA52F4" w:rsidRPr="0022767D" w:rsidRDefault="00DA52F4" w:rsidP="00CA2700">
      <w:pPr>
        <w:spacing w:after="0" w:line="240" w:lineRule="auto"/>
        <w:rPr>
          <w:rFonts w:ascii="Times New Roman" w:hAnsi="Times New Roman" w:cs="Times New Roman"/>
          <w:b/>
          <w:bCs/>
          <w:color w:val="000000" w:themeColor="text1"/>
          <w:sz w:val="20"/>
          <w:szCs w:val="20"/>
        </w:rPr>
      </w:pPr>
      <w:r w:rsidRPr="0022767D">
        <w:rPr>
          <w:rFonts w:ascii="Times New Roman" w:hAnsi="Times New Roman" w:cs="Times New Roman"/>
          <w:b/>
          <w:bCs/>
          <w:color w:val="000000" w:themeColor="text1"/>
          <w:sz w:val="20"/>
          <w:szCs w:val="20"/>
        </w:rPr>
        <w:t>CONCLUSION</w:t>
      </w:r>
    </w:p>
    <w:p w14:paraId="44F7C4E5" w14:textId="79988CF1" w:rsidR="00CA2700" w:rsidRDefault="0022767D"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A5639" w:rsidRPr="001A5639">
        <w:rPr>
          <w:rFonts w:ascii="Times New Roman" w:hAnsi="Times New Roman" w:cs="Times New Roman"/>
          <w:color w:val="000000" w:themeColor="text1"/>
          <w:sz w:val="20"/>
          <w:szCs w:val="20"/>
        </w:rPr>
        <w:t>This study demonstrated that instructional methods play a crucial role in influencing student learning outcomes. The control group, which received traditional PowerPoint lectures, showed mixed results in post-test performance, suggesting limited effectiveness. In contrast, the experimental group, which engaged with Khan Academy videos, consistently achieved significant improvements in post-test scores, emphasizing the greater impact of video-based learning. Statistical analyses, including paired and independent sample t-tests, revealed notable differences between the two groups, with the experimental group performing better than the control group. These results indicate that incorporating Khan Academy videos into teaching strategies can enhance student learning outcomes more effectively than conventional lecture approaches.</w:t>
      </w:r>
    </w:p>
    <w:p w14:paraId="527CB258" w14:textId="77777777" w:rsidR="001A5639" w:rsidRDefault="001A5639" w:rsidP="00CA2700">
      <w:pPr>
        <w:spacing w:after="0" w:line="240" w:lineRule="auto"/>
        <w:jc w:val="both"/>
        <w:rPr>
          <w:rFonts w:ascii="Times New Roman" w:hAnsi="Times New Roman" w:cs="Times New Roman"/>
          <w:color w:val="000000" w:themeColor="text1"/>
          <w:sz w:val="20"/>
          <w:szCs w:val="20"/>
        </w:rPr>
      </w:pPr>
    </w:p>
    <w:p w14:paraId="3ACBBB91" w14:textId="4449AAF7" w:rsidR="00CA2700" w:rsidRDefault="00CA2700" w:rsidP="00CA2700">
      <w:pPr>
        <w:spacing w:after="0" w:line="240" w:lineRule="auto"/>
        <w:rPr>
          <w:rFonts w:ascii="Times New Roman" w:hAnsi="Times New Roman" w:cs="Times New Roman"/>
          <w:b/>
          <w:bCs/>
          <w:color w:val="000000" w:themeColor="text1"/>
          <w:sz w:val="20"/>
          <w:szCs w:val="20"/>
        </w:rPr>
      </w:pPr>
      <w:r w:rsidRPr="00257674">
        <w:rPr>
          <w:rFonts w:ascii="Times New Roman" w:hAnsi="Times New Roman" w:cs="Times New Roman"/>
          <w:b/>
          <w:bCs/>
          <w:color w:val="000000" w:themeColor="text1"/>
          <w:sz w:val="20"/>
          <w:szCs w:val="20"/>
        </w:rPr>
        <w:t>RECOMMENDATIONS</w:t>
      </w:r>
    </w:p>
    <w:p w14:paraId="5EA069EF" w14:textId="407A7412" w:rsidR="00CA2700" w:rsidRDefault="00CA2700" w:rsidP="00CA2700">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1A5639" w:rsidRPr="001A5639">
        <w:rPr>
          <w:rFonts w:ascii="Times New Roman" w:hAnsi="Times New Roman" w:cs="Times New Roman"/>
          <w:color w:val="000000" w:themeColor="text1"/>
          <w:sz w:val="20"/>
          <w:szCs w:val="20"/>
        </w:rPr>
        <w:t>Based on the results, it is recommended that educators incorporate Khan Academy videos into their teaching methods to improve student learning outcomes. The substantial and consistent gains seen in the experimental group suggest that video-based learning is more effective than traditional PowerPoint lectures. Schools and educational institutions are encouraged to invest in digital resources and provide training to maximize the use of these tools. Future studies should also examine the long-term effects of using online educational videos and assess their effectiveness in various subjects and among different student groups.</w:t>
      </w:r>
    </w:p>
    <w:p w14:paraId="183D86B1" w14:textId="77777777" w:rsidR="00CA2700" w:rsidRPr="00CA2700" w:rsidRDefault="00CA2700" w:rsidP="00CA2700">
      <w:pPr>
        <w:spacing w:after="0" w:line="240" w:lineRule="auto"/>
        <w:rPr>
          <w:rFonts w:ascii="Times New Roman" w:hAnsi="Times New Roman" w:cs="Times New Roman"/>
          <w:color w:val="000000" w:themeColor="text1"/>
          <w:sz w:val="20"/>
          <w:szCs w:val="20"/>
        </w:rPr>
      </w:pPr>
    </w:p>
    <w:p w14:paraId="6F1E4B41" w14:textId="3730ABE5" w:rsidR="001A5639" w:rsidRPr="001A5639" w:rsidRDefault="00DA52F4" w:rsidP="001A5639">
      <w:pPr>
        <w:spacing w:after="0" w:line="240" w:lineRule="auto"/>
        <w:rPr>
          <w:rFonts w:ascii="Times New Roman" w:hAnsi="Times New Roman" w:cs="Times New Roman"/>
          <w:b/>
          <w:bCs/>
          <w:color w:val="000000" w:themeColor="text1"/>
          <w:sz w:val="20"/>
          <w:szCs w:val="20"/>
        </w:rPr>
      </w:pPr>
      <w:r w:rsidRPr="004C4D8B">
        <w:rPr>
          <w:rFonts w:ascii="Times New Roman" w:hAnsi="Times New Roman" w:cs="Times New Roman"/>
          <w:b/>
          <w:bCs/>
          <w:color w:val="000000" w:themeColor="text1"/>
          <w:sz w:val="20"/>
          <w:szCs w:val="20"/>
        </w:rPr>
        <w:t>ACKNOWLEDGEMENTS</w:t>
      </w:r>
    </w:p>
    <w:p w14:paraId="44C70EC2" w14:textId="613F3220" w:rsidR="001A5639" w:rsidRPr="001A5639" w:rsidRDefault="001A5639" w:rsidP="001A5639">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1A5639">
        <w:rPr>
          <w:rFonts w:ascii="Times New Roman" w:hAnsi="Times New Roman" w:cs="Times New Roman"/>
          <w:color w:val="000000" w:themeColor="text1"/>
          <w:sz w:val="20"/>
          <w:szCs w:val="20"/>
        </w:rPr>
        <w:t xml:space="preserve">The authors </w:t>
      </w:r>
      <w:r>
        <w:rPr>
          <w:rFonts w:ascii="Times New Roman" w:hAnsi="Times New Roman" w:cs="Times New Roman"/>
          <w:color w:val="000000" w:themeColor="text1"/>
          <w:sz w:val="20"/>
          <w:szCs w:val="20"/>
        </w:rPr>
        <w:t>would</w:t>
      </w:r>
      <w:r w:rsidRPr="001A5639">
        <w:rPr>
          <w:rFonts w:ascii="Times New Roman" w:hAnsi="Times New Roman" w:cs="Times New Roman"/>
          <w:color w:val="000000" w:themeColor="text1"/>
          <w:sz w:val="20"/>
          <w:szCs w:val="20"/>
        </w:rPr>
        <w:t xml:space="preserve"> express their gratitude to Surigao del Norte State University for providing the opportunity to grow as educator-researchers, with special appreciation to Professor Kier L. </w:t>
      </w:r>
      <w:proofErr w:type="spellStart"/>
      <w:r w:rsidRPr="001A5639">
        <w:rPr>
          <w:rFonts w:ascii="Times New Roman" w:hAnsi="Times New Roman" w:cs="Times New Roman"/>
          <w:color w:val="000000" w:themeColor="text1"/>
          <w:sz w:val="20"/>
          <w:szCs w:val="20"/>
        </w:rPr>
        <w:t>Ecle</w:t>
      </w:r>
      <w:proofErr w:type="spellEnd"/>
      <w:r w:rsidRPr="001A5639">
        <w:rPr>
          <w:rFonts w:ascii="Times New Roman" w:hAnsi="Times New Roman" w:cs="Times New Roman"/>
          <w:color w:val="000000" w:themeColor="text1"/>
          <w:sz w:val="20"/>
          <w:szCs w:val="20"/>
        </w:rPr>
        <w:t xml:space="preserve"> for his guidance. Sincere thanks are also extended to Mrs. </w:t>
      </w:r>
      <w:proofErr w:type="spellStart"/>
      <w:r w:rsidRPr="001A5639">
        <w:rPr>
          <w:rFonts w:ascii="Times New Roman" w:hAnsi="Times New Roman" w:cs="Times New Roman"/>
          <w:color w:val="000000" w:themeColor="text1"/>
          <w:sz w:val="20"/>
          <w:szCs w:val="20"/>
        </w:rPr>
        <w:t>Euzel</w:t>
      </w:r>
      <w:proofErr w:type="spellEnd"/>
      <w:r w:rsidRPr="001A5639">
        <w:rPr>
          <w:rFonts w:ascii="Times New Roman" w:hAnsi="Times New Roman" w:cs="Times New Roman"/>
          <w:color w:val="000000" w:themeColor="text1"/>
          <w:sz w:val="20"/>
          <w:szCs w:val="20"/>
        </w:rPr>
        <w:t xml:space="preserve"> </w:t>
      </w:r>
      <w:proofErr w:type="spellStart"/>
      <w:r w:rsidRPr="001A5639">
        <w:rPr>
          <w:rFonts w:ascii="Times New Roman" w:hAnsi="Times New Roman" w:cs="Times New Roman"/>
          <w:color w:val="000000" w:themeColor="text1"/>
          <w:sz w:val="20"/>
          <w:szCs w:val="20"/>
        </w:rPr>
        <w:t>Patroninia</w:t>
      </w:r>
      <w:proofErr w:type="spellEnd"/>
      <w:r w:rsidRPr="001A5639">
        <w:rPr>
          <w:rFonts w:ascii="Times New Roman" w:hAnsi="Times New Roman" w:cs="Times New Roman"/>
          <w:color w:val="000000" w:themeColor="text1"/>
          <w:sz w:val="20"/>
          <w:szCs w:val="20"/>
        </w:rPr>
        <w:t xml:space="preserve"> C. Espinosa, Secondary School Principal II of Don Ruben Edera Ecleo Sr. Memorial National High School (DREESMNHS), for granting permission to conduct this study. A heartfelt thanks goes to the Senior High School students for their active participation throughout the research process.  </w:t>
      </w:r>
    </w:p>
    <w:p w14:paraId="2851D56D" w14:textId="77777777" w:rsidR="00257674" w:rsidRDefault="00257674" w:rsidP="00CA2700">
      <w:pPr>
        <w:spacing w:after="0" w:line="240" w:lineRule="auto"/>
        <w:rPr>
          <w:rFonts w:ascii="Times New Roman" w:hAnsi="Times New Roman" w:cs="Times New Roman"/>
          <w:b/>
          <w:bCs/>
          <w:color w:val="000000" w:themeColor="text1"/>
          <w:sz w:val="20"/>
          <w:szCs w:val="20"/>
        </w:rPr>
      </w:pPr>
    </w:p>
    <w:p w14:paraId="7E2D74DE" w14:textId="7A159068" w:rsidR="004C4D8B" w:rsidRPr="004C4D8B" w:rsidRDefault="004C4D8B" w:rsidP="00CA2700">
      <w:pPr>
        <w:spacing w:after="0" w:line="240" w:lineRule="auto"/>
        <w:rPr>
          <w:rFonts w:ascii="Times New Roman" w:hAnsi="Times New Roman" w:cs="Times New Roman"/>
          <w:b/>
          <w:bCs/>
          <w:color w:val="000000" w:themeColor="text1"/>
          <w:sz w:val="20"/>
          <w:szCs w:val="20"/>
        </w:rPr>
      </w:pPr>
      <w:r w:rsidRPr="004C4D8B">
        <w:rPr>
          <w:rFonts w:ascii="Times New Roman" w:hAnsi="Times New Roman" w:cs="Times New Roman"/>
          <w:b/>
          <w:bCs/>
          <w:color w:val="000000" w:themeColor="text1"/>
          <w:sz w:val="20"/>
          <w:szCs w:val="20"/>
        </w:rPr>
        <w:t>CONFLICT OF INTEREST</w:t>
      </w:r>
    </w:p>
    <w:p w14:paraId="7DD3307D" w14:textId="29F8294B" w:rsidR="00257674" w:rsidRDefault="004C4D8B" w:rsidP="00CA2700">
      <w:pPr>
        <w:spacing w:after="0" w:line="240"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ab/>
      </w:r>
      <w:r w:rsidR="0022767D" w:rsidRPr="004C4D8B">
        <w:rPr>
          <w:rFonts w:ascii="Times New Roman" w:hAnsi="Times New Roman" w:cs="Times New Roman"/>
          <w:color w:val="000000" w:themeColor="text1"/>
          <w:sz w:val="20"/>
          <w:szCs w:val="20"/>
        </w:rPr>
        <w:t>The authors declare no conflict of interest.</w:t>
      </w:r>
    </w:p>
    <w:p w14:paraId="427DE188" w14:textId="77777777" w:rsidR="00257674" w:rsidRDefault="00257674" w:rsidP="00CA2700">
      <w:pPr>
        <w:spacing w:after="0" w:line="240" w:lineRule="auto"/>
        <w:rPr>
          <w:rFonts w:ascii="Times New Roman" w:hAnsi="Times New Roman" w:cs="Times New Roman"/>
          <w:b/>
          <w:bCs/>
          <w:color w:val="000000" w:themeColor="text1"/>
          <w:sz w:val="24"/>
          <w:szCs w:val="24"/>
        </w:rPr>
      </w:pPr>
    </w:p>
    <w:p w14:paraId="24B2CD4B" w14:textId="206CBF4F" w:rsidR="00DA52F4" w:rsidRDefault="00DA52F4" w:rsidP="00CA2700">
      <w:pPr>
        <w:spacing w:after="0" w:line="240" w:lineRule="auto"/>
        <w:rPr>
          <w:rFonts w:ascii="Times New Roman" w:hAnsi="Times New Roman" w:cs="Times New Roman"/>
          <w:b/>
          <w:bCs/>
          <w:color w:val="000000" w:themeColor="text1"/>
          <w:sz w:val="20"/>
          <w:szCs w:val="20"/>
        </w:rPr>
      </w:pPr>
      <w:r w:rsidRPr="00257674">
        <w:rPr>
          <w:rFonts w:ascii="Times New Roman" w:hAnsi="Times New Roman" w:cs="Times New Roman"/>
          <w:b/>
          <w:bCs/>
          <w:color w:val="000000" w:themeColor="text1"/>
          <w:sz w:val="20"/>
          <w:szCs w:val="20"/>
        </w:rPr>
        <w:t>REFERENCES</w:t>
      </w:r>
    </w:p>
    <w:p w14:paraId="6A22006F" w14:textId="77777777" w:rsidR="00257674" w:rsidRPr="00257674" w:rsidRDefault="00257674" w:rsidP="00CA2700">
      <w:pPr>
        <w:spacing w:after="0" w:line="240" w:lineRule="auto"/>
        <w:rPr>
          <w:rFonts w:ascii="Times New Roman" w:hAnsi="Times New Roman" w:cs="Times New Roman"/>
          <w:b/>
          <w:bCs/>
          <w:color w:val="000000" w:themeColor="text1"/>
          <w:sz w:val="20"/>
          <w:szCs w:val="20"/>
        </w:rPr>
      </w:pPr>
    </w:p>
    <w:p w14:paraId="1C73160F"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Amalric, M., </w:t>
      </w:r>
      <w:proofErr w:type="spellStart"/>
      <w:r w:rsidRPr="004C4D8B">
        <w:rPr>
          <w:rFonts w:ascii="Times New Roman" w:hAnsi="Times New Roman" w:cs="Times New Roman"/>
          <w:sz w:val="20"/>
          <w:szCs w:val="20"/>
        </w:rPr>
        <w:t>Roveyaz</w:t>
      </w:r>
      <w:proofErr w:type="spellEnd"/>
      <w:r w:rsidRPr="004C4D8B">
        <w:rPr>
          <w:rFonts w:ascii="Times New Roman" w:hAnsi="Times New Roman" w:cs="Times New Roman"/>
          <w:sz w:val="20"/>
          <w:szCs w:val="20"/>
        </w:rPr>
        <w:t xml:space="preserve">, P., &amp; Dehaene, S. (2022). Can a short math video enhance the brain’s mathematical networks? </w:t>
      </w:r>
      <w:hyperlink r:id="rId10" w:history="1">
        <w:r w:rsidRPr="004C4D8B">
          <w:rPr>
            <w:rStyle w:val="Hyperlink"/>
            <w:rFonts w:ascii="Times New Roman" w:hAnsi="Times New Roman"/>
            <w:sz w:val="20"/>
            <w:szCs w:val="20"/>
          </w:rPr>
          <w:t>https://doi.org/10.1101/2022.08.09.503350</w:t>
        </w:r>
      </w:hyperlink>
    </w:p>
    <w:p w14:paraId="0621F6C6" w14:textId="77777777" w:rsidR="008E6397" w:rsidRDefault="008E6397" w:rsidP="00CA2700">
      <w:pPr>
        <w:pStyle w:val="ListParagraph"/>
        <w:numPr>
          <w:ilvl w:val="0"/>
          <w:numId w:val="19"/>
        </w:numPr>
        <w:spacing w:line="240" w:lineRule="auto"/>
        <w:jc w:val="both"/>
        <w:rPr>
          <w:rFonts w:ascii="Times New Roman" w:hAnsi="Times New Roman" w:cs="Times New Roman"/>
          <w:sz w:val="20"/>
          <w:szCs w:val="20"/>
        </w:rPr>
      </w:pPr>
      <w:r w:rsidRPr="008E6397">
        <w:rPr>
          <w:rFonts w:ascii="Times New Roman" w:hAnsi="Times New Roman" w:cs="Times New Roman"/>
          <w:sz w:val="20"/>
          <w:szCs w:val="20"/>
        </w:rPr>
        <w:t>Bayda, N. and Sutliff, G. (2020). Comparing extracted and stipulated definitions in algebra 1 textbooks and &amp;</w:t>
      </w:r>
      <w:proofErr w:type="spellStart"/>
      <w:proofErr w:type="gramStart"/>
      <w:r w:rsidRPr="008E6397">
        <w:rPr>
          <w:rFonts w:ascii="Times New Roman" w:hAnsi="Times New Roman" w:cs="Times New Roman"/>
          <w:sz w:val="20"/>
          <w:szCs w:val="20"/>
        </w:rPr>
        <w:t>lt;i</w:t>
      </w:r>
      <w:proofErr w:type="gramEnd"/>
      <w:r w:rsidRPr="008E6397">
        <w:rPr>
          <w:rFonts w:ascii="Times New Roman" w:hAnsi="Times New Roman" w:cs="Times New Roman"/>
          <w:sz w:val="20"/>
          <w:szCs w:val="20"/>
        </w:rPr>
        <w:t>&amp;gt;khan</w:t>
      </w:r>
      <w:proofErr w:type="spellEnd"/>
      <w:r w:rsidRPr="008E6397">
        <w:rPr>
          <w:rFonts w:ascii="Times New Roman" w:hAnsi="Times New Roman" w:cs="Times New Roman"/>
          <w:sz w:val="20"/>
          <w:szCs w:val="20"/>
        </w:rPr>
        <w:t xml:space="preserve"> </w:t>
      </w:r>
      <w:proofErr w:type="spellStart"/>
      <w:r w:rsidRPr="008E6397">
        <w:rPr>
          <w:rFonts w:ascii="Times New Roman" w:hAnsi="Times New Roman" w:cs="Times New Roman"/>
          <w:sz w:val="20"/>
          <w:szCs w:val="20"/>
        </w:rPr>
        <w:t>academy&amp;lt</w:t>
      </w:r>
      <w:proofErr w:type="spellEnd"/>
      <w:r w:rsidRPr="008E6397">
        <w:rPr>
          <w:rFonts w:ascii="Times New Roman" w:hAnsi="Times New Roman" w:cs="Times New Roman"/>
          <w:sz w:val="20"/>
          <w:szCs w:val="20"/>
        </w:rPr>
        <w:t>;/</w:t>
      </w:r>
      <w:proofErr w:type="spellStart"/>
      <w:r w:rsidRPr="008E6397">
        <w:rPr>
          <w:rFonts w:ascii="Times New Roman" w:hAnsi="Times New Roman" w:cs="Times New Roman"/>
          <w:sz w:val="20"/>
          <w:szCs w:val="20"/>
        </w:rPr>
        <w:t>i&amp;gt</w:t>
      </w:r>
      <w:proofErr w:type="spellEnd"/>
      <w:r w:rsidRPr="008E6397">
        <w:rPr>
          <w:rFonts w:ascii="Times New Roman" w:hAnsi="Times New Roman" w:cs="Times New Roman"/>
          <w:sz w:val="20"/>
          <w:szCs w:val="20"/>
        </w:rPr>
        <w:t xml:space="preserve">;. International Electronic Journal of Mathematics Education, 15(2). </w:t>
      </w:r>
      <w:hyperlink r:id="rId11" w:history="1">
        <w:r w:rsidRPr="008E6397">
          <w:rPr>
            <w:rStyle w:val="Hyperlink"/>
            <w:rFonts w:ascii="Times New Roman" w:hAnsi="Times New Roman"/>
            <w:sz w:val="20"/>
            <w:szCs w:val="20"/>
          </w:rPr>
          <w:t>https://doi.org/10.29333/iejme/7601</w:t>
        </w:r>
      </w:hyperlink>
    </w:p>
    <w:p w14:paraId="6004BBAE" w14:textId="77777777" w:rsidR="008E6397" w:rsidRDefault="008E6397" w:rsidP="00CA2700">
      <w:pPr>
        <w:pStyle w:val="ListParagraph"/>
        <w:numPr>
          <w:ilvl w:val="0"/>
          <w:numId w:val="19"/>
        </w:numPr>
        <w:spacing w:line="240" w:lineRule="auto"/>
        <w:jc w:val="both"/>
        <w:rPr>
          <w:rFonts w:ascii="Times New Roman" w:hAnsi="Times New Roman" w:cs="Times New Roman"/>
          <w:sz w:val="20"/>
          <w:szCs w:val="20"/>
        </w:rPr>
      </w:pPr>
      <w:r w:rsidRPr="008E6397">
        <w:rPr>
          <w:rFonts w:ascii="Times New Roman" w:hAnsi="Times New Roman" w:cs="Times New Roman"/>
          <w:sz w:val="20"/>
          <w:szCs w:val="20"/>
        </w:rPr>
        <w:t xml:space="preserve">Bennison, A., Goos, M., &amp; Geiger, V. (2020). Utilising a research-informed instructional design approach to develop an online resource to support teacher professional learning on embedding numeracy across the curriculum. ZDM, 52(5), 1017-1031. </w:t>
      </w:r>
      <w:hyperlink r:id="rId12" w:history="1">
        <w:r w:rsidRPr="00300DC9">
          <w:rPr>
            <w:rStyle w:val="Hyperlink"/>
            <w:rFonts w:ascii="Times New Roman" w:hAnsi="Times New Roman"/>
            <w:sz w:val="20"/>
            <w:szCs w:val="20"/>
          </w:rPr>
          <w:t>https://doi.org/10.1007/s11858-020-01140-2</w:t>
        </w:r>
      </w:hyperlink>
    </w:p>
    <w:p w14:paraId="30A0F36E"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Blacer-Bacolod, D. and Bacolod, R. (2020). Khan academy as a supplemental learning tool for non-stem students in chemistry engineering course. International Journal of Advanced Research, 8(12), 561-565. </w:t>
      </w:r>
      <w:hyperlink r:id="rId13" w:history="1">
        <w:r w:rsidRPr="004C4D8B">
          <w:rPr>
            <w:rStyle w:val="Hyperlink"/>
            <w:rFonts w:ascii="Times New Roman" w:hAnsi="Times New Roman"/>
            <w:sz w:val="20"/>
            <w:szCs w:val="20"/>
          </w:rPr>
          <w:t>https://doi.org/10.21474/ijar01/12183</w:t>
        </w:r>
      </w:hyperlink>
    </w:p>
    <w:p w14:paraId="29A7880C"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Brame, C. (2016). Effective educational videos: principles and guidelines for maximizing student learning from video content. </w:t>
      </w:r>
      <w:proofErr w:type="spellStart"/>
      <w:r w:rsidRPr="004C4D8B">
        <w:rPr>
          <w:rFonts w:ascii="Times New Roman" w:hAnsi="Times New Roman" w:cs="Times New Roman"/>
          <w:sz w:val="20"/>
          <w:szCs w:val="20"/>
        </w:rPr>
        <w:t>Cbe</w:t>
      </w:r>
      <w:proofErr w:type="spellEnd"/>
      <w:r w:rsidRPr="004C4D8B">
        <w:rPr>
          <w:rFonts w:ascii="Times New Roman" w:hAnsi="Times New Roman" w:cs="Times New Roman"/>
          <w:sz w:val="20"/>
          <w:szCs w:val="20"/>
        </w:rPr>
        <w:t xml:space="preserve">—life Sciences Education, 15(4), es6. </w:t>
      </w:r>
      <w:hyperlink r:id="rId14" w:history="1">
        <w:r w:rsidRPr="004C4D8B">
          <w:rPr>
            <w:rStyle w:val="Hyperlink"/>
            <w:rFonts w:ascii="Times New Roman" w:hAnsi="Times New Roman"/>
            <w:sz w:val="20"/>
            <w:szCs w:val="20"/>
          </w:rPr>
          <w:t>https://doi.org/10.1187/cbe.16-03-0125</w:t>
        </w:r>
      </w:hyperlink>
    </w:p>
    <w:p w14:paraId="1B1AF9F8"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Crowther, G. J., Gradwell, S. D., &amp; Eckert, T. S. (2023). A simple method for predicting a molecule's biological properties from its polarity. </w:t>
      </w:r>
      <w:proofErr w:type="spellStart"/>
      <w:r w:rsidRPr="004C4D8B">
        <w:rPr>
          <w:rFonts w:ascii="Times New Roman" w:hAnsi="Times New Roman" w:cs="Times New Roman"/>
          <w:sz w:val="20"/>
          <w:szCs w:val="20"/>
        </w:rPr>
        <w:t>CourseSource</w:t>
      </w:r>
      <w:proofErr w:type="spellEnd"/>
      <w:r w:rsidRPr="004C4D8B">
        <w:rPr>
          <w:rFonts w:ascii="Times New Roman" w:hAnsi="Times New Roman" w:cs="Times New Roman"/>
          <w:sz w:val="20"/>
          <w:szCs w:val="20"/>
        </w:rPr>
        <w:t xml:space="preserve">, 10. </w:t>
      </w:r>
      <w:hyperlink r:id="rId15" w:history="1">
        <w:r w:rsidRPr="004C4D8B">
          <w:rPr>
            <w:rStyle w:val="Hyperlink"/>
            <w:rFonts w:ascii="Times New Roman" w:hAnsi="Times New Roman"/>
            <w:sz w:val="20"/>
            <w:szCs w:val="20"/>
          </w:rPr>
          <w:t>https://doi.org/10.24918/cs.2023.16</w:t>
        </w:r>
      </w:hyperlink>
    </w:p>
    <w:p w14:paraId="74F46F1D" w14:textId="77777777" w:rsidR="008E6397" w:rsidRDefault="008E6397" w:rsidP="00CA2700">
      <w:pPr>
        <w:pStyle w:val="ListParagraph"/>
        <w:numPr>
          <w:ilvl w:val="0"/>
          <w:numId w:val="19"/>
        </w:numPr>
        <w:spacing w:line="240" w:lineRule="auto"/>
        <w:jc w:val="both"/>
        <w:rPr>
          <w:rFonts w:ascii="Times New Roman" w:hAnsi="Times New Roman" w:cs="Times New Roman"/>
          <w:sz w:val="20"/>
          <w:szCs w:val="20"/>
        </w:rPr>
      </w:pPr>
      <w:r w:rsidRPr="008E6397">
        <w:rPr>
          <w:rFonts w:ascii="Times New Roman" w:hAnsi="Times New Roman" w:cs="Times New Roman"/>
          <w:sz w:val="20"/>
          <w:szCs w:val="20"/>
        </w:rPr>
        <w:t xml:space="preserve">Ibañez, E. and </w:t>
      </w:r>
      <w:proofErr w:type="spellStart"/>
      <w:r w:rsidRPr="008E6397">
        <w:rPr>
          <w:rFonts w:ascii="Times New Roman" w:hAnsi="Times New Roman" w:cs="Times New Roman"/>
          <w:sz w:val="20"/>
          <w:szCs w:val="20"/>
        </w:rPr>
        <w:t>Pentang</w:t>
      </w:r>
      <w:proofErr w:type="spellEnd"/>
      <w:r w:rsidRPr="008E6397">
        <w:rPr>
          <w:rFonts w:ascii="Times New Roman" w:hAnsi="Times New Roman" w:cs="Times New Roman"/>
          <w:sz w:val="20"/>
          <w:szCs w:val="20"/>
        </w:rPr>
        <w:t>, J. (2021). Socio-constructivist learning and teacher education students’ conceptual understanding and attitude toward fractions. Indonesian Research Journal in Education |</w:t>
      </w:r>
      <w:proofErr w:type="spellStart"/>
      <w:r w:rsidRPr="008E6397">
        <w:rPr>
          <w:rFonts w:ascii="Times New Roman" w:hAnsi="Times New Roman" w:cs="Times New Roman"/>
          <w:sz w:val="20"/>
          <w:szCs w:val="20"/>
        </w:rPr>
        <w:t>Irje</w:t>
      </w:r>
      <w:proofErr w:type="spellEnd"/>
      <w:r w:rsidRPr="008E6397">
        <w:rPr>
          <w:rFonts w:ascii="Times New Roman" w:hAnsi="Times New Roman" w:cs="Times New Roman"/>
          <w:sz w:val="20"/>
          <w:szCs w:val="20"/>
        </w:rPr>
        <w:t xml:space="preserve">|, 5(1), 23-44. </w:t>
      </w:r>
      <w:hyperlink r:id="rId16" w:history="1">
        <w:r w:rsidRPr="00300DC9">
          <w:rPr>
            <w:rStyle w:val="Hyperlink"/>
            <w:rFonts w:ascii="Times New Roman" w:hAnsi="Times New Roman"/>
            <w:sz w:val="20"/>
            <w:szCs w:val="20"/>
          </w:rPr>
          <w:t>https://doi.org/10.22437/irje.v5i1.12187</w:t>
        </w:r>
      </w:hyperlink>
    </w:p>
    <w:p w14:paraId="6057AB70" w14:textId="77777777" w:rsidR="008E6397" w:rsidRDefault="008E6397" w:rsidP="00CA2700">
      <w:pPr>
        <w:pStyle w:val="ListParagraph"/>
        <w:numPr>
          <w:ilvl w:val="0"/>
          <w:numId w:val="19"/>
        </w:numPr>
        <w:spacing w:line="240" w:lineRule="auto"/>
        <w:jc w:val="both"/>
        <w:rPr>
          <w:rFonts w:ascii="Times New Roman" w:hAnsi="Times New Roman" w:cs="Times New Roman"/>
          <w:sz w:val="20"/>
          <w:szCs w:val="20"/>
        </w:rPr>
      </w:pPr>
      <w:r w:rsidRPr="008E6397">
        <w:rPr>
          <w:rFonts w:ascii="Times New Roman" w:hAnsi="Times New Roman" w:cs="Times New Roman"/>
          <w:sz w:val="20"/>
          <w:szCs w:val="20"/>
        </w:rPr>
        <w:t xml:space="preserve">Irwanto, I., Rahmah, S., &amp; Nanda, E. (2024). Flipped classrooms with peer instruction: the impact on students’ conceptual understanding. </w:t>
      </w:r>
      <w:proofErr w:type="spellStart"/>
      <w:r w:rsidRPr="008E6397">
        <w:rPr>
          <w:rFonts w:ascii="Times New Roman" w:hAnsi="Times New Roman" w:cs="Times New Roman"/>
          <w:sz w:val="20"/>
          <w:szCs w:val="20"/>
        </w:rPr>
        <w:t>Tem</w:t>
      </w:r>
      <w:proofErr w:type="spellEnd"/>
      <w:r w:rsidRPr="008E6397">
        <w:rPr>
          <w:rFonts w:ascii="Times New Roman" w:hAnsi="Times New Roman" w:cs="Times New Roman"/>
          <w:sz w:val="20"/>
          <w:szCs w:val="20"/>
        </w:rPr>
        <w:t xml:space="preserve"> Journal, 1283-1289. </w:t>
      </w:r>
      <w:hyperlink r:id="rId17" w:history="1">
        <w:r w:rsidRPr="00300DC9">
          <w:rPr>
            <w:rStyle w:val="Hyperlink"/>
            <w:rFonts w:ascii="Times New Roman" w:hAnsi="Times New Roman"/>
            <w:sz w:val="20"/>
            <w:szCs w:val="20"/>
          </w:rPr>
          <w:t>https://doi.org/10.18421/tem132-42</w:t>
        </w:r>
      </w:hyperlink>
    </w:p>
    <w:p w14:paraId="1E58C3ED" w14:textId="1DDA5736" w:rsidR="008E6397" w:rsidRPr="00F332CC"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Kelly, D. and Rutherford, T. (2017). Khan academy as supplemental instruction: a controlled study of a computer-based mathematics intervention. The International Review of Research in Open and Distributed Learning, 18(4). </w:t>
      </w:r>
      <w:hyperlink r:id="rId18" w:history="1">
        <w:r w:rsidR="00257674" w:rsidRPr="00300DC9">
          <w:rPr>
            <w:rStyle w:val="Hyperlink"/>
            <w:rFonts w:ascii="Times New Roman" w:hAnsi="Times New Roman"/>
            <w:sz w:val="20"/>
            <w:szCs w:val="20"/>
          </w:rPr>
          <w:t>https://doi.org/10.19173/irrodl.v18i4.2984</w:t>
        </w:r>
      </w:hyperlink>
    </w:p>
    <w:p w14:paraId="2150447C" w14:textId="77777777" w:rsidR="00F332CC" w:rsidRDefault="00F332CC" w:rsidP="00F332CC">
      <w:pPr>
        <w:pStyle w:val="ListParagraph"/>
        <w:numPr>
          <w:ilvl w:val="0"/>
          <w:numId w:val="19"/>
        </w:numPr>
        <w:spacing w:line="240" w:lineRule="auto"/>
        <w:jc w:val="both"/>
        <w:rPr>
          <w:rFonts w:ascii="Times New Roman" w:hAnsi="Times New Roman" w:cs="Times New Roman"/>
          <w:sz w:val="20"/>
          <w:szCs w:val="20"/>
        </w:rPr>
      </w:pPr>
      <w:r w:rsidRPr="00F332CC">
        <w:rPr>
          <w:rFonts w:ascii="Times New Roman" w:hAnsi="Times New Roman" w:cs="Times New Roman"/>
          <w:sz w:val="20"/>
          <w:szCs w:val="20"/>
        </w:rPr>
        <w:t xml:space="preserve">Li, X., Shek, D., Wong, T., &amp; Yu, L. (2022). Subjective outcome evaluation of instructional videos in leadership education. International Journal of Environmental Research and Public Health, 20(1), 367. </w:t>
      </w:r>
      <w:hyperlink r:id="rId19" w:history="1">
        <w:r w:rsidRPr="00D15694">
          <w:rPr>
            <w:rStyle w:val="Hyperlink"/>
            <w:rFonts w:ascii="Times New Roman" w:hAnsi="Times New Roman"/>
            <w:sz w:val="20"/>
            <w:szCs w:val="20"/>
          </w:rPr>
          <w:t>https://doi.org/10.3390/ijerph20010367</w:t>
        </w:r>
      </w:hyperlink>
    </w:p>
    <w:p w14:paraId="4E612593" w14:textId="1D3BFC71" w:rsidR="008E6397" w:rsidRPr="00F332CC" w:rsidRDefault="008E6397" w:rsidP="00F332CC">
      <w:pPr>
        <w:pStyle w:val="ListParagraph"/>
        <w:numPr>
          <w:ilvl w:val="0"/>
          <w:numId w:val="19"/>
        </w:numPr>
        <w:spacing w:line="240" w:lineRule="auto"/>
        <w:jc w:val="both"/>
        <w:rPr>
          <w:rFonts w:ascii="Times New Roman" w:hAnsi="Times New Roman" w:cs="Times New Roman"/>
          <w:sz w:val="20"/>
          <w:szCs w:val="20"/>
        </w:rPr>
      </w:pPr>
      <w:r w:rsidRPr="00F332CC">
        <w:rPr>
          <w:rFonts w:ascii="Times New Roman" w:hAnsi="Times New Roman" w:cs="Times New Roman"/>
          <w:sz w:val="20"/>
          <w:szCs w:val="20"/>
        </w:rPr>
        <w:t xml:space="preserve">Putri, A. (2021). The effectiveness of khan academy as a science learning support to improve student’s mastery of </w:t>
      </w:r>
      <w:proofErr w:type="gramStart"/>
      <w:r w:rsidRPr="00F332CC">
        <w:rPr>
          <w:rFonts w:ascii="Times New Roman" w:hAnsi="Times New Roman" w:cs="Times New Roman"/>
          <w:sz w:val="20"/>
          <w:szCs w:val="20"/>
        </w:rPr>
        <w:t>skills :</w:t>
      </w:r>
      <w:proofErr w:type="gramEnd"/>
      <w:r w:rsidRPr="00F332CC">
        <w:rPr>
          <w:rFonts w:ascii="Times New Roman" w:hAnsi="Times New Roman" w:cs="Times New Roman"/>
          <w:sz w:val="20"/>
          <w:szCs w:val="20"/>
        </w:rPr>
        <w:t xml:space="preserve"> literature review. Journal of Environmental and Science Education, 1(2), 52-56. </w:t>
      </w:r>
      <w:hyperlink r:id="rId20" w:history="1">
        <w:r w:rsidRPr="00F332CC">
          <w:rPr>
            <w:rStyle w:val="Hyperlink"/>
            <w:rFonts w:ascii="Times New Roman" w:hAnsi="Times New Roman"/>
            <w:sz w:val="20"/>
            <w:szCs w:val="20"/>
          </w:rPr>
          <w:t>https://doi.org/10.15294/jese.v1i2.50370</w:t>
        </w:r>
      </w:hyperlink>
    </w:p>
    <w:p w14:paraId="7FEB675E"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proofErr w:type="spellStart"/>
      <w:r w:rsidRPr="004C4D8B">
        <w:rPr>
          <w:rFonts w:ascii="Times New Roman" w:hAnsi="Times New Roman" w:cs="Times New Roman"/>
          <w:sz w:val="20"/>
          <w:szCs w:val="20"/>
        </w:rPr>
        <w:t>Scagnoli</w:t>
      </w:r>
      <w:proofErr w:type="spellEnd"/>
      <w:r w:rsidRPr="004C4D8B">
        <w:rPr>
          <w:rFonts w:ascii="Times New Roman" w:hAnsi="Times New Roman" w:cs="Times New Roman"/>
          <w:sz w:val="20"/>
          <w:szCs w:val="20"/>
        </w:rPr>
        <w:t xml:space="preserve">, N., Choo, J., &amp; Tian, J. (2017). Students' insights on the use of video lectures in online classes. British Journal of Educational Technology, 50(1), 399-414. </w:t>
      </w:r>
      <w:hyperlink r:id="rId21" w:history="1">
        <w:r w:rsidRPr="004C4D8B">
          <w:rPr>
            <w:rStyle w:val="Hyperlink"/>
            <w:rFonts w:ascii="Times New Roman" w:hAnsi="Times New Roman"/>
            <w:sz w:val="20"/>
            <w:szCs w:val="20"/>
          </w:rPr>
          <w:t>https://doi.org/10.1111/bjet.12572</w:t>
        </w:r>
      </w:hyperlink>
    </w:p>
    <w:p w14:paraId="04E981BB"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Sentanin, F., Lanza, M., &amp; </w:t>
      </w:r>
      <w:proofErr w:type="spellStart"/>
      <w:r w:rsidRPr="004C4D8B">
        <w:rPr>
          <w:rFonts w:ascii="Times New Roman" w:hAnsi="Times New Roman" w:cs="Times New Roman"/>
          <w:sz w:val="20"/>
          <w:szCs w:val="20"/>
        </w:rPr>
        <w:t>Kasseboehmer</w:t>
      </w:r>
      <w:proofErr w:type="spellEnd"/>
      <w:r w:rsidRPr="004C4D8B">
        <w:rPr>
          <w:rFonts w:ascii="Times New Roman" w:hAnsi="Times New Roman" w:cs="Times New Roman"/>
          <w:sz w:val="20"/>
          <w:szCs w:val="20"/>
        </w:rPr>
        <w:t xml:space="preserve">, A. (2023). Chemistry scientific dissemination video: impact on the perception of university students. Journal of Chemical Education, </w:t>
      </w:r>
      <w:r w:rsidRPr="004C4D8B">
        <w:rPr>
          <w:rFonts w:ascii="Times New Roman" w:hAnsi="Times New Roman" w:cs="Times New Roman"/>
          <w:sz w:val="20"/>
          <w:szCs w:val="20"/>
        </w:rPr>
        <w:tab/>
        <w:t xml:space="preserve">100(2), 714-721. </w:t>
      </w:r>
      <w:hyperlink r:id="rId22" w:history="1">
        <w:r w:rsidRPr="004C4D8B">
          <w:rPr>
            <w:rStyle w:val="Hyperlink"/>
            <w:rFonts w:ascii="Times New Roman" w:hAnsi="Times New Roman"/>
            <w:sz w:val="20"/>
            <w:szCs w:val="20"/>
          </w:rPr>
          <w:t>https://doi.org/10.1021/acs.jchemed.2c01071</w:t>
        </w:r>
      </w:hyperlink>
    </w:p>
    <w:p w14:paraId="0D228AB9"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Stieff, M., Werner, S., Fink, B., &amp; Meador, D. (2018). Online pre-laboratory videos improve student performance in the general chemistry laboratory. </w:t>
      </w:r>
      <w:r w:rsidRPr="004C4D8B">
        <w:rPr>
          <w:rFonts w:ascii="Times New Roman" w:hAnsi="Times New Roman" w:cs="Times New Roman"/>
          <w:sz w:val="20"/>
          <w:szCs w:val="20"/>
        </w:rPr>
        <w:lastRenderedPageBreak/>
        <w:t xml:space="preserve">Journal of Chemical </w:t>
      </w:r>
      <w:r w:rsidRPr="004C4D8B">
        <w:rPr>
          <w:rFonts w:ascii="Times New Roman" w:hAnsi="Times New Roman" w:cs="Times New Roman"/>
          <w:sz w:val="20"/>
          <w:szCs w:val="20"/>
        </w:rPr>
        <w:tab/>
        <w:t xml:space="preserve">Education, 95(8), 1260-1266. </w:t>
      </w:r>
      <w:hyperlink r:id="rId23" w:history="1">
        <w:r w:rsidRPr="004C4D8B">
          <w:rPr>
            <w:rStyle w:val="Hyperlink"/>
            <w:rFonts w:ascii="Times New Roman" w:hAnsi="Times New Roman"/>
            <w:sz w:val="20"/>
            <w:szCs w:val="20"/>
          </w:rPr>
          <w:t>https://doi.org/10.1021/acs.jchemed.8b00109</w:t>
        </w:r>
      </w:hyperlink>
    </w:p>
    <w:p w14:paraId="01309FFF" w14:textId="77777777" w:rsidR="008E6397" w:rsidRPr="004C4D8B" w:rsidRDefault="008E6397" w:rsidP="00CA2700">
      <w:pPr>
        <w:pStyle w:val="ListParagraph"/>
        <w:numPr>
          <w:ilvl w:val="0"/>
          <w:numId w:val="19"/>
        </w:numPr>
        <w:spacing w:line="240" w:lineRule="auto"/>
        <w:jc w:val="both"/>
        <w:rPr>
          <w:rFonts w:ascii="Times New Roman" w:hAnsi="Times New Roman" w:cs="Times New Roman"/>
          <w:sz w:val="20"/>
          <w:szCs w:val="20"/>
        </w:rPr>
      </w:pPr>
      <w:proofErr w:type="spellStart"/>
      <w:r w:rsidRPr="004C4D8B">
        <w:rPr>
          <w:rFonts w:ascii="Times New Roman" w:hAnsi="Times New Roman" w:cs="Times New Roman"/>
          <w:sz w:val="20"/>
          <w:szCs w:val="20"/>
        </w:rPr>
        <w:t>Talanquer</w:t>
      </w:r>
      <w:proofErr w:type="spellEnd"/>
      <w:r w:rsidRPr="004C4D8B">
        <w:rPr>
          <w:rFonts w:ascii="Times New Roman" w:hAnsi="Times New Roman" w:cs="Times New Roman"/>
          <w:sz w:val="20"/>
          <w:szCs w:val="20"/>
        </w:rPr>
        <w:t xml:space="preserve">, V. (2014). Chemistry education: ten heuristics to tame. Journal of Chemical </w:t>
      </w:r>
      <w:r w:rsidRPr="004C4D8B">
        <w:rPr>
          <w:rFonts w:ascii="Times New Roman" w:hAnsi="Times New Roman" w:cs="Times New Roman"/>
          <w:sz w:val="20"/>
          <w:szCs w:val="20"/>
        </w:rPr>
        <w:tab/>
        <w:t xml:space="preserve">Education, 91(8), 1091-1097. </w:t>
      </w:r>
      <w:hyperlink r:id="rId24" w:history="1">
        <w:r w:rsidRPr="004C4D8B">
          <w:rPr>
            <w:rStyle w:val="Hyperlink"/>
            <w:rFonts w:ascii="Times New Roman" w:hAnsi="Times New Roman"/>
            <w:sz w:val="20"/>
            <w:szCs w:val="20"/>
          </w:rPr>
          <w:t>https://doi.org/10.1021/ed4008765</w:t>
        </w:r>
      </w:hyperlink>
    </w:p>
    <w:p w14:paraId="4176A35F" w14:textId="15CE16C3" w:rsidR="008E6397" w:rsidRPr="00257674" w:rsidRDefault="008E6397" w:rsidP="00CA2700">
      <w:pPr>
        <w:pStyle w:val="ListParagraph"/>
        <w:numPr>
          <w:ilvl w:val="0"/>
          <w:numId w:val="19"/>
        </w:numPr>
        <w:spacing w:line="240" w:lineRule="auto"/>
        <w:jc w:val="both"/>
        <w:rPr>
          <w:rFonts w:ascii="Times New Roman" w:hAnsi="Times New Roman" w:cs="Times New Roman"/>
          <w:sz w:val="20"/>
          <w:szCs w:val="20"/>
        </w:rPr>
      </w:pPr>
      <w:r w:rsidRPr="004C4D8B">
        <w:rPr>
          <w:rFonts w:ascii="Times New Roman" w:hAnsi="Times New Roman" w:cs="Times New Roman"/>
          <w:sz w:val="20"/>
          <w:szCs w:val="20"/>
        </w:rPr>
        <w:t xml:space="preserve">Torres, D., </w:t>
      </w:r>
      <w:proofErr w:type="spellStart"/>
      <w:r w:rsidRPr="004C4D8B">
        <w:rPr>
          <w:rFonts w:ascii="Times New Roman" w:hAnsi="Times New Roman" w:cs="Times New Roman"/>
          <w:sz w:val="20"/>
          <w:szCs w:val="20"/>
        </w:rPr>
        <w:t>Pulukuri</w:t>
      </w:r>
      <w:proofErr w:type="spellEnd"/>
      <w:r w:rsidRPr="004C4D8B">
        <w:rPr>
          <w:rFonts w:ascii="Times New Roman" w:hAnsi="Times New Roman" w:cs="Times New Roman"/>
          <w:sz w:val="20"/>
          <w:szCs w:val="20"/>
        </w:rPr>
        <w:t>, S., &amp; Abrams, B. (2022). Embedded questions and targeted feedback</w:t>
      </w:r>
      <w:r w:rsidR="00257674">
        <w:rPr>
          <w:rFonts w:ascii="Times New Roman" w:hAnsi="Times New Roman" w:cs="Times New Roman"/>
          <w:sz w:val="20"/>
          <w:szCs w:val="20"/>
        </w:rPr>
        <w:t xml:space="preserve"> </w:t>
      </w:r>
      <w:r w:rsidR="00257674" w:rsidRPr="00257674">
        <w:rPr>
          <w:rFonts w:ascii="Times New Roman" w:hAnsi="Times New Roman" w:cs="Times New Roman"/>
          <w:sz w:val="20"/>
          <w:szCs w:val="20"/>
        </w:rPr>
        <w:t>transform</w:t>
      </w:r>
      <w:r w:rsidR="00257674">
        <w:rPr>
          <w:rFonts w:ascii="Times New Roman" w:hAnsi="Times New Roman" w:cs="Times New Roman"/>
          <w:sz w:val="20"/>
          <w:szCs w:val="20"/>
        </w:rPr>
        <w:t xml:space="preserve"> </w:t>
      </w:r>
      <w:r w:rsidR="00257674" w:rsidRPr="00257674">
        <w:rPr>
          <w:rFonts w:ascii="Times New Roman" w:hAnsi="Times New Roman" w:cs="Times New Roman"/>
          <w:sz w:val="20"/>
          <w:szCs w:val="20"/>
        </w:rPr>
        <w:t xml:space="preserve">passive educational videos into effective active learning tools. Journal of </w:t>
      </w:r>
      <w:r w:rsidR="00257674" w:rsidRPr="00257674">
        <w:rPr>
          <w:rFonts w:ascii="Times New Roman" w:hAnsi="Times New Roman" w:cs="Times New Roman"/>
          <w:sz w:val="20"/>
          <w:szCs w:val="20"/>
        </w:rPr>
        <w:tab/>
        <w:t xml:space="preserve">Chemical Education, 99(7), 2738-2742. </w:t>
      </w:r>
      <w:hyperlink r:id="rId25" w:history="1">
        <w:r w:rsidR="00257674" w:rsidRPr="00257674">
          <w:rPr>
            <w:rStyle w:val="Hyperlink"/>
            <w:rFonts w:ascii="Times New Roman" w:hAnsi="Times New Roman"/>
            <w:sz w:val="20"/>
            <w:szCs w:val="20"/>
          </w:rPr>
          <w:t>https://doi.org/10.1021/acs.jchemed.2c00342</w:t>
        </w:r>
      </w:hyperlink>
    </w:p>
    <w:p w14:paraId="7F665404" w14:textId="77777777" w:rsidR="008E6397" w:rsidRDefault="008E6397" w:rsidP="00CA2700">
      <w:pPr>
        <w:pStyle w:val="ListParagraph"/>
        <w:numPr>
          <w:ilvl w:val="0"/>
          <w:numId w:val="19"/>
        </w:numPr>
        <w:spacing w:line="240" w:lineRule="auto"/>
        <w:jc w:val="both"/>
        <w:rPr>
          <w:rFonts w:ascii="Times New Roman" w:hAnsi="Times New Roman" w:cs="Times New Roman"/>
          <w:sz w:val="20"/>
          <w:szCs w:val="20"/>
        </w:rPr>
      </w:pPr>
      <w:r w:rsidRPr="008E6397">
        <w:rPr>
          <w:rFonts w:ascii="Times New Roman" w:hAnsi="Times New Roman" w:cs="Times New Roman"/>
          <w:sz w:val="20"/>
          <w:szCs w:val="20"/>
        </w:rPr>
        <w:t xml:space="preserve">Yassine, S., Kadry, S., &amp; Sicilia, M. (2020). Statistical profiles of users’ interactions with videos in large repositories: mining of khan academy repository. </w:t>
      </w:r>
      <w:proofErr w:type="spellStart"/>
      <w:r w:rsidRPr="008E6397">
        <w:rPr>
          <w:rFonts w:ascii="Times New Roman" w:hAnsi="Times New Roman" w:cs="Times New Roman"/>
          <w:sz w:val="20"/>
          <w:szCs w:val="20"/>
        </w:rPr>
        <w:t>Ksii</w:t>
      </w:r>
      <w:proofErr w:type="spellEnd"/>
      <w:r w:rsidRPr="008E6397">
        <w:rPr>
          <w:rFonts w:ascii="Times New Roman" w:hAnsi="Times New Roman" w:cs="Times New Roman"/>
          <w:sz w:val="20"/>
          <w:szCs w:val="20"/>
        </w:rPr>
        <w:t xml:space="preserve"> Transactions on Internet and Information Systems, 14(5). </w:t>
      </w:r>
      <w:hyperlink r:id="rId26" w:history="1">
        <w:r w:rsidRPr="00300DC9">
          <w:rPr>
            <w:rStyle w:val="Hyperlink"/>
            <w:rFonts w:ascii="Times New Roman" w:hAnsi="Times New Roman"/>
            <w:sz w:val="20"/>
            <w:szCs w:val="20"/>
          </w:rPr>
          <w:t>https://doi.org/10.3837/tiis.2020.05.013</w:t>
        </w:r>
      </w:hyperlink>
    </w:p>
    <w:p w14:paraId="2CC68CD8" w14:textId="77777777" w:rsidR="008E6397" w:rsidRPr="008E6397" w:rsidRDefault="008E6397" w:rsidP="00CA2700">
      <w:pPr>
        <w:pStyle w:val="ListParagraph"/>
        <w:spacing w:line="240" w:lineRule="auto"/>
        <w:ind w:left="360"/>
        <w:rPr>
          <w:rFonts w:ascii="Times New Roman" w:hAnsi="Times New Roman" w:cs="Times New Roman"/>
          <w:sz w:val="20"/>
          <w:szCs w:val="20"/>
        </w:rPr>
      </w:pPr>
    </w:p>
    <w:p w14:paraId="5E1CA218" w14:textId="77777777" w:rsidR="008E6397" w:rsidRPr="004C4D8B" w:rsidRDefault="008E6397" w:rsidP="00CA2700">
      <w:pPr>
        <w:pStyle w:val="ListParagraph"/>
        <w:spacing w:line="240" w:lineRule="auto"/>
        <w:ind w:left="360"/>
        <w:jc w:val="both"/>
        <w:rPr>
          <w:rFonts w:ascii="Times New Roman" w:hAnsi="Times New Roman" w:cs="Times New Roman"/>
          <w:color w:val="0000FF"/>
          <w:sz w:val="20"/>
          <w:szCs w:val="20"/>
          <w:u w:val="single"/>
        </w:rPr>
      </w:pPr>
    </w:p>
    <w:p w14:paraId="4E13761B" w14:textId="77777777" w:rsidR="00B16A7D" w:rsidRDefault="00911ACD" w:rsidP="00CA2700">
      <w:pPr>
        <w:tabs>
          <w:tab w:val="left" w:pos="6360"/>
        </w:tabs>
        <w:spacing w:line="240" w:lineRule="auto"/>
        <w:sectPr w:rsidR="00B16A7D" w:rsidSect="00257674">
          <w:type w:val="continuous"/>
          <w:pgSz w:w="11907" w:h="16839" w:code="9"/>
          <w:pgMar w:top="510" w:right="907" w:bottom="340" w:left="907" w:header="113" w:footer="170" w:gutter="0"/>
          <w:cols w:num="2" w:space="720"/>
          <w:docGrid w:linePitch="360"/>
        </w:sectPr>
      </w:pPr>
      <w:r>
        <w:tab/>
      </w:r>
    </w:p>
    <w:p w14:paraId="40EFF21F" w14:textId="5028643B" w:rsidR="00911ACD" w:rsidRPr="00911ACD" w:rsidRDefault="00911ACD" w:rsidP="00CA2700">
      <w:pPr>
        <w:tabs>
          <w:tab w:val="left" w:pos="6360"/>
        </w:tabs>
        <w:spacing w:line="240" w:lineRule="auto"/>
      </w:pPr>
    </w:p>
    <w:sectPr w:rsidR="00911ACD" w:rsidRPr="00911AC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FE12F0" w14:textId="77777777" w:rsidR="000C6299" w:rsidRDefault="000C6299" w:rsidP="00C556D7">
      <w:pPr>
        <w:spacing w:after="0" w:line="240" w:lineRule="auto"/>
      </w:pPr>
      <w:r>
        <w:separator/>
      </w:r>
    </w:p>
  </w:endnote>
  <w:endnote w:type="continuationSeparator" w:id="0">
    <w:p w14:paraId="6A2BE905" w14:textId="77777777" w:rsidR="000C6299" w:rsidRDefault="000C629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DAAEB" w14:textId="77777777" w:rsidR="000C6299" w:rsidRDefault="000C6299" w:rsidP="00C556D7">
      <w:pPr>
        <w:spacing w:after="0" w:line="240" w:lineRule="auto"/>
      </w:pPr>
      <w:r>
        <w:separator/>
      </w:r>
    </w:p>
  </w:footnote>
  <w:footnote w:type="continuationSeparator" w:id="0">
    <w:p w14:paraId="1D81F5DA" w14:textId="77777777" w:rsidR="000C6299" w:rsidRDefault="000C629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EE87C5F"/>
    <w:multiLevelType w:val="hybridMultilevel"/>
    <w:tmpl w:val="99887E28"/>
    <w:lvl w:ilvl="0" w:tplc="ADB0C70C">
      <w:start w:val="1"/>
      <w:numFmt w:val="decimal"/>
      <w:lvlText w:val="%1."/>
      <w:lvlJc w:val="left"/>
      <w:pPr>
        <w:ind w:left="720" w:hanging="360"/>
      </w:pPr>
      <w:rPr>
        <w:rFonts w:hint="default"/>
        <w:b/>
        <w:color w:val="2E5395"/>
        <w:sz w:val="24"/>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C76AA144"/>
    <w:lvl w:ilvl="0" w:tplc="15F015A2">
      <w:start w:val="1"/>
      <w:numFmt w:val="decimal"/>
      <w:lvlText w:val="[%1]"/>
      <w:lvlJc w:val="left"/>
      <w:pPr>
        <w:ind w:left="360" w:hanging="360"/>
      </w:pPr>
      <w:rPr>
        <w:rFonts w:hint="default"/>
        <w:b w:val="0"/>
        <w:bCs w:val="0"/>
        <w:i w:val="0"/>
        <w:iCs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844FB"/>
    <w:multiLevelType w:val="hybridMultilevel"/>
    <w:tmpl w:val="78B88982"/>
    <w:lvl w:ilvl="0" w:tplc="062AD464">
      <w:start w:val="1"/>
      <w:numFmt w:val="upp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3" w15:restartNumberingAfterBreak="0">
    <w:nsid w:val="7FFE0A05"/>
    <w:multiLevelType w:val="hybridMultilevel"/>
    <w:tmpl w:val="DDB06A2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542062938">
    <w:abstractNumId w:val="23"/>
  </w:num>
  <w:num w:numId="23" w16cid:durableId="1340739443">
    <w:abstractNumId w:val="12"/>
  </w:num>
  <w:num w:numId="24" w16cid:durableId="10497659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5578"/>
    <w:rsid w:val="00062B06"/>
    <w:rsid w:val="000649B0"/>
    <w:rsid w:val="00066A7A"/>
    <w:rsid w:val="000717AD"/>
    <w:rsid w:val="00081E20"/>
    <w:rsid w:val="00082A88"/>
    <w:rsid w:val="000846F5"/>
    <w:rsid w:val="00091059"/>
    <w:rsid w:val="00095D77"/>
    <w:rsid w:val="000A3933"/>
    <w:rsid w:val="000A5BB0"/>
    <w:rsid w:val="000B1932"/>
    <w:rsid w:val="000B6A95"/>
    <w:rsid w:val="000C2D11"/>
    <w:rsid w:val="000C6299"/>
    <w:rsid w:val="000D7425"/>
    <w:rsid w:val="000D79A3"/>
    <w:rsid w:val="000E5718"/>
    <w:rsid w:val="000F2747"/>
    <w:rsid w:val="000F2DCD"/>
    <w:rsid w:val="0010160E"/>
    <w:rsid w:val="00115146"/>
    <w:rsid w:val="001214C2"/>
    <w:rsid w:val="00125B8F"/>
    <w:rsid w:val="00127B8C"/>
    <w:rsid w:val="00130820"/>
    <w:rsid w:val="0013642C"/>
    <w:rsid w:val="00140E84"/>
    <w:rsid w:val="00144971"/>
    <w:rsid w:val="0014571A"/>
    <w:rsid w:val="00157BEC"/>
    <w:rsid w:val="001669B3"/>
    <w:rsid w:val="00167C79"/>
    <w:rsid w:val="001702C9"/>
    <w:rsid w:val="0017211F"/>
    <w:rsid w:val="0018026F"/>
    <w:rsid w:val="001814AA"/>
    <w:rsid w:val="00187922"/>
    <w:rsid w:val="001A5639"/>
    <w:rsid w:val="001B5C5B"/>
    <w:rsid w:val="001C0F2F"/>
    <w:rsid w:val="001C15A0"/>
    <w:rsid w:val="001C75F5"/>
    <w:rsid w:val="001C7C31"/>
    <w:rsid w:val="001D095B"/>
    <w:rsid w:val="001D1DD3"/>
    <w:rsid w:val="001E4A2E"/>
    <w:rsid w:val="001E4ACD"/>
    <w:rsid w:val="001E51F3"/>
    <w:rsid w:val="001F0BB1"/>
    <w:rsid w:val="00205839"/>
    <w:rsid w:val="00205A73"/>
    <w:rsid w:val="00206DE4"/>
    <w:rsid w:val="0022767D"/>
    <w:rsid w:val="00227FA8"/>
    <w:rsid w:val="002426D5"/>
    <w:rsid w:val="00257674"/>
    <w:rsid w:val="002650CA"/>
    <w:rsid w:val="00273038"/>
    <w:rsid w:val="002A579C"/>
    <w:rsid w:val="002E72CF"/>
    <w:rsid w:val="002F3187"/>
    <w:rsid w:val="002F43A5"/>
    <w:rsid w:val="0031583E"/>
    <w:rsid w:val="003265E6"/>
    <w:rsid w:val="00350F8D"/>
    <w:rsid w:val="00361C3F"/>
    <w:rsid w:val="003656D1"/>
    <w:rsid w:val="00392E5A"/>
    <w:rsid w:val="003A3AED"/>
    <w:rsid w:val="003B13EB"/>
    <w:rsid w:val="003B34DD"/>
    <w:rsid w:val="003B354D"/>
    <w:rsid w:val="003C3221"/>
    <w:rsid w:val="003C4071"/>
    <w:rsid w:val="003C6D94"/>
    <w:rsid w:val="003D2120"/>
    <w:rsid w:val="003E2ECA"/>
    <w:rsid w:val="003E49D7"/>
    <w:rsid w:val="003E7930"/>
    <w:rsid w:val="003F6F2B"/>
    <w:rsid w:val="004161D7"/>
    <w:rsid w:val="0044570C"/>
    <w:rsid w:val="00446FEA"/>
    <w:rsid w:val="00450069"/>
    <w:rsid w:val="00453C9D"/>
    <w:rsid w:val="004623B5"/>
    <w:rsid w:val="004808B7"/>
    <w:rsid w:val="0048549C"/>
    <w:rsid w:val="004960D6"/>
    <w:rsid w:val="00496A8A"/>
    <w:rsid w:val="004A26D4"/>
    <w:rsid w:val="004A52B3"/>
    <w:rsid w:val="004B0E1D"/>
    <w:rsid w:val="004C4D8B"/>
    <w:rsid w:val="004D5813"/>
    <w:rsid w:val="004D5DC8"/>
    <w:rsid w:val="004D5FF5"/>
    <w:rsid w:val="004E04E8"/>
    <w:rsid w:val="004E6C72"/>
    <w:rsid w:val="004E7262"/>
    <w:rsid w:val="004F2A7F"/>
    <w:rsid w:val="00505045"/>
    <w:rsid w:val="005165E7"/>
    <w:rsid w:val="00524B78"/>
    <w:rsid w:val="005256A9"/>
    <w:rsid w:val="00526DDB"/>
    <w:rsid w:val="005338E6"/>
    <w:rsid w:val="00535548"/>
    <w:rsid w:val="00557B92"/>
    <w:rsid w:val="00564C8A"/>
    <w:rsid w:val="005A48C2"/>
    <w:rsid w:val="005B3887"/>
    <w:rsid w:val="005B73A4"/>
    <w:rsid w:val="005C1D19"/>
    <w:rsid w:val="005D265F"/>
    <w:rsid w:val="005F717A"/>
    <w:rsid w:val="006110CA"/>
    <w:rsid w:val="00617A82"/>
    <w:rsid w:val="00632466"/>
    <w:rsid w:val="00633CDF"/>
    <w:rsid w:val="006413AE"/>
    <w:rsid w:val="00654EC1"/>
    <w:rsid w:val="0067549B"/>
    <w:rsid w:val="00690A1B"/>
    <w:rsid w:val="006918DA"/>
    <w:rsid w:val="006962A4"/>
    <w:rsid w:val="006A5E5C"/>
    <w:rsid w:val="006A6434"/>
    <w:rsid w:val="006B05A1"/>
    <w:rsid w:val="006B2ED8"/>
    <w:rsid w:val="006C11CA"/>
    <w:rsid w:val="006C74D5"/>
    <w:rsid w:val="006D7E62"/>
    <w:rsid w:val="006F51F4"/>
    <w:rsid w:val="0070587A"/>
    <w:rsid w:val="00732B32"/>
    <w:rsid w:val="00756E86"/>
    <w:rsid w:val="00767719"/>
    <w:rsid w:val="007873A1"/>
    <w:rsid w:val="0078747A"/>
    <w:rsid w:val="0079243B"/>
    <w:rsid w:val="00794556"/>
    <w:rsid w:val="007B170D"/>
    <w:rsid w:val="007D5C9A"/>
    <w:rsid w:val="007E75BA"/>
    <w:rsid w:val="007E79D6"/>
    <w:rsid w:val="007F4C35"/>
    <w:rsid w:val="007F6CE4"/>
    <w:rsid w:val="00813A21"/>
    <w:rsid w:val="00814B7E"/>
    <w:rsid w:val="00826BF1"/>
    <w:rsid w:val="00837A71"/>
    <w:rsid w:val="008450FD"/>
    <w:rsid w:val="00855648"/>
    <w:rsid w:val="00861EE8"/>
    <w:rsid w:val="008741D3"/>
    <w:rsid w:val="00880D03"/>
    <w:rsid w:val="00886A76"/>
    <w:rsid w:val="00887593"/>
    <w:rsid w:val="008A1F3C"/>
    <w:rsid w:val="008A72D8"/>
    <w:rsid w:val="008A74F7"/>
    <w:rsid w:val="008B55E8"/>
    <w:rsid w:val="008B5B88"/>
    <w:rsid w:val="008C7F5F"/>
    <w:rsid w:val="008D1F25"/>
    <w:rsid w:val="008E6397"/>
    <w:rsid w:val="0090504D"/>
    <w:rsid w:val="00905466"/>
    <w:rsid w:val="00911ACD"/>
    <w:rsid w:val="0091436C"/>
    <w:rsid w:val="0093005F"/>
    <w:rsid w:val="0093478F"/>
    <w:rsid w:val="0094277C"/>
    <w:rsid w:val="009446C5"/>
    <w:rsid w:val="0094642D"/>
    <w:rsid w:val="00971033"/>
    <w:rsid w:val="009A49D4"/>
    <w:rsid w:val="009C713B"/>
    <w:rsid w:val="009D6B4C"/>
    <w:rsid w:val="009E4D95"/>
    <w:rsid w:val="009E7E3D"/>
    <w:rsid w:val="009F6540"/>
    <w:rsid w:val="00A0162A"/>
    <w:rsid w:val="00A331F2"/>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6A7D"/>
    <w:rsid w:val="00B17F4E"/>
    <w:rsid w:val="00B21E66"/>
    <w:rsid w:val="00B2643B"/>
    <w:rsid w:val="00B34474"/>
    <w:rsid w:val="00B60F30"/>
    <w:rsid w:val="00B71A47"/>
    <w:rsid w:val="00B76621"/>
    <w:rsid w:val="00B82E3B"/>
    <w:rsid w:val="00BA6D24"/>
    <w:rsid w:val="00BC087A"/>
    <w:rsid w:val="00BC37A0"/>
    <w:rsid w:val="00BD0DF3"/>
    <w:rsid w:val="00BD19E7"/>
    <w:rsid w:val="00BE369E"/>
    <w:rsid w:val="00BE5B25"/>
    <w:rsid w:val="00C13545"/>
    <w:rsid w:val="00C20B7A"/>
    <w:rsid w:val="00C35F1D"/>
    <w:rsid w:val="00C378A3"/>
    <w:rsid w:val="00C43197"/>
    <w:rsid w:val="00C47D4B"/>
    <w:rsid w:val="00C556D7"/>
    <w:rsid w:val="00C56420"/>
    <w:rsid w:val="00C5653F"/>
    <w:rsid w:val="00C80495"/>
    <w:rsid w:val="00C8572B"/>
    <w:rsid w:val="00C87AD7"/>
    <w:rsid w:val="00C87DAA"/>
    <w:rsid w:val="00C9394F"/>
    <w:rsid w:val="00CA0B60"/>
    <w:rsid w:val="00CA2700"/>
    <w:rsid w:val="00CA6977"/>
    <w:rsid w:val="00CD3E8F"/>
    <w:rsid w:val="00CD7165"/>
    <w:rsid w:val="00CE4576"/>
    <w:rsid w:val="00CE4A54"/>
    <w:rsid w:val="00CE5A19"/>
    <w:rsid w:val="00D25854"/>
    <w:rsid w:val="00D3084A"/>
    <w:rsid w:val="00D74DDA"/>
    <w:rsid w:val="00DA52F4"/>
    <w:rsid w:val="00DD2A8C"/>
    <w:rsid w:val="00DD6B36"/>
    <w:rsid w:val="00DD7C7C"/>
    <w:rsid w:val="00DE68FE"/>
    <w:rsid w:val="00DF201E"/>
    <w:rsid w:val="00DF317B"/>
    <w:rsid w:val="00DF6FFA"/>
    <w:rsid w:val="00E03AB8"/>
    <w:rsid w:val="00E058D9"/>
    <w:rsid w:val="00E12C1F"/>
    <w:rsid w:val="00E26448"/>
    <w:rsid w:val="00E26687"/>
    <w:rsid w:val="00E34078"/>
    <w:rsid w:val="00E35FB6"/>
    <w:rsid w:val="00E3688D"/>
    <w:rsid w:val="00E54339"/>
    <w:rsid w:val="00E71348"/>
    <w:rsid w:val="00E73492"/>
    <w:rsid w:val="00E81599"/>
    <w:rsid w:val="00E82016"/>
    <w:rsid w:val="00E843CC"/>
    <w:rsid w:val="00E94486"/>
    <w:rsid w:val="00EA6189"/>
    <w:rsid w:val="00EB0728"/>
    <w:rsid w:val="00EB432A"/>
    <w:rsid w:val="00EB588E"/>
    <w:rsid w:val="00EC7CE6"/>
    <w:rsid w:val="00EE1166"/>
    <w:rsid w:val="00EE526E"/>
    <w:rsid w:val="00F01E52"/>
    <w:rsid w:val="00F06021"/>
    <w:rsid w:val="00F141E8"/>
    <w:rsid w:val="00F14345"/>
    <w:rsid w:val="00F14F23"/>
    <w:rsid w:val="00F21C38"/>
    <w:rsid w:val="00F27048"/>
    <w:rsid w:val="00F332CC"/>
    <w:rsid w:val="00F42C71"/>
    <w:rsid w:val="00F43ABE"/>
    <w:rsid w:val="00F530E1"/>
    <w:rsid w:val="00F62C11"/>
    <w:rsid w:val="00F65276"/>
    <w:rsid w:val="00F76F5A"/>
    <w:rsid w:val="00FA596C"/>
    <w:rsid w:val="00FB5E64"/>
    <w:rsid w:val="00FC7701"/>
    <w:rsid w:val="00FD543B"/>
    <w:rsid w:val="00FD69A3"/>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4E6C72"/>
    <w:rPr>
      <w:color w:val="605E5C"/>
      <w:shd w:val="clear" w:color="auto" w:fill="E1DFDD"/>
    </w:rPr>
  </w:style>
  <w:style w:type="table" w:styleId="PlainTable2">
    <w:name w:val="Plain Table 2"/>
    <w:basedOn w:val="TableNormal"/>
    <w:uiPriority w:val="42"/>
    <w:rsid w:val="00E3688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680207">
      <w:bodyDiv w:val="1"/>
      <w:marLeft w:val="0"/>
      <w:marRight w:val="0"/>
      <w:marTop w:val="0"/>
      <w:marBottom w:val="0"/>
      <w:divBdr>
        <w:top w:val="none" w:sz="0" w:space="0" w:color="auto"/>
        <w:left w:val="none" w:sz="0" w:space="0" w:color="auto"/>
        <w:bottom w:val="none" w:sz="0" w:space="0" w:color="auto"/>
        <w:right w:val="none" w:sz="0" w:space="0" w:color="auto"/>
      </w:divBdr>
    </w:div>
    <w:div w:id="147014654">
      <w:bodyDiv w:val="1"/>
      <w:marLeft w:val="0"/>
      <w:marRight w:val="0"/>
      <w:marTop w:val="0"/>
      <w:marBottom w:val="0"/>
      <w:divBdr>
        <w:top w:val="none" w:sz="0" w:space="0" w:color="auto"/>
        <w:left w:val="none" w:sz="0" w:space="0" w:color="auto"/>
        <w:bottom w:val="none" w:sz="0" w:space="0" w:color="auto"/>
        <w:right w:val="none" w:sz="0" w:space="0" w:color="auto"/>
      </w:divBdr>
    </w:div>
    <w:div w:id="226233914">
      <w:bodyDiv w:val="1"/>
      <w:marLeft w:val="0"/>
      <w:marRight w:val="0"/>
      <w:marTop w:val="0"/>
      <w:marBottom w:val="0"/>
      <w:divBdr>
        <w:top w:val="none" w:sz="0" w:space="0" w:color="auto"/>
        <w:left w:val="none" w:sz="0" w:space="0" w:color="auto"/>
        <w:bottom w:val="none" w:sz="0" w:space="0" w:color="auto"/>
        <w:right w:val="none" w:sz="0" w:space="0" w:color="auto"/>
      </w:divBdr>
    </w:div>
    <w:div w:id="101754162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685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21474/ijar01/12183" TargetMode="External"/><Relationship Id="rId18" Type="http://schemas.openxmlformats.org/officeDocument/2006/relationships/hyperlink" Target="https://doi.org/10.19173/irrodl.v18i4.2984" TargetMode="External"/><Relationship Id="rId26" Type="http://schemas.openxmlformats.org/officeDocument/2006/relationships/hyperlink" Target="https://doi.org/10.3837/tiis.2020.05.013" TargetMode="External"/><Relationship Id="rId3" Type="http://schemas.openxmlformats.org/officeDocument/2006/relationships/styles" Target="styles.xml"/><Relationship Id="rId21" Type="http://schemas.openxmlformats.org/officeDocument/2006/relationships/hyperlink" Target="https://doi.org/10.1111/bjet.12572" TargetMode="External"/><Relationship Id="rId7" Type="http://schemas.openxmlformats.org/officeDocument/2006/relationships/endnotes" Target="endnotes.xml"/><Relationship Id="rId12" Type="http://schemas.openxmlformats.org/officeDocument/2006/relationships/hyperlink" Target="https://doi.org/10.1007/s11858-020-01140-2" TargetMode="External"/><Relationship Id="rId17" Type="http://schemas.openxmlformats.org/officeDocument/2006/relationships/hyperlink" Target="https://doi.org/10.18421/tem132-42" TargetMode="External"/><Relationship Id="rId25" Type="http://schemas.openxmlformats.org/officeDocument/2006/relationships/hyperlink" Target="https://doi.org/10.1021/acs.jchemed.2c00342" TargetMode="External"/><Relationship Id="rId2" Type="http://schemas.openxmlformats.org/officeDocument/2006/relationships/numbering" Target="numbering.xml"/><Relationship Id="rId16" Type="http://schemas.openxmlformats.org/officeDocument/2006/relationships/hyperlink" Target="https://doi.org/10.22437/irje.v5i1.12187" TargetMode="External"/><Relationship Id="rId20" Type="http://schemas.openxmlformats.org/officeDocument/2006/relationships/hyperlink" Target="https://doi.org/10.15294/jese.v1i2.5037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29333/iejme/7601" TargetMode="External"/><Relationship Id="rId24" Type="http://schemas.openxmlformats.org/officeDocument/2006/relationships/hyperlink" Target="https://doi.org/10.1021/ed4008765" TargetMode="External"/><Relationship Id="rId5" Type="http://schemas.openxmlformats.org/officeDocument/2006/relationships/webSettings" Target="webSettings.xml"/><Relationship Id="rId15" Type="http://schemas.openxmlformats.org/officeDocument/2006/relationships/hyperlink" Target="https://doi.org/10.24918/cs.2023.16" TargetMode="External"/><Relationship Id="rId23" Type="http://schemas.openxmlformats.org/officeDocument/2006/relationships/hyperlink" Target="https://doi.org/10.1021/acs.jchemed.8b00109" TargetMode="External"/><Relationship Id="rId28" Type="http://schemas.openxmlformats.org/officeDocument/2006/relationships/theme" Target="theme/theme1.xml"/><Relationship Id="rId10" Type="http://schemas.openxmlformats.org/officeDocument/2006/relationships/hyperlink" Target="https://doi.org/10.1101/2022.08.09.503350" TargetMode="External"/><Relationship Id="rId19" Type="http://schemas.openxmlformats.org/officeDocument/2006/relationships/hyperlink" Target="https://doi.org/10.3390/ijerph2001036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i.org/10.1187/cbe.16-03-0125" TargetMode="External"/><Relationship Id="rId22" Type="http://schemas.openxmlformats.org/officeDocument/2006/relationships/hyperlink" Target="https://doi.org/10.1021/acs.jchemed.2c01071"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281</TotalTime>
  <Pages>5</Pages>
  <Words>3297</Words>
  <Characters>18798</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arnelandrin@outlook.com</cp:lastModifiedBy>
  <cp:revision>12</cp:revision>
  <cp:lastPrinted>2021-02-22T14:39:00Z</cp:lastPrinted>
  <dcterms:created xsi:type="dcterms:W3CDTF">2025-02-14T06:52:00Z</dcterms:created>
  <dcterms:modified xsi:type="dcterms:W3CDTF">2025-02-16T08:08:00Z</dcterms:modified>
</cp:coreProperties>
</file>