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EF718">
      <w:pPr>
        <w:jc w:val="center"/>
        <w:rPr>
          <w:rFonts w:ascii="Times New Roman" w:hAnsi="Times New Roman" w:cs="Times New Roman"/>
          <w:b/>
          <w:bCs/>
          <w:color w:val="000000" w:themeColor="text1"/>
          <w:sz w:val="28"/>
          <w:szCs w:val="28"/>
          <w14:textFill>
            <w14:solidFill>
              <w14:schemeClr w14:val="tx1"/>
            </w14:solidFill>
          </w14:textFill>
        </w:rPr>
      </w:pPr>
      <w:bookmarkStart w:id="1" w:name="_GoBack"/>
      <w:r>
        <w:rPr>
          <w:rFonts w:ascii="Times New Roman" w:hAnsi="Times New Roman" w:cs="Times New Roman"/>
          <w:b/>
          <w:bCs/>
          <w:color w:val="000000" w:themeColor="text1"/>
          <w:sz w:val="28"/>
          <w:szCs w:val="28"/>
          <w14:textFill>
            <w14:solidFill>
              <w14:schemeClr w14:val="tx1"/>
            </w14:solidFill>
          </w14:textFill>
        </w:rPr>
        <w:t>AI-BASED SOLAR ENERGY OPTIMIZATION: A COMPREHENSIVE METHODOLOGY AND EVALUATION</w:t>
      </w:r>
    </w:p>
    <w:bookmarkEnd w:id="1"/>
    <w:p w14:paraId="0A4F162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Nikin Tharan</w:t>
      </w:r>
      <w:r>
        <w:rPr>
          <w:rFonts w:ascii="Times New Roman" w:hAnsi="Times New Roman" w:cs="Times New Roman"/>
          <w:b/>
          <w:bCs/>
          <w:color w:val="000000" w:themeColor="text1"/>
          <w:sz w:val="24"/>
          <w:szCs w:val="24"/>
          <w:vertAlign w:val="superscript"/>
          <w14:textFill>
            <w14:solidFill>
              <w14:schemeClr w14:val="tx1"/>
            </w14:solidFill>
          </w14:textFill>
        </w:rPr>
        <w:t>1</w:t>
      </w:r>
    </w:p>
    <w:p w14:paraId="216EA505">
      <w:pPr>
        <w:spacing w:before="54" w:after="0" w:line="276" w:lineRule="auto"/>
        <w:jc w:val="center"/>
        <w:rPr>
          <w:rFonts w:ascii="Cambria" w:hAnsi="Cambria"/>
        </w:rPr>
      </w:pP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Independent Researcher, Sobha Emerald, Jakkur, Bangalore </w:t>
      </w: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14:paraId="22DC71C8">
      <w:pPr>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w:t>
      </w:r>
      <w:r>
        <w:rPr>
          <w:rFonts w:hint="default" w:ascii="Times New Roman" w:hAnsi="Times New Roman" w:cs="Times New Roman"/>
          <w:color w:val="000000" w:themeColor="text1"/>
          <w:sz w:val="20"/>
          <w:szCs w:val="20"/>
          <w:lang w:val="en-IN"/>
          <w14:textFill>
            <w14:solidFill>
              <w14:schemeClr w14:val="tx1"/>
            </w14:solidFill>
          </w14:textFill>
        </w:rPr>
        <w:t>e</w:t>
      </w:r>
      <w:r>
        <w:rPr>
          <w:rFonts w:ascii="Times New Roman" w:hAnsi="Times New Roman" w:cs="Times New Roman"/>
          <w:color w:val="000000" w:themeColor="text1"/>
          <w:sz w:val="20"/>
          <w:szCs w:val="20"/>
          <w14:textFill>
            <w14:solidFill>
              <w14:schemeClr w14:val="tx1"/>
            </w14:solidFill>
          </w14:textFill>
        </w:rPr>
        <w:t xml:space="preserve"> paper presents an AI-based solar energy optimization system designed to improve the efficiency, reliability, and scalability of solar power generation. The system integrates advanced machine learning techniques, including reinforcement learning (RL) for dynamic energy distribution, long short-term memory (LSTM) networks for solar power forecasting, and predictive maintenance models using support vector machines (SVM) and random forests for fault detection. The proposed approach is tested through both simulations and real-world experiments on a 50 kW solar farm, equipped with IoT-based sensors and cloud computing infrastructure. Key performance metrics, such as prediction accuracy, energy utilization, fault detection accuracy, and computational efficiency, are evaluated and compared with conventional optimization methods. The results show that the AI-driven system outperforms traditional methods in several aspects, including a 15-20% improvement in energy utilization, an 85% fault detection rate, and a 20% faster computational performance. These findings demonstrate the potential of AI in enhancing the optimization of solar energy systems, paving the way for smarter, more efficient renewable energy solutions. Further research will focus on expanding the system to integrate other renewable energy sources and explore decentralized AI models for greater scalability.</w:t>
      </w:r>
    </w:p>
    <w:p w14:paraId="293548F2">
      <w:pPr>
        <w:numPr>
          <w:numId w:val="0"/>
        </w:numPr>
        <w:jc w:val="both"/>
        <w:rPr>
          <w:b/>
          <w:bCs/>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lang w:val="en-IN"/>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AI-based Solar Energy Optimization</w:t>
      </w:r>
      <w:r>
        <w:rPr>
          <w:rFonts w:hint="default" w:ascii="Times New Roman" w:hAnsi="Times New Roman" w:cs="Times New Roman"/>
          <w:color w:val="000000" w:themeColor="text1"/>
          <w:sz w:val="20"/>
          <w:szCs w:val="20"/>
          <w:lang w:val="en-IN"/>
          <w14:textFill>
            <w14:solidFill>
              <w14:schemeClr w14:val="tx1"/>
            </w14:solidFill>
          </w14:textFill>
        </w:rPr>
        <w:t>,Fault detection,Machine learning,Long Short Term Memory</w:t>
      </w:r>
    </w:p>
    <w:p w14:paraId="2209BD7F">
      <w:pPr>
        <w:pBdr>
          <w:bottom w:val="single" w:color="auto" w:sz="4" w:space="1"/>
        </w:pBd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 xml:space="preserve"> </w:t>
      </w:r>
    </w:p>
    <w:p w14:paraId="075684D6">
      <w:pPr>
        <w:pStyle w:val="12"/>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w:t>
      </w:r>
    </w:p>
    <w:p w14:paraId="3D7AA50D">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The growing global emphasis on renewable energy sources has placed solar power at the forefront of efforts to transition to cleaner and more sustainable energy systems. Solar energy, although abundant and eco-friendly, faces challenges related to its intermittent nature, which varies with weather conditions, time of day, and geographical location. To maximize the potential of solar power, optimization of solar energy systems is essential. Traditional approaches to energy distribution, fault detection, and power forecasting often lack the adaptability and predictive accuracy required to handle these fluctuations efficiently.</w:t>
      </w:r>
      <w:r>
        <w:rPr>
          <w:rFonts w:hint="default" w:ascii="Times New Roman" w:hAnsi="Times New Roman" w:cs="Times New Roman"/>
          <w:color w:val="000000" w:themeColor="text1"/>
          <w:sz w:val="20"/>
          <w:szCs w:val="20"/>
          <w:lang w:val="en-IN"/>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Artificial Intelligence (AI) has emerged as a powerful tool to overcome the limitations of conventional solar energy optimization methods. AI-based systems can process vast amounts of data generated by solar farms, including historical solar power generation, real-time weather data, and IoT-based sensor information. By utilizing machine learning techniques such as Reinforcement Learning (RL), Long Short-Term Memory (LSTM) networks, and Support Vector Machines (SVM), these systems can predict energy output, detect faults, and dynamically adjust energy distribution in real time, ensuring optimal performance (1; 2).</w:t>
      </w:r>
    </w:p>
    <w:p w14:paraId="251ABC37">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w:t>
      </w:r>
      <w:r>
        <w:rPr>
          <w:rFonts w:hint="default" w:ascii="Times New Roman" w:hAnsi="Times New Roman" w:cs="Times New Roman"/>
          <w:color w:val="000000" w:themeColor="text1"/>
          <w:sz w:val="20"/>
          <w:szCs w:val="20"/>
          <w:lang w:val="en-IN"/>
          <w14:textFill>
            <w14:solidFill>
              <w14:schemeClr w14:val="tx1"/>
            </w14:solidFill>
          </w14:textFill>
        </w:rPr>
        <w:t>e</w:t>
      </w:r>
      <w:r>
        <w:rPr>
          <w:rFonts w:ascii="Times New Roman" w:hAnsi="Times New Roman" w:cs="Times New Roman"/>
          <w:color w:val="000000" w:themeColor="text1"/>
          <w:sz w:val="20"/>
          <w:szCs w:val="20"/>
          <w14:textFill>
            <w14:solidFill>
              <w14:schemeClr w14:val="tx1"/>
            </w14:solidFill>
          </w14:textFill>
        </w:rPr>
        <w:t xml:space="preserve"> paper introduces an AI-based solar energy optimization system that leverages these advanced machine learning models to address critical challenges in solar energy management. Specifically, the system aims to enhance solar power forecasting, improve energy utilization, and enable predictive maintenance of solar panels. The proposed system combines RL for dynamic energy distribution, LSTM networks for solar power forecasting, and SVM and Random Forest models for fault detection. The system's performance is evaluated through simulations, real-world deployment on a 50 kW solar farm, and comparative analysis with conventional optimization methods.</w:t>
      </w:r>
    </w:p>
    <w:p w14:paraId="0DB35151">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The objectives of this study are to:</w:t>
      </w:r>
    </w:p>
    <w:p w14:paraId="334340E8">
      <w:pPr>
        <w:numPr>
          <w:ilvl w:val="0"/>
          <w:numId w:val="3"/>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Demonstrate how AI can optimize energy utilization and forecasting accuracy in solar power systems.</w:t>
      </w:r>
    </w:p>
    <w:p w14:paraId="361DCBC4">
      <w:pPr>
        <w:numPr>
          <w:ilvl w:val="0"/>
          <w:numId w:val="3"/>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Validate the performance of AI-based fault detection systems in predicting failures and reducing downtime.</w:t>
      </w:r>
    </w:p>
    <w:p w14:paraId="301EDC9F">
      <w:pPr>
        <w:numPr>
          <w:ilvl w:val="0"/>
          <w:numId w:val="3"/>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Assess the computational efficiency and scalability of the AI system compared to traditional methods.</w:t>
      </w:r>
    </w:p>
    <w:p w14:paraId="2B027F01">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The methodology involves collecting historical solar power generation data, real-time weather data, and IoT-based sensor data. These datasets are used to train the machine learning models, which are subsequently tested on a real-world solar farm to ensure that they generalize well to real-world conditions. The key performance metrics, such as Root Mean Square Error (RMSE), Mean Absolute Error (MAE), and energy utilization efficiency, are calculated and compared with results obtained from traditional methods to evaluate the improvements offered by the AI system.</w:t>
      </w:r>
    </w:p>
    <w:p w14:paraId="19CF0888">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Previous studies have demonstrated the potential of AI in solar energy optimization, but few have integrated multiple machine learning techniques into a unified system that handles forecasting, energy distribution, and fault detection simultaneously (3; 4). The proposed system represents a significant advancement in this regard, offering a more integrated approach to addressing the challenges of solar energy systems. This paper contributes to the growing body of literature on AI applications in renewable energy by offering an AI-based system that is both practical and scalable for real-world deployment in solar farms (3; 4).</w:t>
      </w:r>
    </w:p>
    <w:p w14:paraId="007E85B0">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7A033264">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 xml:space="preserve">LITERATURE SURVEY </w:t>
      </w:r>
    </w:p>
    <w:tbl>
      <w:tblPr>
        <w:tblStyle w:val="4"/>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17"/>
        <w:gridCol w:w="3091"/>
        <w:gridCol w:w="2524"/>
        <w:gridCol w:w="4071"/>
      </w:tblGrid>
      <w:tr w14:paraId="2B39E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blCellSpacing w:w="15" w:type="dxa"/>
        </w:trPr>
        <w:tc>
          <w:tcPr>
            <w:tcW w:w="0" w:type="auto"/>
            <w:vAlign w:val="center"/>
          </w:tcPr>
          <w:p w14:paraId="71CD16D3">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Year</w:t>
            </w:r>
          </w:p>
        </w:tc>
        <w:tc>
          <w:tcPr>
            <w:tcW w:w="0" w:type="auto"/>
            <w:vAlign w:val="center"/>
          </w:tcPr>
          <w:p w14:paraId="63F183E7">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Title</w:t>
            </w:r>
          </w:p>
        </w:tc>
        <w:tc>
          <w:tcPr>
            <w:tcW w:w="0" w:type="auto"/>
            <w:vAlign w:val="center"/>
          </w:tcPr>
          <w:p w14:paraId="435E1A72">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Focus</w:t>
            </w:r>
          </w:p>
        </w:tc>
        <w:tc>
          <w:tcPr>
            <w:tcW w:w="0" w:type="auto"/>
            <w:vAlign w:val="center"/>
          </w:tcPr>
          <w:p w14:paraId="0C2965FA">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 Findings</w:t>
            </w:r>
          </w:p>
        </w:tc>
      </w:tr>
      <w:tr w14:paraId="17C86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66F1F505">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6B51A6A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"AI-driven Predictive Maintenance and Optimization of Renewable Energy Systems for Enhanced Operational Efficiency and Longevity"</w:t>
            </w:r>
          </w:p>
        </w:tc>
        <w:tc>
          <w:tcPr>
            <w:tcW w:w="0" w:type="auto"/>
            <w:vAlign w:val="center"/>
          </w:tcPr>
          <w:p w14:paraId="3672DC03">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Investigates AI techniques for predictive maintenance and optimization in renewable energy systems.</w:t>
            </w:r>
          </w:p>
        </w:tc>
        <w:tc>
          <w:tcPr>
            <w:tcW w:w="0" w:type="auto"/>
            <w:vAlign w:val="center"/>
          </w:tcPr>
          <w:p w14:paraId="6F6F316F">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Demonstrates the application of machine learning algorithms to develop predictive models and optimization strategies, enhancing operational efficiency and extending system longevity [5].</w:t>
            </w:r>
          </w:p>
        </w:tc>
      </w:tr>
      <w:tr w14:paraId="7D4A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7D4098D2">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3233B3B7">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"AI-driven Innovations in Energy Efficiency: Transforming Smart Energy Management Systems"</w:t>
            </w:r>
          </w:p>
        </w:tc>
        <w:tc>
          <w:tcPr>
            <w:tcW w:w="0" w:type="auto"/>
            <w:vAlign w:val="center"/>
          </w:tcPr>
          <w:p w14:paraId="04823E0A">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Reviews existing research on AI applications in energy management.</w:t>
            </w:r>
          </w:p>
        </w:tc>
        <w:tc>
          <w:tcPr>
            <w:tcW w:w="0" w:type="auto"/>
            <w:vAlign w:val="center"/>
          </w:tcPr>
          <w:p w14:paraId="1392AED9">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Analyzes key studies, identifies gaps, and highlights emerging trends in AI-driven energy optimization, emphasizing AI's potential to transform energy systems into more efficient and sustainable configurations [6].</w:t>
            </w:r>
          </w:p>
        </w:tc>
      </w:tr>
      <w:tr w14:paraId="6904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2AE6E4D7">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76E5CD5D">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"Harnessing AI-Driven Simulations for Optimizing Renewable Energy Projects in Energy-Scarce African Regions"</w:t>
            </w:r>
          </w:p>
        </w:tc>
        <w:tc>
          <w:tcPr>
            <w:tcW w:w="0" w:type="auto"/>
            <w:vAlign w:val="center"/>
          </w:tcPr>
          <w:p w14:paraId="69047101">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Explores the use of AI-driven simulations to optimize renewable energy projects in Africa.</w:t>
            </w:r>
          </w:p>
        </w:tc>
        <w:tc>
          <w:tcPr>
            <w:tcW w:w="0" w:type="auto"/>
            <w:vAlign w:val="center"/>
          </w:tcPr>
          <w:p w14:paraId="6A7015E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Highlights how AI-driven optimization enhances efficiency and cost-effectiveness, making renewable energy technologies more viable for widespread adoption in energy-scarce regions [7].</w:t>
            </w:r>
          </w:p>
        </w:tc>
      </w:tr>
      <w:tr w14:paraId="2CE9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77424A0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451E7523">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"Artificial Intelligence Applied to the Management and Operation of Solar Systems"</w:t>
            </w:r>
          </w:p>
        </w:tc>
        <w:tc>
          <w:tcPr>
            <w:tcW w:w="0" w:type="auto"/>
            <w:vAlign w:val="center"/>
          </w:tcPr>
          <w:p w14:paraId="3C8098F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Examines the application of AI in managing and operating modern solar systems.</w:t>
            </w:r>
          </w:p>
        </w:tc>
        <w:tc>
          <w:tcPr>
            <w:tcW w:w="0" w:type="auto"/>
            <w:vAlign w:val="center"/>
          </w:tcPr>
          <w:p w14:paraId="2C78AF4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Discusses how integrated monitoring systems embedded in solar systems utilize AI for data analysis, enhancing system performance and management [8].</w:t>
            </w:r>
          </w:p>
        </w:tc>
      </w:tr>
      <w:tr w14:paraId="2C62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1A4EA9C1">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56D312AD">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"Sun, Sensors, and Silicon: How AI is Revolutionizing Solar Farms"</w:t>
            </w:r>
          </w:p>
        </w:tc>
        <w:tc>
          <w:tcPr>
            <w:tcW w:w="0" w:type="auto"/>
            <w:vAlign w:val="center"/>
          </w:tcPr>
          <w:p w14:paraId="7A804E36">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Discusses the integration of AI into solar energy systems.</w:t>
            </w:r>
          </w:p>
        </w:tc>
        <w:tc>
          <w:tcPr>
            <w:tcW w:w="0" w:type="auto"/>
            <w:vAlign w:val="center"/>
          </w:tcPr>
          <w:p w14:paraId="274565E1">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Highlights AI's role in making solar energy systems more efficient and reliable, contributing to the provision of clean and affordable energy to grid systems [9].</w:t>
            </w:r>
          </w:p>
        </w:tc>
      </w:tr>
      <w:tr w14:paraId="22BE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4DF4D837">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2022</w:t>
            </w:r>
          </w:p>
        </w:tc>
        <w:tc>
          <w:tcPr>
            <w:tcW w:w="0" w:type="auto"/>
            <w:vAlign w:val="center"/>
          </w:tcPr>
          <w:p w14:paraId="4517A519">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"Machine Learning for Accelerating the Discovery of High-Performance Low-Cost Solar Cells: A Systematic Review"</w:t>
            </w:r>
          </w:p>
        </w:tc>
        <w:tc>
          <w:tcPr>
            <w:tcW w:w="0" w:type="auto"/>
            <w:vAlign w:val="center"/>
          </w:tcPr>
          <w:p w14:paraId="3725983C">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Reviews machine learning techniques for optimizing low-cost solar cells.</w:t>
            </w:r>
          </w:p>
        </w:tc>
        <w:tc>
          <w:tcPr>
            <w:tcW w:w="0" w:type="auto"/>
            <w:vAlign w:val="center"/>
          </w:tcPr>
          <w:p w14:paraId="384DFBB5">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Reveals that ML techniques can expedite the discovery of new solar cell materials and architectures, with Gaussian Process Regression and Bayesian Optimization identified as promising methods [10].</w:t>
            </w:r>
          </w:p>
        </w:tc>
      </w:tr>
      <w:tr w14:paraId="14D32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711D23EF">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05F88BDA">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"Predicting Solar Heat Production to Optimize Renewable Energy Usage"</w:t>
            </w:r>
          </w:p>
        </w:tc>
        <w:tc>
          <w:tcPr>
            <w:tcW w:w="0" w:type="auto"/>
            <w:vAlign w:val="center"/>
          </w:tcPr>
          <w:p w14:paraId="2B19DFC5">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Develops machine learning models to predict solar thermal production.</w:t>
            </w:r>
          </w:p>
        </w:tc>
        <w:tc>
          <w:tcPr>
            <w:tcW w:w="0" w:type="auto"/>
            <w:vAlign w:val="center"/>
          </w:tcPr>
          <w:p w14:paraId="1AAA5D8A">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Presents an approach using attention-based machine learning to construct and adapt models predicting heat production, aiding in the optimal control of solar energy systems [11].</w:t>
            </w:r>
          </w:p>
        </w:tc>
      </w:tr>
      <w:tr w14:paraId="762E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03F9B5A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1DBA0A7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"Present and Future of AI in Renewable Energy Domain: A Comprehensive Survey"</w:t>
            </w:r>
          </w:p>
        </w:tc>
        <w:tc>
          <w:tcPr>
            <w:tcW w:w="0" w:type="auto"/>
            <w:vAlign w:val="center"/>
          </w:tcPr>
          <w:p w14:paraId="052FCEA0">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Provides a comprehensive survey of AI applications in renewable energy.</w:t>
            </w:r>
          </w:p>
        </w:tc>
        <w:tc>
          <w:tcPr>
            <w:tcW w:w="0" w:type="auto"/>
            <w:vAlign w:val="center"/>
          </w:tcPr>
          <w:p w14:paraId="1616725F">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Identifies nine AI-based strategies to assist renewable energy in modern power systems, discussing AI's superiority over conventional models in various aspects [12].</w:t>
            </w:r>
          </w:p>
        </w:tc>
      </w:tr>
      <w:tr w14:paraId="12E3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6B4D6FEF">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14CC0F0D">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"Scientists Train Solar Panels to Dance with the Wind for Energy Boost"</w:t>
            </w:r>
          </w:p>
        </w:tc>
        <w:tc>
          <w:tcPr>
            <w:tcW w:w="0" w:type="auto"/>
            <w:vAlign w:val="center"/>
          </w:tcPr>
          <w:p w14:paraId="736A1680">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Reports on a study where AI and machine learning are used to protect solar panels from wind damage.</w:t>
            </w:r>
          </w:p>
        </w:tc>
        <w:tc>
          <w:tcPr>
            <w:tcW w:w="0" w:type="auto"/>
            <w:vAlign w:val="center"/>
          </w:tcPr>
          <w:p w14:paraId="47EE0FD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Describes how AI enables solar panels to adjust their positions in response to wind conditions, minimizing damage and maximizing energy production [13].</w:t>
            </w:r>
          </w:p>
        </w:tc>
      </w:tr>
      <w:tr w14:paraId="5683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vAlign w:val="center"/>
          </w:tcPr>
          <w:p w14:paraId="2D430A0A">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2024</w:t>
            </w:r>
          </w:p>
        </w:tc>
        <w:tc>
          <w:tcPr>
            <w:tcW w:w="0" w:type="auto"/>
            <w:vAlign w:val="center"/>
          </w:tcPr>
          <w:p w14:paraId="7FE4F0D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"AI-driven Mini-Grid Solutions for a Sustainable Future in Rural Communities"</w:t>
            </w:r>
          </w:p>
        </w:tc>
        <w:tc>
          <w:tcPr>
            <w:tcW w:w="0" w:type="auto"/>
            <w:vAlign w:val="center"/>
          </w:tcPr>
          <w:p w14:paraId="0CF7F4FF">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Surveys AI-driven mini-grid solutions aimed at enhancing sustainable energy access.</w:t>
            </w:r>
          </w:p>
        </w:tc>
        <w:tc>
          <w:tcPr>
            <w:tcW w:w="0" w:type="auto"/>
            <w:vAlign w:val="center"/>
          </w:tcPr>
          <w:p w14:paraId="1F7E9768">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Emphasizes the role of AI in forecasting energy supply and demand, optimizing grid operations, and ensuring sustainable energy distribution in remote communities [14].</w:t>
            </w:r>
          </w:p>
        </w:tc>
      </w:tr>
    </w:tbl>
    <w:p w14:paraId="4001254B">
      <w:pPr>
        <w:spacing w:before="54" w:after="0"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Problem Statement:</w:t>
      </w:r>
    </w:p>
    <w:p w14:paraId="07007C66">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Solar energy systems face several key challenges that hinder their widespread adoption and optimal performance. These include:</w:t>
      </w:r>
    </w:p>
    <w:p w14:paraId="38B119D7">
      <w:pPr>
        <w:numPr>
          <w:ilvl w:val="0"/>
          <w:numId w:val="4"/>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Efficiency and Optimization Issues: Despite advancements in solar technology, the efficiency of solar energy production and utilization is often suboptimal due to variations in environmental conditions, system aging, and performance degradation over time. Efficient operation and optimization of solar systems remain a challenge, especially when considering large-scale installations like solar farms or integrating solar energy with existing grid systems.</w:t>
      </w:r>
    </w:p>
    <w:p w14:paraId="7D391D33">
      <w:pPr>
        <w:numPr>
          <w:ilvl w:val="0"/>
          <w:numId w:val="4"/>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Energy Prediction and Forecasting: Accurate prediction of solar energy production is crucial for integrating solar power into the grid effectively. Traditional forecasting methods often struggle to account for the dynamic nature of solar energy generation, including weather fluctuations and system-related issues. This results in challenges related to grid stability and energy supply reliability.</w:t>
      </w:r>
    </w:p>
    <w:p w14:paraId="13223467">
      <w:pPr>
        <w:numPr>
          <w:ilvl w:val="0"/>
          <w:numId w:val="4"/>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Maintenance and Fault Detection: Maintenance of solar systems, particularly large-scale solar farms, can be expensive and inefficient without proper monitoring and predictive maintenance systems. Faults in solar panels or other components can go undetected, leading to reduced energy output, system downtime, and increased operational costs. Traditional maintenance approaches often rely on scheduled checks, which can be ineffective in identifying problems early.</w:t>
      </w:r>
    </w:p>
    <w:p w14:paraId="22410519">
      <w:pPr>
        <w:numPr>
          <w:ilvl w:val="0"/>
          <w:numId w:val="4"/>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Scalability and Adaptation: Solar energy systems, particularly in off-grid and rural areas, face challenges related to their scalability and adaptation to local conditions. For instance, remote areas with limited infrastructure may struggle to maintain large solar systems, and conventional solar technologies might not be flexible enough to adapt to varying local needs or environmental conditions.</w:t>
      </w:r>
    </w:p>
    <w:p w14:paraId="336D53F8">
      <w:pPr>
        <w:spacing w:before="54" w:after="0"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Potential Solutions Using AI:</w:t>
      </w:r>
    </w:p>
    <w:p w14:paraId="043B1A4D">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AI-driven approaches can address the aforementioned challenges by enhancing the performance, efficiency, and reliability of solar energy systems. The following solutions are based on AI advancements identified in the literature:</w:t>
      </w:r>
    </w:p>
    <w:p w14:paraId="6A6CC134">
      <w:pPr>
        <w:numPr>
          <w:ilvl w:val="0"/>
          <w:numId w:val="4"/>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AI-based Optimization Algorithms: AI algorithms, such as genetic algorithms, reinforcement learning, and neural networks, can be used to optimize solar energy production by dynamically adjusting operational parameters based on real-time data. These algorithms can be applied to control systems in photovoltaic (PV) systems, improving their efficiency by responding to variations in sunlight, temperature, and other environmental factors [15].</w:t>
      </w:r>
    </w:p>
    <w:p w14:paraId="693CE1CC">
      <w:pPr>
        <w:numPr>
          <w:ilvl w:val="0"/>
          <w:numId w:val="4"/>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Advanced Energy Prediction with Machine Learning: Machine learning models, such as support vector machines (SVM), random forests, and deep learning techniques, can improve solar energy forecasting accuracy. By analyzing historical weather and solar radiation data, AI can predict energy output more reliably, enabling better integration of solar energy with the grid and reducing issues related to energy supply fluctuations [16][19].</w:t>
      </w:r>
    </w:p>
    <w:p w14:paraId="5FAF3D41">
      <w:pPr>
        <w:numPr>
          <w:ilvl w:val="0"/>
          <w:numId w:val="4"/>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AI-Driven Predictive Maintenance and Fault Detection: Predictive maintenance powered by AI-based anomaly detection and sensor fusion can identify early signs of equipment failure or performance degradation in solar systems. This enables proactive maintenance interventions, reducing downtime and extending the lifespan of solar panels and other components. AI models can also identify patterns in system behavior that indicate the need for repairs, leading to cost savings and enhanced reliability [17][18].</w:t>
      </w:r>
    </w:p>
    <w:p w14:paraId="60CDC0E6">
      <w:pPr>
        <w:numPr>
          <w:ilvl w:val="0"/>
          <w:numId w:val="4"/>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Scalable AI-Integrated Systems for Off-Grid Areas: AI can also support smart grid systems and microgrid management in remote or rural areas. AI-driven solutions can optimize energy storage and demand forecasting, ensuring that solar systems can adapt to fluctuating power demands. By utilizing data from local weather stations and load sensors, AI can help balance power generation and consumption, ensuring a reliable and sustainable energy supply even in off-grid locations [20].</w:t>
      </w:r>
    </w:p>
    <w:p w14:paraId="1EB858D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52757F22">
      <w:pPr>
        <w:pStyle w:val="12"/>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PROPOSED SYSTEM</w:t>
      </w:r>
    </w:p>
    <w:p w14:paraId="2EA8C74C">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To address the challenges identified in the problem statement, the following AI-integrated system is proposed:</w:t>
      </w:r>
    </w:p>
    <w:p w14:paraId="1BF27F16">
      <w:pPr>
        <w:numPr>
          <w:ilvl w:val="0"/>
          <w:numId w:val="5"/>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AI-Based Optimization and Control System: The proposed system will incorporate AI algorithms to optimize solar energy production in real-time. The system will utilize deep learning models to predict the optimal configuration of solar panels based on environmental conditions, thus improving overall efficiency and energy output. These models will be trained on historical data, adjusting operational settings dynamically to maximize energy production.</w:t>
      </w:r>
    </w:p>
    <w:p w14:paraId="4102259D">
      <w:pPr>
        <w:numPr>
          <w:ilvl w:val="0"/>
          <w:numId w:val="5"/>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Energy Prediction Engine: A machine learning-based energy prediction engine will be developed to forecast solar power generation. The engine will use weather data, past energy production data, and solar radiation patterns to generate accurate predictions. This prediction system will be integrated with the grid to ensure smooth operation, facilitating better integration of solar energy into the grid.</w:t>
      </w:r>
    </w:p>
    <w:p w14:paraId="0A69E1D6">
      <w:pPr>
        <w:numPr>
          <w:ilvl w:val="0"/>
          <w:numId w:val="5"/>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Predictive Maintenance Module: The system will include a predictive maintenance module that uses AI-driven anomaly detection algorithms to monitor the health of solar panels and other system components. By analyzing sensor data, the module will identify potential issues such as performance degradation or failure before they impact the system, reducing maintenance costs and improving system uptime.</w:t>
      </w:r>
    </w:p>
    <w:p w14:paraId="1E6B5409">
      <w:pPr>
        <w:numPr>
          <w:ilvl w:val="0"/>
          <w:numId w:val="5"/>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Scalable Microgrid Integration: The proposed system will be scalable, designed to work in both large solar farms and smaller, off-grid solar installations. The system will include energy storage management powered by AI, enabling efficient energy usage even when solar generation is low. The AI-driven microgrid management will predict demand and optimize energy distribution, ensuring sustainable power for remote communities or isolated systems.</w:t>
      </w:r>
    </w:p>
    <w:p w14:paraId="3F4B736C">
      <w:pPr>
        <w:numPr>
          <w:ilvl w:val="0"/>
          <w:numId w:val="5"/>
        </w:numPr>
        <w:spacing w:before="54" w:after="0" w:line="276" w:lineRule="auto"/>
        <w:ind w:left="420" w:leftChars="0" w:hanging="420" w:firstLine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Data-Driven Performance Improvement: The system will leverage data collected from various sources (e.g., weather stations, solar panels, sensors) to continuously improve performance. Machine learning models will adapt over time, learning from new data to enhance the system’s predictions and operational efficiency.</w:t>
      </w:r>
    </w:p>
    <w:p w14:paraId="5F8E27D9">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The methodology for evaluating the proposed AI-based solar energy optimization system is designed to ensure a comprehensive understanding of its performance, focusing on key factors such as prediction accuracy, energy efficiency, fault detection, and computational performance. The experimental design is divided into multiple phases, ensuring a thorough assessment of the system's capabilities.</w:t>
      </w:r>
      <w:r>
        <w:rPr>
          <w:rFonts w:ascii="Times New Roman" w:hAnsi="Times New Roman" w:cs="Times New Roman"/>
          <w:color w:val="000000" w:themeColor="text1"/>
          <w:sz w:val="20"/>
          <w:szCs w:val="20"/>
          <w14:textFill>
            <w14:solidFill>
              <w14:schemeClr w14:val="tx1"/>
            </w14:solidFill>
          </w14:textFill>
        </w:rPr>
        <w:pict>
          <v:rect id="_x0000_i1025" o:spt="1" style="height:1.5pt;width:0pt;" fillcolor="#A0A0A0" filled="t" stroked="f" coordsize="21600,21600" o:hr="t" o:hrstd="t" o:hralign="center">
            <v:path/>
            <v:fill on="t" focussize="0,0"/>
            <v:stroke on="f"/>
            <v:imagedata o:title=""/>
            <o:lock v:ext="edit"/>
            <w10:wrap type="none"/>
            <w10:anchorlock/>
          </v:rect>
        </w:pict>
      </w:r>
    </w:p>
    <w:p w14:paraId="6B9B8686">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1. Data Collection Phase</w:t>
      </w:r>
    </w:p>
    <w:p w14:paraId="4884A296">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1.1 Solar Power Generation Data</w:t>
      </w:r>
    </w:p>
    <w:p w14:paraId="235E4184">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Historical Data: Gathered from solar farms over the last five years, this dataset includes daily energy production values, solar radiation intensity, and weather conditions.</w:t>
      </w:r>
    </w:p>
    <w:p w14:paraId="72042371">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Real-time Data: Sensors installed on solar panels provide real-time power output information.</w:t>
      </w:r>
    </w:p>
    <w:p w14:paraId="23D092A0">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1.2 Weather Data</w:t>
      </w:r>
    </w:p>
    <w:p w14:paraId="1395BF3F">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Environmental Variables: Data on sunlight intensity, temperature, and cloud cover is collected using IoT-enabled weather stations placed near the solar farm.</w:t>
      </w:r>
    </w:p>
    <w:p w14:paraId="72D6936C">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1.3 Power Grid Demand Data</w:t>
      </w:r>
    </w:p>
    <w:p w14:paraId="2CE297A3">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Grid Demand Patterns: Historical and real-time data on energy consumption in the local grid are used to model the optimization process, helping to balance energy production and demand.</w:t>
      </w:r>
    </w:p>
    <w:p w14:paraId="0BE0165E">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1.4 Sensor Data</w:t>
      </w:r>
    </w:p>
    <w:p w14:paraId="2EC6D8EF">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IoT-Based Monitoring: Sensors installed on each panel capture key performance indicators (KPIs) such as voltage, current, and temperature, which help to detect anomalies or faults.</w:t>
      </w:r>
    </w:p>
    <w:p w14:paraId="1D7D18ED">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pict>
          <v:rect id="_x0000_i1026" o:spt="1" style="height:1.5pt;width:0pt;" fillcolor="#A0A0A0" filled="t" stroked="f" coordsize="21600,21600" o:hr="t" o:hrstd="t" o:hralign="center">
            <v:path/>
            <v:fill on="t" focussize="0,0"/>
            <v:stroke on="f"/>
            <v:imagedata o:title=""/>
            <o:lock v:ext="edit"/>
            <w10:wrap type="none"/>
            <w10:anchorlock/>
          </v:rect>
        </w:pict>
      </w:r>
    </w:p>
    <w:p w14:paraId="6331F63D">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2. AI Model Development and Training Phase</w:t>
      </w:r>
    </w:p>
    <w:p w14:paraId="0EC08091">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2.1 AI Models Used</w:t>
      </w:r>
    </w:p>
    <w:p w14:paraId="0A10FE90">
      <w:pPr>
        <w:numPr>
          <w:numId w:val="0"/>
        </w:numPr>
        <w:spacing w:before="54" w:after="0" w:line="276" w:lineRule="auto"/>
        <w:ind w:leftChars="0"/>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Reinforcement Learning (RL): Applied for dynamic optimization of energy distribution, ensuring that the system adjusts energy flow based on changing demand and solar conditions </w:t>
      </w:r>
      <w:r>
        <w:rPr>
          <w:rFonts w:hint="default" w:ascii="Times New Roman" w:hAnsi="Times New Roman" w:cs="Times New Roman"/>
          <w:color w:val="000000" w:themeColor="text1"/>
          <w:sz w:val="20"/>
          <w:szCs w:val="20"/>
          <w:lang w:val="en-IN"/>
          <w14:textFill>
            <w14:solidFill>
              <w14:schemeClr w14:val="tx1"/>
            </w14:solidFill>
          </w14:textFill>
        </w:rPr>
        <w:t>[25]</w:t>
      </w:r>
    </w:p>
    <w:p w14:paraId="4902A384">
      <w:pPr>
        <w:numPr>
          <w:numId w:val="0"/>
        </w:numPr>
        <w:spacing w:before="54" w:after="0" w:line="276" w:lineRule="auto"/>
        <w:ind w:leftChars="0"/>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Long Short-Term Memory (LSTM): Used for time-series forecasting of solar power generation, taking into account historical data and real-time weather conditions </w:t>
      </w:r>
      <w:r>
        <w:rPr>
          <w:rFonts w:hint="default" w:ascii="Times New Roman" w:hAnsi="Times New Roman" w:cs="Times New Roman"/>
          <w:color w:val="000000" w:themeColor="text1"/>
          <w:sz w:val="20"/>
          <w:szCs w:val="20"/>
          <w:lang w:val="en-IN"/>
          <w14:textFill>
            <w14:solidFill>
              <w14:schemeClr w14:val="tx1"/>
            </w14:solidFill>
          </w14:textFill>
        </w:rPr>
        <w:t>[22].</w:t>
      </w:r>
    </w:p>
    <w:p w14:paraId="0DEF4929">
      <w:pPr>
        <w:numPr>
          <w:numId w:val="0"/>
        </w:numPr>
        <w:spacing w:before="54" w:after="0" w:line="276" w:lineRule="auto"/>
        <w:ind w:leftChars="0"/>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Support Vector Machines (SVM) and Random Forests: Deployed for fault detection, utilizing sensor data to identify early signs of equipment malfunction </w:t>
      </w:r>
      <w:r>
        <w:rPr>
          <w:rFonts w:hint="default" w:ascii="Times New Roman" w:hAnsi="Times New Roman" w:cs="Times New Roman"/>
          <w:color w:val="000000" w:themeColor="text1"/>
          <w:sz w:val="20"/>
          <w:szCs w:val="20"/>
          <w:lang w:val="en-IN"/>
          <w14:textFill>
            <w14:solidFill>
              <w14:schemeClr w14:val="tx1"/>
            </w14:solidFill>
          </w14:textFill>
        </w:rPr>
        <w:t>[23]</w:t>
      </w:r>
    </w:p>
    <w:p w14:paraId="05690262">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p>
    <w:p w14:paraId="143D048B">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p>
    <w:p w14:paraId="32FDF6C5">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2.2 Model Training</w:t>
      </w:r>
    </w:p>
    <w:p w14:paraId="53F0AB59">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Training Dataset: A combination of historical solar production, weather conditions, and grid demand data is used to train the models.</w:t>
      </w:r>
    </w:p>
    <w:p w14:paraId="52EA4F9F">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Validation: The trained models are tested on a separate validation dataset, which includes real-time data from the solar farm, to ensure the models generalize well.</w:t>
      </w:r>
    </w:p>
    <w:p w14:paraId="01FD5BE2">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pict>
          <v:rect id="_x0000_i1027" o:spt="1" style="height:1.5pt;width:0pt;" fillcolor="#A0A0A0" filled="t" stroked="f" coordsize="21600,21600" o:hr="t" o:hrstd="t" o:hralign="center">
            <v:path/>
            <v:fill on="t" focussize="0,0"/>
            <v:stroke on="f"/>
            <v:imagedata o:title=""/>
            <o:lock v:ext="edit"/>
            <w10:wrap type="none"/>
            <w10:anchorlock/>
          </v:rect>
        </w:pict>
      </w:r>
    </w:p>
    <w:p w14:paraId="6FBAADC3">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3. Experimental Setup and Testing Phase</w:t>
      </w:r>
    </w:p>
    <w:p w14:paraId="67A908AD">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3.1 Hardware Environment</w:t>
      </w:r>
    </w:p>
    <w:p w14:paraId="5ABEC8E9">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Solar Farm: A 50 kW solar array equipped with IoT-enabled smart inverters and monitoring devices.</w:t>
      </w:r>
    </w:p>
    <w:p w14:paraId="642E7A58">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Edge AI Devices: NVIDIA Jetson edge processors are deployed on-site for real-time AI inference.</w:t>
      </w:r>
    </w:p>
    <w:p w14:paraId="66186ACB">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Cloud-Based Storage: Real-time sensor data, models, and logs are stored on cloud platforms (e.g., AWS and Google Cloud).</w:t>
      </w:r>
    </w:p>
    <w:p w14:paraId="51C5CC01">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3.2 Software Environment</w:t>
      </w:r>
    </w:p>
    <w:p w14:paraId="2C302F89">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Programming Languages and Frameworks: Python (TensorFlow, PyTorch) for model development, MATLAB for simulation, and Grafana/Tableau for data visualization.</w:t>
      </w:r>
    </w:p>
    <w:p w14:paraId="4F9C6732">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Simulation Tools: MATLAB Simulink is used to model the power grid and simulate various energy distribution strategies.</w:t>
      </w:r>
    </w:p>
    <w:p w14:paraId="3E2FCD7E">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3.3 Testing and Validation</w:t>
      </w:r>
    </w:p>
    <w:p w14:paraId="4AEB3CEE">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Controlled Experiments: The system is tested under various environmental conditions, including changes in weather, power grid demand fluctuations, and sensor malfunctions.</w:t>
      </w:r>
    </w:p>
    <w:p w14:paraId="3D8D4E5A">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Performance Metrics: Real-time AI optimization results are compared with conventional optimization methods to assess prediction accuracy, energy efficiency, and fault detection capability.</w:t>
      </w:r>
    </w:p>
    <w:p w14:paraId="7103AF01">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pict>
          <v:rect id="_x0000_i1028" o:spt="1" style="height:1.5pt;width:0pt;" fillcolor="#A0A0A0" filled="t" stroked="f" coordsize="21600,21600" o:hr="t" o:hrstd="t" o:hralign="center">
            <v:path/>
            <v:fill on="t" focussize="0,0"/>
            <v:stroke on="f"/>
            <v:imagedata o:title=""/>
            <o:lock v:ext="edit"/>
            <w10:wrap type="none"/>
            <w10:anchorlock/>
          </v:rect>
        </w:pict>
      </w:r>
    </w:p>
    <w:p w14:paraId="355DB12D">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4. Evaluation and Analysis Phase</w:t>
      </w:r>
    </w:p>
    <w:p w14:paraId="6662CFE8">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4.1 Key Metrics</w:t>
      </w:r>
    </w:p>
    <w:p w14:paraId="5561769D">
      <w:pPr>
        <w:numPr>
          <w:numId w:val="0"/>
        </w:numPr>
        <w:spacing w:before="54" w:after="0" w:line="276" w:lineRule="auto"/>
        <w:ind w:leftChars="0"/>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Prediction Accuracy: Measured using Mean Absolute Error (MAE) and Root Mean Square Error (RMSE), comparing AI-generated predictions with actual energy production data </w:t>
      </w:r>
      <w:r>
        <w:rPr>
          <w:rFonts w:hint="default" w:ascii="Times New Roman" w:hAnsi="Times New Roman" w:cs="Times New Roman"/>
          <w:color w:val="000000" w:themeColor="text1"/>
          <w:sz w:val="20"/>
          <w:szCs w:val="20"/>
          <w:lang w:val="en-IN"/>
          <w14:textFill>
            <w14:solidFill>
              <w14:schemeClr w14:val="tx1"/>
            </w14:solidFill>
          </w14:textFill>
        </w:rPr>
        <w:t>[24].</w:t>
      </w:r>
      <w:r>
        <w:rPr>
          <w:rFonts w:ascii="Times New Roman" w:hAnsi="Times New Roman" w:cs="Times New Roman"/>
          <w:color w:val="000000" w:themeColor="text1"/>
          <w:sz w:val="20"/>
          <w:szCs w:val="20"/>
          <w14:textFill>
            <w14:solidFill>
              <w14:schemeClr w14:val="tx1"/>
            </w14:solidFill>
          </w14:textFill>
        </w:rPr>
        <w:t xml:space="preserve">Energy Efficiency: Evaluated by calculating the percentage increase in solar energy utilization with AI optimization compared to traditional methods </w:t>
      </w:r>
      <w:r>
        <w:rPr>
          <w:rFonts w:hint="default" w:ascii="Times New Roman" w:hAnsi="Times New Roman" w:cs="Times New Roman"/>
          <w:color w:val="000000" w:themeColor="text1"/>
          <w:sz w:val="20"/>
          <w:szCs w:val="20"/>
          <w:lang w:val="en-IN"/>
          <w14:textFill>
            <w14:solidFill>
              <w14:schemeClr w14:val="tx1"/>
            </w14:solidFill>
          </w14:textFill>
        </w:rPr>
        <w:t>[21]</w:t>
      </w:r>
    </w:p>
    <w:p w14:paraId="17103C08">
      <w:pPr>
        <w:numPr>
          <w:numId w:val="0"/>
        </w:numPr>
        <w:spacing w:before="54" w:after="0" w:line="276" w:lineRule="auto"/>
        <w:ind w:leftChars="0"/>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Fault Detection Accuracy: The model's ability to detect faults before they lead to equipment failures is evaluated by comparing predicted faults with actual failures in the system </w:t>
      </w:r>
      <w:r>
        <w:rPr>
          <w:rFonts w:hint="default" w:ascii="Times New Roman" w:hAnsi="Times New Roman" w:cs="Times New Roman"/>
          <w:color w:val="000000" w:themeColor="text1"/>
          <w:sz w:val="20"/>
          <w:szCs w:val="20"/>
          <w:lang w:val="en-IN"/>
          <w14:textFill>
            <w14:solidFill>
              <w14:schemeClr w14:val="tx1"/>
            </w14:solidFill>
          </w14:textFill>
        </w:rPr>
        <w:t>[23].</w:t>
      </w:r>
    </w:p>
    <w:p w14:paraId="64DBADF6">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Computational Performance: The AI model's processing speed and scalability are assessed by conducting benchmark tests against traditional methods.</w:t>
      </w:r>
    </w:p>
    <w:p w14:paraId="5AAD92E7">
      <w:pPr>
        <w:numPr>
          <w:numId w:val="0"/>
        </w:numPr>
        <w:spacing w:before="54" w:after="0" w:line="276" w:lineRule="auto"/>
        <w:ind w:left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4.2 Statistical Validation</w:t>
      </w:r>
    </w:p>
    <w:p w14:paraId="4FE98E45">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Statistical tests (e.g., paired t-tests) are performed to validate improvements in energy efficiency and fault detection compared to baseline systems.</w:t>
      </w:r>
    </w:p>
    <w:p w14:paraId="53D717B6">
      <w:pPr>
        <w:numPr>
          <w:numId w:val="0"/>
        </w:numPr>
        <w:spacing w:before="54" w:after="0" w:line="276" w:lineRule="auto"/>
        <w:ind w:leftChars="0"/>
        <w:jc w:val="center"/>
        <w:rPr>
          <w:rFonts w:ascii="Times New Roman" w:hAnsi="Times New Roman" w:cs="Times New Roman"/>
          <w:color w:val="000000" w:themeColor="text1"/>
          <w:sz w:val="20"/>
          <w:szCs w:val="20"/>
          <w14:textFill>
            <w14:solidFill>
              <w14:schemeClr w14:val="tx1"/>
            </w14:solidFill>
          </w14:textFill>
        </w:rPr>
      </w:pPr>
      <w:r>
        <w:drawing>
          <wp:inline distT="0" distB="0" distL="114300" distR="114300">
            <wp:extent cx="1729740" cy="3183255"/>
            <wp:effectExtent l="0" t="0" r="7620" b="1905"/>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pic:cNvPicPr>
                  </pic:nvPicPr>
                  <pic:blipFill>
                    <a:blip r:embed="rId12"/>
                    <a:stretch>
                      <a:fillRect/>
                    </a:stretch>
                  </pic:blipFill>
                  <pic:spPr>
                    <a:xfrm>
                      <a:off x="0" y="0"/>
                      <a:ext cx="1729740" cy="3183255"/>
                    </a:xfrm>
                    <a:prstGeom prst="rect">
                      <a:avLst/>
                    </a:prstGeom>
                    <a:noFill/>
                    <a:ln>
                      <a:noFill/>
                    </a:ln>
                  </pic:spPr>
                </pic:pic>
              </a:graphicData>
            </a:graphic>
          </wp:inline>
        </w:drawing>
      </w:r>
    </w:p>
    <w:p w14:paraId="618C8041">
      <w:pPr>
        <w:numPr>
          <w:numId w:val="0"/>
        </w:numPr>
        <w:spacing w:before="54" w:after="0" w:line="276" w:lineRule="auto"/>
        <w:ind w:leftChars="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p>
    <w:p w14:paraId="66211B0C">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Figure 1:</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lang w:val="en-IN"/>
          <w14:textFill>
            <w14:solidFill>
              <w14:schemeClr w14:val="tx1"/>
            </w14:solidFill>
          </w14:textFill>
        </w:rPr>
        <w:t xml:space="preserve"> </w:t>
      </w:r>
      <w:r>
        <w:rPr>
          <w:b/>
          <w:bCs/>
        </w:rPr>
        <w:t xml:space="preserve"> </w:t>
      </w:r>
      <w:r>
        <w:rPr>
          <w:rFonts w:ascii="Times New Roman" w:hAnsi="Times New Roman" w:cs="Times New Roman"/>
          <w:color w:val="000000" w:themeColor="text1"/>
          <w:sz w:val="20"/>
          <w:szCs w:val="20"/>
          <w14:textFill>
            <w14:solidFill>
              <w14:schemeClr w14:val="tx1"/>
            </w14:solidFill>
          </w14:textFill>
        </w:rPr>
        <w:t>Block Diagram: AI-Based Solar Energy Optimization</w:t>
      </w:r>
    </w:p>
    <w:p w14:paraId="29A9D49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3BF0A8B1">
      <w:pPr>
        <w:spacing w:before="54" w:after="0" w:line="276" w:lineRule="auto"/>
        <w:jc w:val="center"/>
      </w:pPr>
      <w:r>
        <w:drawing>
          <wp:inline distT="0" distB="0" distL="114300" distR="114300">
            <wp:extent cx="1445260" cy="4378960"/>
            <wp:effectExtent l="0" t="0" r="2540" b="1016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
                    <pic:cNvPicPr>
                      <a:picLocks noChangeAspect="1"/>
                    </pic:cNvPicPr>
                  </pic:nvPicPr>
                  <pic:blipFill>
                    <a:blip r:embed="rId13"/>
                    <a:stretch>
                      <a:fillRect/>
                    </a:stretch>
                  </pic:blipFill>
                  <pic:spPr>
                    <a:xfrm>
                      <a:off x="0" y="0"/>
                      <a:ext cx="1445260" cy="4378960"/>
                    </a:xfrm>
                    <a:prstGeom prst="rect">
                      <a:avLst/>
                    </a:prstGeom>
                    <a:noFill/>
                    <a:ln>
                      <a:noFill/>
                    </a:ln>
                  </pic:spPr>
                </pic:pic>
              </a:graphicData>
            </a:graphic>
          </wp:inline>
        </w:drawing>
      </w:r>
    </w:p>
    <w:p w14:paraId="0FC1B798">
      <w:pPr>
        <w:jc w:val="center"/>
        <w:rPr>
          <w:b/>
          <w:bCs/>
        </w:rPr>
      </w:pPr>
      <w:r>
        <w:rPr>
          <w:rFonts w:ascii="Times New Roman" w:hAnsi="Times New Roman" w:cs="Times New Roman"/>
          <w:b/>
          <w:bCs/>
          <w:color w:val="000000" w:themeColor="text1"/>
          <w:sz w:val="20"/>
          <w:szCs w:val="20"/>
          <w14:textFill>
            <w14:solidFill>
              <w14:schemeClr w14:val="tx1"/>
            </w14:solidFill>
          </w14:textFill>
        </w:rPr>
        <w:t xml:space="preserve">Figure </w:t>
      </w:r>
      <w:r>
        <w:rPr>
          <w:rFonts w:hint="default" w:ascii="Times New Roman" w:hAnsi="Times New Roman" w:cs="Times New Roman"/>
          <w:b/>
          <w:bCs/>
          <w:color w:val="000000" w:themeColor="text1"/>
          <w:sz w:val="20"/>
          <w:szCs w:val="20"/>
          <w:lang w:val="en-IN"/>
          <w14:textFill>
            <w14:solidFill>
              <w14:schemeClr w14:val="tx1"/>
            </w14:solidFill>
          </w14:textFill>
        </w:rPr>
        <w:t>2:</w:t>
      </w:r>
      <w:r>
        <w:rPr>
          <w:rFonts w:hint="default" w:ascii="Times New Roman" w:hAnsi="Times New Roman" w:cs="Times New Roman"/>
          <w:color w:val="000000" w:themeColor="text1"/>
          <w:sz w:val="20"/>
          <w:szCs w:val="20"/>
          <w:lang w:val="en-IN"/>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Flowchart of Experimental Setup</w:t>
      </w:r>
    </w:p>
    <w:p w14:paraId="55CEC5A9">
      <w:pPr>
        <w:spacing w:before="54" w:after="0" w:line="276" w:lineRule="auto"/>
        <w:jc w:val="center"/>
        <w:rPr>
          <w:rFonts w:hint="default" w:ascii="Times New Roman" w:hAnsi="Times New Roman" w:cs="Times New Roman"/>
          <w:color w:val="000000" w:themeColor="text1"/>
          <w:sz w:val="20"/>
          <w:szCs w:val="20"/>
          <w:lang w:val="en-IN"/>
          <w14:textFill>
            <w14:solidFill>
              <w14:schemeClr w14:val="tx1"/>
            </w14:solidFill>
          </w14:textFill>
        </w:rPr>
      </w:pPr>
    </w:p>
    <w:p w14:paraId="10A47F8A">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78E51081">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2F3C66E8">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14:paraId="4D92C7DA">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tbl>
      <w:tblPr>
        <w:tblStyle w:val="4"/>
        <w:tblW w:w="0" w:type="auto"/>
        <w:tblCellSpacing w:w="15" w:type="dxa"/>
        <w:tblInd w:w="0" w:type="dxa"/>
        <w:tblLayout w:type="autofit"/>
        <w:tblCellMar>
          <w:top w:w="15" w:type="dxa"/>
          <w:left w:w="15" w:type="dxa"/>
          <w:bottom w:w="15" w:type="dxa"/>
          <w:right w:w="15" w:type="dxa"/>
        </w:tblCellMar>
      </w:tblPr>
      <w:tblGrid>
        <w:gridCol w:w="659"/>
        <w:gridCol w:w="2521"/>
        <w:gridCol w:w="2621"/>
        <w:gridCol w:w="1022"/>
        <w:gridCol w:w="2653"/>
      </w:tblGrid>
      <w:tr w14:paraId="720567EB">
        <w:tblPrEx>
          <w:tblCellMar>
            <w:top w:w="15" w:type="dxa"/>
            <w:left w:w="15" w:type="dxa"/>
            <w:bottom w:w="15" w:type="dxa"/>
            <w:right w:w="15" w:type="dxa"/>
          </w:tblCellMar>
        </w:tblPrEx>
        <w:trPr>
          <w:tblHeader/>
          <w:tblCellSpacing w:w="15" w:type="dxa"/>
        </w:trPr>
        <w:tc>
          <w:tcPr>
            <w:tcW w:w="0" w:type="auto"/>
            <w:vAlign w:val="center"/>
          </w:tcPr>
          <w:p w14:paraId="2D41B6C7">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Trial #</w:t>
            </w:r>
          </w:p>
        </w:tc>
        <w:tc>
          <w:tcPr>
            <w:tcW w:w="0" w:type="auto"/>
            <w:vAlign w:val="center"/>
          </w:tcPr>
          <w:p w14:paraId="1104D8B4">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Solar Energy Utilization (%)</w:t>
            </w:r>
          </w:p>
        </w:tc>
        <w:tc>
          <w:tcPr>
            <w:tcW w:w="0" w:type="auto"/>
            <w:vAlign w:val="center"/>
          </w:tcPr>
          <w:p w14:paraId="4446F414">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Fault Detection Accuracy (%)</w:t>
            </w:r>
          </w:p>
        </w:tc>
        <w:tc>
          <w:tcPr>
            <w:tcW w:w="0" w:type="auto"/>
            <w:vAlign w:val="center"/>
          </w:tcPr>
          <w:p w14:paraId="5CFB9D77">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RMSE (%)</w:t>
            </w:r>
          </w:p>
        </w:tc>
        <w:tc>
          <w:tcPr>
            <w:tcW w:w="0" w:type="auto"/>
            <w:vAlign w:val="center"/>
          </w:tcPr>
          <w:p w14:paraId="2612264F">
            <w:pPr>
              <w:spacing w:before="54" w:after="0" w:line="276"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Computational Efficiency (%)</w:t>
            </w:r>
          </w:p>
        </w:tc>
      </w:tr>
      <w:tr w14:paraId="71D61837">
        <w:tblPrEx>
          <w:tblCellMar>
            <w:top w:w="15" w:type="dxa"/>
            <w:left w:w="15" w:type="dxa"/>
            <w:bottom w:w="15" w:type="dxa"/>
            <w:right w:w="15" w:type="dxa"/>
          </w:tblCellMar>
        </w:tblPrEx>
        <w:trPr>
          <w:tblCellSpacing w:w="15" w:type="dxa"/>
        </w:trPr>
        <w:tc>
          <w:tcPr>
            <w:tcW w:w="0" w:type="auto"/>
            <w:vAlign w:val="center"/>
          </w:tcPr>
          <w:p w14:paraId="7AD3BEC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0" w:type="auto"/>
            <w:vAlign w:val="center"/>
          </w:tcPr>
          <w:p w14:paraId="0DB399FE">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18% increase</w:t>
            </w:r>
          </w:p>
        </w:tc>
        <w:tc>
          <w:tcPr>
            <w:tcW w:w="0" w:type="auto"/>
            <w:vAlign w:val="center"/>
          </w:tcPr>
          <w:p w14:paraId="014986C8">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85%</w:t>
            </w:r>
          </w:p>
        </w:tc>
        <w:tc>
          <w:tcPr>
            <w:tcW w:w="0" w:type="auto"/>
            <w:vAlign w:val="center"/>
          </w:tcPr>
          <w:p w14:paraId="3ABB3C0F">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2.4%</w:t>
            </w:r>
          </w:p>
        </w:tc>
        <w:tc>
          <w:tcPr>
            <w:tcW w:w="0" w:type="auto"/>
            <w:vAlign w:val="center"/>
          </w:tcPr>
          <w:p w14:paraId="7D60B758">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 improvement</w:t>
            </w:r>
          </w:p>
        </w:tc>
      </w:tr>
      <w:tr w14:paraId="73352A47">
        <w:tblPrEx>
          <w:tblCellMar>
            <w:top w:w="15" w:type="dxa"/>
            <w:left w:w="15" w:type="dxa"/>
            <w:bottom w:w="15" w:type="dxa"/>
            <w:right w:w="15" w:type="dxa"/>
          </w:tblCellMar>
        </w:tblPrEx>
        <w:trPr>
          <w:tblCellSpacing w:w="15" w:type="dxa"/>
        </w:trPr>
        <w:tc>
          <w:tcPr>
            <w:tcW w:w="0" w:type="auto"/>
            <w:vAlign w:val="center"/>
          </w:tcPr>
          <w:p w14:paraId="7FF745CD">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c>
          <w:tcPr>
            <w:tcW w:w="0" w:type="auto"/>
            <w:vAlign w:val="center"/>
          </w:tcPr>
          <w:p w14:paraId="48F419E0">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20% increase</w:t>
            </w:r>
          </w:p>
        </w:tc>
        <w:tc>
          <w:tcPr>
            <w:tcW w:w="0" w:type="auto"/>
            <w:vAlign w:val="center"/>
          </w:tcPr>
          <w:p w14:paraId="1F5C2C26">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80%</w:t>
            </w:r>
          </w:p>
        </w:tc>
        <w:tc>
          <w:tcPr>
            <w:tcW w:w="0" w:type="auto"/>
            <w:vAlign w:val="center"/>
          </w:tcPr>
          <w:p w14:paraId="3B65504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2.3%</w:t>
            </w:r>
          </w:p>
        </w:tc>
        <w:tc>
          <w:tcPr>
            <w:tcW w:w="0" w:type="auto"/>
            <w:vAlign w:val="center"/>
          </w:tcPr>
          <w:p w14:paraId="72FD5126">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19% improvement</w:t>
            </w:r>
          </w:p>
        </w:tc>
      </w:tr>
      <w:tr w14:paraId="23CD2A73">
        <w:tblPrEx>
          <w:tblCellMar>
            <w:top w:w="15" w:type="dxa"/>
            <w:left w:w="15" w:type="dxa"/>
            <w:bottom w:w="15" w:type="dxa"/>
            <w:right w:w="15" w:type="dxa"/>
          </w:tblCellMar>
        </w:tblPrEx>
        <w:trPr>
          <w:tblCellSpacing w:w="15" w:type="dxa"/>
        </w:trPr>
        <w:tc>
          <w:tcPr>
            <w:tcW w:w="0" w:type="auto"/>
            <w:vAlign w:val="center"/>
          </w:tcPr>
          <w:p w14:paraId="3164E11A">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0" w:type="auto"/>
            <w:vAlign w:val="center"/>
          </w:tcPr>
          <w:p w14:paraId="24B5C891">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17% increase</w:t>
            </w:r>
          </w:p>
        </w:tc>
        <w:tc>
          <w:tcPr>
            <w:tcW w:w="0" w:type="auto"/>
            <w:vAlign w:val="center"/>
          </w:tcPr>
          <w:p w14:paraId="3613FB40">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87%</w:t>
            </w:r>
          </w:p>
        </w:tc>
        <w:tc>
          <w:tcPr>
            <w:tcW w:w="0" w:type="auto"/>
            <w:vAlign w:val="center"/>
          </w:tcPr>
          <w:p w14:paraId="2DACDC6D">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2.5%</w:t>
            </w:r>
          </w:p>
        </w:tc>
        <w:tc>
          <w:tcPr>
            <w:tcW w:w="0" w:type="auto"/>
            <w:vAlign w:val="center"/>
          </w:tcPr>
          <w:p w14:paraId="0A15C09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21% improvement</w:t>
            </w:r>
          </w:p>
        </w:tc>
      </w:tr>
    </w:tbl>
    <w:p w14:paraId="65A00782">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lang w:val="en-IN"/>
          <w14:textFill>
            <w14:solidFill>
              <w14:schemeClr w14:val="tx1"/>
            </w14:solidFill>
          </w14:textFill>
        </w:rPr>
        <w:t>Table 1</w:t>
      </w:r>
      <w:r>
        <w:rPr>
          <w:rFonts w:ascii="Times New Roman" w:hAnsi="Times New Roman" w:cs="Times New Roman"/>
          <w:b/>
          <w:bCs/>
          <w:color w:val="000000" w:themeColor="text1"/>
          <w:sz w:val="20"/>
          <w:szCs w:val="20"/>
          <w14:textFill>
            <w14:solidFill>
              <w14:schemeClr w14:val="tx1"/>
            </w14:solidFill>
          </w14:textFill>
        </w:rPr>
        <w:t>:</w:t>
      </w:r>
      <w:r>
        <w:rPr>
          <w:rFonts w:ascii="Times New Roman" w:hAnsi="Times New Roman" w:cs="Times New Roman"/>
          <w:color w:val="000000" w:themeColor="text1"/>
          <w:sz w:val="20"/>
          <w:szCs w:val="20"/>
          <w14:textFill>
            <w14:solidFill>
              <w14:schemeClr w14:val="tx1"/>
            </w14:solidFill>
          </w14:textFill>
        </w:rPr>
        <w:t xml:space="preserve"> Experimental Results</w:t>
      </w:r>
    </w:p>
    <w:p w14:paraId="2ADDA699">
      <w:pPr>
        <w:spacing w:before="54" w:after="0"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Prediction Accuracy</w:t>
      </w:r>
    </w:p>
    <w:p w14:paraId="144CF38E">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Previous Studies: Traditional forecasting methods, like simple time-series models, have reported RMSE values of up to 5% for solar power predictions</w:t>
      </w:r>
      <w:r>
        <w:rPr>
          <w:rFonts w:hint="default" w:ascii="Times New Roman" w:hAnsi="Times New Roman" w:cs="Times New Roman"/>
          <w:color w:val="000000" w:themeColor="text1"/>
          <w:sz w:val="20"/>
          <w:szCs w:val="20"/>
          <w:lang w:val="en-IN"/>
          <w14:textFill>
            <w14:solidFill>
              <w14:schemeClr w14:val="tx1"/>
            </w14:solidFill>
          </w14:textFill>
        </w:rPr>
        <w:t>.</w:t>
      </w:r>
    </w:p>
    <w:p w14:paraId="67285C5C">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Current Study: The AI model achieves an RMSE of 2.4%, showing a significant improvement in prediction accuracy, which is attributed to the use of LSTM networks for capturing long-term dependencies in data.</w:t>
      </w:r>
    </w:p>
    <w:p w14:paraId="126C2418">
      <w:pPr>
        <w:spacing w:before="54" w:after="0"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Energy Efficiency</w:t>
      </w:r>
    </w:p>
    <w:p w14:paraId="59B16B0F">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Previous Studies: Conventional energy optimization methods typically achieve a 5-10% improvement in solar energy utilization </w:t>
      </w:r>
      <w:r>
        <w:rPr>
          <w:rFonts w:hint="default" w:ascii="Times New Roman" w:hAnsi="Times New Roman" w:cs="Times New Roman"/>
          <w:color w:val="000000" w:themeColor="text1"/>
          <w:sz w:val="20"/>
          <w:szCs w:val="20"/>
          <w:lang w:val="en-IN"/>
          <w14:textFill>
            <w14:solidFill>
              <w14:schemeClr w14:val="tx1"/>
            </w14:solidFill>
          </w14:textFill>
        </w:rPr>
        <w:t>[21]</w:t>
      </w:r>
    </w:p>
    <w:p w14:paraId="0664FD16">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Current Study: The AI-based optimization system achieved a 15-20% improvement in energy utilization, demonstrating the effectiveness of reinforcement learning algorithms in real-time energy distribution.</w:t>
      </w:r>
    </w:p>
    <w:p w14:paraId="6B4DF847">
      <w:pPr>
        <w:spacing w:before="54" w:after="0"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Fault Detection</w:t>
      </w:r>
    </w:p>
    <w:p w14:paraId="132AD5FF">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Previous Studies: Fault detection systems based on basic sensor thresholds detect faults at a rate of around 60-70% </w:t>
      </w:r>
      <w:r>
        <w:rPr>
          <w:rFonts w:hint="default" w:ascii="Times New Roman" w:hAnsi="Times New Roman" w:cs="Times New Roman"/>
          <w:color w:val="000000" w:themeColor="text1"/>
          <w:sz w:val="20"/>
          <w:szCs w:val="20"/>
          <w:lang w:val="en-IN"/>
          <w14:textFill>
            <w14:solidFill>
              <w14:schemeClr w14:val="tx1"/>
            </w14:solidFill>
          </w14:textFill>
        </w:rPr>
        <w:t>[23].</w:t>
      </w:r>
    </w:p>
    <w:p w14:paraId="4831F219">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Current Study: The AI system predicted 85% of faults before they led to failures, resulting in 30% less downtime and improving overall system reliability.</w:t>
      </w:r>
    </w:p>
    <w:p w14:paraId="3F218099">
      <w:pPr>
        <w:spacing w:before="54" w:after="0"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Computational Efficiency</w:t>
      </w:r>
    </w:p>
    <w:p w14:paraId="45350286">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Previous Studies: Traditional methods require longer processing times due to the manual adjustments needed in energy distribution models </w:t>
      </w:r>
      <w:r>
        <w:rPr>
          <w:rFonts w:hint="default" w:ascii="Times New Roman" w:hAnsi="Times New Roman" w:cs="Times New Roman"/>
          <w:color w:val="000000" w:themeColor="text1"/>
          <w:sz w:val="20"/>
          <w:szCs w:val="20"/>
          <w:lang w:val="en-IN"/>
          <w14:textFill>
            <w14:solidFill>
              <w14:schemeClr w14:val="tx1"/>
            </w14:solidFill>
          </w14:textFill>
        </w:rPr>
        <w:t>[24].</w:t>
      </w:r>
    </w:p>
    <w:p w14:paraId="1459C190">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Current Study: The AI model operates 20% faster than conventional methods, thanks to its edge computing setup, which ensures quicker decision-making at the local level.</w:t>
      </w:r>
    </w:p>
    <w:p w14:paraId="174F9E5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2A689519">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14:paraId="12FFD7B0">
      <w:r>
        <w:rPr>
          <w:rFonts w:ascii="Times New Roman" w:hAnsi="Times New Roman" w:cs="Times New Roman"/>
          <w:color w:val="000000" w:themeColor="text1"/>
          <w:sz w:val="20"/>
          <w:szCs w:val="20"/>
          <w14:textFill>
            <w14:solidFill>
              <w14:schemeClr w14:val="tx1"/>
            </w14:solidFill>
          </w14:textFill>
        </w:rPr>
        <w:t>The AI-based solar energy optimization system outperforms traditional methods in key areas, such as prediction accuracy, energy efficiency, fault detection, and computational performance. The results confirm the potential of AI in optimizing solar energy systems, improving reliability, and maximizing energy utilization. Future work will focus on expanding this system to include other renewable energy sources, further enhancing its scalability and robustness.</w:t>
      </w:r>
    </w:p>
    <w:p w14:paraId="24B2CD4B">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14:paraId="50F53E95">
      <w:pPr>
        <w:keepNext w:val="0"/>
        <w:keepLines w:val="0"/>
        <w:pageBreakBefore w:val="0"/>
        <w:widowControl/>
        <w:numPr>
          <w:ilvl w:val="0"/>
          <w:numId w:val="6"/>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Smith, J., &amp; Brown, R. (2024). Machine Learning for Solar Energy Optimization: Challenges and Opportunities. Renewable Energy Journal, 10(2), 50-65.</w:t>
      </w:r>
    </w:p>
    <w:p w14:paraId="324D6B34">
      <w:pPr>
        <w:keepNext w:val="0"/>
        <w:keepLines w:val="0"/>
        <w:pageBreakBefore w:val="0"/>
        <w:widowControl/>
        <w:numPr>
          <w:ilvl w:val="0"/>
          <w:numId w:val="6"/>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Zhao, L., &amp; Chen, W. (2024). AI-Driven Forecasting Techniques for Solar Power Generation. Journal of Smart Grid, 8(1), 22-35.</w:t>
      </w:r>
    </w:p>
    <w:p w14:paraId="1D6A6D5D">
      <w:pPr>
        <w:keepNext w:val="0"/>
        <w:keepLines w:val="0"/>
        <w:pageBreakBefore w:val="0"/>
        <w:widowControl/>
        <w:numPr>
          <w:ilvl w:val="0"/>
          <w:numId w:val="6"/>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Gupta, M., &amp; Patel, K. (2023). Predictive Maintenance of Solar Panels Using AI: A Case Study. Energy Systems Review, 15(4), 88-102.</w:t>
      </w:r>
    </w:p>
    <w:p w14:paraId="435F6F07">
      <w:pPr>
        <w:keepNext w:val="0"/>
        <w:keepLines w:val="0"/>
        <w:pageBreakBefore w:val="0"/>
        <w:widowControl/>
        <w:numPr>
          <w:ilvl w:val="0"/>
          <w:numId w:val="6"/>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Lee, H., &amp; Kim, S. (2024). Deep Learning for Solar Energy Efficiency Optimization: A Comparative Study. IEEE Transactions on Renewable Energy, 12(3), 150-167.</w:t>
      </w:r>
    </w:p>
    <w:p w14:paraId="2A7E93F8">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 xml:space="preserve">Grondin, F., &amp; Aligholizadeh, A. (2024). AI-driven Predictive Maintenance and Optimization of Renewable Energy Systems for Enhanced Operational Efficiency and Longevity. ResearchGate. Retrieved from </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begin"/>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instrText xml:space="preserve"> HYPERLINK "https://www.researchgate.net/publication/385382721_AI-driven_predictive_maintenance_and_optimization_of_renewable_energy_systems_for_enhanced_operational_efficiency_and_longevity" </w:instrTex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separate"/>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researchgate.net</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end"/>
      </w:r>
    </w:p>
    <w:p w14:paraId="3677ACC9">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Huang, X., &amp; Tan, L. (2024). AI-driven Innovations in Energy Efficiency: Transforming Smart Energy Management Systems. WJARR, 1(2), 115-130.</w:t>
      </w:r>
    </w:p>
    <w:p w14:paraId="72656757">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 xml:space="preserve">Jones, M., &amp; Rhee, C. H. (2024). Harnessing AI-Driven Simulations for Optimizing Renewable Energy Projects in Energy-Scarce African Regions. MDPI. Retrieved from </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begin"/>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instrText xml:space="preserve"> HYPERLINK "https://www.mdpi.com/2071-1050/16/21/9144" </w:instrTex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separate"/>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mdpi.com</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end"/>
      </w:r>
    </w:p>
    <w:p w14:paraId="070505F4">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 xml:space="preserve">Li, Y., &amp; Wang, Z. (2024). Artificial Intelligence Applied to the Management and Operation of Solar Systems. Wiley Online Library. Retrieved from </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begin"/>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instrText xml:space="preserve"> HYPERLINK "https://onlinelibrary.wiley.com/doi/10.1002/9781394249374.ch19" </w:instrTex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separate"/>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onlinelibrary.wiley.com</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end"/>
      </w:r>
    </w:p>
    <w:p w14:paraId="78491BAD">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 xml:space="preserve">Kutzner, K., &amp; Shi, M. (2024). Sun, Sensors, and Silicon: How AI is Revolutionizing Solar Farms. World Economic Forum. Retrieved from </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begin"/>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instrText xml:space="preserve"> HYPERLINK "https://www.weforum.org/stories/2024/08/how-ai-can-help-revolutionize-solar-power/" </w:instrTex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separate"/>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weforum.org</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end"/>
      </w:r>
    </w:p>
    <w:p w14:paraId="0171110F">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López, G., &amp; Garcia, A. (2022). Machine Learning for Accelerating the Discovery of High-Performance Low-Cost Solar Cells: A Systematic Review. Journal of AI Research, 18(3), 32-49.</w:t>
      </w:r>
    </w:p>
    <w:p w14:paraId="09DC37EC">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May, L., &amp; Brown, A. (2024). Predicting Solar Heat Production to Optimize Renewable Energy Usage. Renewable Energy Journal, 16(5), 78-94.</w:t>
      </w:r>
    </w:p>
    <w:p w14:paraId="10040D29">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 xml:space="preserve">Inbamani, A., Umapathy, P., Chinnasamy, K., Veerasamy, V. &amp; Kumar, S. (2022). 1 Artificial intelligence and Internet of things for renewable energy systems. In N. Priyadarshi, S. Padmanaban, K. Hiran, J. Holm-Nielson &amp; R. Bansal (Ed.), Artificial Intelligence and Internet of Things for Renewable Energy Systems (pp. 1-40). Berlin, Boston: De Gruyter. </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begin"/>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instrText xml:space="preserve"> HYPERLINK "https://doi.org/10.1515/9783110714043-001" </w:instrTex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separate"/>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https://doi.org/10.1515/9783110714043-001</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end"/>
      </w:r>
    </w:p>
    <w:p w14:paraId="13603FC4">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 xml:space="preserve">Shen, X., &amp; Yao, Z. (2024). Scientists Train Solar Panels to Dance with the Wind for Energy Boost. HuffPost. Retrieved from </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begin"/>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instrText xml:space="preserve"> HYPERLINK "https://www.huffingtonpost.es/sociedad/los-cientificos-adiestran-paneles-solares-bailar-viento-lograr-chorro-energia.html" </w:instrTex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separate"/>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huffingtonpost.es</w:t>
      </w: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end"/>
      </w:r>
    </w:p>
    <w:p w14:paraId="57C79368">
      <w:pPr>
        <w:keepNext w:val="0"/>
        <w:keepLines w:val="0"/>
        <w:pageBreakBefore w:val="0"/>
        <w:widowControl/>
        <w:numPr>
          <w:ilvl w:val="0"/>
          <w:numId w:val="7"/>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Zhang, M., &amp; Hu, F. (2024). AI-driven Mini-Grid Solutions for a Sustainable Future in Rural Communities. Journal of Green Energy, 12(3), 45-59.</w:t>
      </w:r>
    </w:p>
    <w:p w14:paraId="283A4310">
      <w:pPr>
        <w:keepNext w:val="0"/>
        <w:keepLines w:val="0"/>
        <w:pageBreakBefore w:val="0"/>
        <w:widowControl/>
        <w:numPr>
          <w:ilvl w:val="0"/>
          <w:numId w:val="8"/>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Ghosh, P., &amp; Sharma, R. (2024). AI-powered Solar Solutions for Efficient Energy Production. Journal of Smart Grid, 6(1), 1-15.</w:t>
      </w:r>
    </w:p>
    <w:p w14:paraId="2410E4FB">
      <w:pPr>
        <w:keepNext w:val="0"/>
        <w:keepLines w:val="0"/>
        <w:pageBreakBefore w:val="0"/>
        <w:widowControl/>
        <w:numPr>
          <w:ilvl w:val="0"/>
          <w:numId w:val="8"/>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Zhang, M., &amp; Hu, F. (2024). AI-Driven Solar Power Forecasting for Enhanced Grid Integration. IEEE Transactions on Solar Energy, 9(2), 133-144.</w:t>
      </w:r>
    </w:p>
    <w:p w14:paraId="631D2AE8">
      <w:pPr>
        <w:keepNext w:val="0"/>
        <w:keepLines w:val="0"/>
        <w:pageBreakBefore w:val="0"/>
        <w:widowControl/>
        <w:numPr>
          <w:ilvl w:val="0"/>
          <w:numId w:val="8"/>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Yang, L., &amp; Xu, B. (2024). Artificial Intelligence for Smart Solar Panel Performance Monitoring. International Journal of Renewable Energy, 20(1), 52-65.</w:t>
      </w:r>
    </w:p>
    <w:p w14:paraId="7DA19D4F">
      <w:pPr>
        <w:keepNext w:val="0"/>
        <w:keepLines w:val="0"/>
        <w:pageBreakBefore w:val="0"/>
        <w:widowControl/>
        <w:numPr>
          <w:ilvl w:val="0"/>
          <w:numId w:val="8"/>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Kumar, A., &amp; Singh, S. (2024). AI-Enhanced Solar Grid Optimization and Load Balancing. Energy Technology Review, 23(3), 80-92.</w:t>
      </w:r>
    </w:p>
    <w:p w14:paraId="57448688">
      <w:pPr>
        <w:keepNext w:val="0"/>
        <w:keepLines w:val="0"/>
        <w:pageBreakBefore w:val="0"/>
        <w:widowControl/>
        <w:numPr>
          <w:ilvl w:val="0"/>
          <w:numId w:val="8"/>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Inbamani, A., &amp; Prabha, S. U. (2023). Predicting the Single Diode Model Parameters using Machine Learning Model.</w:t>
      </w:r>
      <w:r>
        <w:rPr>
          <w:rFonts w:hint="default" w:ascii="Times New Roman" w:hAnsi="Times New Roman" w:cs="Times New Roman" w:eastAsiaTheme="minorHAnsi"/>
          <w:color w:val="000000" w:themeColor="text1"/>
          <w:sz w:val="20"/>
          <w:szCs w:val="20"/>
          <w:lang w:val="en-US" w:eastAsia="en-US" w:bidi="ar-SA"/>
          <w14:textFill>
            <w14:solidFill>
              <w14:schemeClr w14:val="tx1"/>
            </w14:solidFill>
          </w14:textFill>
        </w:rPr>
        <w:t xml:space="preserve"> Electric Power Components and Systems, 51(14), 1385–1397. </w:t>
      </w:r>
      <w:r>
        <w:rPr>
          <w:rFonts w:hint="default"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begin"/>
      </w:r>
      <w:r>
        <w:rPr>
          <w:rFonts w:hint="default" w:ascii="Times New Roman" w:hAnsi="Times New Roman" w:cs="Times New Roman" w:eastAsiaTheme="minorHAnsi"/>
          <w:color w:val="000000" w:themeColor="text1"/>
          <w:sz w:val="20"/>
          <w:szCs w:val="20"/>
          <w:lang w:val="en-US" w:eastAsia="en-US" w:bidi="ar-SA"/>
          <w14:textFill>
            <w14:solidFill>
              <w14:schemeClr w14:val="tx1"/>
            </w14:solidFill>
          </w14:textFill>
        </w:rPr>
        <w:instrText xml:space="preserve"> HYPERLINK "https://doi.org/10.1080/15325008.2023.2199737" </w:instrText>
      </w:r>
      <w:r>
        <w:rPr>
          <w:rFonts w:hint="default"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separate"/>
      </w:r>
      <w:r>
        <w:rPr>
          <w:rFonts w:hint="default" w:ascii="Times New Roman" w:hAnsi="Times New Roman" w:cs="Times New Roman" w:eastAsiaTheme="minorHAnsi"/>
          <w:color w:val="000000" w:themeColor="text1"/>
          <w:sz w:val="20"/>
          <w:szCs w:val="20"/>
          <w:lang w:val="en-US" w:eastAsia="en-US" w:bidi="ar-SA"/>
          <w14:textFill>
            <w14:solidFill>
              <w14:schemeClr w14:val="tx1"/>
            </w14:solidFill>
          </w14:textFill>
        </w:rPr>
        <w:t>https://doi.org/10.1080/15325008.2023.2199737</w:t>
      </w:r>
      <w:r>
        <w:rPr>
          <w:rFonts w:hint="default" w:ascii="Times New Roman" w:hAnsi="Times New Roman" w:cs="Times New Roman" w:eastAsiaTheme="minorHAnsi"/>
          <w:color w:val="000000" w:themeColor="text1"/>
          <w:sz w:val="20"/>
          <w:szCs w:val="20"/>
          <w:lang w:val="en-US" w:eastAsia="en-US" w:bidi="ar-SA"/>
          <w14:textFill>
            <w14:solidFill>
              <w14:schemeClr w14:val="tx1"/>
            </w14:solidFill>
          </w14:textFill>
        </w:rPr>
        <w:fldChar w:fldCharType="end"/>
      </w:r>
    </w:p>
    <w:p w14:paraId="2E847C4F">
      <w:pPr>
        <w:keepNext w:val="0"/>
        <w:keepLines w:val="0"/>
        <w:pageBreakBefore w:val="0"/>
        <w:widowControl/>
        <w:numPr>
          <w:ilvl w:val="0"/>
          <w:numId w:val="8"/>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Li, J., &amp; Wang, Z. (2024). Machine Learning for Solar Energy Systems in Remote Locations. Journal of Green Energy Research, 18(4), 130-145.</w:t>
      </w:r>
    </w:p>
    <w:p w14:paraId="0043AD66">
      <w:pPr>
        <w:keepNext w:val="0"/>
        <w:keepLines w:val="0"/>
        <w:pageBreakBefore w:val="0"/>
        <w:widowControl/>
        <w:numPr>
          <w:ilvl w:val="0"/>
          <w:numId w:val="9"/>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Smith, J., &amp; Brown, R. (2024). Machine Learning for Solar Energy Optimization: Challenges and Opportunities. Renewable Energy Journal, 10(2), 50-65.</w:t>
      </w:r>
    </w:p>
    <w:p w14:paraId="3F5FDB86">
      <w:pPr>
        <w:keepNext w:val="0"/>
        <w:keepLines w:val="0"/>
        <w:pageBreakBefore w:val="0"/>
        <w:widowControl/>
        <w:numPr>
          <w:ilvl w:val="0"/>
          <w:numId w:val="9"/>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Zhao, L., &amp; Chen, W. (2024). AI-Driven Forecasting Techniques for Solar Power Generation. Journal of Smart Grid, 8(1), 22-35.</w:t>
      </w:r>
    </w:p>
    <w:p w14:paraId="5B7589BB">
      <w:pPr>
        <w:keepNext w:val="0"/>
        <w:keepLines w:val="0"/>
        <w:pageBreakBefore w:val="0"/>
        <w:widowControl/>
        <w:numPr>
          <w:ilvl w:val="0"/>
          <w:numId w:val="9"/>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Gupta, M., &amp; Patel, K. (2023). Predictive Maintenance of Solar Panels Using AI: A Case Study. Energy Systems Review, 15(4), 88-102.</w:t>
      </w:r>
    </w:p>
    <w:p w14:paraId="4731C24B">
      <w:pPr>
        <w:keepNext w:val="0"/>
        <w:keepLines w:val="0"/>
        <w:pageBreakBefore w:val="0"/>
        <w:widowControl/>
        <w:numPr>
          <w:ilvl w:val="0"/>
          <w:numId w:val="9"/>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Lee, H., &amp; Kim, S. (2024). Deep Learning for Solar Energy Efficiency Optimization: A Comparative Study. IEEE Transactions on Renewable Energy, 12(3), 150-167.</w:t>
      </w:r>
    </w:p>
    <w:p w14:paraId="40EFF21F">
      <w:pPr>
        <w:keepNext w:val="0"/>
        <w:keepLines w:val="0"/>
        <w:pageBreakBefore w:val="0"/>
        <w:widowControl/>
        <w:numPr>
          <w:ilvl w:val="0"/>
          <w:numId w:val="9"/>
        </w:numPr>
        <w:kinsoku/>
        <w:wordWrap/>
        <w:overflowPunct/>
        <w:topLinePunct w:val="0"/>
        <w:autoSpaceDE/>
        <w:autoSpaceDN/>
        <w:bidi w:val="0"/>
        <w:adjustRightInd/>
        <w:snapToGrid/>
        <w:spacing w:after="0" w:line="260" w:lineRule="auto"/>
        <w:textAlignment w:val="auto"/>
        <w:rPr>
          <w:rFonts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ascii="Times New Roman" w:hAnsi="Times New Roman" w:cs="Times New Roman" w:eastAsiaTheme="minorHAnsi"/>
          <w:color w:val="000000" w:themeColor="text1"/>
          <w:sz w:val="20"/>
          <w:szCs w:val="20"/>
          <w:lang w:val="en-US" w:eastAsia="en-US" w:bidi="ar-SA"/>
          <w14:textFill>
            <w14:solidFill>
              <w14:schemeClr w14:val="tx1"/>
            </w14:solidFill>
          </w14:textFill>
        </w:rPr>
        <w:t>Wang, T., &amp; Li, J. (2023). Smart Solar Grids: AI-Based Control Systems for Energy Distribution. International Journal of Renewable Energy Research, 18(2), 112-128.</w:t>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FA4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966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373">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0A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A932B"/>
    <w:multiLevelType w:val="singleLevel"/>
    <w:tmpl w:val="E92A932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338DEC91"/>
    <w:multiLevelType w:val="singleLevel"/>
    <w:tmpl w:val="338DEC9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3A46808"/>
    <w:multiLevelType w:val="multilevel"/>
    <w:tmpl w:val="33A46808"/>
    <w:lvl w:ilvl="0" w:tentative="0">
      <w:start w:val="2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71851D8"/>
    <w:multiLevelType w:val="multilevel"/>
    <w:tmpl w:val="371851D8"/>
    <w:lvl w:ilvl="0" w:tentative="0">
      <w:start w:val="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8457FD5"/>
    <w:multiLevelType w:val="multilevel"/>
    <w:tmpl w:val="38457FD5"/>
    <w:lvl w:ilvl="0" w:tentative="0">
      <w:start w:val="15"/>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E545876"/>
    <w:multiLevelType w:val="multilevel"/>
    <w:tmpl w:val="3E54587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64D16CD"/>
    <w:multiLevelType w:val="singleLevel"/>
    <w:tmpl w:val="664D16C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4F8027F"/>
    <w:rsid w:val="172D156F"/>
    <w:rsid w:val="1BCB44A6"/>
    <w:rsid w:val="1E6A7C53"/>
    <w:rsid w:val="2ED769A5"/>
    <w:rsid w:val="4F916F13"/>
    <w:rsid w:val="50736BB0"/>
    <w:rsid w:val="61704CC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3"/>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pPr>
      <w:spacing w:after="0" w:line="240" w:lineRule="auto"/>
    </w:pPr>
    <w:rPr>
      <w:rFonts w:ascii="Tahoma" w:hAnsi="Tahoma" w:cs="Tahoma"/>
      <w:sz w:val="16"/>
      <w:szCs w:val="16"/>
    </w:rPr>
  </w:style>
  <w:style w:type="paragraph" w:styleId="6">
    <w:name w:val="footer"/>
    <w:basedOn w:val="1"/>
    <w:link w:val="11"/>
    <w:unhideWhenUsed/>
    <w:qFormat/>
    <w:uiPriority w:val="99"/>
    <w:pPr>
      <w:tabs>
        <w:tab w:val="center" w:pos="4680"/>
        <w:tab w:val="right" w:pos="9360"/>
      </w:tabs>
      <w:spacing w:after="0" w:line="240" w:lineRule="auto"/>
    </w:pPr>
  </w:style>
  <w:style w:type="paragraph" w:styleId="7">
    <w:name w:val="header"/>
    <w:basedOn w:val="1"/>
    <w:link w:val="10"/>
    <w:unhideWhenUsed/>
    <w:qFormat/>
    <w:uiPriority w:val="99"/>
    <w:pPr>
      <w:tabs>
        <w:tab w:val="center" w:pos="4680"/>
        <w:tab w:val="right" w:pos="9360"/>
      </w:tabs>
      <w:spacing w:after="0" w:line="240" w:lineRule="auto"/>
    </w:pPr>
  </w:style>
  <w:style w:type="character" w:styleId="8">
    <w:name w:val="Hyperlink"/>
    <w:basedOn w:val="3"/>
    <w:qFormat/>
    <w:uiPriority w:val="99"/>
    <w:rPr>
      <w:rFonts w:cs="Times New Roman"/>
      <w:color w:val="0000FF"/>
      <w:u w:val="single"/>
    </w:rPr>
  </w:style>
  <w:style w:type="table" w:styleId="9">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7"/>
    <w:uiPriority w:val="99"/>
  </w:style>
  <w:style w:type="character" w:customStyle="1" w:styleId="11">
    <w:name w:val="Footer Char"/>
    <w:basedOn w:val="3"/>
    <w:link w:val="6"/>
    <w:qFormat/>
    <w:uiPriority w:val="99"/>
  </w:style>
  <w:style w:type="paragraph" w:styleId="12">
    <w:name w:val="List Paragraph"/>
    <w:basedOn w:val="1"/>
    <w:qFormat/>
    <w:uiPriority w:val="34"/>
    <w:pPr>
      <w:ind w:left="720"/>
      <w:contextualSpacing/>
    </w:pPr>
  </w:style>
  <w:style w:type="character" w:customStyle="1" w:styleId="13">
    <w:name w:val="Heading 5 Char"/>
    <w:basedOn w:val="3"/>
    <w:link w:val="2"/>
    <w:qFormat/>
    <w:uiPriority w:val="0"/>
    <w:rPr>
      <w:rFonts w:ascii="Times New Roman" w:hAnsi="Times New Roman" w:eastAsia="PMingLiU" w:cs="Times New Roman"/>
      <w:sz w:val="18"/>
      <w:szCs w:val="18"/>
    </w:rPr>
  </w:style>
  <w:style w:type="paragraph" w:customStyle="1" w:styleId="14">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5">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6">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7">
    <w:name w:val="IEEE Heading 2"/>
    <w:basedOn w:val="1"/>
    <w:next w:val="18"/>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8">
    <w:name w:val="IEEE Paragraph"/>
    <w:basedOn w:val="1"/>
    <w:link w:val="19"/>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19">
    <w:name w:val="IEEE Paragraph Char"/>
    <w:link w:val="18"/>
    <w:qFormat/>
    <w:uiPriority w:val="0"/>
    <w:rPr>
      <w:rFonts w:ascii="Times New Roman" w:hAnsi="Times New Roman" w:eastAsia="SimSun" w:cs="Times New Roman"/>
      <w:sz w:val="20"/>
      <w:szCs w:val="24"/>
      <w:lang w:val="en-AU" w:eastAsia="zh-C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Bibliography"/>
    <w:basedOn w:val="1"/>
    <w:next w:val="1"/>
    <w:unhideWhenUsed/>
    <w:qFormat/>
    <w:uiPriority w:val="37"/>
  </w:style>
  <w:style w:type="character" w:customStyle="1" w:styleId="22">
    <w:name w:val="Unresolved Mention1"/>
    <w:basedOn w:val="3"/>
    <w:semiHidden/>
    <w:unhideWhenUsed/>
    <w:qFormat/>
    <w:uiPriority w:val="99"/>
    <w:rPr>
      <w:color w:val="605E5C"/>
      <w:shd w:val="clear" w:color="auto" w:fill="E1DFDD"/>
    </w:rPr>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4">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8</Pages>
  <Words>611</Words>
  <Characters>3489</Characters>
  <Lines>29</Lines>
  <Paragraphs>8</Paragraphs>
  <TotalTime>12</TotalTime>
  <ScaleCrop>false</ScaleCrop>
  <LinksUpToDate>false</LinksUpToDate>
  <CharactersWithSpaces>4092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ADMIN</cp:lastModifiedBy>
  <cp:lastPrinted>2021-02-22T14:39:00Z</cp:lastPrinted>
  <dcterms:modified xsi:type="dcterms:W3CDTF">2025-02-13T18:03:54Z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E968572C565B408BB5D89A15375A8771_13</vt:lpwstr>
  </property>
</Properties>
</file>