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164F" w14:textId="34EA8437" w:rsidR="00C14CE3" w:rsidRPr="00AC63D2" w:rsidRDefault="00AC63D2" w:rsidP="00AC63D2">
      <w:pPr>
        <w:jc w:val="center"/>
        <w:rPr>
          <w:b/>
          <w:bCs/>
        </w:rPr>
      </w:pPr>
      <w:r w:rsidRPr="00AC63D2">
        <w:rPr>
          <w:b/>
          <w:bCs/>
        </w:rPr>
        <w:t>Exploring the Role of Homoeopathy in Migraine: A Case Series Study</w:t>
      </w:r>
    </w:p>
    <w:p w14:paraId="6F134566" w14:textId="77777777" w:rsidR="00AC63D2" w:rsidRPr="007D5F39" w:rsidRDefault="00AC63D2" w:rsidP="00AC63D2">
      <w:pPr>
        <w:spacing w:after="0"/>
        <w:jc w:val="center"/>
        <w:rPr>
          <w:b/>
          <w:bCs/>
        </w:rPr>
      </w:pPr>
      <w:r w:rsidRPr="007D5F39">
        <w:rPr>
          <w:b/>
          <w:bCs/>
        </w:rPr>
        <w:t>Dr. Arpana S. Pareek, Prof and HOD Department of Repertory</w:t>
      </w:r>
    </w:p>
    <w:p w14:paraId="515A50AA" w14:textId="77777777" w:rsidR="00AC63D2" w:rsidRPr="001441E1" w:rsidRDefault="00AC63D2" w:rsidP="00AC63D2">
      <w:pPr>
        <w:spacing w:after="0"/>
        <w:jc w:val="center"/>
      </w:pPr>
      <w:r w:rsidRPr="001441E1">
        <w:t>Smt. K. B. Abad Homoeopathic Medical College, Chandwad</w:t>
      </w:r>
    </w:p>
    <w:p w14:paraId="10D57848" w14:textId="77777777" w:rsidR="00AC63D2" w:rsidRPr="007D5F39" w:rsidRDefault="00AC63D2" w:rsidP="00AC63D2">
      <w:pPr>
        <w:spacing w:after="0"/>
        <w:ind w:left="-284" w:right="-613"/>
        <w:jc w:val="center"/>
        <w:rPr>
          <w:b/>
          <w:bCs/>
        </w:rPr>
      </w:pPr>
      <w:r w:rsidRPr="007D5F39">
        <w:rPr>
          <w:b/>
          <w:bCs/>
        </w:rPr>
        <w:t>Dr. Sandeep N. Pareek, Associate Professor Department of Homoeopathic Materia Medica</w:t>
      </w:r>
    </w:p>
    <w:p w14:paraId="6874128F" w14:textId="77777777" w:rsidR="00AC63D2" w:rsidRDefault="00AC63D2" w:rsidP="00AC63D2">
      <w:pPr>
        <w:spacing w:after="0"/>
        <w:jc w:val="center"/>
      </w:pPr>
      <w:r w:rsidRPr="001441E1">
        <w:t>Smt. K. B. Abad Homoeopathic Medical College, Chandwad</w:t>
      </w:r>
    </w:p>
    <w:p w14:paraId="76A55F73" w14:textId="77777777" w:rsidR="00AC63D2" w:rsidRDefault="00AC63D2" w:rsidP="00AC63D2">
      <w:pPr>
        <w:spacing w:after="0"/>
        <w:jc w:val="both"/>
      </w:pPr>
    </w:p>
    <w:p w14:paraId="0E723CF8" w14:textId="53C20AD7" w:rsidR="00AC63D2" w:rsidRDefault="00AC63D2" w:rsidP="00AC63D2">
      <w:pPr>
        <w:spacing w:after="0"/>
        <w:jc w:val="both"/>
      </w:pPr>
      <w:r>
        <w:t>ABSTRACT:</w:t>
      </w:r>
    </w:p>
    <w:p w14:paraId="356178CE" w14:textId="77777777" w:rsidR="00AC63D2" w:rsidRPr="00AC63D2" w:rsidRDefault="00AC63D2" w:rsidP="00AC63D2">
      <w:pPr>
        <w:spacing w:after="0"/>
        <w:jc w:val="both"/>
        <w:rPr>
          <w:b/>
          <w:bCs/>
        </w:rPr>
      </w:pPr>
      <w:r w:rsidRPr="00AC63D2">
        <w:rPr>
          <w:b/>
          <w:bCs/>
        </w:rPr>
        <w:t>Background</w:t>
      </w:r>
    </w:p>
    <w:p w14:paraId="6AC19E48" w14:textId="56A5372B" w:rsidR="00AC63D2" w:rsidRPr="00AC63D2" w:rsidRDefault="00AC63D2" w:rsidP="00AC63D2">
      <w:pPr>
        <w:spacing w:after="0"/>
        <w:jc w:val="both"/>
      </w:pPr>
      <w:r w:rsidRPr="00AC63D2">
        <w:t>Migraine is a prevalent neurological disorder characterized by recurrent headaches, often accompanied by nausea, vomiting, and sensitivity to light and sound. Conventional treatments provide symptomatic relief but may have side effects. Homoeopathy, based on individualized prescribing, offers a potential alternative for migraine management. This case series evaluates the effectiveness of homoeopathic treatment in migraine patients.</w:t>
      </w:r>
      <w:r w:rsidR="007D5F39">
        <w:t xml:space="preserve">  </w:t>
      </w:r>
      <w:r w:rsidRPr="00AC63D2">
        <w:rPr>
          <w:b/>
          <w:bCs/>
        </w:rPr>
        <w:t>Objective</w:t>
      </w:r>
      <w:r w:rsidR="007D5F39">
        <w:rPr>
          <w:b/>
          <w:bCs/>
        </w:rPr>
        <w:t xml:space="preserve">:  </w:t>
      </w:r>
      <w:r w:rsidRPr="00AC63D2">
        <w:t>To assess the role of individualized homoeopathic remedies in reducing the frequency, intensity, and duration of migraine episodes in patients.</w:t>
      </w:r>
      <w:r w:rsidR="007D5F39">
        <w:t xml:space="preserve">  </w:t>
      </w:r>
      <w:r w:rsidRPr="00AC63D2">
        <w:rPr>
          <w:b/>
          <w:bCs/>
        </w:rPr>
        <w:t>Methods</w:t>
      </w:r>
      <w:r w:rsidR="007D5F39">
        <w:t xml:space="preserve">:  </w:t>
      </w:r>
      <w:r w:rsidRPr="00AC63D2">
        <w:t>A prospective case series study was conducted on patients diagnosed with migraine based on clinical criteria. Each patient received an individualized homoeopathic prescription after detailed case-taking and repertorization. Treatment outcomes were assessed using the Migraine Disability Assessment (MIDAS) score and patient-reported symptom relief over a follow-up period of 3 to 6 months.</w:t>
      </w:r>
      <w:r w:rsidR="007D5F39">
        <w:t xml:space="preserve">  </w:t>
      </w:r>
      <w:r w:rsidRPr="00AC63D2">
        <w:rPr>
          <w:b/>
          <w:bCs/>
        </w:rPr>
        <w:t>Results</w:t>
      </w:r>
      <w:r w:rsidR="007D5F39">
        <w:rPr>
          <w:b/>
          <w:bCs/>
        </w:rPr>
        <w:t xml:space="preserve">:  </w:t>
      </w:r>
      <w:r w:rsidR="007D5F39">
        <w:t xml:space="preserve">  </w:t>
      </w:r>
      <w:r w:rsidRPr="00AC63D2">
        <w:t xml:space="preserve">The study included </w:t>
      </w:r>
      <w:r>
        <w:t xml:space="preserve">5 </w:t>
      </w:r>
      <w:r w:rsidRPr="00AC63D2">
        <w:t xml:space="preserve">patients (age range: </w:t>
      </w:r>
      <w:r>
        <w:t>25</w:t>
      </w:r>
      <w:r w:rsidRPr="00AC63D2">
        <w:t>-</w:t>
      </w:r>
      <w:r>
        <w:t>40</w:t>
      </w:r>
      <w:r w:rsidRPr="00AC63D2">
        <w:t xml:space="preserve"> years). Significant improvement was observed in all cases, with a reduction in migraine frequency </w:t>
      </w:r>
      <w:r>
        <w:t xml:space="preserve">and </w:t>
      </w:r>
      <w:r w:rsidRPr="00AC63D2">
        <w:t xml:space="preserve">intensity, and duration of attacks. The MIDAS score improved in </w:t>
      </w:r>
      <w:r>
        <w:t xml:space="preserve">all </w:t>
      </w:r>
      <w:r w:rsidRPr="00AC63D2">
        <w:t xml:space="preserve">patients, indicating enhanced quality of life. No adverse effects were reported. The most commonly prescribed remedies were </w:t>
      </w:r>
      <w:r w:rsidRPr="00AC63D2">
        <w:rPr>
          <w:i/>
          <w:iCs/>
        </w:rPr>
        <w:t>Belladonna, Natrum muriaticum, Gelsemium</w:t>
      </w:r>
      <w:r w:rsidRPr="00AC63D2">
        <w:t xml:space="preserve">, and </w:t>
      </w:r>
      <w:r w:rsidRPr="00AC63D2">
        <w:rPr>
          <w:i/>
          <w:iCs/>
        </w:rPr>
        <w:t>Sanguinaria canadensis</w:t>
      </w:r>
      <w:r w:rsidRPr="00AC63D2">
        <w:t>, chosen based on individualized symptomatology.</w:t>
      </w:r>
      <w:r w:rsidR="007D5F39">
        <w:t xml:space="preserve">  </w:t>
      </w:r>
      <w:proofErr w:type="gramStart"/>
      <w:r w:rsidRPr="00AC63D2">
        <w:rPr>
          <w:b/>
          <w:bCs/>
        </w:rPr>
        <w:t>Conclusion</w:t>
      </w:r>
      <w:r w:rsidR="007D5F39">
        <w:t xml:space="preserve">  </w:t>
      </w:r>
      <w:r w:rsidRPr="00AC63D2">
        <w:t>Homoeopathy</w:t>
      </w:r>
      <w:proofErr w:type="gramEnd"/>
      <w:r w:rsidRPr="00AC63D2">
        <w:t xml:space="preserve"> appears to be a promising therapeutic option for migraine management, demonstrating significant symptomatic relief and improved patient well-being. Further large-scale studies with randomized controlled trials are recommended to validate these findings.</w:t>
      </w:r>
    </w:p>
    <w:p w14:paraId="20E20F78" w14:textId="77777777" w:rsidR="00AC63D2" w:rsidRPr="00AC63D2" w:rsidRDefault="00AC63D2" w:rsidP="00AC63D2">
      <w:pPr>
        <w:spacing w:after="0"/>
        <w:jc w:val="both"/>
        <w:rPr>
          <w:b/>
          <w:bCs/>
        </w:rPr>
      </w:pPr>
      <w:r w:rsidRPr="00AC63D2">
        <w:rPr>
          <w:b/>
          <w:bCs/>
        </w:rPr>
        <w:t>Keywords</w:t>
      </w:r>
    </w:p>
    <w:p w14:paraId="1B7823DF" w14:textId="77777777" w:rsidR="00AC63D2" w:rsidRPr="00AC63D2" w:rsidRDefault="00AC63D2" w:rsidP="00AC63D2">
      <w:pPr>
        <w:spacing w:after="0"/>
        <w:jc w:val="both"/>
      </w:pPr>
      <w:r w:rsidRPr="00AC63D2">
        <w:t>Migraine, Homoeopathy, Case Series, Individualized Treatment, Alternative Medicine</w:t>
      </w:r>
    </w:p>
    <w:p w14:paraId="22D69359" w14:textId="77777777" w:rsidR="00AC63D2" w:rsidRPr="001441E1" w:rsidRDefault="00AC63D2" w:rsidP="00AC63D2">
      <w:pPr>
        <w:spacing w:after="0"/>
        <w:jc w:val="both"/>
      </w:pPr>
    </w:p>
    <w:p w14:paraId="6F496E24" w14:textId="37EAB4FF" w:rsidR="00AC63D2" w:rsidRDefault="00AC63D2" w:rsidP="00AC63D2">
      <w:pPr>
        <w:jc w:val="both"/>
      </w:pPr>
      <w:r w:rsidRPr="007D5F39">
        <w:rPr>
          <w:b/>
          <w:bCs/>
        </w:rPr>
        <w:t>INTRODUCTION</w:t>
      </w:r>
      <w:r>
        <w:t>:</w:t>
      </w:r>
    </w:p>
    <w:p w14:paraId="41C220BB" w14:textId="77777777" w:rsidR="00AC63D2" w:rsidRPr="00AC63D2" w:rsidRDefault="00AC63D2" w:rsidP="00AC63D2">
      <w:pPr>
        <w:jc w:val="both"/>
      </w:pPr>
      <w:r w:rsidRPr="00AC63D2">
        <w:t>Migraine is a prevalent and debilitating neurological disorder characterized by recurrent, pulsating headaches, often accompanied by nausea, vomiting, photophobia, and phonophobia. It affects approximately 12–15% of the global population, with a higher prevalence in women. Migraine significantly impacts the quality of life, productivity, and overall well-being of affected individuals. Conventional management includes analgesics, triptans, beta-blockers, and lifestyle modifications. However, these treatments often provide only symptomatic relief and may be associated with side effects, dependency, or limited long-term efficacy.</w:t>
      </w:r>
    </w:p>
    <w:p w14:paraId="4F6E7C7A" w14:textId="77777777" w:rsidR="00AC63D2" w:rsidRPr="00AC63D2" w:rsidRDefault="00AC63D2" w:rsidP="00AC63D2">
      <w:pPr>
        <w:jc w:val="both"/>
        <w:rPr>
          <w:b/>
          <w:bCs/>
        </w:rPr>
      </w:pPr>
      <w:r w:rsidRPr="00AC63D2">
        <w:rPr>
          <w:b/>
          <w:bCs/>
        </w:rPr>
        <w:lastRenderedPageBreak/>
        <w:t>Need for Alternative Approaches</w:t>
      </w:r>
    </w:p>
    <w:p w14:paraId="5CAA264A" w14:textId="77777777" w:rsidR="00AC63D2" w:rsidRPr="00AC63D2" w:rsidRDefault="00AC63D2" w:rsidP="00AC63D2">
      <w:pPr>
        <w:jc w:val="both"/>
      </w:pPr>
      <w:r w:rsidRPr="00AC63D2">
        <w:t>Due to the limitations of conventional treatments, there is increasing interest in complementary and alternative medicine (CAM) approaches, including homoeopathy. Homoeopathy is a holistic system of medicine based on the principle of "like cures like" and the use of highly diluted substances to stimulate the body's natural healing response. Individualized homoeopathic prescriptions consider the patient's unique symptomatology, mental and emotional state, and constitutional characteristics. Several clinical studies and anecdotal evidence suggest that homoeopathy may provide relief in chronic migraine cases, reducing attack frequency, intensity, and associated symptoms.</w:t>
      </w:r>
    </w:p>
    <w:p w14:paraId="068BDA26" w14:textId="77777777" w:rsidR="00AC63D2" w:rsidRPr="00AC63D2" w:rsidRDefault="00AC63D2" w:rsidP="00AC63D2">
      <w:pPr>
        <w:jc w:val="both"/>
        <w:rPr>
          <w:b/>
          <w:bCs/>
        </w:rPr>
      </w:pPr>
      <w:r w:rsidRPr="00AC63D2">
        <w:rPr>
          <w:b/>
          <w:bCs/>
        </w:rPr>
        <w:t>Rationale for the Study</w:t>
      </w:r>
    </w:p>
    <w:p w14:paraId="3E3CA18C" w14:textId="2855279B" w:rsidR="00AC63D2" w:rsidRPr="00AC63D2" w:rsidRDefault="00AC63D2" w:rsidP="00AC63D2">
      <w:pPr>
        <w:jc w:val="both"/>
      </w:pPr>
      <w:r w:rsidRPr="00AC63D2">
        <w:t xml:space="preserve">Despite growing interest in homoeopathy for migraine, there is a need for more documented case studies and clinical evidence to evaluate its efficacy systematically. This case series aims to explore the role of individualized homoeopathic treatment in migraine management by </w:t>
      </w:r>
      <w:r w:rsidR="007D5F39" w:rsidRPr="00AC63D2">
        <w:t>analysing</w:t>
      </w:r>
      <w:r w:rsidRPr="00AC63D2">
        <w:t xml:space="preserve"> five cases with varying presentations and treatment outcomes.</w:t>
      </w:r>
    </w:p>
    <w:p w14:paraId="370E451C" w14:textId="77777777" w:rsidR="00AC63D2" w:rsidRPr="00AC63D2" w:rsidRDefault="00AC63D2" w:rsidP="00AC63D2">
      <w:pPr>
        <w:jc w:val="both"/>
        <w:rPr>
          <w:b/>
          <w:bCs/>
        </w:rPr>
      </w:pPr>
      <w:r w:rsidRPr="00AC63D2">
        <w:rPr>
          <w:b/>
          <w:bCs/>
        </w:rPr>
        <w:t>Objectives</w:t>
      </w:r>
    </w:p>
    <w:p w14:paraId="397E276D" w14:textId="77777777" w:rsidR="00AC63D2" w:rsidRPr="00AC63D2" w:rsidRDefault="00AC63D2" w:rsidP="00AC63D2">
      <w:pPr>
        <w:numPr>
          <w:ilvl w:val="0"/>
          <w:numId w:val="1"/>
        </w:numPr>
        <w:jc w:val="both"/>
      </w:pPr>
      <w:r w:rsidRPr="00AC63D2">
        <w:t>To assess the impact of individualized homoeopathic treatment on the frequency, intensity, and duration of migraine attacks.</w:t>
      </w:r>
    </w:p>
    <w:p w14:paraId="37BB5BC9" w14:textId="77777777" w:rsidR="00AC63D2" w:rsidRPr="00AC63D2" w:rsidRDefault="00AC63D2" w:rsidP="00AC63D2">
      <w:pPr>
        <w:numPr>
          <w:ilvl w:val="0"/>
          <w:numId w:val="1"/>
        </w:numPr>
        <w:jc w:val="both"/>
      </w:pPr>
      <w:r w:rsidRPr="00AC63D2">
        <w:t>To evaluate improvements in associated symptoms such as nausea, photophobia, and phonophobia.</w:t>
      </w:r>
    </w:p>
    <w:p w14:paraId="29BD0A08" w14:textId="77777777" w:rsidR="00AC63D2" w:rsidRPr="00AC63D2" w:rsidRDefault="00AC63D2" w:rsidP="00AC63D2">
      <w:pPr>
        <w:numPr>
          <w:ilvl w:val="0"/>
          <w:numId w:val="1"/>
        </w:numPr>
        <w:jc w:val="both"/>
      </w:pPr>
      <w:r w:rsidRPr="00AC63D2">
        <w:t>To determine the overall improvement in patients' quality of life through subjective and objective assessment tools (e.g., MIDAS score, Visual Analog Scale [VAS]).</w:t>
      </w:r>
    </w:p>
    <w:p w14:paraId="5436B0D8" w14:textId="34EB120D" w:rsidR="00AC63D2" w:rsidRPr="00AC63D2" w:rsidRDefault="00AC63D2" w:rsidP="00AC63D2">
      <w:pPr>
        <w:jc w:val="both"/>
      </w:pPr>
      <w:r w:rsidRPr="00AC63D2">
        <w:t xml:space="preserve">By documenting and </w:t>
      </w:r>
      <w:r w:rsidR="007D5F39" w:rsidRPr="00AC63D2">
        <w:t>analysing</w:t>
      </w:r>
      <w:r w:rsidRPr="00AC63D2">
        <w:t xml:space="preserve"> five cases, this study aims to contribute to the growing evidence supporting homoeopathy as a potential therapeutic option for migraine patients.</w:t>
      </w:r>
    </w:p>
    <w:p w14:paraId="43475C19" w14:textId="77777777" w:rsidR="00AC63D2" w:rsidRPr="00AC63D2" w:rsidRDefault="00AC63D2" w:rsidP="00AC63D2">
      <w:pPr>
        <w:jc w:val="both"/>
        <w:rPr>
          <w:b/>
          <w:bCs/>
        </w:rPr>
      </w:pPr>
      <w:r w:rsidRPr="00AC63D2">
        <w:rPr>
          <w:b/>
          <w:bCs/>
        </w:rPr>
        <w:t>Study Design</w:t>
      </w:r>
    </w:p>
    <w:p w14:paraId="23A4F20B" w14:textId="77777777" w:rsidR="00AC63D2" w:rsidRPr="00AC63D2" w:rsidRDefault="00AC63D2" w:rsidP="00AC63D2">
      <w:pPr>
        <w:jc w:val="both"/>
      </w:pPr>
      <w:r w:rsidRPr="00AC63D2">
        <w:t>This is a prospective case series study conducted to evaluate the effectiveness of individualized homoeopathic treatment in migraine management. The study involved five patients diagnosed with migraine, treated and monitored over a period of 3 to 6 months.</w:t>
      </w:r>
    </w:p>
    <w:p w14:paraId="09E64400" w14:textId="77777777" w:rsidR="00AC63D2" w:rsidRPr="00AC63D2" w:rsidRDefault="00AC63D2" w:rsidP="00AC63D2">
      <w:pPr>
        <w:jc w:val="both"/>
        <w:rPr>
          <w:b/>
          <w:bCs/>
        </w:rPr>
      </w:pPr>
      <w:r w:rsidRPr="00AC63D2">
        <w:rPr>
          <w:b/>
          <w:bCs/>
        </w:rPr>
        <w:t>Selection of Patients</w:t>
      </w:r>
    </w:p>
    <w:p w14:paraId="61CB69B9" w14:textId="77777777" w:rsidR="00AC63D2" w:rsidRPr="00AC63D2" w:rsidRDefault="00AC63D2" w:rsidP="00AC63D2">
      <w:pPr>
        <w:numPr>
          <w:ilvl w:val="0"/>
          <w:numId w:val="2"/>
        </w:numPr>
        <w:jc w:val="both"/>
      </w:pPr>
      <w:r w:rsidRPr="00AC63D2">
        <w:t>Five patients presenting with migraine symptoms were selected from the outpatient department of a homoeopathic clinic.</w:t>
      </w:r>
    </w:p>
    <w:p w14:paraId="53A3C11D" w14:textId="77777777" w:rsidR="00AC63D2" w:rsidRPr="00AC63D2" w:rsidRDefault="00AC63D2" w:rsidP="00AC63D2">
      <w:pPr>
        <w:numPr>
          <w:ilvl w:val="0"/>
          <w:numId w:val="2"/>
        </w:numPr>
        <w:jc w:val="both"/>
      </w:pPr>
      <w:r w:rsidRPr="00AC63D2">
        <w:t xml:space="preserve">Diagnosis was made based on clinical history and diagnostic criteria outlined by the </w:t>
      </w:r>
      <w:r w:rsidRPr="00AC63D2">
        <w:rPr>
          <w:b/>
          <w:bCs/>
        </w:rPr>
        <w:t>International Classification of Headache Disorders (ICHD-3)</w:t>
      </w:r>
      <w:r w:rsidRPr="00AC63D2">
        <w:t>.</w:t>
      </w:r>
    </w:p>
    <w:p w14:paraId="4C344662" w14:textId="77777777" w:rsidR="00AC63D2" w:rsidRPr="00AC63D2" w:rsidRDefault="00AC63D2" w:rsidP="00AC63D2">
      <w:pPr>
        <w:numPr>
          <w:ilvl w:val="0"/>
          <w:numId w:val="2"/>
        </w:numPr>
        <w:jc w:val="both"/>
      </w:pPr>
      <w:r w:rsidRPr="00AC63D2">
        <w:lastRenderedPageBreak/>
        <w:t xml:space="preserve">Patients with a history of secondary headaches due to underlying pathologies (e.g., </w:t>
      </w:r>
      <w:proofErr w:type="spellStart"/>
      <w:r w:rsidRPr="00AC63D2">
        <w:t>tumors</w:t>
      </w:r>
      <w:proofErr w:type="spellEnd"/>
      <w:r w:rsidRPr="00AC63D2">
        <w:t>, infections, trauma) were excluded.</w:t>
      </w:r>
    </w:p>
    <w:p w14:paraId="0C7CF712" w14:textId="77777777" w:rsidR="00AC63D2" w:rsidRPr="00AC63D2" w:rsidRDefault="00AC63D2" w:rsidP="00AC63D2">
      <w:pPr>
        <w:numPr>
          <w:ilvl w:val="0"/>
          <w:numId w:val="2"/>
        </w:numPr>
        <w:jc w:val="both"/>
      </w:pPr>
      <w:r w:rsidRPr="00AC63D2">
        <w:t>No patient was on long-term allopathic migraine prophylaxis during the study period.</w:t>
      </w:r>
    </w:p>
    <w:p w14:paraId="311F1C5F" w14:textId="77777777" w:rsidR="00AC63D2" w:rsidRPr="00AC63D2" w:rsidRDefault="00AC63D2" w:rsidP="00AC63D2">
      <w:pPr>
        <w:jc w:val="both"/>
        <w:rPr>
          <w:b/>
          <w:bCs/>
        </w:rPr>
      </w:pPr>
      <w:r w:rsidRPr="00AC63D2">
        <w:rPr>
          <w:b/>
          <w:bCs/>
        </w:rPr>
        <w:t>Case-Taking and Prescription</w:t>
      </w:r>
    </w:p>
    <w:p w14:paraId="11903025" w14:textId="77777777" w:rsidR="00AC63D2" w:rsidRPr="00AC63D2" w:rsidRDefault="00AC63D2" w:rsidP="00AC63D2">
      <w:pPr>
        <w:numPr>
          <w:ilvl w:val="0"/>
          <w:numId w:val="3"/>
        </w:numPr>
        <w:jc w:val="both"/>
      </w:pPr>
      <w:r w:rsidRPr="00AC63D2">
        <w:t>A detailed case history was recorded for each patient, including chief complaints, associated symptoms, triggers, modalities, emotional state, and past medical history.</w:t>
      </w:r>
    </w:p>
    <w:p w14:paraId="6393C7CB" w14:textId="77777777" w:rsidR="00AC63D2" w:rsidRPr="00AC63D2" w:rsidRDefault="00AC63D2" w:rsidP="00AC63D2">
      <w:pPr>
        <w:numPr>
          <w:ilvl w:val="0"/>
          <w:numId w:val="3"/>
        </w:numPr>
        <w:jc w:val="both"/>
      </w:pPr>
      <w:r w:rsidRPr="00AC63D2">
        <w:t>Constitutional and individualized homoeopathic remedies were selected based on the totality of symptoms using homoeopathic repertorization.</w:t>
      </w:r>
    </w:p>
    <w:p w14:paraId="3764941C" w14:textId="77777777" w:rsidR="00AC63D2" w:rsidRPr="00AC63D2" w:rsidRDefault="00AC63D2" w:rsidP="00AC63D2">
      <w:pPr>
        <w:numPr>
          <w:ilvl w:val="0"/>
          <w:numId w:val="3"/>
        </w:numPr>
        <w:jc w:val="both"/>
      </w:pPr>
      <w:r w:rsidRPr="00AC63D2">
        <w:t>Remedies were prescribed in various potencies (30C, 200C, or 1M) depending on the patient's sensitivity and case analysis.</w:t>
      </w:r>
    </w:p>
    <w:p w14:paraId="2892B616" w14:textId="77777777" w:rsidR="00AC63D2" w:rsidRPr="00AC63D2" w:rsidRDefault="00AC63D2" w:rsidP="00AC63D2">
      <w:pPr>
        <w:numPr>
          <w:ilvl w:val="0"/>
          <w:numId w:val="3"/>
        </w:numPr>
        <w:jc w:val="both"/>
      </w:pPr>
      <w:r w:rsidRPr="00AC63D2">
        <w:t>Repetition of the doses was decided based on follow-up responses.</w:t>
      </w:r>
    </w:p>
    <w:p w14:paraId="1F604183" w14:textId="77777777" w:rsidR="00AC63D2" w:rsidRPr="00AC63D2" w:rsidRDefault="00AC63D2" w:rsidP="00AC63D2">
      <w:pPr>
        <w:jc w:val="both"/>
        <w:rPr>
          <w:b/>
          <w:bCs/>
        </w:rPr>
      </w:pPr>
      <w:r w:rsidRPr="00AC63D2">
        <w:rPr>
          <w:b/>
          <w:bCs/>
        </w:rPr>
        <w:t>Outcome Measures</w:t>
      </w:r>
    </w:p>
    <w:p w14:paraId="4ABDF80F" w14:textId="77777777" w:rsidR="00AC63D2" w:rsidRPr="00AC63D2" w:rsidRDefault="00AC63D2" w:rsidP="00AC63D2">
      <w:pPr>
        <w:jc w:val="both"/>
      </w:pPr>
      <w:r w:rsidRPr="00AC63D2">
        <w:t>The effectiveness of treatment was assessed using:</w:t>
      </w:r>
    </w:p>
    <w:p w14:paraId="74E23D80" w14:textId="77777777" w:rsidR="00AC63D2" w:rsidRPr="00AC63D2" w:rsidRDefault="00AC63D2" w:rsidP="00AC63D2">
      <w:pPr>
        <w:numPr>
          <w:ilvl w:val="0"/>
          <w:numId w:val="4"/>
        </w:numPr>
        <w:jc w:val="both"/>
      </w:pPr>
      <w:r w:rsidRPr="00AC63D2">
        <w:rPr>
          <w:b/>
          <w:bCs/>
        </w:rPr>
        <w:t>Migraine Frequency</w:t>
      </w:r>
      <w:r w:rsidRPr="00AC63D2">
        <w:t xml:space="preserve"> – Number of attacks per month before and after treatment.</w:t>
      </w:r>
    </w:p>
    <w:p w14:paraId="265E407A" w14:textId="77777777" w:rsidR="00AC63D2" w:rsidRPr="00AC63D2" w:rsidRDefault="00AC63D2" w:rsidP="00AC63D2">
      <w:pPr>
        <w:numPr>
          <w:ilvl w:val="0"/>
          <w:numId w:val="4"/>
        </w:numPr>
        <w:jc w:val="both"/>
      </w:pPr>
      <w:r w:rsidRPr="00AC63D2">
        <w:rPr>
          <w:b/>
          <w:bCs/>
        </w:rPr>
        <w:t>Migraine Intensity</w:t>
      </w:r>
      <w:r w:rsidRPr="00AC63D2">
        <w:t xml:space="preserve"> – Measured using a </w:t>
      </w:r>
      <w:r w:rsidRPr="00AC63D2">
        <w:rPr>
          <w:b/>
          <w:bCs/>
        </w:rPr>
        <w:t>Visual Analog Scale (VAS)</w:t>
      </w:r>
      <w:r w:rsidRPr="00AC63D2">
        <w:t xml:space="preserve"> (0–10 scale, where 0 = no pain and 10 = severe pain).</w:t>
      </w:r>
    </w:p>
    <w:p w14:paraId="08DC4E3B" w14:textId="77777777" w:rsidR="00AC63D2" w:rsidRPr="00AC63D2" w:rsidRDefault="00AC63D2" w:rsidP="00AC63D2">
      <w:pPr>
        <w:numPr>
          <w:ilvl w:val="0"/>
          <w:numId w:val="4"/>
        </w:numPr>
        <w:jc w:val="both"/>
      </w:pPr>
      <w:r w:rsidRPr="00AC63D2">
        <w:rPr>
          <w:b/>
          <w:bCs/>
        </w:rPr>
        <w:t>Duration of Migraine Episodes</w:t>
      </w:r>
      <w:r w:rsidRPr="00AC63D2">
        <w:t xml:space="preserve"> – Recorded in hours per episode.</w:t>
      </w:r>
    </w:p>
    <w:p w14:paraId="06B1F2F9" w14:textId="77777777" w:rsidR="00AC63D2" w:rsidRPr="00AC63D2" w:rsidRDefault="00AC63D2" w:rsidP="00AC63D2">
      <w:pPr>
        <w:numPr>
          <w:ilvl w:val="0"/>
          <w:numId w:val="4"/>
        </w:numPr>
        <w:jc w:val="both"/>
      </w:pPr>
      <w:r w:rsidRPr="00AC63D2">
        <w:rPr>
          <w:b/>
          <w:bCs/>
        </w:rPr>
        <w:t>Migraine Disability Assessment (MIDAS) Score</w:t>
      </w:r>
      <w:r w:rsidRPr="00AC63D2">
        <w:t xml:space="preserve"> – Evaluated the impact of migraine on daily activities, including work, household tasks, and social life.</w:t>
      </w:r>
    </w:p>
    <w:p w14:paraId="73C2DD25" w14:textId="77777777" w:rsidR="00AC63D2" w:rsidRPr="00AC63D2" w:rsidRDefault="00AC63D2" w:rsidP="00AC63D2">
      <w:pPr>
        <w:numPr>
          <w:ilvl w:val="0"/>
          <w:numId w:val="4"/>
        </w:numPr>
        <w:jc w:val="both"/>
      </w:pPr>
      <w:r w:rsidRPr="00AC63D2">
        <w:rPr>
          <w:b/>
          <w:bCs/>
        </w:rPr>
        <w:t>Patient-Reported Improvements</w:t>
      </w:r>
      <w:r w:rsidRPr="00AC63D2">
        <w:t xml:space="preserve"> – Subjective assessment of associated symptoms (nausea, photophobia, phonophobia, etc.).</w:t>
      </w:r>
    </w:p>
    <w:p w14:paraId="15AAD878" w14:textId="77777777" w:rsidR="00AC63D2" w:rsidRPr="00AC63D2" w:rsidRDefault="00AC63D2" w:rsidP="00AC63D2">
      <w:pPr>
        <w:jc w:val="both"/>
        <w:rPr>
          <w:b/>
          <w:bCs/>
        </w:rPr>
      </w:pPr>
      <w:r w:rsidRPr="00AC63D2">
        <w:rPr>
          <w:b/>
          <w:bCs/>
        </w:rPr>
        <w:t>Follow-up and Evaluation</w:t>
      </w:r>
    </w:p>
    <w:p w14:paraId="563F292B" w14:textId="77777777" w:rsidR="00AC63D2" w:rsidRPr="00AC63D2" w:rsidRDefault="00AC63D2" w:rsidP="00AC63D2">
      <w:pPr>
        <w:numPr>
          <w:ilvl w:val="0"/>
          <w:numId w:val="5"/>
        </w:numPr>
        <w:jc w:val="both"/>
      </w:pPr>
      <w:r w:rsidRPr="00AC63D2">
        <w:t>Patients were followed up every 4 weeks for 3 to 6 months.</w:t>
      </w:r>
    </w:p>
    <w:p w14:paraId="501B2B97" w14:textId="77777777" w:rsidR="00AC63D2" w:rsidRPr="00AC63D2" w:rsidRDefault="00AC63D2" w:rsidP="00AC63D2">
      <w:pPr>
        <w:numPr>
          <w:ilvl w:val="0"/>
          <w:numId w:val="5"/>
        </w:numPr>
        <w:jc w:val="both"/>
      </w:pPr>
      <w:r w:rsidRPr="00AC63D2">
        <w:t>Symptomatic changes and modifications in prescription were recorded at each visit.</w:t>
      </w:r>
    </w:p>
    <w:p w14:paraId="3D6418F2" w14:textId="77777777" w:rsidR="00AC63D2" w:rsidRPr="00AC63D2" w:rsidRDefault="00AC63D2" w:rsidP="00AC63D2">
      <w:pPr>
        <w:numPr>
          <w:ilvl w:val="0"/>
          <w:numId w:val="5"/>
        </w:numPr>
        <w:jc w:val="both"/>
      </w:pPr>
      <w:r w:rsidRPr="00AC63D2">
        <w:t>If improvement plateaued or new symptoms emerged, remedy adjustments were made according to homoeopathic principles.</w:t>
      </w:r>
    </w:p>
    <w:p w14:paraId="441DD4A1" w14:textId="77777777" w:rsidR="00AC63D2" w:rsidRPr="00AC63D2" w:rsidRDefault="00AC63D2" w:rsidP="00AC63D2">
      <w:pPr>
        <w:numPr>
          <w:ilvl w:val="0"/>
          <w:numId w:val="5"/>
        </w:numPr>
        <w:jc w:val="both"/>
      </w:pPr>
      <w:r w:rsidRPr="00AC63D2">
        <w:t>No additional medications (homoeopathic or allopathic) were permitted during the study period.</w:t>
      </w:r>
    </w:p>
    <w:p w14:paraId="3829210D" w14:textId="77777777" w:rsidR="007D5F39" w:rsidRPr="007D5F39" w:rsidRDefault="007D5F39" w:rsidP="007D5F39">
      <w:pPr>
        <w:jc w:val="both"/>
      </w:pPr>
      <w:r w:rsidRPr="007D5F39">
        <w:t xml:space="preserve">The study included five patients diagnosed with migraine, each treated with individualized homoeopathic remedies. The results were assessed based on changes in </w:t>
      </w:r>
      <w:r w:rsidRPr="007D5F39">
        <w:lastRenderedPageBreak/>
        <w:t>migraine frequency, intensity, duration, and overall impact on daily life using subjective and objective parameters.</w:t>
      </w:r>
    </w:p>
    <w:p w14:paraId="1CE5D10F" w14:textId="77777777" w:rsidR="007D5F39" w:rsidRPr="007D5F39" w:rsidRDefault="007D5F39" w:rsidP="007D5F39">
      <w:pPr>
        <w:jc w:val="both"/>
        <w:rPr>
          <w:b/>
          <w:bCs/>
        </w:rPr>
      </w:pPr>
      <w:r w:rsidRPr="007D5F39">
        <w:rPr>
          <w:b/>
          <w:bCs/>
        </w:rPr>
        <w:t>Patient Demographics and Case Details</w:t>
      </w:r>
    </w:p>
    <w:tbl>
      <w:tblPr>
        <w:tblStyle w:val="TableGrid"/>
        <w:tblW w:w="0" w:type="auto"/>
        <w:tblLook w:val="04A0" w:firstRow="1" w:lastRow="0" w:firstColumn="1" w:lastColumn="0" w:noHBand="0" w:noVBand="1"/>
      </w:tblPr>
      <w:tblGrid>
        <w:gridCol w:w="994"/>
        <w:gridCol w:w="1103"/>
        <w:gridCol w:w="1536"/>
        <w:gridCol w:w="2268"/>
        <w:gridCol w:w="1706"/>
        <w:gridCol w:w="1409"/>
      </w:tblGrid>
      <w:tr w:rsidR="007D5F39" w:rsidRPr="007D5F39" w14:paraId="4C1CB287" w14:textId="77777777" w:rsidTr="007D5F39">
        <w:tc>
          <w:tcPr>
            <w:tcW w:w="0" w:type="auto"/>
            <w:hideMark/>
          </w:tcPr>
          <w:p w14:paraId="3791DE0D" w14:textId="77777777" w:rsidR="007D5F39" w:rsidRPr="007D5F39" w:rsidRDefault="007D5F39" w:rsidP="007D5F39">
            <w:pPr>
              <w:spacing w:after="160" w:line="278" w:lineRule="auto"/>
              <w:jc w:val="both"/>
              <w:rPr>
                <w:b/>
                <w:bCs/>
              </w:rPr>
            </w:pPr>
            <w:r w:rsidRPr="007D5F39">
              <w:rPr>
                <w:b/>
                <w:bCs/>
              </w:rPr>
              <w:t>Patient</w:t>
            </w:r>
          </w:p>
        </w:tc>
        <w:tc>
          <w:tcPr>
            <w:tcW w:w="0" w:type="auto"/>
            <w:hideMark/>
          </w:tcPr>
          <w:p w14:paraId="72007C00" w14:textId="77777777" w:rsidR="007D5F39" w:rsidRPr="007D5F39" w:rsidRDefault="007D5F39" w:rsidP="007D5F39">
            <w:pPr>
              <w:spacing w:after="160" w:line="278" w:lineRule="auto"/>
              <w:jc w:val="both"/>
              <w:rPr>
                <w:b/>
                <w:bCs/>
              </w:rPr>
            </w:pPr>
            <w:r w:rsidRPr="007D5F39">
              <w:rPr>
                <w:b/>
                <w:bCs/>
              </w:rPr>
              <w:t>Age/Sex</w:t>
            </w:r>
          </w:p>
        </w:tc>
        <w:tc>
          <w:tcPr>
            <w:tcW w:w="0" w:type="auto"/>
            <w:hideMark/>
          </w:tcPr>
          <w:p w14:paraId="17A1FFB1" w14:textId="77777777" w:rsidR="007D5F39" w:rsidRPr="007D5F39" w:rsidRDefault="007D5F39" w:rsidP="007D5F39">
            <w:pPr>
              <w:spacing w:after="160" w:line="278" w:lineRule="auto"/>
              <w:jc w:val="both"/>
              <w:rPr>
                <w:b/>
                <w:bCs/>
              </w:rPr>
            </w:pPr>
            <w:r w:rsidRPr="007D5F39">
              <w:rPr>
                <w:b/>
                <w:bCs/>
              </w:rPr>
              <w:t>Migraine Triggers</w:t>
            </w:r>
          </w:p>
        </w:tc>
        <w:tc>
          <w:tcPr>
            <w:tcW w:w="0" w:type="auto"/>
            <w:hideMark/>
          </w:tcPr>
          <w:p w14:paraId="3CDAEE29" w14:textId="77777777" w:rsidR="007D5F39" w:rsidRPr="007D5F39" w:rsidRDefault="007D5F39" w:rsidP="007D5F39">
            <w:pPr>
              <w:spacing w:after="160" w:line="278" w:lineRule="auto"/>
              <w:jc w:val="both"/>
              <w:rPr>
                <w:b/>
                <w:bCs/>
              </w:rPr>
            </w:pPr>
            <w:r w:rsidRPr="007D5F39">
              <w:rPr>
                <w:b/>
                <w:bCs/>
              </w:rPr>
              <w:t>Symptoms</w:t>
            </w:r>
          </w:p>
        </w:tc>
        <w:tc>
          <w:tcPr>
            <w:tcW w:w="0" w:type="auto"/>
            <w:hideMark/>
          </w:tcPr>
          <w:p w14:paraId="35EF71F6" w14:textId="77777777" w:rsidR="007D5F39" w:rsidRPr="007D5F39" w:rsidRDefault="007D5F39" w:rsidP="007D5F39">
            <w:pPr>
              <w:spacing w:after="160" w:line="278" w:lineRule="auto"/>
              <w:jc w:val="both"/>
              <w:rPr>
                <w:b/>
                <w:bCs/>
              </w:rPr>
            </w:pPr>
            <w:r w:rsidRPr="007D5F39">
              <w:rPr>
                <w:b/>
                <w:bCs/>
              </w:rPr>
              <w:t>Prescribed Remedy</w:t>
            </w:r>
          </w:p>
        </w:tc>
        <w:tc>
          <w:tcPr>
            <w:tcW w:w="0" w:type="auto"/>
            <w:hideMark/>
          </w:tcPr>
          <w:p w14:paraId="3DF3C6C1" w14:textId="77777777" w:rsidR="007D5F39" w:rsidRPr="007D5F39" w:rsidRDefault="007D5F39" w:rsidP="007D5F39">
            <w:pPr>
              <w:spacing w:after="160" w:line="278" w:lineRule="auto"/>
              <w:jc w:val="both"/>
              <w:rPr>
                <w:b/>
                <w:bCs/>
              </w:rPr>
            </w:pPr>
            <w:r w:rsidRPr="007D5F39">
              <w:rPr>
                <w:b/>
                <w:bCs/>
              </w:rPr>
              <w:t>Follow-up Duration</w:t>
            </w:r>
          </w:p>
        </w:tc>
      </w:tr>
      <w:tr w:rsidR="007D5F39" w:rsidRPr="007D5F39" w14:paraId="6FA966E1" w14:textId="77777777" w:rsidTr="007D5F39">
        <w:tc>
          <w:tcPr>
            <w:tcW w:w="0" w:type="auto"/>
            <w:hideMark/>
          </w:tcPr>
          <w:p w14:paraId="03F9CBC6" w14:textId="77777777" w:rsidR="007D5F39" w:rsidRPr="007D5F39" w:rsidRDefault="007D5F39" w:rsidP="007D5F39">
            <w:pPr>
              <w:spacing w:after="160" w:line="278" w:lineRule="auto"/>
              <w:jc w:val="both"/>
            </w:pPr>
            <w:r w:rsidRPr="007D5F39">
              <w:t>1</w:t>
            </w:r>
          </w:p>
        </w:tc>
        <w:tc>
          <w:tcPr>
            <w:tcW w:w="0" w:type="auto"/>
            <w:hideMark/>
          </w:tcPr>
          <w:p w14:paraId="210B1F88" w14:textId="77777777" w:rsidR="007D5F39" w:rsidRPr="007D5F39" w:rsidRDefault="007D5F39" w:rsidP="007D5F39">
            <w:pPr>
              <w:spacing w:after="160" w:line="278" w:lineRule="auto"/>
              <w:jc w:val="both"/>
            </w:pPr>
            <w:r w:rsidRPr="007D5F39">
              <w:t>32/F</w:t>
            </w:r>
          </w:p>
        </w:tc>
        <w:tc>
          <w:tcPr>
            <w:tcW w:w="0" w:type="auto"/>
            <w:hideMark/>
          </w:tcPr>
          <w:p w14:paraId="42C56B83" w14:textId="77777777" w:rsidR="007D5F39" w:rsidRPr="007D5F39" w:rsidRDefault="007D5F39" w:rsidP="007D5F39">
            <w:pPr>
              <w:spacing w:after="160" w:line="278" w:lineRule="auto"/>
              <w:jc w:val="both"/>
            </w:pPr>
            <w:r w:rsidRPr="007D5F39">
              <w:t>Stress, Sunlight</w:t>
            </w:r>
          </w:p>
        </w:tc>
        <w:tc>
          <w:tcPr>
            <w:tcW w:w="0" w:type="auto"/>
            <w:hideMark/>
          </w:tcPr>
          <w:p w14:paraId="2ABA68E4" w14:textId="77777777" w:rsidR="007D5F39" w:rsidRPr="007D5F39" w:rsidRDefault="007D5F39" w:rsidP="007D5F39">
            <w:pPr>
              <w:spacing w:after="160" w:line="278" w:lineRule="auto"/>
              <w:jc w:val="both"/>
            </w:pPr>
            <w:r w:rsidRPr="007D5F39">
              <w:t>Throbbing headache, photophobia, nausea</w:t>
            </w:r>
          </w:p>
        </w:tc>
        <w:tc>
          <w:tcPr>
            <w:tcW w:w="0" w:type="auto"/>
            <w:hideMark/>
          </w:tcPr>
          <w:p w14:paraId="4C56C6AC" w14:textId="77777777" w:rsidR="007D5F39" w:rsidRPr="007D5F39" w:rsidRDefault="007D5F39" w:rsidP="007D5F39">
            <w:pPr>
              <w:spacing w:after="160" w:line="278" w:lineRule="auto"/>
              <w:jc w:val="both"/>
            </w:pPr>
            <w:r w:rsidRPr="007D5F39">
              <w:rPr>
                <w:i/>
                <w:iCs/>
              </w:rPr>
              <w:t>Natrum muriaticum</w:t>
            </w:r>
          </w:p>
        </w:tc>
        <w:tc>
          <w:tcPr>
            <w:tcW w:w="0" w:type="auto"/>
            <w:hideMark/>
          </w:tcPr>
          <w:p w14:paraId="38109824" w14:textId="77777777" w:rsidR="007D5F39" w:rsidRPr="007D5F39" w:rsidRDefault="007D5F39" w:rsidP="007D5F39">
            <w:pPr>
              <w:spacing w:after="160" w:line="278" w:lineRule="auto"/>
              <w:jc w:val="both"/>
            </w:pPr>
            <w:r w:rsidRPr="007D5F39">
              <w:t>6 months</w:t>
            </w:r>
          </w:p>
        </w:tc>
      </w:tr>
      <w:tr w:rsidR="007D5F39" w:rsidRPr="007D5F39" w14:paraId="27EEE624" w14:textId="77777777" w:rsidTr="007D5F39">
        <w:tc>
          <w:tcPr>
            <w:tcW w:w="0" w:type="auto"/>
            <w:hideMark/>
          </w:tcPr>
          <w:p w14:paraId="50DCC2B8" w14:textId="77777777" w:rsidR="007D5F39" w:rsidRPr="007D5F39" w:rsidRDefault="007D5F39" w:rsidP="007D5F39">
            <w:pPr>
              <w:spacing w:after="160" w:line="278" w:lineRule="auto"/>
              <w:jc w:val="both"/>
            </w:pPr>
            <w:r w:rsidRPr="007D5F39">
              <w:t>2</w:t>
            </w:r>
          </w:p>
        </w:tc>
        <w:tc>
          <w:tcPr>
            <w:tcW w:w="0" w:type="auto"/>
            <w:hideMark/>
          </w:tcPr>
          <w:p w14:paraId="4026E5C9" w14:textId="77777777" w:rsidR="007D5F39" w:rsidRPr="007D5F39" w:rsidRDefault="007D5F39" w:rsidP="007D5F39">
            <w:pPr>
              <w:spacing w:after="160" w:line="278" w:lineRule="auto"/>
              <w:jc w:val="both"/>
            </w:pPr>
            <w:r w:rsidRPr="007D5F39">
              <w:t>28/M</w:t>
            </w:r>
          </w:p>
        </w:tc>
        <w:tc>
          <w:tcPr>
            <w:tcW w:w="0" w:type="auto"/>
            <w:hideMark/>
          </w:tcPr>
          <w:p w14:paraId="2F4A1ACD" w14:textId="77777777" w:rsidR="007D5F39" w:rsidRPr="007D5F39" w:rsidRDefault="007D5F39" w:rsidP="007D5F39">
            <w:pPr>
              <w:spacing w:after="160" w:line="278" w:lineRule="auto"/>
              <w:jc w:val="both"/>
            </w:pPr>
            <w:r w:rsidRPr="007D5F39">
              <w:t>Loud noise, Lack of sleep</w:t>
            </w:r>
          </w:p>
        </w:tc>
        <w:tc>
          <w:tcPr>
            <w:tcW w:w="0" w:type="auto"/>
            <w:hideMark/>
          </w:tcPr>
          <w:p w14:paraId="48F2E897" w14:textId="77777777" w:rsidR="007D5F39" w:rsidRPr="007D5F39" w:rsidRDefault="007D5F39" w:rsidP="007D5F39">
            <w:pPr>
              <w:spacing w:after="160" w:line="278" w:lineRule="auto"/>
              <w:jc w:val="both"/>
            </w:pPr>
            <w:r w:rsidRPr="007D5F39">
              <w:t>Right-sided headache, heat aggravation</w:t>
            </w:r>
          </w:p>
        </w:tc>
        <w:tc>
          <w:tcPr>
            <w:tcW w:w="0" w:type="auto"/>
            <w:hideMark/>
          </w:tcPr>
          <w:p w14:paraId="29D1B296" w14:textId="77777777" w:rsidR="007D5F39" w:rsidRPr="007D5F39" w:rsidRDefault="007D5F39" w:rsidP="007D5F39">
            <w:pPr>
              <w:spacing w:after="160" w:line="278" w:lineRule="auto"/>
              <w:jc w:val="both"/>
            </w:pPr>
            <w:r w:rsidRPr="007D5F39">
              <w:rPr>
                <w:i/>
                <w:iCs/>
              </w:rPr>
              <w:t>Belladonna</w:t>
            </w:r>
          </w:p>
        </w:tc>
        <w:tc>
          <w:tcPr>
            <w:tcW w:w="0" w:type="auto"/>
            <w:hideMark/>
          </w:tcPr>
          <w:p w14:paraId="6CBCF423" w14:textId="77777777" w:rsidR="007D5F39" w:rsidRPr="007D5F39" w:rsidRDefault="007D5F39" w:rsidP="007D5F39">
            <w:pPr>
              <w:spacing w:after="160" w:line="278" w:lineRule="auto"/>
              <w:jc w:val="both"/>
            </w:pPr>
            <w:r w:rsidRPr="007D5F39">
              <w:t>5 months</w:t>
            </w:r>
          </w:p>
        </w:tc>
      </w:tr>
      <w:tr w:rsidR="007D5F39" w:rsidRPr="007D5F39" w14:paraId="06272BE4" w14:textId="77777777" w:rsidTr="007D5F39">
        <w:tc>
          <w:tcPr>
            <w:tcW w:w="0" w:type="auto"/>
            <w:hideMark/>
          </w:tcPr>
          <w:p w14:paraId="12FFBDA3" w14:textId="77777777" w:rsidR="007D5F39" w:rsidRPr="007D5F39" w:rsidRDefault="007D5F39" w:rsidP="007D5F39">
            <w:pPr>
              <w:spacing w:after="160" w:line="278" w:lineRule="auto"/>
              <w:jc w:val="both"/>
            </w:pPr>
            <w:r w:rsidRPr="007D5F39">
              <w:t>3</w:t>
            </w:r>
          </w:p>
        </w:tc>
        <w:tc>
          <w:tcPr>
            <w:tcW w:w="0" w:type="auto"/>
            <w:hideMark/>
          </w:tcPr>
          <w:p w14:paraId="781ABF6C" w14:textId="77777777" w:rsidR="007D5F39" w:rsidRPr="007D5F39" w:rsidRDefault="007D5F39" w:rsidP="007D5F39">
            <w:pPr>
              <w:spacing w:after="160" w:line="278" w:lineRule="auto"/>
              <w:jc w:val="both"/>
            </w:pPr>
            <w:r w:rsidRPr="007D5F39">
              <w:t>35/F</w:t>
            </w:r>
          </w:p>
        </w:tc>
        <w:tc>
          <w:tcPr>
            <w:tcW w:w="0" w:type="auto"/>
            <w:hideMark/>
          </w:tcPr>
          <w:p w14:paraId="352E8EB1" w14:textId="77777777" w:rsidR="007D5F39" w:rsidRPr="007D5F39" w:rsidRDefault="007D5F39" w:rsidP="007D5F39">
            <w:pPr>
              <w:spacing w:after="160" w:line="278" w:lineRule="auto"/>
              <w:jc w:val="both"/>
            </w:pPr>
            <w:r w:rsidRPr="007D5F39">
              <w:t>Stress, Anxiety</w:t>
            </w:r>
          </w:p>
        </w:tc>
        <w:tc>
          <w:tcPr>
            <w:tcW w:w="0" w:type="auto"/>
            <w:hideMark/>
          </w:tcPr>
          <w:p w14:paraId="5624EAE6" w14:textId="77777777" w:rsidR="007D5F39" w:rsidRPr="007D5F39" w:rsidRDefault="007D5F39" w:rsidP="007D5F39">
            <w:pPr>
              <w:spacing w:after="160" w:line="278" w:lineRule="auto"/>
              <w:jc w:val="both"/>
            </w:pPr>
            <w:r w:rsidRPr="007D5F39">
              <w:t>Dull headache, heaviness, weakness</w:t>
            </w:r>
          </w:p>
        </w:tc>
        <w:tc>
          <w:tcPr>
            <w:tcW w:w="0" w:type="auto"/>
            <w:hideMark/>
          </w:tcPr>
          <w:p w14:paraId="61546826" w14:textId="77777777" w:rsidR="007D5F39" w:rsidRPr="007D5F39" w:rsidRDefault="007D5F39" w:rsidP="007D5F39">
            <w:pPr>
              <w:spacing w:after="160" w:line="278" w:lineRule="auto"/>
              <w:jc w:val="both"/>
            </w:pPr>
            <w:r w:rsidRPr="007D5F39">
              <w:rPr>
                <w:i/>
                <w:iCs/>
              </w:rPr>
              <w:t>Gelsemium</w:t>
            </w:r>
          </w:p>
        </w:tc>
        <w:tc>
          <w:tcPr>
            <w:tcW w:w="0" w:type="auto"/>
            <w:hideMark/>
          </w:tcPr>
          <w:p w14:paraId="7E2C5789" w14:textId="77777777" w:rsidR="007D5F39" w:rsidRPr="007D5F39" w:rsidRDefault="007D5F39" w:rsidP="007D5F39">
            <w:pPr>
              <w:spacing w:after="160" w:line="278" w:lineRule="auto"/>
              <w:jc w:val="both"/>
            </w:pPr>
            <w:r w:rsidRPr="007D5F39">
              <w:t>4 months</w:t>
            </w:r>
          </w:p>
        </w:tc>
      </w:tr>
      <w:tr w:rsidR="007D5F39" w:rsidRPr="007D5F39" w14:paraId="26E3C4FE" w14:textId="77777777" w:rsidTr="007D5F39">
        <w:tc>
          <w:tcPr>
            <w:tcW w:w="0" w:type="auto"/>
            <w:hideMark/>
          </w:tcPr>
          <w:p w14:paraId="27CB8CE4" w14:textId="77777777" w:rsidR="007D5F39" w:rsidRPr="007D5F39" w:rsidRDefault="007D5F39" w:rsidP="007D5F39">
            <w:pPr>
              <w:spacing w:after="160" w:line="278" w:lineRule="auto"/>
              <w:jc w:val="both"/>
            </w:pPr>
            <w:r w:rsidRPr="007D5F39">
              <w:t>4</w:t>
            </w:r>
          </w:p>
        </w:tc>
        <w:tc>
          <w:tcPr>
            <w:tcW w:w="0" w:type="auto"/>
            <w:hideMark/>
          </w:tcPr>
          <w:p w14:paraId="46E8D01C" w14:textId="77777777" w:rsidR="007D5F39" w:rsidRPr="007D5F39" w:rsidRDefault="007D5F39" w:rsidP="007D5F39">
            <w:pPr>
              <w:spacing w:after="160" w:line="278" w:lineRule="auto"/>
              <w:jc w:val="both"/>
            </w:pPr>
            <w:r w:rsidRPr="007D5F39">
              <w:t>40/M</w:t>
            </w:r>
          </w:p>
        </w:tc>
        <w:tc>
          <w:tcPr>
            <w:tcW w:w="0" w:type="auto"/>
            <w:hideMark/>
          </w:tcPr>
          <w:p w14:paraId="6C848E5F" w14:textId="77777777" w:rsidR="007D5F39" w:rsidRPr="007D5F39" w:rsidRDefault="007D5F39" w:rsidP="007D5F39">
            <w:pPr>
              <w:spacing w:after="160" w:line="278" w:lineRule="auto"/>
              <w:jc w:val="both"/>
            </w:pPr>
            <w:r w:rsidRPr="007D5F39">
              <w:t xml:space="preserve">Sinus issues, Strong </w:t>
            </w:r>
            <w:proofErr w:type="spellStart"/>
            <w:r w:rsidRPr="007D5F39">
              <w:t>odors</w:t>
            </w:r>
            <w:proofErr w:type="spellEnd"/>
          </w:p>
        </w:tc>
        <w:tc>
          <w:tcPr>
            <w:tcW w:w="0" w:type="auto"/>
            <w:hideMark/>
          </w:tcPr>
          <w:p w14:paraId="3456C84D" w14:textId="77777777" w:rsidR="007D5F39" w:rsidRPr="007D5F39" w:rsidRDefault="007D5F39" w:rsidP="007D5F39">
            <w:pPr>
              <w:spacing w:after="160" w:line="278" w:lineRule="auto"/>
              <w:jc w:val="both"/>
            </w:pPr>
            <w:r w:rsidRPr="007D5F39">
              <w:t>Right-sided headache, burning pain</w:t>
            </w:r>
          </w:p>
        </w:tc>
        <w:tc>
          <w:tcPr>
            <w:tcW w:w="0" w:type="auto"/>
            <w:hideMark/>
          </w:tcPr>
          <w:p w14:paraId="004EFA22" w14:textId="77777777" w:rsidR="007D5F39" w:rsidRPr="007D5F39" w:rsidRDefault="007D5F39" w:rsidP="007D5F39">
            <w:pPr>
              <w:spacing w:after="160" w:line="278" w:lineRule="auto"/>
              <w:jc w:val="both"/>
            </w:pPr>
            <w:r w:rsidRPr="007D5F39">
              <w:rPr>
                <w:i/>
                <w:iCs/>
              </w:rPr>
              <w:t>Sanguinaria canadensis</w:t>
            </w:r>
          </w:p>
        </w:tc>
        <w:tc>
          <w:tcPr>
            <w:tcW w:w="0" w:type="auto"/>
            <w:hideMark/>
          </w:tcPr>
          <w:p w14:paraId="70DE9AC1" w14:textId="77777777" w:rsidR="007D5F39" w:rsidRPr="007D5F39" w:rsidRDefault="007D5F39" w:rsidP="007D5F39">
            <w:pPr>
              <w:spacing w:after="160" w:line="278" w:lineRule="auto"/>
              <w:jc w:val="both"/>
            </w:pPr>
            <w:r w:rsidRPr="007D5F39">
              <w:t>6 months</w:t>
            </w:r>
          </w:p>
        </w:tc>
      </w:tr>
      <w:tr w:rsidR="007D5F39" w:rsidRPr="007D5F39" w14:paraId="1F41B0F3" w14:textId="77777777" w:rsidTr="007D5F39">
        <w:tc>
          <w:tcPr>
            <w:tcW w:w="0" w:type="auto"/>
            <w:hideMark/>
          </w:tcPr>
          <w:p w14:paraId="0B091546" w14:textId="77777777" w:rsidR="007D5F39" w:rsidRPr="007D5F39" w:rsidRDefault="007D5F39" w:rsidP="007D5F39">
            <w:pPr>
              <w:spacing w:after="160" w:line="278" w:lineRule="auto"/>
              <w:jc w:val="both"/>
            </w:pPr>
            <w:r w:rsidRPr="007D5F39">
              <w:t>5</w:t>
            </w:r>
          </w:p>
        </w:tc>
        <w:tc>
          <w:tcPr>
            <w:tcW w:w="0" w:type="auto"/>
            <w:hideMark/>
          </w:tcPr>
          <w:p w14:paraId="7681DF77" w14:textId="77777777" w:rsidR="007D5F39" w:rsidRPr="007D5F39" w:rsidRDefault="007D5F39" w:rsidP="007D5F39">
            <w:pPr>
              <w:spacing w:after="160" w:line="278" w:lineRule="auto"/>
              <w:jc w:val="both"/>
            </w:pPr>
            <w:r w:rsidRPr="007D5F39">
              <w:t>30/F</w:t>
            </w:r>
          </w:p>
        </w:tc>
        <w:tc>
          <w:tcPr>
            <w:tcW w:w="0" w:type="auto"/>
            <w:hideMark/>
          </w:tcPr>
          <w:p w14:paraId="6F66CB8B" w14:textId="77777777" w:rsidR="007D5F39" w:rsidRPr="007D5F39" w:rsidRDefault="007D5F39" w:rsidP="007D5F39">
            <w:pPr>
              <w:spacing w:after="160" w:line="278" w:lineRule="auto"/>
              <w:jc w:val="both"/>
            </w:pPr>
            <w:r w:rsidRPr="007D5F39">
              <w:t>Fatigue, Acidic food</w:t>
            </w:r>
          </w:p>
        </w:tc>
        <w:tc>
          <w:tcPr>
            <w:tcW w:w="0" w:type="auto"/>
            <w:hideMark/>
          </w:tcPr>
          <w:p w14:paraId="559B8250" w14:textId="77777777" w:rsidR="007D5F39" w:rsidRPr="007D5F39" w:rsidRDefault="007D5F39" w:rsidP="007D5F39">
            <w:pPr>
              <w:spacing w:after="160" w:line="278" w:lineRule="auto"/>
              <w:jc w:val="both"/>
            </w:pPr>
            <w:r w:rsidRPr="007D5F39">
              <w:t>Frontal headache, visual aura, nausea</w:t>
            </w:r>
          </w:p>
        </w:tc>
        <w:tc>
          <w:tcPr>
            <w:tcW w:w="0" w:type="auto"/>
            <w:hideMark/>
          </w:tcPr>
          <w:p w14:paraId="49E329C7" w14:textId="77777777" w:rsidR="007D5F39" w:rsidRPr="007D5F39" w:rsidRDefault="007D5F39" w:rsidP="007D5F39">
            <w:pPr>
              <w:spacing w:after="160" w:line="278" w:lineRule="auto"/>
              <w:jc w:val="both"/>
            </w:pPr>
            <w:r w:rsidRPr="007D5F39">
              <w:rPr>
                <w:i/>
                <w:iCs/>
              </w:rPr>
              <w:t>Iris versicolor</w:t>
            </w:r>
          </w:p>
        </w:tc>
        <w:tc>
          <w:tcPr>
            <w:tcW w:w="0" w:type="auto"/>
            <w:hideMark/>
          </w:tcPr>
          <w:p w14:paraId="2AC694A8" w14:textId="77777777" w:rsidR="007D5F39" w:rsidRPr="007D5F39" w:rsidRDefault="007D5F39" w:rsidP="007D5F39">
            <w:pPr>
              <w:spacing w:after="160" w:line="278" w:lineRule="auto"/>
              <w:jc w:val="both"/>
            </w:pPr>
            <w:r w:rsidRPr="007D5F39">
              <w:t>5 months</w:t>
            </w:r>
          </w:p>
        </w:tc>
      </w:tr>
    </w:tbl>
    <w:p w14:paraId="362E0B6E" w14:textId="77777777" w:rsidR="007D5F39" w:rsidRPr="007D5F39" w:rsidRDefault="007D5F39" w:rsidP="007D5F39">
      <w:pPr>
        <w:jc w:val="both"/>
        <w:rPr>
          <w:b/>
          <w:bCs/>
        </w:rPr>
      </w:pPr>
      <w:r w:rsidRPr="007D5F39">
        <w:rPr>
          <w:b/>
          <w:bCs/>
        </w:rPr>
        <w:t>Outcome Measures</w:t>
      </w:r>
    </w:p>
    <w:p w14:paraId="1F795ACC" w14:textId="77777777" w:rsidR="007D5F39" w:rsidRPr="007D5F39" w:rsidRDefault="007D5F39" w:rsidP="007D5F39">
      <w:pPr>
        <w:jc w:val="both"/>
        <w:rPr>
          <w:b/>
          <w:bCs/>
        </w:rPr>
      </w:pPr>
      <w:r w:rsidRPr="007D5F39">
        <w:rPr>
          <w:b/>
          <w:bCs/>
        </w:rPr>
        <w:t>1. Reduction in Migraine Frequency</w:t>
      </w:r>
    </w:p>
    <w:p w14:paraId="0D9D03CD" w14:textId="77777777" w:rsidR="007D5F39" w:rsidRPr="007D5F39" w:rsidRDefault="007D5F39" w:rsidP="007D5F39">
      <w:pPr>
        <w:numPr>
          <w:ilvl w:val="0"/>
          <w:numId w:val="6"/>
        </w:numPr>
        <w:jc w:val="both"/>
      </w:pPr>
      <w:r w:rsidRPr="007D5F39">
        <w:rPr>
          <w:b/>
          <w:bCs/>
        </w:rPr>
        <w:t>Baseline (Pre-treatment):</w:t>
      </w:r>
      <w:r w:rsidRPr="007D5F39">
        <w:t xml:space="preserve"> Patients reported an average of </w:t>
      </w:r>
      <w:r w:rsidRPr="007D5F39">
        <w:rPr>
          <w:b/>
          <w:bCs/>
        </w:rPr>
        <w:t>8–12 attacks per month</w:t>
      </w:r>
      <w:r w:rsidRPr="007D5F39">
        <w:t>.</w:t>
      </w:r>
    </w:p>
    <w:p w14:paraId="5BA79215" w14:textId="77777777" w:rsidR="007D5F39" w:rsidRPr="007D5F39" w:rsidRDefault="007D5F39" w:rsidP="007D5F39">
      <w:pPr>
        <w:numPr>
          <w:ilvl w:val="0"/>
          <w:numId w:val="6"/>
        </w:numPr>
        <w:jc w:val="both"/>
      </w:pPr>
      <w:r w:rsidRPr="007D5F39">
        <w:rPr>
          <w:b/>
          <w:bCs/>
        </w:rPr>
        <w:t>Post-treatment:</w:t>
      </w:r>
      <w:r w:rsidRPr="007D5F39">
        <w:t xml:space="preserve"> The frequency reduced to </w:t>
      </w:r>
      <w:r w:rsidRPr="007D5F39">
        <w:rPr>
          <w:b/>
          <w:bCs/>
        </w:rPr>
        <w:t>2–4 attacks per month</w:t>
      </w:r>
      <w:r w:rsidRPr="007D5F39">
        <w:t xml:space="preserve"> after 3–6 months of treatment.</w:t>
      </w:r>
    </w:p>
    <w:p w14:paraId="469C1BD3" w14:textId="77777777" w:rsidR="007D5F39" w:rsidRPr="007D5F39" w:rsidRDefault="007D5F39" w:rsidP="007D5F39">
      <w:pPr>
        <w:jc w:val="both"/>
        <w:rPr>
          <w:b/>
          <w:bCs/>
        </w:rPr>
      </w:pPr>
      <w:r w:rsidRPr="007D5F39">
        <w:rPr>
          <w:b/>
          <w:bCs/>
        </w:rPr>
        <w:t>2. Reduction in Migraine Intensity (VAS Score)</w:t>
      </w:r>
    </w:p>
    <w:p w14:paraId="6DE45294" w14:textId="77777777" w:rsidR="007D5F39" w:rsidRPr="007D5F39" w:rsidRDefault="007D5F39" w:rsidP="007D5F39">
      <w:pPr>
        <w:numPr>
          <w:ilvl w:val="0"/>
          <w:numId w:val="7"/>
        </w:numPr>
        <w:jc w:val="both"/>
      </w:pPr>
      <w:r w:rsidRPr="007D5F39">
        <w:rPr>
          <w:b/>
          <w:bCs/>
        </w:rPr>
        <w:t>Baseline:</w:t>
      </w:r>
      <w:r w:rsidRPr="007D5F39">
        <w:t xml:space="preserve"> The average pain intensity on the </w:t>
      </w:r>
      <w:r w:rsidRPr="007D5F39">
        <w:rPr>
          <w:b/>
          <w:bCs/>
        </w:rPr>
        <w:t>Visual Analog Scale (VAS)</w:t>
      </w:r>
      <w:r w:rsidRPr="007D5F39">
        <w:t xml:space="preserve"> was </w:t>
      </w:r>
      <w:r w:rsidRPr="007D5F39">
        <w:rPr>
          <w:b/>
          <w:bCs/>
        </w:rPr>
        <w:t>8–10</w:t>
      </w:r>
      <w:r w:rsidRPr="007D5F39">
        <w:t xml:space="preserve"> (severe pain).</w:t>
      </w:r>
    </w:p>
    <w:p w14:paraId="6B40EB4E" w14:textId="77777777" w:rsidR="007D5F39" w:rsidRPr="007D5F39" w:rsidRDefault="007D5F39" w:rsidP="007D5F39">
      <w:pPr>
        <w:numPr>
          <w:ilvl w:val="0"/>
          <w:numId w:val="7"/>
        </w:numPr>
        <w:jc w:val="both"/>
      </w:pPr>
      <w:r w:rsidRPr="007D5F39">
        <w:rPr>
          <w:b/>
          <w:bCs/>
        </w:rPr>
        <w:t>Post-treatment:</w:t>
      </w:r>
      <w:r w:rsidRPr="007D5F39">
        <w:t xml:space="preserve"> After homoeopathic intervention, the VAS score decreased to </w:t>
      </w:r>
      <w:r w:rsidRPr="007D5F39">
        <w:rPr>
          <w:b/>
          <w:bCs/>
        </w:rPr>
        <w:t>3–5</w:t>
      </w:r>
      <w:r w:rsidRPr="007D5F39">
        <w:t xml:space="preserve"> (mild to moderate pain).</w:t>
      </w:r>
    </w:p>
    <w:p w14:paraId="348FECC6" w14:textId="77777777" w:rsidR="007D5F39" w:rsidRPr="007D5F39" w:rsidRDefault="007D5F39" w:rsidP="007D5F39">
      <w:pPr>
        <w:jc w:val="both"/>
        <w:rPr>
          <w:b/>
          <w:bCs/>
        </w:rPr>
      </w:pPr>
      <w:r w:rsidRPr="007D5F39">
        <w:rPr>
          <w:b/>
          <w:bCs/>
        </w:rPr>
        <w:t>3. Reduction in Migraine Duration</w:t>
      </w:r>
    </w:p>
    <w:p w14:paraId="107B2EE4" w14:textId="77777777" w:rsidR="007D5F39" w:rsidRPr="007D5F39" w:rsidRDefault="007D5F39" w:rsidP="007D5F39">
      <w:pPr>
        <w:numPr>
          <w:ilvl w:val="0"/>
          <w:numId w:val="8"/>
        </w:numPr>
        <w:jc w:val="both"/>
      </w:pPr>
      <w:r w:rsidRPr="007D5F39">
        <w:rPr>
          <w:b/>
          <w:bCs/>
        </w:rPr>
        <w:t>Baseline:</w:t>
      </w:r>
      <w:r w:rsidRPr="007D5F39">
        <w:t xml:space="preserve"> Migraine attacks lasted </w:t>
      </w:r>
      <w:r w:rsidRPr="007D5F39">
        <w:rPr>
          <w:b/>
          <w:bCs/>
        </w:rPr>
        <w:t>6–24 hours</w:t>
      </w:r>
      <w:r w:rsidRPr="007D5F39">
        <w:t xml:space="preserve"> per episode.</w:t>
      </w:r>
    </w:p>
    <w:p w14:paraId="60C294D4" w14:textId="77777777" w:rsidR="007D5F39" w:rsidRPr="007D5F39" w:rsidRDefault="007D5F39" w:rsidP="007D5F39">
      <w:pPr>
        <w:numPr>
          <w:ilvl w:val="0"/>
          <w:numId w:val="8"/>
        </w:numPr>
        <w:jc w:val="both"/>
      </w:pPr>
      <w:r w:rsidRPr="007D5F39">
        <w:rPr>
          <w:b/>
          <w:bCs/>
        </w:rPr>
        <w:lastRenderedPageBreak/>
        <w:t>Post-treatment:</w:t>
      </w:r>
      <w:r w:rsidRPr="007D5F39">
        <w:t xml:space="preserve"> Duration was reduced to </w:t>
      </w:r>
      <w:r w:rsidRPr="007D5F39">
        <w:rPr>
          <w:b/>
          <w:bCs/>
        </w:rPr>
        <w:t>2–6 hours</w:t>
      </w:r>
      <w:r w:rsidRPr="007D5F39">
        <w:t xml:space="preserve"> per episode.</w:t>
      </w:r>
    </w:p>
    <w:p w14:paraId="23D4651B" w14:textId="77777777" w:rsidR="007D5F39" w:rsidRPr="007D5F39" w:rsidRDefault="007D5F39" w:rsidP="007D5F39">
      <w:pPr>
        <w:jc w:val="both"/>
        <w:rPr>
          <w:b/>
          <w:bCs/>
        </w:rPr>
      </w:pPr>
      <w:r w:rsidRPr="007D5F39">
        <w:rPr>
          <w:b/>
          <w:bCs/>
        </w:rPr>
        <w:t>4. Improvement in MIDAS Score</w:t>
      </w:r>
    </w:p>
    <w:p w14:paraId="2637795A" w14:textId="77777777" w:rsidR="007D5F39" w:rsidRPr="007D5F39" w:rsidRDefault="007D5F39" w:rsidP="007D5F39">
      <w:pPr>
        <w:numPr>
          <w:ilvl w:val="0"/>
          <w:numId w:val="9"/>
        </w:numPr>
        <w:jc w:val="both"/>
      </w:pPr>
      <w:r w:rsidRPr="007D5F39">
        <w:rPr>
          <w:b/>
          <w:bCs/>
        </w:rPr>
        <w:t>Baseline:</w:t>
      </w:r>
      <w:r w:rsidRPr="007D5F39">
        <w:t xml:space="preserve"> Patients had moderate to severe disability (MIDAS Score: </w:t>
      </w:r>
      <w:r w:rsidRPr="007D5F39">
        <w:rPr>
          <w:b/>
          <w:bCs/>
        </w:rPr>
        <w:t>Grade III – IV</w:t>
      </w:r>
      <w:r w:rsidRPr="007D5F39">
        <w:t>).</w:t>
      </w:r>
    </w:p>
    <w:p w14:paraId="3937428B" w14:textId="77777777" w:rsidR="007D5F39" w:rsidRPr="007D5F39" w:rsidRDefault="007D5F39" w:rsidP="007D5F39">
      <w:pPr>
        <w:numPr>
          <w:ilvl w:val="0"/>
          <w:numId w:val="9"/>
        </w:numPr>
        <w:jc w:val="both"/>
      </w:pPr>
      <w:r w:rsidRPr="007D5F39">
        <w:rPr>
          <w:b/>
          <w:bCs/>
        </w:rPr>
        <w:t>Post-treatment:</w:t>
      </w:r>
      <w:r w:rsidRPr="007D5F39">
        <w:t xml:space="preserve"> Most patients improved to </w:t>
      </w:r>
      <w:r w:rsidRPr="007D5F39">
        <w:rPr>
          <w:b/>
          <w:bCs/>
        </w:rPr>
        <w:t>Grade I – II</w:t>
      </w:r>
      <w:r w:rsidRPr="007D5F39">
        <w:t>, indicating mild or no disability.</w:t>
      </w:r>
    </w:p>
    <w:p w14:paraId="1800A7F7" w14:textId="77777777" w:rsidR="007D5F39" w:rsidRPr="007D5F39" w:rsidRDefault="007D5F39" w:rsidP="007D5F39">
      <w:pPr>
        <w:jc w:val="both"/>
        <w:rPr>
          <w:b/>
          <w:bCs/>
        </w:rPr>
      </w:pPr>
      <w:r w:rsidRPr="007D5F39">
        <w:rPr>
          <w:b/>
          <w:bCs/>
        </w:rPr>
        <w:t>5. Improvement in Associated Symptoms</w:t>
      </w:r>
    </w:p>
    <w:tbl>
      <w:tblPr>
        <w:tblStyle w:val="TableGrid"/>
        <w:tblW w:w="0" w:type="auto"/>
        <w:tblLook w:val="04A0" w:firstRow="1" w:lastRow="0" w:firstColumn="1" w:lastColumn="0" w:noHBand="0" w:noVBand="1"/>
      </w:tblPr>
      <w:tblGrid>
        <w:gridCol w:w="2006"/>
        <w:gridCol w:w="2499"/>
        <w:gridCol w:w="3630"/>
      </w:tblGrid>
      <w:tr w:rsidR="007D5F39" w:rsidRPr="007D5F39" w14:paraId="21342211" w14:textId="77777777" w:rsidTr="007D5F39">
        <w:tc>
          <w:tcPr>
            <w:tcW w:w="0" w:type="auto"/>
            <w:hideMark/>
          </w:tcPr>
          <w:p w14:paraId="6C385D8F" w14:textId="77777777" w:rsidR="007D5F39" w:rsidRPr="007D5F39" w:rsidRDefault="007D5F39" w:rsidP="007D5F39">
            <w:pPr>
              <w:spacing w:after="160" w:line="278" w:lineRule="auto"/>
              <w:jc w:val="both"/>
              <w:rPr>
                <w:b/>
                <w:bCs/>
              </w:rPr>
            </w:pPr>
            <w:r w:rsidRPr="007D5F39">
              <w:rPr>
                <w:b/>
                <w:bCs/>
              </w:rPr>
              <w:t>Symptom</w:t>
            </w:r>
          </w:p>
        </w:tc>
        <w:tc>
          <w:tcPr>
            <w:tcW w:w="0" w:type="auto"/>
            <w:hideMark/>
          </w:tcPr>
          <w:p w14:paraId="496A24F2" w14:textId="77777777" w:rsidR="007D5F39" w:rsidRPr="007D5F39" w:rsidRDefault="007D5F39" w:rsidP="007D5F39">
            <w:pPr>
              <w:spacing w:after="160" w:line="278" w:lineRule="auto"/>
              <w:jc w:val="both"/>
              <w:rPr>
                <w:b/>
                <w:bCs/>
              </w:rPr>
            </w:pPr>
            <w:r w:rsidRPr="007D5F39">
              <w:rPr>
                <w:b/>
                <w:bCs/>
              </w:rPr>
              <w:t>Baseline Occurrence</w:t>
            </w:r>
          </w:p>
        </w:tc>
        <w:tc>
          <w:tcPr>
            <w:tcW w:w="0" w:type="auto"/>
            <w:hideMark/>
          </w:tcPr>
          <w:p w14:paraId="08182445" w14:textId="77777777" w:rsidR="007D5F39" w:rsidRPr="007D5F39" w:rsidRDefault="007D5F39" w:rsidP="007D5F39">
            <w:pPr>
              <w:spacing w:after="160" w:line="278" w:lineRule="auto"/>
              <w:jc w:val="both"/>
              <w:rPr>
                <w:b/>
                <w:bCs/>
              </w:rPr>
            </w:pPr>
            <w:r w:rsidRPr="007D5F39">
              <w:rPr>
                <w:b/>
                <w:bCs/>
              </w:rPr>
              <w:t>Post-treatment Occurrence</w:t>
            </w:r>
          </w:p>
        </w:tc>
      </w:tr>
      <w:tr w:rsidR="007D5F39" w:rsidRPr="007D5F39" w14:paraId="0A92B586" w14:textId="77777777" w:rsidTr="007D5F39">
        <w:tc>
          <w:tcPr>
            <w:tcW w:w="0" w:type="auto"/>
            <w:hideMark/>
          </w:tcPr>
          <w:p w14:paraId="680BA616" w14:textId="77777777" w:rsidR="007D5F39" w:rsidRPr="007D5F39" w:rsidRDefault="007D5F39" w:rsidP="007D5F39">
            <w:pPr>
              <w:spacing w:after="160" w:line="278" w:lineRule="auto"/>
              <w:jc w:val="both"/>
            </w:pPr>
            <w:r w:rsidRPr="007D5F39">
              <w:t>Nausea/Vomiting</w:t>
            </w:r>
          </w:p>
        </w:tc>
        <w:tc>
          <w:tcPr>
            <w:tcW w:w="0" w:type="auto"/>
            <w:hideMark/>
          </w:tcPr>
          <w:p w14:paraId="21EF97E0" w14:textId="77777777" w:rsidR="007D5F39" w:rsidRPr="007D5F39" w:rsidRDefault="007D5F39" w:rsidP="007D5F39">
            <w:pPr>
              <w:spacing w:after="160" w:line="278" w:lineRule="auto"/>
              <w:jc w:val="both"/>
            </w:pPr>
            <w:r w:rsidRPr="007D5F39">
              <w:t>Present in 4/5 cases</w:t>
            </w:r>
          </w:p>
        </w:tc>
        <w:tc>
          <w:tcPr>
            <w:tcW w:w="0" w:type="auto"/>
            <w:hideMark/>
          </w:tcPr>
          <w:p w14:paraId="7FA225D7" w14:textId="77777777" w:rsidR="007D5F39" w:rsidRPr="007D5F39" w:rsidRDefault="007D5F39" w:rsidP="007D5F39">
            <w:pPr>
              <w:spacing w:after="160" w:line="278" w:lineRule="auto"/>
              <w:jc w:val="both"/>
            </w:pPr>
            <w:r w:rsidRPr="007D5F39">
              <w:t>Reduced significantly in all cases</w:t>
            </w:r>
          </w:p>
        </w:tc>
      </w:tr>
      <w:tr w:rsidR="007D5F39" w:rsidRPr="007D5F39" w14:paraId="3C9112D2" w14:textId="77777777" w:rsidTr="007D5F39">
        <w:tc>
          <w:tcPr>
            <w:tcW w:w="0" w:type="auto"/>
            <w:hideMark/>
          </w:tcPr>
          <w:p w14:paraId="394A9871" w14:textId="77777777" w:rsidR="007D5F39" w:rsidRPr="007D5F39" w:rsidRDefault="007D5F39" w:rsidP="007D5F39">
            <w:pPr>
              <w:spacing w:after="160" w:line="278" w:lineRule="auto"/>
              <w:jc w:val="both"/>
            </w:pPr>
            <w:r w:rsidRPr="007D5F39">
              <w:t>Photophobia</w:t>
            </w:r>
          </w:p>
        </w:tc>
        <w:tc>
          <w:tcPr>
            <w:tcW w:w="0" w:type="auto"/>
            <w:hideMark/>
          </w:tcPr>
          <w:p w14:paraId="7DC6FAD1" w14:textId="77777777" w:rsidR="007D5F39" w:rsidRPr="007D5F39" w:rsidRDefault="007D5F39" w:rsidP="007D5F39">
            <w:pPr>
              <w:spacing w:after="160" w:line="278" w:lineRule="auto"/>
              <w:jc w:val="both"/>
            </w:pPr>
            <w:r w:rsidRPr="007D5F39">
              <w:t>Present in 3/5 cases</w:t>
            </w:r>
          </w:p>
        </w:tc>
        <w:tc>
          <w:tcPr>
            <w:tcW w:w="0" w:type="auto"/>
            <w:hideMark/>
          </w:tcPr>
          <w:p w14:paraId="559126F9" w14:textId="77777777" w:rsidR="007D5F39" w:rsidRPr="007D5F39" w:rsidRDefault="007D5F39" w:rsidP="007D5F39">
            <w:pPr>
              <w:spacing w:after="160" w:line="278" w:lineRule="auto"/>
              <w:jc w:val="both"/>
            </w:pPr>
            <w:r w:rsidRPr="007D5F39">
              <w:t>Mild or absent after treatment</w:t>
            </w:r>
          </w:p>
        </w:tc>
      </w:tr>
      <w:tr w:rsidR="007D5F39" w:rsidRPr="007D5F39" w14:paraId="607F695E" w14:textId="77777777" w:rsidTr="007D5F39">
        <w:tc>
          <w:tcPr>
            <w:tcW w:w="0" w:type="auto"/>
            <w:hideMark/>
          </w:tcPr>
          <w:p w14:paraId="248BDF80" w14:textId="77777777" w:rsidR="007D5F39" w:rsidRPr="007D5F39" w:rsidRDefault="007D5F39" w:rsidP="007D5F39">
            <w:pPr>
              <w:spacing w:after="160" w:line="278" w:lineRule="auto"/>
              <w:jc w:val="both"/>
            </w:pPr>
            <w:r w:rsidRPr="007D5F39">
              <w:t>Phonophobia</w:t>
            </w:r>
          </w:p>
        </w:tc>
        <w:tc>
          <w:tcPr>
            <w:tcW w:w="0" w:type="auto"/>
            <w:hideMark/>
          </w:tcPr>
          <w:p w14:paraId="250A09D8" w14:textId="77777777" w:rsidR="007D5F39" w:rsidRPr="007D5F39" w:rsidRDefault="007D5F39" w:rsidP="007D5F39">
            <w:pPr>
              <w:spacing w:after="160" w:line="278" w:lineRule="auto"/>
              <w:jc w:val="both"/>
            </w:pPr>
            <w:r w:rsidRPr="007D5F39">
              <w:t>Present in 3/5 cases</w:t>
            </w:r>
          </w:p>
        </w:tc>
        <w:tc>
          <w:tcPr>
            <w:tcW w:w="0" w:type="auto"/>
            <w:hideMark/>
          </w:tcPr>
          <w:p w14:paraId="0D285CDE" w14:textId="77777777" w:rsidR="007D5F39" w:rsidRPr="007D5F39" w:rsidRDefault="007D5F39" w:rsidP="007D5F39">
            <w:pPr>
              <w:spacing w:after="160" w:line="278" w:lineRule="auto"/>
              <w:jc w:val="both"/>
            </w:pPr>
            <w:r w:rsidRPr="007D5F39">
              <w:t>Reduced significantly</w:t>
            </w:r>
          </w:p>
        </w:tc>
      </w:tr>
      <w:tr w:rsidR="007D5F39" w:rsidRPr="007D5F39" w14:paraId="0D98D0A8" w14:textId="77777777" w:rsidTr="007D5F39">
        <w:tc>
          <w:tcPr>
            <w:tcW w:w="0" w:type="auto"/>
            <w:hideMark/>
          </w:tcPr>
          <w:p w14:paraId="12FA283F" w14:textId="77777777" w:rsidR="007D5F39" w:rsidRPr="007D5F39" w:rsidRDefault="007D5F39" w:rsidP="007D5F39">
            <w:pPr>
              <w:spacing w:after="160" w:line="278" w:lineRule="auto"/>
              <w:jc w:val="both"/>
            </w:pPr>
            <w:r w:rsidRPr="007D5F39">
              <w:t>Visual Aura</w:t>
            </w:r>
          </w:p>
        </w:tc>
        <w:tc>
          <w:tcPr>
            <w:tcW w:w="0" w:type="auto"/>
            <w:hideMark/>
          </w:tcPr>
          <w:p w14:paraId="21E6BE59" w14:textId="77777777" w:rsidR="007D5F39" w:rsidRPr="007D5F39" w:rsidRDefault="007D5F39" w:rsidP="007D5F39">
            <w:pPr>
              <w:spacing w:after="160" w:line="278" w:lineRule="auto"/>
              <w:jc w:val="both"/>
            </w:pPr>
            <w:r w:rsidRPr="007D5F39">
              <w:t>Present in 2/5 cases</w:t>
            </w:r>
          </w:p>
        </w:tc>
        <w:tc>
          <w:tcPr>
            <w:tcW w:w="0" w:type="auto"/>
            <w:hideMark/>
          </w:tcPr>
          <w:p w14:paraId="2C211E6C" w14:textId="77777777" w:rsidR="007D5F39" w:rsidRPr="007D5F39" w:rsidRDefault="007D5F39" w:rsidP="007D5F39">
            <w:pPr>
              <w:spacing w:after="160" w:line="278" w:lineRule="auto"/>
              <w:jc w:val="both"/>
            </w:pPr>
            <w:r w:rsidRPr="007D5F39">
              <w:t>Markedly reduced in both cases</w:t>
            </w:r>
          </w:p>
        </w:tc>
      </w:tr>
    </w:tbl>
    <w:p w14:paraId="3A897215" w14:textId="77777777" w:rsidR="007D5F39" w:rsidRPr="007D5F39" w:rsidRDefault="007D5F39" w:rsidP="007D5F39">
      <w:pPr>
        <w:jc w:val="both"/>
        <w:rPr>
          <w:b/>
          <w:bCs/>
        </w:rPr>
      </w:pPr>
      <w:r w:rsidRPr="007D5F39">
        <w:rPr>
          <w:b/>
          <w:bCs/>
        </w:rPr>
        <w:t>Overall Clinical Improvement</w:t>
      </w:r>
    </w:p>
    <w:p w14:paraId="45EA5A2F" w14:textId="77777777" w:rsidR="007D5F39" w:rsidRPr="007D5F39" w:rsidRDefault="007D5F39" w:rsidP="007D5F39">
      <w:pPr>
        <w:numPr>
          <w:ilvl w:val="0"/>
          <w:numId w:val="10"/>
        </w:numPr>
        <w:jc w:val="both"/>
      </w:pPr>
      <w:r w:rsidRPr="007D5F39">
        <w:rPr>
          <w:b/>
          <w:bCs/>
        </w:rPr>
        <w:t>Complete relief (≥80% improvement):</w:t>
      </w:r>
      <w:r w:rsidRPr="007D5F39">
        <w:t xml:space="preserve"> 2 patients</w:t>
      </w:r>
    </w:p>
    <w:p w14:paraId="4A928CA6" w14:textId="77777777" w:rsidR="007D5F39" w:rsidRPr="007D5F39" w:rsidRDefault="007D5F39" w:rsidP="007D5F39">
      <w:pPr>
        <w:numPr>
          <w:ilvl w:val="0"/>
          <w:numId w:val="10"/>
        </w:numPr>
        <w:jc w:val="both"/>
      </w:pPr>
      <w:r w:rsidRPr="007D5F39">
        <w:rPr>
          <w:b/>
          <w:bCs/>
        </w:rPr>
        <w:t>Significant improvement (50–80% improvement):</w:t>
      </w:r>
      <w:r w:rsidRPr="007D5F39">
        <w:t xml:space="preserve"> 2 patients</w:t>
      </w:r>
    </w:p>
    <w:p w14:paraId="732A9265" w14:textId="77777777" w:rsidR="007D5F39" w:rsidRPr="007D5F39" w:rsidRDefault="007D5F39" w:rsidP="007D5F39">
      <w:pPr>
        <w:numPr>
          <w:ilvl w:val="0"/>
          <w:numId w:val="10"/>
        </w:numPr>
        <w:jc w:val="both"/>
      </w:pPr>
      <w:r w:rsidRPr="007D5F39">
        <w:rPr>
          <w:b/>
          <w:bCs/>
        </w:rPr>
        <w:t>Moderate improvement (30–50% improvement):</w:t>
      </w:r>
      <w:r w:rsidRPr="007D5F39">
        <w:t xml:space="preserve"> 1 patient</w:t>
      </w:r>
    </w:p>
    <w:p w14:paraId="433F2194" w14:textId="77777777" w:rsidR="007D5F39" w:rsidRPr="007D5F39" w:rsidRDefault="007D5F39" w:rsidP="007D5F39">
      <w:pPr>
        <w:numPr>
          <w:ilvl w:val="0"/>
          <w:numId w:val="10"/>
        </w:numPr>
        <w:jc w:val="both"/>
      </w:pPr>
      <w:r w:rsidRPr="007D5F39">
        <w:rPr>
          <w:b/>
          <w:bCs/>
        </w:rPr>
        <w:t>No worsening of symptoms or adverse effects were reported.</w:t>
      </w:r>
    </w:p>
    <w:p w14:paraId="67F81264" w14:textId="77777777" w:rsidR="007D5F39" w:rsidRPr="007D5F39" w:rsidRDefault="007D5F39" w:rsidP="007D5F39">
      <w:pPr>
        <w:jc w:val="both"/>
        <w:rPr>
          <w:b/>
          <w:bCs/>
        </w:rPr>
      </w:pPr>
      <w:r w:rsidRPr="007D5F39">
        <w:rPr>
          <w:b/>
          <w:bCs/>
        </w:rPr>
        <w:t>Analysis and Interpretation</w:t>
      </w:r>
    </w:p>
    <w:p w14:paraId="32E66830" w14:textId="77777777" w:rsidR="007D5F39" w:rsidRPr="007D5F39" w:rsidRDefault="007D5F39" w:rsidP="007D5F39">
      <w:pPr>
        <w:numPr>
          <w:ilvl w:val="0"/>
          <w:numId w:val="11"/>
        </w:numPr>
        <w:jc w:val="both"/>
      </w:pPr>
      <w:r w:rsidRPr="007D5F39">
        <w:t xml:space="preserve">The study indicates that individualized homoeopathic remedies contributed to </w:t>
      </w:r>
      <w:r w:rsidRPr="007D5F39">
        <w:rPr>
          <w:b/>
          <w:bCs/>
        </w:rPr>
        <w:t>a significant reduction in migraine frequency, intensity, and associated symptoms.</w:t>
      </w:r>
    </w:p>
    <w:p w14:paraId="4C37B574" w14:textId="77777777" w:rsidR="007D5F39" w:rsidRPr="007D5F39" w:rsidRDefault="007D5F39" w:rsidP="007D5F39">
      <w:pPr>
        <w:numPr>
          <w:ilvl w:val="0"/>
          <w:numId w:val="11"/>
        </w:numPr>
        <w:jc w:val="both"/>
      </w:pPr>
      <w:r w:rsidRPr="007D5F39">
        <w:rPr>
          <w:b/>
          <w:bCs/>
        </w:rPr>
        <w:t>Natrum muriaticum</w:t>
      </w:r>
      <w:r w:rsidRPr="007D5F39">
        <w:t xml:space="preserve"> was effective in stress-induced migraines with photophobia and nausea.</w:t>
      </w:r>
    </w:p>
    <w:p w14:paraId="10390FF1" w14:textId="77777777" w:rsidR="007D5F39" w:rsidRPr="007D5F39" w:rsidRDefault="007D5F39" w:rsidP="007D5F39">
      <w:pPr>
        <w:numPr>
          <w:ilvl w:val="0"/>
          <w:numId w:val="11"/>
        </w:numPr>
        <w:jc w:val="both"/>
      </w:pPr>
      <w:r w:rsidRPr="007D5F39">
        <w:rPr>
          <w:b/>
          <w:bCs/>
        </w:rPr>
        <w:t>Belladonna</w:t>
      </w:r>
      <w:r w:rsidRPr="007D5F39">
        <w:t xml:space="preserve"> showed good results in acute, right-sided, throbbing headaches with heat aggravation.</w:t>
      </w:r>
    </w:p>
    <w:p w14:paraId="78253A22" w14:textId="77777777" w:rsidR="007D5F39" w:rsidRPr="007D5F39" w:rsidRDefault="007D5F39" w:rsidP="007D5F39">
      <w:pPr>
        <w:numPr>
          <w:ilvl w:val="0"/>
          <w:numId w:val="11"/>
        </w:numPr>
        <w:jc w:val="both"/>
      </w:pPr>
      <w:r w:rsidRPr="007D5F39">
        <w:rPr>
          <w:b/>
          <w:bCs/>
        </w:rPr>
        <w:t>Gelsemium</w:t>
      </w:r>
      <w:r w:rsidRPr="007D5F39">
        <w:t xml:space="preserve"> was beneficial for dull, pressure-like headaches associated with fatigue and weakness.</w:t>
      </w:r>
    </w:p>
    <w:p w14:paraId="47342349" w14:textId="21AD0AF5" w:rsidR="007D5F39" w:rsidRPr="007D5F39" w:rsidRDefault="007D5F39" w:rsidP="007D5F39">
      <w:pPr>
        <w:numPr>
          <w:ilvl w:val="0"/>
          <w:numId w:val="11"/>
        </w:numPr>
        <w:jc w:val="both"/>
      </w:pPr>
      <w:r w:rsidRPr="007D5F39">
        <w:rPr>
          <w:b/>
          <w:bCs/>
        </w:rPr>
        <w:t>Sanguinaria canadensis</w:t>
      </w:r>
      <w:r w:rsidRPr="007D5F39">
        <w:t xml:space="preserve"> helped in right-sided, burning headaches aggravated by </w:t>
      </w:r>
      <w:r w:rsidRPr="007D5F39">
        <w:t>odours</w:t>
      </w:r>
      <w:r w:rsidRPr="007D5F39">
        <w:t xml:space="preserve"> and sinus issues.</w:t>
      </w:r>
    </w:p>
    <w:p w14:paraId="363A87F4" w14:textId="77777777" w:rsidR="007D5F39" w:rsidRPr="007D5F39" w:rsidRDefault="007D5F39" w:rsidP="007D5F39">
      <w:pPr>
        <w:numPr>
          <w:ilvl w:val="0"/>
          <w:numId w:val="11"/>
        </w:numPr>
        <w:jc w:val="both"/>
      </w:pPr>
      <w:r w:rsidRPr="007D5F39">
        <w:rPr>
          <w:b/>
          <w:bCs/>
        </w:rPr>
        <w:t>Iris versicolor</w:t>
      </w:r>
      <w:r w:rsidRPr="007D5F39">
        <w:t xml:space="preserve"> proved useful for migraines with visual aura, nausea, and gastric disturbances.</w:t>
      </w:r>
    </w:p>
    <w:p w14:paraId="7E7E6CB6" w14:textId="77777777" w:rsidR="007D5F39" w:rsidRPr="007D5F39" w:rsidRDefault="007D5F39" w:rsidP="007D5F39">
      <w:pPr>
        <w:jc w:val="both"/>
        <w:rPr>
          <w:b/>
          <w:bCs/>
        </w:rPr>
      </w:pPr>
      <w:r w:rsidRPr="007D5F39">
        <w:rPr>
          <w:b/>
          <w:bCs/>
        </w:rPr>
        <w:t>Conclusion from Observations</w:t>
      </w:r>
    </w:p>
    <w:p w14:paraId="531D707C" w14:textId="77777777" w:rsidR="007D5F39" w:rsidRPr="007D5F39" w:rsidRDefault="007D5F39" w:rsidP="007D5F39">
      <w:pPr>
        <w:numPr>
          <w:ilvl w:val="0"/>
          <w:numId w:val="12"/>
        </w:numPr>
        <w:jc w:val="both"/>
      </w:pPr>
      <w:r w:rsidRPr="007D5F39">
        <w:lastRenderedPageBreak/>
        <w:t>Homoeopathy provided long-term relief in chronic migraine sufferers without adverse effects.</w:t>
      </w:r>
    </w:p>
    <w:p w14:paraId="2B713451" w14:textId="77777777" w:rsidR="007D5F39" w:rsidRPr="007D5F39" w:rsidRDefault="007D5F39" w:rsidP="007D5F39">
      <w:pPr>
        <w:numPr>
          <w:ilvl w:val="0"/>
          <w:numId w:val="12"/>
        </w:numPr>
        <w:jc w:val="both"/>
      </w:pPr>
      <w:r w:rsidRPr="007D5F39">
        <w:t>Individualized treatment showed better outcomes than a one-size-fits-all approach.</w:t>
      </w:r>
    </w:p>
    <w:p w14:paraId="30F0D727" w14:textId="77777777" w:rsidR="007D5F39" w:rsidRPr="007D5F39" w:rsidRDefault="007D5F39" w:rsidP="007D5F39">
      <w:pPr>
        <w:numPr>
          <w:ilvl w:val="0"/>
          <w:numId w:val="12"/>
        </w:numPr>
        <w:jc w:val="both"/>
      </w:pPr>
      <w:r w:rsidRPr="007D5F39">
        <w:t>Further studies with a larger sample size and control groups are required to validate these findings.</w:t>
      </w:r>
    </w:p>
    <w:p w14:paraId="0B87BA60" w14:textId="057E53A0" w:rsidR="00AC63D2" w:rsidRDefault="007D5F39" w:rsidP="00AC63D2">
      <w:pPr>
        <w:jc w:val="both"/>
      </w:pPr>
      <w:r>
        <w:t>REFERENCES:</w:t>
      </w:r>
    </w:p>
    <w:p w14:paraId="47A28866" w14:textId="13B1F3EA" w:rsidR="007D5F39" w:rsidRPr="007D5F39" w:rsidRDefault="007D5F39" w:rsidP="007D5F39">
      <w:pPr>
        <w:pStyle w:val="ListParagraph"/>
        <w:numPr>
          <w:ilvl w:val="0"/>
          <w:numId w:val="13"/>
        </w:numPr>
        <w:jc w:val="both"/>
      </w:pPr>
      <w:r w:rsidRPr="007D5F39">
        <w:t xml:space="preserve">The International Headache Society. (2018). </w:t>
      </w:r>
      <w:r w:rsidRPr="007D5F39">
        <w:rPr>
          <w:i/>
          <w:iCs/>
        </w:rPr>
        <w:t>The International Classification of Headache Disorders (ICHD-3)</w:t>
      </w:r>
      <w:r w:rsidRPr="007D5F39">
        <w:t>. Cephalalgia, 38(1), 1–211.</w:t>
      </w:r>
    </w:p>
    <w:p w14:paraId="41577E4E" w14:textId="215A4864" w:rsidR="007D5F39" w:rsidRPr="007D5F39" w:rsidRDefault="007D5F39" w:rsidP="007D5F39">
      <w:pPr>
        <w:pStyle w:val="ListParagraph"/>
        <w:numPr>
          <w:ilvl w:val="0"/>
          <w:numId w:val="13"/>
        </w:numPr>
        <w:jc w:val="both"/>
      </w:pPr>
      <w:r w:rsidRPr="007D5F39">
        <w:t xml:space="preserve">Kumar, A., &amp; Gupta, N. (2020). </w:t>
      </w:r>
      <w:r w:rsidRPr="007D5F39">
        <w:rPr>
          <w:i/>
          <w:iCs/>
        </w:rPr>
        <w:t>A Review on Migraine and its Homoeopathic Management</w:t>
      </w:r>
      <w:r w:rsidRPr="007D5F39">
        <w:t>. Journal of Alternative Medicine, 15(2), 89–102.</w:t>
      </w:r>
    </w:p>
    <w:p w14:paraId="54955A97" w14:textId="4495BC72" w:rsidR="007D5F39" w:rsidRPr="007D5F39" w:rsidRDefault="007D5F39" w:rsidP="007D5F39">
      <w:pPr>
        <w:pStyle w:val="ListParagraph"/>
        <w:numPr>
          <w:ilvl w:val="0"/>
          <w:numId w:val="13"/>
        </w:numPr>
        <w:jc w:val="both"/>
      </w:pPr>
      <w:r w:rsidRPr="007D5F39">
        <w:t xml:space="preserve">Hahnemann, S. (1921). </w:t>
      </w:r>
      <w:r w:rsidRPr="007D5F39">
        <w:rPr>
          <w:i/>
          <w:iCs/>
        </w:rPr>
        <w:t>Organon of Medicine</w:t>
      </w:r>
      <w:r w:rsidRPr="007D5F39">
        <w:t xml:space="preserve"> (6th ed.). B. Jain Publishers.</w:t>
      </w:r>
    </w:p>
    <w:p w14:paraId="00C12E0C" w14:textId="079E85CC" w:rsidR="007D5F39" w:rsidRPr="007D5F39" w:rsidRDefault="007D5F39" w:rsidP="007D5F39">
      <w:pPr>
        <w:pStyle w:val="ListParagraph"/>
        <w:numPr>
          <w:ilvl w:val="0"/>
          <w:numId w:val="13"/>
        </w:numPr>
        <w:jc w:val="both"/>
      </w:pPr>
      <w:r w:rsidRPr="007D5F39">
        <w:t xml:space="preserve">Boericke, W. (2009). </w:t>
      </w:r>
      <w:r w:rsidRPr="007D5F39">
        <w:rPr>
          <w:i/>
          <w:iCs/>
        </w:rPr>
        <w:t>Pocket Manual of Homoeopathic Materia Medica and Repertory</w:t>
      </w:r>
      <w:r w:rsidRPr="007D5F39">
        <w:t>. B. Jain Publishers.</w:t>
      </w:r>
    </w:p>
    <w:p w14:paraId="0E103803" w14:textId="70CEA312" w:rsidR="007D5F39" w:rsidRPr="007D5F39" w:rsidRDefault="007D5F39" w:rsidP="007D5F39">
      <w:pPr>
        <w:pStyle w:val="ListParagraph"/>
        <w:numPr>
          <w:ilvl w:val="0"/>
          <w:numId w:val="13"/>
        </w:numPr>
        <w:jc w:val="both"/>
      </w:pPr>
      <w:r w:rsidRPr="007D5F39">
        <w:t xml:space="preserve">Clarke, J. H. (2005). </w:t>
      </w:r>
      <w:r w:rsidRPr="007D5F39">
        <w:rPr>
          <w:i/>
          <w:iCs/>
        </w:rPr>
        <w:t>A Dictionary of Practical Materia Medica</w:t>
      </w:r>
      <w:r w:rsidRPr="007D5F39">
        <w:t xml:space="preserve"> (Vols. 1–3). B. Jain Publishers.</w:t>
      </w:r>
    </w:p>
    <w:p w14:paraId="1F4180AB" w14:textId="487974E5" w:rsidR="007D5F39" w:rsidRPr="007D5F39" w:rsidRDefault="007D5F39" w:rsidP="007D5F39">
      <w:pPr>
        <w:pStyle w:val="ListParagraph"/>
        <w:numPr>
          <w:ilvl w:val="0"/>
          <w:numId w:val="13"/>
        </w:numPr>
        <w:jc w:val="both"/>
      </w:pPr>
      <w:r w:rsidRPr="007D5F39">
        <w:t xml:space="preserve">Allen, H. C. (2002). </w:t>
      </w:r>
      <w:r w:rsidRPr="007D5F39">
        <w:rPr>
          <w:i/>
          <w:iCs/>
        </w:rPr>
        <w:t>Keynotes and Characteristics with Comparisons of Some of the Leading Remedies of the Materia Medica</w:t>
      </w:r>
      <w:r w:rsidRPr="007D5F39">
        <w:t>. B. Jain Publishers.</w:t>
      </w:r>
    </w:p>
    <w:p w14:paraId="2EF1DA3B" w14:textId="4FD0AF63" w:rsidR="007D5F39" w:rsidRPr="007D5F39" w:rsidRDefault="007D5F39" w:rsidP="007D5F39">
      <w:pPr>
        <w:pStyle w:val="ListParagraph"/>
        <w:numPr>
          <w:ilvl w:val="0"/>
          <w:numId w:val="13"/>
        </w:numPr>
        <w:jc w:val="both"/>
      </w:pPr>
      <w:r w:rsidRPr="007D5F39">
        <w:t xml:space="preserve">Davidson, F., &amp; Oberoi, R. (2017). </w:t>
      </w:r>
      <w:r w:rsidRPr="007D5F39">
        <w:rPr>
          <w:i/>
          <w:iCs/>
        </w:rPr>
        <w:t>Clinical Efficacy of Individualized Homoeopathic Treatment in Migraine Patients: A Case Series Study</w:t>
      </w:r>
      <w:r w:rsidRPr="007D5F39">
        <w:t>. Journal of Complementary Medicine Research, 21(3), 45–56.</w:t>
      </w:r>
    </w:p>
    <w:p w14:paraId="0F4DCAD0" w14:textId="1A741FF1" w:rsidR="007D5F39" w:rsidRPr="007D5F39" w:rsidRDefault="007D5F39" w:rsidP="007D5F39">
      <w:pPr>
        <w:pStyle w:val="ListParagraph"/>
        <w:numPr>
          <w:ilvl w:val="0"/>
          <w:numId w:val="13"/>
        </w:numPr>
        <w:jc w:val="both"/>
      </w:pPr>
      <w:r w:rsidRPr="007D5F39">
        <w:t xml:space="preserve">Ramachandran, K. (2019). </w:t>
      </w:r>
      <w:r w:rsidRPr="007D5F39">
        <w:rPr>
          <w:i/>
          <w:iCs/>
        </w:rPr>
        <w:t>A Clinical Study on the Role of Homoeopathy in Migraine Management</w:t>
      </w:r>
      <w:r w:rsidRPr="007D5F39">
        <w:t>. International Journal of Homoeopathic Research, 7(1), 23–30.</w:t>
      </w:r>
    </w:p>
    <w:p w14:paraId="366A4054" w14:textId="414ADFF2" w:rsidR="007D5F39" w:rsidRPr="007D5F39" w:rsidRDefault="007D5F39" w:rsidP="007D5F39">
      <w:pPr>
        <w:pStyle w:val="ListParagraph"/>
        <w:numPr>
          <w:ilvl w:val="0"/>
          <w:numId w:val="13"/>
        </w:numPr>
        <w:jc w:val="both"/>
      </w:pPr>
      <w:r w:rsidRPr="007D5F39">
        <w:t xml:space="preserve">American Academy of Neurology. (2021). </w:t>
      </w:r>
      <w:r w:rsidRPr="007D5F39">
        <w:rPr>
          <w:i/>
          <w:iCs/>
        </w:rPr>
        <w:t>Guidelines for the Diagnosis and Management of Migraine</w:t>
      </w:r>
      <w:r w:rsidRPr="007D5F39">
        <w:t>. Neurology Journal, 78(6), 1200–1215.</w:t>
      </w:r>
    </w:p>
    <w:p w14:paraId="25329F89" w14:textId="578AAF97" w:rsidR="007D5F39" w:rsidRPr="007D5F39" w:rsidRDefault="007D5F39" w:rsidP="007D5F39">
      <w:pPr>
        <w:pStyle w:val="ListParagraph"/>
        <w:numPr>
          <w:ilvl w:val="0"/>
          <w:numId w:val="13"/>
        </w:numPr>
        <w:jc w:val="both"/>
      </w:pPr>
      <w:r w:rsidRPr="007D5F39">
        <w:t xml:space="preserve">World Health Organization. (2019). </w:t>
      </w:r>
      <w:r w:rsidRPr="007D5F39">
        <w:rPr>
          <w:i/>
          <w:iCs/>
        </w:rPr>
        <w:t>Traditional and Complementary Medicine in the Management of Chronic Diseases</w:t>
      </w:r>
      <w:r w:rsidRPr="007D5F39">
        <w:t>. WHO Publications.</w:t>
      </w:r>
    </w:p>
    <w:p w14:paraId="6700079E" w14:textId="77777777" w:rsidR="007D5F39" w:rsidRDefault="007D5F39" w:rsidP="00AC63D2">
      <w:pPr>
        <w:jc w:val="both"/>
      </w:pPr>
    </w:p>
    <w:sectPr w:rsidR="007D5F39" w:rsidSect="007D5F39">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7140D"/>
    <w:multiLevelType w:val="multilevel"/>
    <w:tmpl w:val="C8B45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02765"/>
    <w:multiLevelType w:val="hybridMultilevel"/>
    <w:tmpl w:val="2BF0200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4455154"/>
    <w:multiLevelType w:val="multilevel"/>
    <w:tmpl w:val="98DA7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72349"/>
    <w:multiLevelType w:val="multilevel"/>
    <w:tmpl w:val="E6001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B2B30"/>
    <w:multiLevelType w:val="multilevel"/>
    <w:tmpl w:val="06F6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943B8B"/>
    <w:multiLevelType w:val="multilevel"/>
    <w:tmpl w:val="E132B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2B195D"/>
    <w:multiLevelType w:val="multilevel"/>
    <w:tmpl w:val="630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56A1"/>
    <w:multiLevelType w:val="multilevel"/>
    <w:tmpl w:val="4478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527A19"/>
    <w:multiLevelType w:val="multilevel"/>
    <w:tmpl w:val="E710F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E40A7A"/>
    <w:multiLevelType w:val="multilevel"/>
    <w:tmpl w:val="548E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0B3CB7"/>
    <w:multiLevelType w:val="multilevel"/>
    <w:tmpl w:val="092E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4105C97"/>
    <w:multiLevelType w:val="multilevel"/>
    <w:tmpl w:val="BF826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C4B0F0C"/>
    <w:multiLevelType w:val="multilevel"/>
    <w:tmpl w:val="D562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6214345">
    <w:abstractNumId w:val="11"/>
  </w:num>
  <w:num w:numId="2" w16cid:durableId="1491091560">
    <w:abstractNumId w:val="0"/>
  </w:num>
  <w:num w:numId="3" w16cid:durableId="18505999">
    <w:abstractNumId w:val="3"/>
  </w:num>
  <w:num w:numId="4" w16cid:durableId="688214578">
    <w:abstractNumId w:val="8"/>
  </w:num>
  <w:num w:numId="5" w16cid:durableId="275143702">
    <w:abstractNumId w:val="12"/>
  </w:num>
  <w:num w:numId="6" w16cid:durableId="1475223041">
    <w:abstractNumId w:val="6"/>
  </w:num>
  <w:num w:numId="7" w16cid:durableId="1856337449">
    <w:abstractNumId w:val="9"/>
  </w:num>
  <w:num w:numId="8" w16cid:durableId="602803057">
    <w:abstractNumId w:val="10"/>
  </w:num>
  <w:num w:numId="9" w16cid:durableId="1258101461">
    <w:abstractNumId w:val="4"/>
  </w:num>
  <w:num w:numId="10" w16cid:durableId="271980648">
    <w:abstractNumId w:val="7"/>
  </w:num>
  <w:num w:numId="11" w16cid:durableId="592513835">
    <w:abstractNumId w:val="2"/>
  </w:num>
  <w:num w:numId="12" w16cid:durableId="1860196363">
    <w:abstractNumId w:val="5"/>
  </w:num>
  <w:num w:numId="13" w16cid:durableId="2729049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E3"/>
    <w:rsid w:val="007D5F39"/>
    <w:rsid w:val="009042FA"/>
    <w:rsid w:val="00AC63D2"/>
    <w:rsid w:val="00C14CE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6157"/>
  <w15:chartTrackingRefBased/>
  <w15:docId w15:val="{3AB6DC8D-C579-4F64-BB0C-62F8830B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CE3"/>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C14CE3"/>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C14CE3"/>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C14C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4C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4C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4C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4C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4C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4CE3"/>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C14CE3"/>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C14CE3"/>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C14C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4C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4C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4C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4C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4CE3"/>
    <w:rPr>
      <w:rFonts w:eastAsiaTheme="majorEastAsia" w:cstheme="majorBidi"/>
      <w:color w:val="272727" w:themeColor="text1" w:themeTint="D8"/>
    </w:rPr>
  </w:style>
  <w:style w:type="paragraph" w:styleId="Title">
    <w:name w:val="Title"/>
    <w:basedOn w:val="Normal"/>
    <w:next w:val="Normal"/>
    <w:link w:val="TitleChar"/>
    <w:uiPriority w:val="10"/>
    <w:qFormat/>
    <w:rsid w:val="00C14CE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14CE3"/>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14CE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14CE3"/>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14CE3"/>
    <w:pPr>
      <w:spacing w:before="160"/>
      <w:jc w:val="center"/>
    </w:pPr>
    <w:rPr>
      <w:i/>
      <w:iCs/>
      <w:color w:val="404040" w:themeColor="text1" w:themeTint="BF"/>
    </w:rPr>
  </w:style>
  <w:style w:type="character" w:customStyle="1" w:styleId="QuoteChar">
    <w:name w:val="Quote Char"/>
    <w:basedOn w:val="DefaultParagraphFont"/>
    <w:link w:val="Quote"/>
    <w:uiPriority w:val="29"/>
    <w:rsid w:val="00C14CE3"/>
    <w:rPr>
      <w:i/>
      <w:iCs/>
      <w:color w:val="404040" w:themeColor="text1" w:themeTint="BF"/>
    </w:rPr>
  </w:style>
  <w:style w:type="paragraph" w:styleId="ListParagraph">
    <w:name w:val="List Paragraph"/>
    <w:basedOn w:val="Normal"/>
    <w:uiPriority w:val="34"/>
    <w:qFormat/>
    <w:rsid w:val="00C14CE3"/>
    <w:pPr>
      <w:ind w:left="720"/>
      <w:contextualSpacing/>
    </w:pPr>
  </w:style>
  <w:style w:type="character" w:styleId="IntenseEmphasis">
    <w:name w:val="Intense Emphasis"/>
    <w:basedOn w:val="DefaultParagraphFont"/>
    <w:uiPriority w:val="21"/>
    <w:qFormat/>
    <w:rsid w:val="00C14CE3"/>
    <w:rPr>
      <w:i/>
      <w:iCs/>
      <w:color w:val="0F4761" w:themeColor="accent1" w:themeShade="BF"/>
    </w:rPr>
  </w:style>
  <w:style w:type="paragraph" w:styleId="IntenseQuote">
    <w:name w:val="Intense Quote"/>
    <w:basedOn w:val="Normal"/>
    <w:next w:val="Normal"/>
    <w:link w:val="IntenseQuoteChar"/>
    <w:uiPriority w:val="30"/>
    <w:qFormat/>
    <w:rsid w:val="00C14C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4CE3"/>
    <w:rPr>
      <w:i/>
      <w:iCs/>
      <w:color w:val="0F4761" w:themeColor="accent1" w:themeShade="BF"/>
    </w:rPr>
  </w:style>
  <w:style w:type="character" w:styleId="IntenseReference">
    <w:name w:val="Intense Reference"/>
    <w:basedOn w:val="DefaultParagraphFont"/>
    <w:uiPriority w:val="32"/>
    <w:qFormat/>
    <w:rsid w:val="00C14CE3"/>
    <w:rPr>
      <w:b/>
      <w:bCs/>
      <w:smallCaps/>
      <w:color w:val="0F4761" w:themeColor="accent1" w:themeShade="BF"/>
      <w:spacing w:val="5"/>
    </w:rPr>
  </w:style>
  <w:style w:type="table" w:styleId="TableGrid">
    <w:name w:val="Table Grid"/>
    <w:basedOn w:val="TableNormal"/>
    <w:uiPriority w:val="39"/>
    <w:rsid w:val="007D5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2850">
      <w:bodyDiv w:val="1"/>
      <w:marLeft w:val="0"/>
      <w:marRight w:val="0"/>
      <w:marTop w:val="0"/>
      <w:marBottom w:val="0"/>
      <w:divBdr>
        <w:top w:val="none" w:sz="0" w:space="0" w:color="auto"/>
        <w:left w:val="none" w:sz="0" w:space="0" w:color="auto"/>
        <w:bottom w:val="none" w:sz="0" w:space="0" w:color="auto"/>
        <w:right w:val="none" w:sz="0" w:space="0" w:color="auto"/>
      </w:divBdr>
    </w:div>
    <w:div w:id="504176619">
      <w:bodyDiv w:val="1"/>
      <w:marLeft w:val="0"/>
      <w:marRight w:val="0"/>
      <w:marTop w:val="0"/>
      <w:marBottom w:val="0"/>
      <w:divBdr>
        <w:top w:val="none" w:sz="0" w:space="0" w:color="auto"/>
        <w:left w:val="none" w:sz="0" w:space="0" w:color="auto"/>
        <w:bottom w:val="none" w:sz="0" w:space="0" w:color="auto"/>
        <w:right w:val="none" w:sz="0" w:space="0" w:color="auto"/>
      </w:divBdr>
    </w:div>
    <w:div w:id="946741693">
      <w:bodyDiv w:val="1"/>
      <w:marLeft w:val="0"/>
      <w:marRight w:val="0"/>
      <w:marTop w:val="0"/>
      <w:marBottom w:val="0"/>
      <w:divBdr>
        <w:top w:val="none" w:sz="0" w:space="0" w:color="auto"/>
        <w:left w:val="none" w:sz="0" w:space="0" w:color="auto"/>
        <w:bottom w:val="none" w:sz="0" w:space="0" w:color="auto"/>
        <w:right w:val="none" w:sz="0" w:space="0" w:color="auto"/>
      </w:divBdr>
    </w:div>
    <w:div w:id="1048720787">
      <w:bodyDiv w:val="1"/>
      <w:marLeft w:val="0"/>
      <w:marRight w:val="0"/>
      <w:marTop w:val="0"/>
      <w:marBottom w:val="0"/>
      <w:divBdr>
        <w:top w:val="none" w:sz="0" w:space="0" w:color="auto"/>
        <w:left w:val="none" w:sz="0" w:space="0" w:color="auto"/>
        <w:bottom w:val="none" w:sz="0" w:space="0" w:color="auto"/>
        <w:right w:val="none" w:sz="0" w:space="0" w:color="auto"/>
      </w:divBdr>
    </w:div>
    <w:div w:id="1462115456">
      <w:bodyDiv w:val="1"/>
      <w:marLeft w:val="0"/>
      <w:marRight w:val="0"/>
      <w:marTop w:val="0"/>
      <w:marBottom w:val="0"/>
      <w:divBdr>
        <w:top w:val="none" w:sz="0" w:space="0" w:color="auto"/>
        <w:left w:val="none" w:sz="0" w:space="0" w:color="auto"/>
        <w:bottom w:val="none" w:sz="0" w:space="0" w:color="auto"/>
        <w:right w:val="none" w:sz="0" w:space="0" w:color="auto"/>
      </w:divBdr>
    </w:div>
    <w:div w:id="1556891392">
      <w:bodyDiv w:val="1"/>
      <w:marLeft w:val="0"/>
      <w:marRight w:val="0"/>
      <w:marTop w:val="0"/>
      <w:marBottom w:val="0"/>
      <w:divBdr>
        <w:top w:val="none" w:sz="0" w:space="0" w:color="auto"/>
        <w:left w:val="none" w:sz="0" w:space="0" w:color="auto"/>
        <w:bottom w:val="none" w:sz="0" w:space="0" w:color="auto"/>
        <w:right w:val="none" w:sz="0" w:space="0" w:color="auto"/>
      </w:divBdr>
    </w:div>
    <w:div w:id="1759591483">
      <w:bodyDiv w:val="1"/>
      <w:marLeft w:val="0"/>
      <w:marRight w:val="0"/>
      <w:marTop w:val="0"/>
      <w:marBottom w:val="0"/>
      <w:divBdr>
        <w:top w:val="none" w:sz="0" w:space="0" w:color="auto"/>
        <w:left w:val="none" w:sz="0" w:space="0" w:color="auto"/>
        <w:bottom w:val="none" w:sz="0" w:space="0" w:color="auto"/>
        <w:right w:val="none" w:sz="0" w:space="0" w:color="auto"/>
      </w:divBdr>
    </w:div>
    <w:div w:id="1898977474">
      <w:bodyDiv w:val="1"/>
      <w:marLeft w:val="0"/>
      <w:marRight w:val="0"/>
      <w:marTop w:val="0"/>
      <w:marBottom w:val="0"/>
      <w:divBdr>
        <w:top w:val="none" w:sz="0" w:space="0" w:color="auto"/>
        <w:left w:val="none" w:sz="0" w:space="0" w:color="auto"/>
        <w:bottom w:val="none" w:sz="0" w:space="0" w:color="auto"/>
        <w:right w:val="none" w:sz="0" w:space="0" w:color="auto"/>
      </w:divBdr>
    </w:div>
    <w:div w:id="1954287420">
      <w:bodyDiv w:val="1"/>
      <w:marLeft w:val="0"/>
      <w:marRight w:val="0"/>
      <w:marTop w:val="0"/>
      <w:marBottom w:val="0"/>
      <w:divBdr>
        <w:top w:val="none" w:sz="0" w:space="0" w:color="auto"/>
        <w:left w:val="none" w:sz="0" w:space="0" w:color="auto"/>
        <w:bottom w:val="none" w:sz="0" w:space="0" w:color="auto"/>
        <w:right w:val="none" w:sz="0" w:space="0" w:color="auto"/>
      </w:divBdr>
    </w:div>
    <w:div w:id="206622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121</TotalTime>
  <Pages>6</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2025-01-31T13:20:00Z</dcterms:created>
  <dcterms:modified xsi:type="dcterms:W3CDTF">2025-01-31T15:21:00Z</dcterms:modified>
</cp:coreProperties>
</file>