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B5317D" w14:textId="783A9300" w:rsidR="006A701B" w:rsidRPr="00EC5D96" w:rsidRDefault="00EC5D96" w:rsidP="0078149A">
      <w:pPr>
        <w:spacing w:line="240" w:lineRule="auto"/>
        <w:jc w:val="center"/>
        <w:rPr>
          <w:rFonts w:ascii="Times New Roman" w:hAnsi="Times New Roman" w:cs="Times New Roman"/>
          <w:b/>
          <w:bCs/>
        </w:rPr>
      </w:pPr>
      <w:r w:rsidRPr="00EC5D96">
        <w:rPr>
          <w:rFonts w:ascii="Times New Roman" w:hAnsi="Times New Roman" w:cs="Times New Roman"/>
          <w:b/>
          <w:bCs/>
        </w:rPr>
        <w:t xml:space="preserve">BOARD ATTRIBUTES AND </w:t>
      </w:r>
      <w:r w:rsidR="009A7C79">
        <w:rPr>
          <w:rFonts w:ascii="Times New Roman" w:hAnsi="Times New Roman" w:cs="Times New Roman"/>
          <w:b/>
          <w:bCs/>
        </w:rPr>
        <w:t>INTELLECTUAL CAPITAL EFFICIENCY</w:t>
      </w:r>
      <w:r w:rsidR="009A7C79">
        <w:rPr>
          <w:rFonts w:ascii="Times New Roman" w:hAnsi="Times New Roman" w:cs="Times New Roman"/>
          <w:b/>
          <w:bCs/>
          <w:lang w:val="en-US"/>
        </w:rPr>
        <w:t xml:space="preserve"> OF </w:t>
      </w:r>
      <w:r w:rsidRPr="00EC5D96">
        <w:rPr>
          <w:rFonts w:ascii="Times New Roman" w:hAnsi="Times New Roman" w:cs="Times New Roman"/>
          <w:b/>
          <w:bCs/>
        </w:rPr>
        <w:t>LISTED MANUFACTURING FIRMS IN NIGERIA</w:t>
      </w:r>
    </w:p>
    <w:p w14:paraId="220DD548" w14:textId="77777777" w:rsidR="00EC5D96" w:rsidRPr="00912A39" w:rsidRDefault="00EC5D96" w:rsidP="0078149A">
      <w:pPr>
        <w:spacing w:after="0" w:line="240" w:lineRule="auto"/>
        <w:jc w:val="center"/>
        <w:rPr>
          <w:rFonts w:ascii="Times New Roman" w:hAnsi="Times New Roman" w:cs="Times New Roman"/>
          <w:b/>
          <w:bCs/>
          <w:lang w:val="en-US"/>
        </w:rPr>
      </w:pPr>
      <w:r w:rsidRPr="00912A39">
        <w:rPr>
          <w:rFonts w:ascii="Times New Roman" w:hAnsi="Times New Roman" w:cs="Times New Roman"/>
          <w:b/>
          <w:bCs/>
          <w:lang w:val="en-US"/>
        </w:rPr>
        <w:t xml:space="preserve">BY </w:t>
      </w:r>
    </w:p>
    <w:p w14:paraId="5E131E16" w14:textId="77777777" w:rsidR="00EC5D96" w:rsidRPr="00912A39" w:rsidRDefault="00EC5D96" w:rsidP="0078149A">
      <w:pPr>
        <w:spacing w:after="0" w:line="240" w:lineRule="auto"/>
        <w:jc w:val="center"/>
        <w:rPr>
          <w:rFonts w:ascii="Times New Roman" w:hAnsi="Times New Roman" w:cs="Times New Roman"/>
          <w:b/>
          <w:bCs/>
          <w:lang w:val="en-US"/>
        </w:rPr>
      </w:pPr>
    </w:p>
    <w:p w14:paraId="7F2B830C" w14:textId="77777777" w:rsidR="00163F20" w:rsidRDefault="00163F20" w:rsidP="0078149A">
      <w:pPr>
        <w:spacing w:after="0" w:line="240" w:lineRule="auto"/>
        <w:jc w:val="center"/>
        <w:rPr>
          <w:rFonts w:ascii="Times New Roman" w:hAnsi="Times New Roman" w:cs="Times New Roman"/>
          <w:b/>
          <w:bCs/>
        </w:rPr>
      </w:pPr>
      <w:r w:rsidRPr="00163F20">
        <w:rPr>
          <w:rFonts w:ascii="Times New Roman" w:hAnsi="Times New Roman" w:cs="Times New Roman"/>
          <w:b/>
          <w:bCs/>
        </w:rPr>
        <w:t xml:space="preserve">Ahmed Yahaya ONUMOH, Mohammed Nma AHMED, Suleiman TAUHID, Joshua Samuel GAMBO </w:t>
      </w:r>
    </w:p>
    <w:p w14:paraId="72C1A3E8" w14:textId="593AEB28" w:rsidR="00EC5D96" w:rsidRPr="00163F20" w:rsidRDefault="00163F20" w:rsidP="0078149A">
      <w:pPr>
        <w:spacing w:after="0" w:line="240" w:lineRule="auto"/>
        <w:jc w:val="center"/>
        <w:rPr>
          <w:rFonts w:ascii="Times New Roman" w:hAnsi="Times New Roman" w:cs="Times New Roman"/>
          <w:b/>
          <w:bCs/>
          <w:lang w:val="en-US"/>
        </w:rPr>
      </w:pPr>
      <w:r w:rsidRPr="00163F20">
        <w:rPr>
          <w:rFonts w:ascii="Times New Roman" w:hAnsi="Times New Roman" w:cs="Times New Roman"/>
          <w:b/>
          <w:bCs/>
        </w:rPr>
        <w:t>Department of Accounting, Nigerian Defence Academy, P.M.B. 2109, Kaduna- Nigeri</w:t>
      </w:r>
      <w:r>
        <w:rPr>
          <w:rFonts w:ascii="Times New Roman" w:hAnsi="Times New Roman" w:cs="Times New Roman"/>
          <w:b/>
          <w:bCs/>
          <w:lang w:val="en-US"/>
        </w:rPr>
        <w:t>a</w:t>
      </w:r>
    </w:p>
    <w:p w14:paraId="180B5C94" w14:textId="77777777" w:rsidR="00EC5D96" w:rsidRPr="00912A39" w:rsidRDefault="00EC5D96" w:rsidP="0078149A">
      <w:pPr>
        <w:widowControl w:val="0"/>
        <w:autoSpaceDE w:val="0"/>
        <w:autoSpaceDN w:val="0"/>
        <w:adjustRightInd w:val="0"/>
        <w:spacing w:after="0" w:line="240" w:lineRule="auto"/>
        <w:jc w:val="center"/>
        <w:rPr>
          <w:rFonts w:ascii="Times New Roman" w:hAnsi="Times New Roman" w:cs="Times New Roman"/>
          <w:b/>
          <w:bCs/>
          <w:lang w:val="en-US"/>
        </w:rPr>
      </w:pPr>
    </w:p>
    <w:p w14:paraId="26A88BB1" w14:textId="780AC738" w:rsidR="00EC5D96" w:rsidRPr="00EC5D96" w:rsidRDefault="009F006A" w:rsidP="0078149A">
      <w:pPr>
        <w:spacing w:line="240" w:lineRule="auto"/>
        <w:rPr>
          <w:rFonts w:ascii="Times New Roman" w:hAnsi="Times New Roman" w:cs="Times New Roman"/>
        </w:rPr>
      </w:pPr>
      <w:r w:rsidRPr="009F006A">
        <w:rPr>
          <w:rFonts w:ascii="Times New Roman" w:hAnsi="Times New Roman" w:cs="Times New Roman"/>
          <w:b/>
        </w:rPr>
        <w:t>ABSTRACT</w:t>
      </w:r>
      <w:r w:rsidRPr="00EC5D96">
        <w:rPr>
          <w:rFonts w:ascii="Times New Roman" w:hAnsi="Times New Roman" w:cs="Times New Roman"/>
        </w:rPr>
        <w:t xml:space="preserve"> </w:t>
      </w:r>
    </w:p>
    <w:p w14:paraId="749BF7CC" w14:textId="36C680AB" w:rsidR="0035184B" w:rsidRPr="0035184B" w:rsidRDefault="0035184B" w:rsidP="0078149A">
      <w:pPr>
        <w:spacing w:after="80" w:line="240" w:lineRule="auto"/>
        <w:jc w:val="both"/>
        <w:rPr>
          <w:rFonts w:ascii="Times New Roman" w:hAnsi="Times New Roman" w:cs="Times New Roman"/>
          <w:lang w:val="en-US"/>
        </w:rPr>
      </w:pPr>
      <w:bookmarkStart w:id="0" w:name="_GoBack"/>
      <w:r w:rsidRPr="0035184B">
        <w:rPr>
          <w:rFonts w:ascii="Times New Roman" w:hAnsi="Times New Roman" w:cs="Times New Roman"/>
          <w:lang w:val="en-US"/>
        </w:rPr>
        <w:t>This</w:t>
      </w:r>
      <w:r w:rsidR="0005463B">
        <w:rPr>
          <w:rFonts w:ascii="Times New Roman" w:hAnsi="Times New Roman" w:cs="Times New Roman"/>
          <w:lang w:val="en-US"/>
        </w:rPr>
        <w:t xml:space="preserve"> study investigates the effect of board attributes on</w:t>
      </w:r>
      <w:r w:rsidRPr="0035184B">
        <w:rPr>
          <w:rFonts w:ascii="Times New Roman" w:hAnsi="Times New Roman" w:cs="Times New Roman"/>
          <w:lang w:val="en-US"/>
        </w:rPr>
        <w:t xml:space="preserve"> intellectual capital </w:t>
      </w:r>
      <w:r w:rsidR="0005463B">
        <w:rPr>
          <w:rFonts w:ascii="Times New Roman" w:hAnsi="Times New Roman" w:cs="Times New Roman"/>
          <w:lang w:val="en-US"/>
        </w:rPr>
        <w:t>efficiency of</w:t>
      </w:r>
      <w:r w:rsidRPr="0035184B">
        <w:rPr>
          <w:rFonts w:ascii="Times New Roman" w:hAnsi="Times New Roman" w:cs="Times New Roman"/>
          <w:lang w:val="en-US"/>
        </w:rPr>
        <w:t xml:space="preserve"> Nigerian-listed manufacturing firms for ten years from 2013 to 2022. This study utilized a sample of 31 firms from a population of 66 firms. An ex post facto research design was used, and the Value-added Intellectual Coefficient was used as a proxy for intellectual capital efficiency. This study employed multiple regression techniques and analyzed the panel data through STATA</w:t>
      </w:r>
      <w:r w:rsidR="0005463B">
        <w:rPr>
          <w:rFonts w:ascii="Times New Roman" w:hAnsi="Times New Roman" w:cs="Times New Roman"/>
          <w:lang w:val="en-US"/>
        </w:rPr>
        <w:t xml:space="preserve"> 13</w:t>
      </w:r>
      <w:r w:rsidRPr="0035184B">
        <w:rPr>
          <w:rFonts w:ascii="Times New Roman" w:hAnsi="Times New Roman" w:cs="Times New Roman"/>
          <w:lang w:val="en-US"/>
        </w:rPr>
        <w:t xml:space="preserve">. </w:t>
      </w:r>
      <w:r w:rsidR="0005463B">
        <w:rPr>
          <w:rFonts w:ascii="Times New Roman" w:hAnsi="Times New Roman" w:cs="Times New Roman"/>
          <w:lang w:val="en-US"/>
        </w:rPr>
        <w:t xml:space="preserve">This study reveals that </w:t>
      </w:r>
      <w:r w:rsidR="0005463B" w:rsidRPr="00EC5D96">
        <w:rPr>
          <w:rFonts w:ascii="Times New Roman" w:hAnsi="Times New Roman" w:cs="Times New Roman"/>
        </w:rPr>
        <w:t>there w</w:t>
      </w:r>
      <w:r w:rsidR="0005463B">
        <w:rPr>
          <w:rFonts w:ascii="Times New Roman" w:hAnsi="Times New Roman" w:cs="Times New Roman"/>
          <w:lang w:val="en-US"/>
        </w:rPr>
        <w:t xml:space="preserve">as </w:t>
      </w:r>
      <w:r w:rsidR="0005463B" w:rsidRPr="00EC5D96">
        <w:rPr>
          <w:rFonts w:ascii="Times New Roman" w:hAnsi="Times New Roman" w:cs="Times New Roman"/>
        </w:rPr>
        <w:t xml:space="preserve">positive and statistically significant </w:t>
      </w:r>
      <w:r w:rsidR="0005463B">
        <w:rPr>
          <w:rFonts w:ascii="Times New Roman" w:hAnsi="Times New Roman" w:cs="Times New Roman"/>
          <w:lang w:val="en-US"/>
        </w:rPr>
        <w:t xml:space="preserve">effect of board size and gender diversity on </w:t>
      </w:r>
      <w:r w:rsidR="0005463B" w:rsidRPr="00EC5D96">
        <w:rPr>
          <w:rFonts w:ascii="Times New Roman" w:hAnsi="Times New Roman" w:cs="Times New Roman"/>
        </w:rPr>
        <w:t xml:space="preserve">ICE, suggesting that better ICE is associated with larger boards and greater gender diversity on corporate boards. On the other hand, </w:t>
      </w:r>
      <w:r w:rsidR="0005463B">
        <w:rPr>
          <w:rFonts w:ascii="Times New Roman" w:hAnsi="Times New Roman" w:cs="Times New Roman"/>
          <w:lang w:val="en-US"/>
        </w:rPr>
        <w:t>B</w:t>
      </w:r>
      <w:r w:rsidR="0005463B" w:rsidRPr="00EC5D96">
        <w:rPr>
          <w:rFonts w:ascii="Times New Roman" w:hAnsi="Times New Roman" w:cs="Times New Roman"/>
        </w:rPr>
        <w:t>oard meeting frequency ha</w:t>
      </w:r>
      <w:r w:rsidR="0005463B">
        <w:rPr>
          <w:rFonts w:ascii="Times New Roman" w:hAnsi="Times New Roman" w:cs="Times New Roman"/>
          <w:lang w:val="en-US"/>
        </w:rPr>
        <w:t>s</w:t>
      </w:r>
      <w:r w:rsidR="0005463B" w:rsidRPr="00EC5D96">
        <w:rPr>
          <w:rFonts w:ascii="Times New Roman" w:hAnsi="Times New Roman" w:cs="Times New Roman"/>
        </w:rPr>
        <w:t xml:space="preserve"> </w:t>
      </w:r>
      <w:r w:rsidR="0005463B">
        <w:rPr>
          <w:rFonts w:ascii="Times New Roman" w:hAnsi="Times New Roman" w:cs="Times New Roman"/>
          <w:lang w:val="en-US"/>
        </w:rPr>
        <w:t>a</w:t>
      </w:r>
      <w:r w:rsidR="0005463B" w:rsidRPr="00EC5D96">
        <w:rPr>
          <w:rFonts w:ascii="Times New Roman" w:hAnsi="Times New Roman" w:cs="Times New Roman"/>
        </w:rPr>
        <w:t xml:space="preserve"> significant negative association, indicating that too many board meetings could be detrimental to ICE. Board independence, however, shows an insignificant </w:t>
      </w:r>
      <w:r w:rsidR="0005463B">
        <w:rPr>
          <w:rFonts w:ascii="Times New Roman" w:hAnsi="Times New Roman" w:cs="Times New Roman"/>
          <w:lang w:val="en-US"/>
        </w:rPr>
        <w:t xml:space="preserve">effect on </w:t>
      </w:r>
      <w:r w:rsidR="0005463B" w:rsidRPr="00EC5D96">
        <w:rPr>
          <w:rFonts w:ascii="Times New Roman" w:hAnsi="Times New Roman" w:cs="Times New Roman"/>
        </w:rPr>
        <w:t xml:space="preserve">ICE. </w:t>
      </w:r>
      <w:r w:rsidR="0005463B">
        <w:rPr>
          <w:rFonts w:ascii="Times New Roman" w:hAnsi="Times New Roman" w:cs="Times New Roman"/>
          <w:lang w:val="en-US"/>
        </w:rPr>
        <w:t xml:space="preserve">This study conclude that </w:t>
      </w:r>
      <w:r w:rsidR="0005463B">
        <w:rPr>
          <w:rFonts w:ascii="Times New Roman" w:hAnsi="Times New Roman" w:cs="Times New Roman"/>
          <w:kern w:val="0"/>
          <w14:ligatures w14:val="none"/>
        </w:rPr>
        <w:t xml:space="preserve">board size, gender diversity, and meeting frequency have a </w:t>
      </w:r>
      <w:r w:rsidR="0005463B">
        <w:rPr>
          <w:rFonts w:ascii="Times New Roman" w:hAnsi="Times New Roman" w:cs="Times New Roman"/>
          <w:kern w:val="0"/>
          <w:lang w:val="en-US"/>
          <w14:ligatures w14:val="none"/>
        </w:rPr>
        <w:t xml:space="preserve">significant </w:t>
      </w:r>
      <w:r w:rsidR="0005463B">
        <w:rPr>
          <w:rFonts w:ascii="Times New Roman" w:hAnsi="Times New Roman" w:cs="Times New Roman"/>
          <w:kern w:val="0"/>
          <w14:ligatures w14:val="none"/>
        </w:rPr>
        <w:t xml:space="preserve">effect on ICE </w:t>
      </w:r>
      <w:r w:rsidR="0005463B">
        <w:rPr>
          <w:rFonts w:ascii="Times New Roman" w:hAnsi="Times New Roman" w:cs="Times New Roman"/>
          <w:kern w:val="0"/>
          <w:lang w:val="en-US"/>
          <w14:ligatures w14:val="none"/>
        </w:rPr>
        <w:t>of</w:t>
      </w:r>
      <w:r w:rsidR="0005463B">
        <w:rPr>
          <w:rFonts w:ascii="Times New Roman" w:hAnsi="Times New Roman" w:cs="Times New Roman"/>
          <w:kern w:val="0"/>
          <w14:ligatures w14:val="none"/>
        </w:rPr>
        <w:t xml:space="preserve"> </w:t>
      </w:r>
      <w:r w:rsidR="0005463B">
        <w:rPr>
          <w:rFonts w:ascii="Times New Roman" w:hAnsi="Times New Roman" w:cs="Times New Roman"/>
          <w:kern w:val="0"/>
          <w:lang w:val="en-US"/>
          <w14:ligatures w14:val="none"/>
        </w:rPr>
        <w:t xml:space="preserve">listed </w:t>
      </w:r>
      <w:r w:rsidR="0005463B">
        <w:rPr>
          <w:rFonts w:ascii="Times New Roman" w:hAnsi="Times New Roman" w:cs="Times New Roman"/>
          <w:kern w:val="0"/>
          <w14:ligatures w14:val="none"/>
        </w:rPr>
        <w:t>NLMFs</w:t>
      </w:r>
      <w:r w:rsidR="0005463B">
        <w:rPr>
          <w:rFonts w:ascii="Times New Roman" w:hAnsi="Times New Roman" w:cs="Times New Roman"/>
          <w:kern w:val="0"/>
          <w:lang w:val="en-US"/>
          <w14:ligatures w14:val="none"/>
        </w:rPr>
        <w:t xml:space="preserve"> in Nigeria.  </w:t>
      </w:r>
      <w:r w:rsidRPr="0035184B">
        <w:rPr>
          <w:rFonts w:ascii="Times New Roman" w:hAnsi="Times New Roman" w:cs="Times New Roman"/>
          <w:lang w:val="en-US"/>
        </w:rPr>
        <w:t>This study recommends that Nigerian-listed manufacturing firms without females should try to have at least one female director on their board; those that have less than 10 board members should try to increase the number, as this will improve intellectual capital efficiency.</w:t>
      </w:r>
    </w:p>
    <w:bookmarkEnd w:id="0"/>
    <w:p w14:paraId="4E8C06F3" w14:textId="0539F051" w:rsidR="00EC5D96" w:rsidRPr="0035184B" w:rsidRDefault="0035184B" w:rsidP="0078149A">
      <w:pPr>
        <w:spacing w:after="80" w:line="240" w:lineRule="auto"/>
        <w:ind w:left="990" w:hanging="990"/>
        <w:rPr>
          <w:rFonts w:ascii="Times New Roman" w:hAnsi="Times New Roman" w:cs="Times New Roman"/>
          <w:b/>
          <w:bCs/>
          <w:lang w:val="en-US"/>
        </w:rPr>
      </w:pPr>
      <w:r w:rsidRPr="0035184B">
        <w:rPr>
          <w:rFonts w:ascii="Times New Roman" w:hAnsi="Times New Roman" w:cs="Times New Roman"/>
          <w:bCs/>
          <w:lang w:val="en-US"/>
        </w:rPr>
        <w:t>Keyword</w:t>
      </w:r>
      <w:r>
        <w:rPr>
          <w:rFonts w:ascii="Times New Roman" w:hAnsi="Times New Roman" w:cs="Times New Roman"/>
          <w:bCs/>
          <w:lang w:val="en-US"/>
        </w:rPr>
        <w:t>: Board Independence, Board Meetings, Board Size, Gender Diversity, Intellectual Capital Efficiency.</w:t>
      </w:r>
    </w:p>
    <w:p w14:paraId="0A34FD46" w14:textId="77777777" w:rsidR="00D43304" w:rsidRDefault="00D43304" w:rsidP="0078149A">
      <w:pPr>
        <w:spacing w:after="80" w:line="240" w:lineRule="auto"/>
        <w:rPr>
          <w:rFonts w:ascii="Times New Roman" w:hAnsi="Times New Roman" w:cs="Times New Roman"/>
          <w:b/>
          <w:bCs/>
        </w:rPr>
      </w:pPr>
    </w:p>
    <w:p w14:paraId="340A7268" w14:textId="4C098C3A" w:rsidR="006A701B" w:rsidRPr="00C7681F" w:rsidRDefault="00EA1E95" w:rsidP="0078149A">
      <w:pPr>
        <w:pStyle w:val="Heading1"/>
        <w:spacing w:before="0" w:line="240" w:lineRule="auto"/>
      </w:pPr>
      <w:r w:rsidRPr="00C7681F">
        <w:t>1. INTRODUCTION</w:t>
      </w:r>
    </w:p>
    <w:p w14:paraId="15B29474" w14:textId="4F632ADE" w:rsidR="00B05877" w:rsidRPr="00B05877" w:rsidRDefault="00B05877" w:rsidP="0078149A">
      <w:pPr>
        <w:spacing w:after="80" w:line="240" w:lineRule="auto"/>
        <w:jc w:val="both"/>
        <w:rPr>
          <w:rFonts w:ascii="Times New Roman" w:hAnsi="Times New Roman" w:cs="Times New Roman"/>
          <w:kern w:val="0"/>
          <w:lang w:val="en-US"/>
        </w:rPr>
      </w:pPr>
      <w:r w:rsidRPr="00B05877">
        <w:rPr>
          <w:rFonts w:ascii="Times New Roman" w:hAnsi="Times New Roman" w:cs="Times New Roman"/>
          <w:kern w:val="0"/>
          <w:lang w:val="en-US"/>
        </w:rPr>
        <w:t>Scholars, practitioners, and regulators emphasize the importance of corporate governance in contemporary business. Corporate governance, defined as the rules, guidelines, and practices that direct and oversee a firm, significantly impacts organizational performance, sustainability, and accountability (</w:t>
      </w:r>
      <w:r w:rsidR="00666257">
        <w:rPr>
          <w:rFonts w:ascii="Times New Roman" w:hAnsi="Times New Roman" w:cs="Times New Roman"/>
          <w:kern w:val="0"/>
          <w:lang w:val="en-US"/>
        </w:rPr>
        <w:t xml:space="preserve">Egbunike </w:t>
      </w:r>
      <w:r w:rsidR="00666257" w:rsidRPr="00BA0DF9">
        <w:rPr>
          <w:rFonts w:ascii="Times New Roman" w:hAnsi="Times New Roman" w:cs="Times New Roman"/>
          <w:kern w:val="0"/>
          <w:lang w:val="en-US"/>
        </w:rPr>
        <w:t>&amp; Okoye</w:t>
      </w:r>
      <w:r w:rsidR="00666257">
        <w:rPr>
          <w:rFonts w:ascii="Times New Roman" w:hAnsi="Times New Roman" w:cs="Times New Roman"/>
          <w:kern w:val="0"/>
          <w:lang w:val="en-US"/>
        </w:rPr>
        <w:t>,</w:t>
      </w:r>
      <w:r w:rsidR="00666257" w:rsidRPr="00BA0DF9">
        <w:rPr>
          <w:rFonts w:ascii="Times New Roman" w:hAnsi="Times New Roman" w:cs="Times New Roman"/>
          <w:kern w:val="0"/>
          <w:lang w:val="en-US"/>
        </w:rPr>
        <w:t xml:space="preserve"> 2023)</w:t>
      </w:r>
      <w:r w:rsidRPr="00B05877">
        <w:rPr>
          <w:rFonts w:ascii="Times New Roman" w:hAnsi="Times New Roman" w:cs="Times New Roman"/>
          <w:kern w:val="0"/>
          <w:lang w:val="en-US"/>
        </w:rPr>
        <w:t>. The board of directors’ makeup and performance influence corporate governance quality.</w:t>
      </w:r>
      <w:r>
        <w:rPr>
          <w:rFonts w:ascii="Times New Roman" w:hAnsi="Times New Roman" w:cs="Times New Roman"/>
          <w:kern w:val="0"/>
          <w:lang w:val="en-US"/>
        </w:rPr>
        <w:t xml:space="preserve"> </w:t>
      </w:r>
      <w:r w:rsidRPr="00B05877">
        <w:rPr>
          <w:rFonts w:ascii="Times New Roman" w:hAnsi="Times New Roman" w:cs="Times New Roman"/>
          <w:kern w:val="0"/>
          <w:lang w:val="en-US"/>
        </w:rPr>
        <w:t>Intellectual capital efficiency has become vital for evaluating organizational competitiveness and performance. Intellectual capital includes intangible assets such as relational, structural, and human capital (Shahzad et al., 2023). Effective intellectual capital management boosts innovation, productivity, and long-term sustainability (Sanyaolu et al., 2022).</w:t>
      </w:r>
    </w:p>
    <w:p w14:paraId="3A3FA1D6" w14:textId="50141271" w:rsidR="00B05877" w:rsidRDefault="00B05877" w:rsidP="0078149A">
      <w:pPr>
        <w:spacing w:after="80" w:line="240" w:lineRule="auto"/>
        <w:jc w:val="both"/>
        <w:rPr>
          <w:rFonts w:ascii="Times New Roman" w:hAnsi="Times New Roman" w:cs="Times New Roman"/>
          <w:kern w:val="0"/>
          <w:lang w:val="en-US"/>
        </w:rPr>
      </w:pPr>
      <w:r w:rsidRPr="00B05877">
        <w:rPr>
          <w:rFonts w:ascii="Times New Roman" w:hAnsi="Times New Roman" w:cs="Times New Roman"/>
          <w:kern w:val="0"/>
          <w:lang w:val="en-US"/>
        </w:rPr>
        <w:t xml:space="preserve">Board attributes significantly impact organizational efficacy, decision-making, and strategic direction. Key predictors of board success include size, independence, gender diversity, and </w:t>
      </w:r>
      <w:r w:rsidR="00666257">
        <w:rPr>
          <w:rFonts w:ascii="Times New Roman" w:hAnsi="Times New Roman" w:cs="Times New Roman"/>
          <w:kern w:val="0"/>
          <w:lang w:val="en-US"/>
        </w:rPr>
        <w:t>meeting frequency (</w:t>
      </w:r>
      <w:r w:rsidR="00666257" w:rsidRPr="00BA0DF9">
        <w:rPr>
          <w:rFonts w:ascii="Times New Roman" w:hAnsi="Times New Roman" w:cs="Times New Roman"/>
        </w:rPr>
        <w:t>Oktaviana &amp; Setiawan</w:t>
      </w:r>
      <w:r w:rsidR="00666257">
        <w:rPr>
          <w:rFonts w:ascii="Times New Roman" w:hAnsi="Times New Roman" w:cs="Times New Roman"/>
          <w:lang w:val="en-US"/>
        </w:rPr>
        <w:t xml:space="preserve">, </w:t>
      </w:r>
      <w:r w:rsidR="00666257" w:rsidRPr="00BA0DF9">
        <w:rPr>
          <w:rFonts w:ascii="Times New Roman" w:hAnsi="Times New Roman" w:cs="Times New Roman"/>
        </w:rPr>
        <w:t>(2022</w:t>
      </w:r>
      <w:r w:rsidRPr="00B05877">
        <w:rPr>
          <w:rFonts w:ascii="Times New Roman" w:hAnsi="Times New Roman" w:cs="Times New Roman"/>
          <w:kern w:val="0"/>
          <w:lang w:val="en-US"/>
        </w:rPr>
        <w:t>. Larger boards may face coordination issues, while board independence, indicated by non-executive directors, enhances oversight and accountability (Aslam &amp; Haron, 2020). Gender diversity fosters creativity (Adams &amp; Ferreira, 2009), and frequent, high-quality meetings indicate board commitment (Gillan &amp; Starks, 2000).</w:t>
      </w:r>
    </w:p>
    <w:p w14:paraId="43E95F56" w14:textId="19BB7B25" w:rsidR="00D511F3" w:rsidRPr="00D511F3" w:rsidRDefault="00D511F3" w:rsidP="0078149A">
      <w:pPr>
        <w:spacing w:after="80" w:line="240" w:lineRule="auto"/>
        <w:jc w:val="both"/>
        <w:rPr>
          <w:rFonts w:ascii="Times New Roman" w:hAnsi="Times New Roman" w:cs="Times New Roman"/>
          <w:kern w:val="0"/>
          <w:lang w:val="en-US"/>
        </w:rPr>
      </w:pPr>
      <w:r w:rsidRPr="00D511F3">
        <w:rPr>
          <w:rFonts w:ascii="Times New Roman" w:hAnsi="Times New Roman" w:cs="Times New Roman"/>
          <w:kern w:val="0"/>
          <w:lang w:val="en-US"/>
        </w:rPr>
        <w:t xml:space="preserve">However, optimizing board attributes to enhance intellectual capital efficiency poses a significant challenge for these firms. Determining the optimal board size is crucial for effective governance </w:t>
      </w:r>
      <w:r w:rsidRPr="00D511F3">
        <w:rPr>
          <w:rFonts w:ascii="Times New Roman" w:hAnsi="Times New Roman" w:cs="Times New Roman"/>
          <w:kern w:val="0"/>
          <w:lang w:val="en-US"/>
        </w:rPr>
        <w:lastRenderedPageBreak/>
        <w:t xml:space="preserve">and strategic oversight. A large board can lead to inefficiencies and slower decision-making, while a smaller board may face expertise diversity, and perspectives. Companies such as Dangote Cement and Nigerian Breweries have faced issues with </w:t>
      </w:r>
      <w:r w:rsidR="00AB0591">
        <w:rPr>
          <w:rFonts w:ascii="Times New Roman" w:hAnsi="Times New Roman" w:cs="Times New Roman"/>
          <w:kern w:val="0"/>
          <w:lang w:val="en-US"/>
        </w:rPr>
        <w:t xml:space="preserve">low </w:t>
      </w:r>
      <w:r w:rsidRPr="00D511F3">
        <w:rPr>
          <w:rFonts w:ascii="Times New Roman" w:hAnsi="Times New Roman" w:cs="Times New Roman"/>
          <w:kern w:val="0"/>
          <w:lang w:val="en-US"/>
        </w:rPr>
        <w:t xml:space="preserve">board size </w:t>
      </w:r>
      <w:r w:rsidR="00AB0591">
        <w:rPr>
          <w:rFonts w:ascii="Times New Roman" w:hAnsi="Times New Roman" w:cs="Times New Roman"/>
          <w:kern w:val="0"/>
          <w:lang w:val="en-US"/>
        </w:rPr>
        <w:t>that may af</w:t>
      </w:r>
      <w:r w:rsidRPr="00D511F3">
        <w:rPr>
          <w:rFonts w:ascii="Times New Roman" w:hAnsi="Times New Roman" w:cs="Times New Roman"/>
          <w:kern w:val="0"/>
          <w:lang w:val="en-US"/>
        </w:rPr>
        <w:t>fect their decision-making processes and ove</w:t>
      </w:r>
      <w:r w:rsidR="00AB0591">
        <w:rPr>
          <w:rFonts w:ascii="Times New Roman" w:hAnsi="Times New Roman" w:cs="Times New Roman"/>
          <w:kern w:val="0"/>
          <w:lang w:val="en-US"/>
        </w:rPr>
        <w:t>rall efficiency</w:t>
      </w:r>
      <w:r w:rsidRPr="00D511F3">
        <w:rPr>
          <w:rFonts w:ascii="Times New Roman" w:hAnsi="Times New Roman" w:cs="Times New Roman"/>
          <w:kern w:val="0"/>
          <w:lang w:val="en-US"/>
        </w:rPr>
        <w:t>.</w:t>
      </w:r>
    </w:p>
    <w:p w14:paraId="6AFB3FA1" w14:textId="42270A96" w:rsidR="00D511F3" w:rsidRPr="00D511F3" w:rsidRDefault="00D511F3" w:rsidP="0078149A">
      <w:pPr>
        <w:spacing w:after="80" w:line="240" w:lineRule="auto"/>
        <w:jc w:val="both"/>
        <w:rPr>
          <w:rFonts w:ascii="Times New Roman" w:hAnsi="Times New Roman" w:cs="Times New Roman"/>
          <w:kern w:val="0"/>
          <w:lang w:val="en-US"/>
        </w:rPr>
      </w:pPr>
      <w:r w:rsidRPr="00D511F3">
        <w:rPr>
          <w:rFonts w:ascii="Times New Roman" w:hAnsi="Times New Roman" w:cs="Times New Roman"/>
          <w:kern w:val="0"/>
          <w:lang w:val="en-US"/>
        </w:rPr>
        <w:t xml:space="preserve">In addition, board independence is another critical attribute, as independent directors are expected to provide unbiased oversight and enhance governance quality. However, striking the right balance between independent and executive directors to ensure effective oversight without stifling strategic agility remains a challenge. Firms like Nestlé Nigeria </w:t>
      </w:r>
      <w:r w:rsidR="00AB0591">
        <w:rPr>
          <w:rFonts w:ascii="Times New Roman" w:hAnsi="Times New Roman" w:cs="Times New Roman"/>
          <w:kern w:val="0"/>
          <w:lang w:val="en-US"/>
        </w:rPr>
        <w:t xml:space="preserve">still faced </w:t>
      </w:r>
      <w:r w:rsidRPr="00D511F3">
        <w:rPr>
          <w:rFonts w:ascii="Times New Roman" w:hAnsi="Times New Roman" w:cs="Times New Roman"/>
          <w:kern w:val="0"/>
          <w:lang w:val="en-US"/>
        </w:rPr>
        <w:t xml:space="preserve">with </w:t>
      </w:r>
      <w:r w:rsidR="00AB0591">
        <w:rPr>
          <w:rFonts w:ascii="Times New Roman" w:hAnsi="Times New Roman" w:cs="Times New Roman"/>
          <w:kern w:val="0"/>
          <w:lang w:val="en-US"/>
        </w:rPr>
        <w:t xml:space="preserve">low </w:t>
      </w:r>
      <w:r w:rsidRPr="00D511F3">
        <w:rPr>
          <w:rFonts w:ascii="Times New Roman" w:hAnsi="Times New Roman" w:cs="Times New Roman"/>
          <w:kern w:val="0"/>
          <w:lang w:val="en-US"/>
        </w:rPr>
        <w:t>board independence to balance effective oversight with strategic responsiveness (Okeke</w:t>
      </w:r>
      <w:r w:rsidR="00B76B77">
        <w:rPr>
          <w:rFonts w:ascii="Times New Roman" w:hAnsi="Times New Roman" w:cs="Times New Roman"/>
          <w:kern w:val="0"/>
          <w:lang w:val="en-US"/>
        </w:rPr>
        <w:t xml:space="preserve"> et al.</w:t>
      </w:r>
      <w:r w:rsidRPr="00D511F3">
        <w:rPr>
          <w:rFonts w:ascii="Times New Roman" w:hAnsi="Times New Roman" w:cs="Times New Roman"/>
          <w:kern w:val="0"/>
          <w:lang w:val="en-US"/>
        </w:rPr>
        <w:t>, 2023).</w:t>
      </w:r>
    </w:p>
    <w:p w14:paraId="0E69B2EE" w14:textId="77777777" w:rsidR="008F5034" w:rsidRDefault="00D511F3" w:rsidP="0078149A">
      <w:pPr>
        <w:spacing w:after="120" w:line="240" w:lineRule="auto"/>
        <w:jc w:val="both"/>
        <w:rPr>
          <w:rFonts w:ascii="Times New Roman" w:hAnsi="Times New Roman" w:cs="Times New Roman"/>
          <w:kern w:val="0"/>
          <w:lang w:val="en-US"/>
        </w:rPr>
      </w:pPr>
      <w:r w:rsidRPr="00D511F3">
        <w:rPr>
          <w:rFonts w:ascii="Times New Roman" w:hAnsi="Times New Roman" w:cs="Times New Roman"/>
          <w:kern w:val="0"/>
          <w:lang w:val="en-US"/>
        </w:rPr>
        <w:t xml:space="preserve">Furthermore, increasing gender diversity on boards is associated with diverse perspectives and better decision-making. Yet, many firms struggle to </w:t>
      </w:r>
      <w:r w:rsidR="00AB0591">
        <w:rPr>
          <w:rFonts w:ascii="Times New Roman" w:hAnsi="Times New Roman" w:cs="Times New Roman"/>
          <w:kern w:val="0"/>
          <w:lang w:val="en-US"/>
        </w:rPr>
        <w:t xml:space="preserve">have female </w:t>
      </w:r>
      <w:r w:rsidRPr="00D511F3">
        <w:rPr>
          <w:rFonts w:ascii="Times New Roman" w:hAnsi="Times New Roman" w:cs="Times New Roman"/>
          <w:kern w:val="0"/>
          <w:lang w:val="en-US"/>
        </w:rPr>
        <w:t xml:space="preserve">gender representation, which can limit their intellectual capital development. Companies such as Nigerian Breweries, Honeywell, and Flour Mill have encountered challenges in </w:t>
      </w:r>
      <w:r w:rsidR="00AB0591">
        <w:rPr>
          <w:rFonts w:ascii="Times New Roman" w:hAnsi="Times New Roman" w:cs="Times New Roman"/>
          <w:kern w:val="0"/>
          <w:lang w:val="en-US"/>
        </w:rPr>
        <w:t xml:space="preserve">have female </w:t>
      </w:r>
      <w:r w:rsidRPr="00D511F3">
        <w:rPr>
          <w:rFonts w:ascii="Times New Roman" w:hAnsi="Times New Roman" w:cs="Times New Roman"/>
          <w:kern w:val="0"/>
          <w:lang w:val="en-US"/>
        </w:rPr>
        <w:t>gender on their boards to enhance intellectual capital and overall performance (Nwachukwu &amp; Chladkova, 2023).</w:t>
      </w:r>
      <w:r w:rsidR="00AB0591">
        <w:rPr>
          <w:rFonts w:ascii="Times New Roman" w:hAnsi="Times New Roman" w:cs="Times New Roman"/>
          <w:kern w:val="0"/>
          <w:lang w:val="en-US"/>
        </w:rPr>
        <w:t xml:space="preserve"> </w:t>
      </w:r>
      <w:r w:rsidRPr="00D511F3">
        <w:rPr>
          <w:rFonts w:ascii="Times New Roman" w:hAnsi="Times New Roman" w:cs="Times New Roman"/>
          <w:kern w:val="0"/>
          <w:lang w:val="en-US"/>
        </w:rPr>
        <w:t>Additionally, the frequency of board meetings can significantly influence the effectiveness of governance and strategic oversight. While too frequent meetings can lead to decision fatigue, infrequent meetings may result in inadequate oversight. Firms like Dangote Cement, champion Breweries, and Nigerian Breweries, have historically faced challenges in determining the optimal frequency of board meetings to ensure effective governance and strategic oversight (Egbunike &amp; Okoye, 2023).</w:t>
      </w:r>
    </w:p>
    <w:p w14:paraId="400EC3D7" w14:textId="766778C8" w:rsidR="008F5034" w:rsidRDefault="008F5034" w:rsidP="0078149A">
      <w:pPr>
        <w:spacing w:after="80" w:line="240" w:lineRule="auto"/>
        <w:jc w:val="both"/>
        <w:rPr>
          <w:rFonts w:ascii="Times New Roman" w:hAnsi="Times New Roman" w:cs="Times New Roman"/>
          <w:kern w:val="0"/>
          <w:lang w:val="en-US"/>
        </w:rPr>
      </w:pPr>
      <w:r w:rsidRPr="008F5034">
        <w:rPr>
          <w:rFonts w:ascii="Times New Roman" w:hAnsi="Times New Roman" w:cs="Times New Roman"/>
          <w:kern w:val="0"/>
          <w:lang w:val="en-US"/>
        </w:rPr>
        <w:t>However, previous works have investigated the link between board attributes and ICE and are found to have limitations. For example, Lawal et al. (2022) and Shahzad et al. (2023) examine non-financial and service firms</w:t>
      </w:r>
      <w:r>
        <w:rPr>
          <w:rFonts w:ascii="Times New Roman" w:hAnsi="Times New Roman" w:cs="Times New Roman"/>
          <w:kern w:val="0"/>
          <w:lang w:val="en-US"/>
        </w:rPr>
        <w:t xml:space="preserve">, leaving a gap in understanding </w:t>
      </w:r>
      <w:r w:rsidRPr="008F5034">
        <w:rPr>
          <w:rFonts w:ascii="Times New Roman" w:hAnsi="Times New Roman" w:cs="Times New Roman"/>
          <w:kern w:val="0"/>
          <w:lang w:val="en-US"/>
        </w:rPr>
        <w:t xml:space="preserve">these </w:t>
      </w:r>
      <w:r>
        <w:rPr>
          <w:rFonts w:ascii="Times New Roman" w:hAnsi="Times New Roman" w:cs="Times New Roman"/>
          <w:kern w:val="0"/>
          <w:lang w:val="en-US"/>
        </w:rPr>
        <w:t>effects</w:t>
      </w:r>
      <w:r w:rsidRPr="008F5034">
        <w:rPr>
          <w:rFonts w:ascii="Times New Roman" w:hAnsi="Times New Roman" w:cs="Times New Roman"/>
          <w:kern w:val="0"/>
          <w:lang w:val="en-US"/>
        </w:rPr>
        <w:t xml:space="preserve"> among Nigerian listed manufacturing firms (NLMFs). Furthermore, the previous studies are </w:t>
      </w:r>
      <w:r w:rsidR="0005463B">
        <w:rPr>
          <w:rFonts w:ascii="Times New Roman" w:hAnsi="Times New Roman" w:cs="Times New Roman"/>
          <w:kern w:val="0"/>
          <w:lang w:val="en-US"/>
        </w:rPr>
        <w:t>on</w:t>
      </w:r>
      <w:r w:rsidRPr="008F5034">
        <w:rPr>
          <w:rFonts w:ascii="Times New Roman" w:hAnsi="Times New Roman" w:cs="Times New Roman"/>
          <w:kern w:val="0"/>
          <w:lang w:val="en-US"/>
        </w:rPr>
        <w:t xml:space="preserve"> banking</w:t>
      </w:r>
      <w:r w:rsidR="0005463B">
        <w:rPr>
          <w:rFonts w:ascii="Times New Roman" w:hAnsi="Times New Roman" w:cs="Times New Roman"/>
          <w:kern w:val="0"/>
          <w:lang w:val="en-US"/>
        </w:rPr>
        <w:t xml:space="preserve"> institutions</w:t>
      </w:r>
      <w:r w:rsidRPr="008F5034">
        <w:rPr>
          <w:rFonts w:ascii="Times New Roman" w:hAnsi="Times New Roman" w:cs="Times New Roman"/>
          <w:kern w:val="0"/>
          <w:lang w:val="en-US"/>
        </w:rPr>
        <w:t xml:space="preserve"> in a context that is outside Nigeria, which reduces their relevancy to the manufacturing setting in a developing country. Previous studies have focused on the concept of gender diversity in certain sectors, including Islamic banking (Oktaviana &amp; Setiawan, 2022) and the banking sector in Africa (Asare et al., 2023); therefore, the results differ and depend on the given industry. Meanwhile, other research studies, such as Humairo and Abidin (2024), show low coefficients between gender diversity and ICE; however, these should be investigated deeper within the manufacturing industry. </w:t>
      </w:r>
      <w:r>
        <w:rPr>
          <w:rFonts w:ascii="Times New Roman" w:hAnsi="Times New Roman" w:cs="Times New Roman"/>
          <w:kern w:val="0"/>
          <w:lang w:val="en-US"/>
        </w:rPr>
        <w:t>M</w:t>
      </w:r>
      <w:r w:rsidRPr="008F5034">
        <w:rPr>
          <w:rFonts w:ascii="Times New Roman" w:hAnsi="Times New Roman" w:cs="Times New Roman"/>
          <w:kern w:val="0"/>
          <w:lang w:val="en-US"/>
        </w:rPr>
        <w:t xml:space="preserve">eeting frequency has been associated with ICE in such areas as the Gulf banks (Aljuaidi, 2020) and firms (Attarita et al., 2017). However, these conclusions are not homogeneous across regions and sectors and, therefore, require a detailed examination in NLMFs. </w:t>
      </w:r>
    </w:p>
    <w:p w14:paraId="2D70D551" w14:textId="54C970D0" w:rsidR="008F5034" w:rsidRPr="008F5034" w:rsidRDefault="008F5034" w:rsidP="0078149A">
      <w:pPr>
        <w:spacing w:after="80" w:line="240" w:lineRule="auto"/>
        <w:jc w:val="both"/>
        <w:rPr>
          <w:rFonts w:ascii="Times New Roman" w:hAnsi="Times New Roman" w:cs="Times New Roman"/>
          <w:kern w:val="0"/>
          <w:lang w:val="en-US"/>
        </w:rPr>
      </w:pPr>
      <w:r w:rsidRPr="008F5034">
        <w:rPr>
          <w:rFonts w:ascii="Times New Roman" w:hAnsi="Times New Roman" w:cs="Times New Roman"/>
          <w:kern w:val="0"/>
          <w:lang w:val="en-US"/>
        </w:rPr>
        <w:t>Despite ICE being examined in some studies both qualitatively and quantitatively, there are no clear guidelines on how the various views, including the human, structural, and capital-employed, should be included in the evaluation of ICE. Many literature reviews have considered the Nigerian manufacturing industry in general but</w:t>
      </w:r>
      <w:r w:rsidR="0005463B">
        <w:rPr>
          <w:rFonts w:ascii="Times New Roman" w:hAnsi="Times New Roman" w:cs="Times New Roman"/>
          <w:kern w:val="0"/>
          <w:lang w:val="en-US"/>
        </w:rPr>
        <w:t xml:space="preserve"> have</w:t>
      </w:r>
      <w:r w:rsidRPr="008F5034">
        <w:rPr>
          <w:rFonts w:ascii="Times New Roman" w:hAnsi="Times New Roman" w:cs="Times New Roman"/>
          <w:kern w:val="0"/>
          <w:lang w:val="en-US"/>
        </w:rPr>
        <w:t xml:space="preserve"> not looked into specific functions and associated challenges coupled</w:t>
      </w:r>
      <w:r>
        <w:rPr>
          <w:rFonts w:ascii="Times New Roman" w:hAnsi="Times New Roman" w:cs="Times New Roman"/>
          <w:kern w:val="0"/>
          <w:lang w:val="en-US"/>
        </w:rPr>
        <w:t xml:space="preserve"> with sector-specific factors. R</w:t>
      </w:r>
      <w:r w:rsidRPr="008F5034">
        <w:rPr>
          <w:rFonts w:ascii="Times New Roman" w:hAnsi="Times New Roman" w:cs="Times New Roman"/>
          <w:kern w:val="0"/>
          <w:lang w:val="en-US"/>
        </w:rPr>
        <w:t xml:space="preserve">esearch, therefore, sector-specific peculiarities have been considered in their entirety to determine their exact </w:t>
      </w:r>
      <w:r>
        <w:rPr>
          <w:rFonts w:ascii="Times New Roman" w:hAnsi="Times New Roman" w:cs="Times New Roman"/>
          <w:kern w:val="0"/>
          <w:lang w:val="en-US"/>
        </w:rPr>
        <w:t xml:space="preserve">effect </w:t>
      </w:r>
      <w:r w:rsidRPr="008F5034">
        <w:rPr>
          <w:rFonts w:ascii="Times New Roman" w:hAnsi="Times New Roman" w:cs="Times New Roman"/>
          <w:kern w:val="0"/>
          <w:lang w:val="en-US"/>
        </w:rPr>
        <w:t>on the manufacturing industry in Nigeria.</w:t>
      </w:r>
    </w:p>
    <w:p w14:paraId="5CB43F8B" w14:textId="0C26E798" w:rsidR="008F5034" w:rsidRPr="008F5034" w:rsidRDefault="008F5034" w:rsidP="0078149A">
      <w:pPr>
        <w:spacing w:after="80" w:line="240" w:lineRule="auto"/>
        <w:jc w:val="both"/>
        <w:rPr>
          <w:rFonts w:ascii="Times New Roman" w:hAnsi="Times New Roman" w:cs="Times New Roman"/>
          <w:kern w:val="0"/>
          <w:lang w:val="en-US"/>
        </w:rPr>
      </w:pPr>
      <w:r>
        <w:rPr>
          <w:rFonts w:ascii="Times New Roman" w:hAnsi="Times New Roman" w:cs="Times New Roman"/>
          <w:kern w:val="0"/>
          <w:lang w:val="en-US"/>
        </w:rPr>
        <w:t xml:space="preserve">To fill these gaps, this study </w:t>
      </w:r>
      <w:r w:rsidRPr="008F5034">
        <w:rPr>
          <w:rFonts w:ascii="Times New Roman" w:hAnsi="Times New Roman" w:cs="Times New Roman"/>
          <w:kern w:val="0"/>
          <w:lang w:val="en-US"/>
        </w:rPr>
        <w:t>analyzes</w:t>
      </w:r>
      <w:r>
        <w:rPr>
          <w:rFonts w:ascii="Times New Roman" w:hAnsi="Times New Roman" w:cs="Times New Roman"/>
          <w:kern w:val="0"/>
          <w:lang w:val="en-US"/>
        </w:rPr>
        <w:t xml:space="preserve"> </w:t>
      </w:r>
      <w:r w:rsidRPr="008F5034">
        <w:rPr>
          <w:rFonts w:ascii="Times New Roman" w:hAnsi="Times New Roman" w:cs="Times New Roman"/>
          <w:kern w:val="0"/>
          <w:lang w:val="en-US"/>
        </w:rPr>
        <w:t>board attributes and ICE in NLMFs between the years 2013 and 2022 while embracing a broad ICE model and being limited to geographic and sectoral generalizability of past research.</w:t>
      </w:r>
    </w:p>
    <w:p w14:paraId="3F64922D" w14:textId="37E7F8DC" w:rsidR="005058CD" w:rsidRDefault="005058CD" w:rsidP="0078149A">
      <w:pPr>
        <w:spacing w:after="80" w:line="240" w:lineRule="auto"/>
        <w:jc w:val="both"/>
        <w:rPr>
          <w:rFonts w:ascii="Times New Roman" w:hAnsi="Times New Roman" w:cs="Times New Roman"/>
          <w:kern w:val="0"/>
          <w:lang w:val="en-US"/>
        </w:rPr>
      </w:pPr>
      <w:r>
        <w:rPr>
          <w:rFonts w:ascii="Times New Roman" w:hAnsi="Times New Roman" w:cs="Times New Roman"/>
          <w:kern w:val="0"/>
          <w:lang w:val="en-US"/>
        </w:rPr>
        <w:t xml:space="preserve">This study specific objectives is to: </w:t>
      </w:r>
    </w:p>
    <w:p w14:paraId="216AD7C2" w14:textId="6545AA47" w:rsidR="0077752F" w:rsidRPr="0077752F" w:rsidRDefault="005058CD" w:rsidP="0078149A">
      <w:pPr>
        <w:spacing w:after="80" w:line="240" w:lineRule="auto"/>
        <w:ind w:left="270" w:hanging="270"/>
        <w:jc w:val="both"/>
        <w:rPr>
          <w:rFonts w:ascii="Times New Roman" w:hAnsi="Times New Roman" w:cs="Times New Roman"/>
          <w:kern w:val="0"/>
          <w:lang w:val="en-US"/>
          <w14:ligatures w14:val="none"/>
        </w:rPr>
      </w:pPr>
      <w:r>
        <w:rPr>
          <w:rFonts w:ascii="Times New Roman" w:hAnsi="Times New Roman" w:cs="Times New Roman"/>
          <w:kern w:val="0"/>
          <w:lang w:val="en-US"/>
          <w14:ligatures w14:val="none"/>
        </w:rPr>
        <w:t>i</w:t>
      </w:r>
      <w:r w:rsidR="0077752F" w:rsidRPr="0077752F">
        <w:t xml:space="preserve"> </w:t>
      </w:r>
      <w:r w:rsidR="0077752F" w:rsidRPr="0077752F">
        <w:rPr>
          <w:rFonts w:ascii="Times New Roman" w:hAnsi="Times New Roman" w:cs="Times New Roman"/>
          <w:kern w:val="0"/>
          <w:lang w:val="en-US"/>
          <w14:ligatures w14:val="none"/>
        </w:rPr>
        <w:t xml:space="preserve">Examine </w:t>
      </w:r>
      <w:r w:rsidR="00B571FC">
        <w:rPr>
          <w:rFonts w:ascii="Times New Roman" w:hAnsi="Times New Roman" w:cs="Times New Roman"/>
          <w:kern w:val="0"/>
          <w:lang w:val="en-US"/>
          <w14:ligatures w14:val="none"/>
        </w:rPr>
        <w:t xml:space="preserve">the effect of board </w:t>
      </w:r>
      <w:r w:rsidR="0077752F" w:rsidRPr="0077752F">
        <w:rPr>
          <w:rFonts w:ascii="Times New Roman" w:hAnsi="Times New Roman" w:cs="Times New Roman"/>
          <w:kern w:val="0"/>
          <w:lang w:val="en-US"/>
          <w14:ligatures w14:val="none"/>
        </w:rPr>
        <w:t xml:space="preserve">size </w:t>
      </w:r>
      <w:r w:rsidR="00B571FC">
        <w:rPr>
          <w:rFonts w:ascii="Times New Roman" w:hAnsi="Times New Roman" w:cs="Times New Roman"/>
          <w:kern w:val="0"/>
          <w:lang w:val="en-US"/>
          <w14:ligatures w14:val="none"/>
        </w:rPr>
        <w:t xml:space="preserve">on </w:t>
      </w:r>
      <w:r w:rsidR="0077752F" w:rsidRPr="0077752F">
        <w:rPr>
          <w:rFonts w:ascii="Times New Roman" w:hAnsi="Times New Roman" w:cs="Times New Roman"/>
          <w:kern w:val="0"/>
          <w:lang w:val="en-US"/>
          <w14:ligatures w14:val="none"/>
        </w:rPr>
        <w:t xml:space="preserve">intellectual capital </w:t>
      </w:r>
      <w:r w:rsidR="00B571FC">
        <w:rPr>
          <w:rFonts w:ascii="Times New Roman" w:hAnsi="Times New Roman" w:cs="Times New Roman"/>
          <w:kern w:val="0"/>
          <w:lang w:val="en-US"/>
          <w14:ligatures w14:val="none"/>
        </w:rPr>
        <w:t xml:space="preserve">efficiency of </w:t>
      </w:r>
      <w:r w:rsidR="0077752F" w:rsidRPr="0077752F">
        <w:rPr>
          <w:rFonts w:ascii="Times New Roman" w:hAnsi="Times New Roman" w:cs="Times New Roman"/>
          <w:kern w:val="0"/>
          <w:lang w:val="en-US"/>
          <w14:ligatures w14:val="none"/>
        </w:rPr>
        <w:t>manufacturing firms listed in Nigeria.</w:t>
      </w:r>
    </w:p>
    <w:p w14:paraId="1AE403A6" w14:textId="4A30FD8D" w:rsidR="0077752F" w:rsidRPr="0077752F" w:rsidRDefault="0077752F" w:rsidP="0078149A">
      <w:pPr>
        <w:spacing w:after="80" w:line="240" w:lineRule="auto"/>
        <w:ind w:left="270" w:hanging="270"/>
        <w:jc w:val="both"/>
        <w:rPr>
          <w:rFonts w:ascii="Times New Roman" w:hAnsi="Times New Roman" w:cs="Times New Roman"/>
          <w:kern w:val="0"/>
          <w:lang w:val="en-US"/>
          <w14:ligatures w14:val="none"/>
        </w:rPr>
      </w:pPr>
      <w:r w:rsidRPr="0077752F">
        <w:rPr>
          <w:rFonts w:ascii="Times New Roman" w:hAnsi="Times New Roman" w:cs="Times New Roman"/>
          <w:kern w:val="0"/>
          <w:lang w:val="en-US"/>
          <w14:ligatures w14:val="none"/>
        </w:rPr>
        <w:lastRenderedPageBreak/>
        <w:t xml:space="preserve">ii. </w:t>
      </w:r>
      <w:r w:rsidR="00B571FC">
        <w:rPr>
          <w:rFonts w:ascii="Times New Roman" w:hAnsi="Times New Roman" w:cs="Times New Roman"/>
          <w:kern w:val="0"/>
          <w:lang w:val="en-US"/>
          <w14:ligatures w14:val="none"/>
        </w:rPr>
        <w:t>Investigate</w:t>
      </w:r>
      <w:r w:rsidR="00B571FC" w:rsidRPr="0077752F">
        <w:rPr>
          <w:rFonts w:ascii="Times New Roman" w:hAnsi="Times New Roman" w:cs="Times New Roman"/>
          <w:kern w:val="0"/>
          <w:lang w:val="en-US"/>
          <w14:ligatures w14:val="none"/>
        </w:rPr>
        <w:t xml:space="preserve"> </w:t>
      </w:r>
      <w:r w:rsidR="00B571FC">
        <w:rPr>
          <w:rFonts w:ascii="Times New Roman" w:hAnsi="Times New Roman" w:cs="Times New Roman"/>
          <w:kern w:val="0"/>
          <w:lang w:val="en-US"/>
          <w14:ligatures w14:val="none"/>
        </w:rPr>
        <w:t>the effect of board independence</w:t>
      </w:r>
      <w:r w:rsidR="00B571FC" w:rsidRPr="0077752F">
        <w:rPr>
          <w:rFonts w:ascii="Times New Roman" w:hAnsi="Times New Roman" w:cs="Times New Roman"/>
          <w:kern w:val="0"/>
          <w:lang w:val="en-US"/>
          <w14:ligatures w14:val="none"/>
        </w:rPr>
        <w:t xml:space="preserve"> </w:t>
      </w:r>
      <w:r w:rsidR="00B571FC">
        <w:rPr>
          <w:rFonts w:ascii="Times New Roman" w:hAnsi="Times New Roman" w:cs="Times New Roman"/>
          <w:kern w:val="0"/>
          <w:lang w:val="en-US"/>
          <w14:ligatures w14:val="none"/>
        </w:rPr>
        <w:t xml:space="preserve">on </w:t>
      </w:r>
      <w:r w:rsidR="00B571FC" w:rsidRPr="0077752F">
        <w:rPr>
          <w:rFonts w:ascii="Times New Roman" w:hAnsi="Times New Roman" w:cs="Times New Roman"/>
          <w:kern w:val="0"/>
          <w:lang w:val="en-US"/>
          <w14:ligatures w14:val="none"/>
        </w:rPr>
        <w:t xml:space="preserve">intellectual capital </w:t>
      </w:r>
      <w:r w:rsidR="00B571FC">
        <w:rPr>
          <w:rFonts w:ascii="Times New Roman" w:hAnsi="Times New Roman" w:cs="Times New Roman"/>
          <w:kern w:val="0"/>
          <w:lang w:val="en-US"/>
          <w14:ligatures w14:val="none"/>
        </w:rPr>
        <w:t>efficiency of</w:t>
      </w:r>
      <w:r w:rsidRPr="0077752F">
        <w:rPr>
          <w:rFonts w:ascii="Times New Roman" w:hAnsi="Times New Roman" w:cs="Times New Roman"/>
          <w:kern w:val="0"/>
          <w:lang w:val="en-US"/>
          <w14:ligatures w14:val="none"/>
        </w:rPr>
        <w:t xml:space="preserve"> in Nigerian</w:t>
      </w:r>
      <w:r>
        <w:rPr>
          <w:rFonts w:ascii="Times New Roman" w:hAnsi="Times New Roman" w:cs="Times New Roman"/>
          <w:kern w:val="0"/>
          <w:lang w:val="en-US"/>
          <w14:ligatures w14:val="none"/>
        </w:rPr>
        <w:t>-</w:t>
      </w:r>
      <w:r w:rsidRPr="0077752F">
        <w:rPr>
          <w:rFonts w:ascii="Times New Roman" w:hAnsi="Times New Roman" w:cs="Times New Roman"/>
          <w:kern w:val="0"/>
          <w:lang w:val="en-US"/>
          <w14:ligatures w14:val="none"/>
        </w:rPr>
        <w:t xml:space="preserve">listed manufacturing companies. </w:t>
      </w:r>
    </w:p>
    <w:p w14:paraId="386CA66F" w14:textId="12DD704C" w:rsidR="0077752F" w:rsidRPr="0077752F" w:rsidRDefault="0077752F" w:rsidP="0078149A">
      <w:pPr>
        <w:spacing w:after="80" w:line="240" w:lineRule="auto"/>
        <w:ind w:left="270" w:hanging="270"/>
        <w:jc w:val="both"/>
        <w:rPr>
          <w:rFonts w:ascii="Times New Roman" w:hAnsi="Times New Roman" w:cs="Times New Roman"/>
          <w:kern w:val="0"/>
          <w:lang w:val="en-US"/>
          <w14:ligatures w14:val="none"/>
        </w:rPr>
      </w:pPr>
      <w:r w:rsidRPr="0077752F">
        <w:rPr>
          <w:rFonts w:ascii="Times New Roman" w:hAnsi="Times New Roman" w:cs="Times New Roman"/>
          <w:kern w:val="0"/>
          <w:lang w:val="en-US"/>
          <w14:ligatures w14:val="none"/>
        </w:rPr>
        <w:t xml:space="preserve">iii. </w:t>
      </w:r>
      <w:r w:rsidR="006E12E8">
        <w:rPr>
          <w:rFonts w:ascii="Times New Roman" w:hAnsi="Times New Roman" w:cs="Times New Roman"/>
          <w:kern w:val="0"/>
          <w:lang w:val="en-US"/>
          <w14:ligatures w14:val="none"/>
        </w:rPr>
        <w:t>Assess</w:t>
      </w:r>
      <w:r w:rsidR="00B571FC" w:rsidRPr="0077752F">
        <w:rPr>
          <w:rFonts w:ascii="Times New Roman" w:hAnsi="Times New Roman" w:cs="Times New Roman"/>
          <w:kern w:val="0"/>
          <w:lang w:val="en-US"/>
          <w14:ligatures w14:val="none"/>
        </w:rPr>
        <w:t xml:space="preserve"> </w:t>
      </w:r>
      <w:r w:rsidR="00B571FC">
        <w:rPr>
          <w:rFonts w:ascii="Times New Roman" w:hAnsi="Times New Roman" w:cs="Times New Roman"/>
          <w:kern w:val="0"/>
          <w:lang w:val="en-US"/>
          <w14:ligatures w14:val="none"/>
        </w:rPr>
        <w:t xml:space="preserve">the effect of board </w:t>
      </w:r>
      <w:r w:rsidR="006E12E8">
        <w:rPr>
          <w:rFonts w:ascii="Times New Roman" w:hAnsi="Times New Roman" w:cs="Times New Roman"/>
          <w:kern w:val="0"/>
          <w:lang w:val="en-US"/>
          <w14:ligatures w14:val="none"/>
        </w:rPr>
        <w:t>gender diversity</w:t>
      </w:r>
      <w:r w:rsidR="00B571FC" w:rsidRPr="0077752F">
        <w:rPr>
          <w:rFonts w:ascii="Times New Roman" w:hAnsi="Times New Roman" w:cs="Times New Roman"/>
          <w:kern w:val="0"/>
          <w:lang w:val="en-US"/>
          <w14:ligatures w14:val="none"/>
        </w:rPr>
        <w:t xml:space="preserve"> </w:t>
      </w:r>
      <w:r w:rsidR="00B571FC">
        <w:rPr>
          <w:rFonts w:ascii="Times New Roman" w:hAnsi="Times New Roman" w:cs="Times New Roman"/>
          <w:kern w:val="0"/>
          <w:lang w:val="en-US"/>
          <w14:ligatures w14:val="none"/>
        </w:rPr>
        <w:t xml:space="preserve">on </w:t>
      </w:r>
      <w:r w:rsidR="00B571FC" w:rsidRPr="0077752F">
        <w:rPr>
          <w:rFonts w:ascii="Times New Roman" w:hAnsi="Times New Roman" w:cs="Times New Roman"/>
          <w:kern w:val="0"/>
          <w:lang w:val="en-US"/>
          <w14:ligatures w14:val="none"/>
        </w:rPr>
        <w:t xml:space="preserve">intellectual capital </w:t>
      </w:r>
      <w:r w:rsidR="00B571FC">
        <w:rPr>
          <w:rFonts w:ascii="Times New Roman" w:hAnsi="Times New Roman" w:cs="Times New Roman"/>
          <w:kern w:val="0"/>
          <w:lang w:val="en-US"/>
          <w14:ligatures w14:val="none"/>
        </w:rPr>
        <w:t>efficiency of</w:t>
      </w:r>
      <w:r w:rsidRPr="0077752F">
        <w:rPr>
          <w:rFonts w:ascii="Times New Roman" w:hAnsi="Times New Roman" w:cs="Times New Roman"/>
          <w:kern w:val="0"/>
          <w:lang w:val="en-US"/>
          <w14:ligatures w14:val="none"/>
        </w:rPr>
        <w:t xml:space="preserve"> Nigerian</w:t>
      </w:r>
      <w:r>
        <w:rPr>
          <w:rFonts w:ascii="Times New Roman" w:hAnsi="Times New Roman" w:cs="Times New Roman"/>
          <w:kern w:val="0"/>
          <w:lang w:val="en-US"/>
          <w14:ligatures w14:val="none"/>
        </w:rPr>
        <w:t>-</w:t>
      </w:r>
      <w:r w:rsidRPr="0077752F">
        <w:rPr>
          <w:rFonts w:ascii="Times New Roman" w:hAnsi="Times New Roman" w:cs="Times New Roman"/>
          <w:kern w:val="0"/>
          <w:lang w:val="en-US"/>
          <w14:ligatures w14:val="none"/>
        </w:rPr>
        <w:t xml:space="preserve">listed manufacturing companies. </w:t>
      </w:r>
    </w:p>
    <w:p w14:paraId="4130856B" w14:textId="15F1E01D" w:rsidR="005058CD" w:rsidRPr="005058CD" w:rsidRDefault="0077752F" w:rsidP="0078149A">
      <w:pPr>
        <w:spacing w:after="80" w:line="240" w:lineRule="auto"/>
        <w:ind w:left="270" w:hanging="270"/>
        <w:jc w:val="both"/>
        <w:rPr>
          <w:rFonts w:ascii="Times New Roman" w:hAnsi="Times New Roman" w:cs="Times New Roman"/>
          <w:kern w:val="0"/>
          <w:lang w:val="en-US"/>
          <w14:ligatures w14:val="none"/>
        </w:rPr>
      </w:pPr>
      <w:r w:rsidRPr="0077752F">
        <w:rPr>
          <w:rFonts w:ascii="Times New Roman" w:hAnsi="Times New Roman" w:cs="Times New Roman"/>
          <w:kern w:val="0"/>
          <w:lang w:val="en-US"/>
          <w14:ligatures w14:val="none"/>
        </w:rPr>
        <w:t>i</w:t>
      </w:r>
      <w:r>
        <w:rPr>
          <w:rFonts w:ascii="Times New Roman" w:hAnsi="Times New Roman" w:cs="Times New Roman"/>
          <w:kern w:val="0"/>
          <w:lang w:val="en-US"/>
          <w14:ligatures w14:val="none"/>
        </w:rPr>
        <w:t>v</w:t>
      </w:r>
      <w:r w:rsidRPr="0077752F">
        <w:rPr>
          <w:rFonts w:ascii="Times New Roman" w:hAnsi="Times New Roman" w:cs="Times New Roman"/>
          <w:kern w:val="0"/>
          <w:lang w:val="en-US"/>
          <w14:ligatures w14:val="none"/>
        </w:rPr>
        <w:t xml:space="preserve">. </w:t>
      </w:r>
      <w:r w:rsidR="006E12E8">
        <w:rPr>
          <w:rFonts w:ascii="Times New Roman" w:hAnsi="Times New Roman" w:cs="Times New Roman"/>
          <w:kern w:val="0"/>
          <w:lang w:val="en-US"/>
          <w14:ligatures w14:val="none"/>
        </w:rPr>
        <w:t>Evaluate</w:t>
      </w:r>
      <w:r w:rsidR="006E12E8" w:rsidRPr="0077752F">
        <w:rPr>
          <w:rFonts w:ascii="Times New Roman" w:hAnsi="Times New Roman" w:cs="Times New Roman"/>
          <w:kern w:val="0"/>
          <w:lang w:val="en-US"/>
          <w14:ligatures w14:val="none"/>
        </w:rPr>
        <w:t xml:space="preserve"> </w:t>
      </w:r>
      <w:r w:rsidR="006E12E8">
        <w:rPr>
          <w:rFonts w:ascii="Times New Roman" w:hAnsi="Times New Roman" w:cs="Times New Roman"/>
          <w:kern w:val="0"/>
          <w:lang w:val="en-US"/>
          <w14:ligatures w14:val="none"/>
        </w:rPr>
        <w:t>the effect of board meetings</w:t>
      </w:r>
      <w:r w:rsidR="006E12E8" w:rsidRPr="0077752F">
        <w:rPr>
          <w:rFonts w:ascii="Times New Roman" w:hAnsi="Times New Roman" w:cs="Times New Roman"/>
          <w:kern w:val="0"/>
          <w:lang w:val="en-US"/>
          <w14:ligatures w14:val="none"/>
        </w:rPr>
        <w:t xml:space="preserve"> </w:t>
      </w:r>
      <w:r w:rsidR="006E12E8">
        <w:rPr>
          <w:rFonts w:ascii="Times New Roman" w:hAnsi="Times New Roman" w:cs="Times New Roman"/>
          <w:kern w:val="0"/>
          <w:lang w:val="en-US"/>
          <w14:ligatures w14:val="none"/>
        </w:rPr>
        <w:t xml:space="preserve">on </w:t>
      </w:r>
      <w:r w:rsidR="006E12E8" w:rsidRPr="0077752F">
        <w:rPr>
          <w:rFonts w:ascii="Times New Roman" w:hAnsi="Times New Roman" w:cs="Times New Roman"/>
          <w:kern w:val="0"/>
          <w:lang w:val="en-US"/>
          <w14:ligatures w14:val="none"/>
        </w:rPr>
        <w:t xml:space="preserve">intellectual capital </w:t>
      </w:r>
      <w:r w:rsidR="006E12E8">
        <w:rPr>
          <w:rFonts w:ascii="Times New Roman" w:hAnsi="Times New Roman" w:cs="Times New Roman"/>
          <w:kern w:val="0"/>
          <w:lang w:val="en-US"/>
          <w14:ligatures w14:val="none"/>
        </w:rPr>
        <w:t>efficiency of</w:t>
      </w:r>
      <w:r w:rsidRPr="0077752F">
        <w:rPr>
          <w:rFonts w:ascii="Times New Roman" w:hAnsi="Times New Roman" w:cs="Times New Roman"/>
          <w:kern w:val="0"/>
          <w:lang w:val="en-US"/>
          <w14:ligatures w14:val="none"/>
        </w:rPr>
        <w:t xml:space="preserve"> Nigerian listed manufacturing firms.</w:t>
      </w:r>
    </w:p>
    <w:p w14:paraId="44C3D66E" w14:textId="13CE198C" w:rsidR="005058CD" w:rsidRDefault="005058CD" w:rsidP="0078149A">
      <w:pPr>
        <w:spacing w:after="80" w:line="240" w:lineRule="auto"/>
        <w:jc w:val="both"/>
        <w:rPr>
          <w:rFonts w:ascii="Times New Roman" w:hAnsi="Times New Roman" w:cs="Times New Roman"/>
          <w:kern w:val="0"/>
          <w:lang w:val="en-US"/>
        </w:rPr>
      </w:pPr>
      <w:r>
        <w:rPr>
          <w:rFonts w:ascii="Times New Roman" w:hAnsi="Times New Roman" w:cs="Times New Roman"/>
          <w:kern w:val="0"/>
          <w:lang w:val="en-US"/>
        </w:rPr>
        <w:t xml:space="preserve">This study hypothesized that: </w:t>
      </w:r>
    </w:p>
    <w:p w14:paraId="32A858B9" w14:textId="45C0C5FA" w:rsidR="0077752F" w:rsidRPr="0077752F" w:rsidRDefault="0077752F" w:rsidP="0078149A">
      <w:pPr>
        <w:spacing w:after="80" w:line="240" w:lineRule="auto"/>
        <w:ind w:left="450" w:hanging="450"/>
        <w:jc w:val="both"/>
        <w:rPr>
          <w:rFonts w:ascii="Times New Roman" w:hAnsi="Times New Roman" w:cs="Times New Roman"/>
          <w:kern w:val="0"/>
          <w:lang w:val="en-US"/>
          <w14:ligatures w14:val="none"/>
        </w:rPr>
      </w:pPr>
      <w:r w:rsidRPr="0077752F">
        <w:rPr>
          <w:rFonts w:ascii="Times New Roman" w:hAnsi="Times New Roman" w:cs="Times New Roman"/>
          <w:kern w:val="0"/>
          <w:lang w:val="en-US"/>
          <w14:ligatures w14:val="none"/>
        </w:rPr>
        <w:t>H0</w:t>
      </w:r>
      <w:r w:rsidRPr="0077752F">
        <w:rPr>
          <w:rFonts w:ascii="Times New Roman" w:hAnsi="Times New Roman" w:cs="Times New Roman"/>
          <w:kern w:val="0"/>
          <w:vertAlign w:val="subscript"/>
          <w:lang w:val="en-US"/>
          <w14:ligatures w14:val="none"/>
        </w:rPr>
        <w:t>1</w:t>
      </w:r>
      <w:r w:rsidRPr="0077752F">
        <w:rPr>
          <w:rFonts w:ascii="Times New Roman" w:hAnsi="Times New Roman" w:cs="Times New Roman"/>
          <w:kern w:val="0"/>
          <w:lang w:val="en-US"/>
          <w14:ligatures w14:val="none"/>
        </w:rPr>
        <w:t xml:space="preserve">: </w:t>
      </w:r>
      <w:r w:rsidR="00791961">
        <w:rPr>
          <w:rFonts w:ascii="Times New Roman" w:hAnsi="Times New Roman" w:cs="Times New Roman"/>
          <w:kern w:val="0"/>
          <w:lang w:val="en-US"/>
          <w14:ligatures w14:val="none"/>
        </w:rPr>
        <w:t>Board size has</w:t>
      </w:r>
      <w:r w:rsidRPr="0077752F">
        <w:rPr>
          <w:rFonts w:ascii="Times New Roman" w:hAnsi="Times New Roman" w:cs="Times New Roman"/>
          <w:kern w:val="0"/>
          <w:lang w:val="en-US"/>
          <w14:ligatures w14:val="none"/>
        </w:rPr>
        <w:t xml:space="preserve"> no </w:t>
      </w:r>
      <w:r w:rsidR="00791961">
        <w:rPr>
          <w:rFonts w:ascii="Times New Roman" w:hAnsi="Times New Roman" w:cs="Times New Roman"/>
          <w:kern w:val="0"/>
          <w:lang w:val="en-US"/>
          <w14:ligatures w14:val="none"/>
        </w:rPr>
        <w:t xml:space="preserve">any </w:t>
      </w:r>
      <w:r w:rsidRPr="0077752F">
        <w:rPr>
          <w:rFonts w:ascii="Times New Roman" w:hAnsi="Times New Roman" w:cs="Times New Roman"/>
          <w:kern w:val="0"/>
          <w:lang w:val="en-US"/>
          <w14:ligatures w14:val="none"/>
        </w:rPr>
        <w:t xml:space="preserve">significant </w:t>
      </w:r>
      <w:r w:rsidR="006E12E8">
        <w:rPr>
          <w:rFonts w:ascii="Times New Roman" w:hAnsi="Times New Roman" w:cs="Times New Roman"/>
          <w:kern w:val="0"/>
          <w:lang w:val="en-US"/>
          <w14:ligatures w14:val="none"/>
        </w:rPr>
        <w:t>effect</w:t>
      </w:r>
      <w:r w:rsidR="00791961">
        <w:rPr>
          <w:rFonts w:ascii="Times New Roman" w:hAnsi="Times New Roman" w:cs="Times New Roman"/>
          <w:kern w:val="0"/>
          <w:lang w:val="en-US"/>
          <w14:ligatures w14:val="none"/>
        </w:rPr>
        <w:t xml:space="preserve"> on</w:t>
      </w:r>
      <w:r w:rsidRPr="0077752F">
        <w:rPr>
          <w:rFonts w:ascii="Times New Roman" w:hAnsi="Times New Roman" w:cs="Times New Roman"/>
          <w:kern w:val="0"/>
          <w:lang w:val="en-US"/>
          <w14:ligatures w14:val="none"/>
        </w:rPr>
        <w:t xml:space="preserve"> intellectual capital efficiency</w:t>
      </w:r>
      <w:r w:rsidR="00791961">
        <w:rPr>
          <w:rFonts w:ascii="Times New Roman" w:hAnsi="Times New Roman" w:cs="Times New Roman"/>
          <w:kern w:val="0"/>
          <w:lang w:val="en-US"/>
          <w14:ligatures w14:val="none"/>
        </w:rPr>
        <w:t xml:space="preserve"> of</w:t>
      </w:r>
      <w:r w:rsidR="00791961" w:rsidRPr="0077752F">
        <w:rPr>
          <w:rFonts w:ascii="Times New Roman" w:hAnsi="Times New Roman" w:cs="Times New Roman"/>
          <w:kern w:val="0"/>
          <w:lang w:val="en-US"/>
          <w14:ligatures w14:val="none"/>
        </w:rPr>
        <w:t xml:space="preserve"> </w:t>
      </w:r>
      <w:r w:rsidR="00791961">
        <w:rPr>
          <w:rFonts w:ascii="Times New Roman" w:hAnsi="Times New Roman" w:cs="Times New Roman"/>
          <w:kern w:val="0"/>
          <w:lang w:val="en-US"/>
          <w14:ligatures w14:val="none"/>
        </w:rPr>
        <w:t>l</w:t>
      </w:r>
      <w:r w:rsidR="00791961" w:rsidRPr="0077752F">
        <w:rPr>
          <w:rFonts w:ascii="Times New Roman" w:hAnsi="Times New Roman" w:cs="Times New Roman"/>
          <w:kern w:val="0"/>
          <w:lang w:val="en-US"/>
          <w14:ligatures w14:val="none"/>
        </w:rPr>
        <w:t>isted manufacturing firms</w:t>
      </w:r>
      <w:r w:rsidR="00791961">
        <w:rPr>
          <w:rFonts w:ascii="Times New Roman" w:hAnsi="Times New Roman" w:cs="Times New Roman"/>
          <w:kern w:val="0"/>
          <w:lang w:val="en-US"/>
          <w14:ligatures w14:val="none"/>
        </w:rPr>
        <w:t xml:space="preserve"> in Nigeria</w:t>
      </w:r>
      <w:r w:rsidRPr="0077752F">
        <w:rPr>
          <w:rFonts w:ascii="Times New Roman" w:hAnsi="Times New Roman" w:cs="Times New Roman"/>
          <w:kern w:val="0"/>
          <w:lang w:val="en-US"/>
          <w14:ligatures w14:val="none"/>
        </w:rPr>
        <w:t>.</w:t>
      </w:r>
    </w:p>
    <w:p w14:paraId="7F6074B7" w14:textId="579EC78B" w:rsidR="0077752F" w:rsidRPr="0077752F" w:rsidRDefault="0077752F" w:rsidP="0078149A">
      <w:pPr>
        <w:spacing w:after="80" w:line="240" w:lineRule="auto"/>
        <w:ind w:left="450" w:hanging="450"/>
        <w:jc w:val="both"/>
        <w:rPr>
          <w:rFonts w:ascii="Times New Roman" w:hAnsi="Times New Roman" w:cs="Times New Roman"/>
          <w:kern w:val="0"/>
          <w:lang w:val="en-US"/>
          <w14:ligatures w14:val="none"/>
        </w:rPr>
      </w:pPr>
      <w:r w:rsidRPr="0077752F">
        <w:rPr>
          <w:rFonts w:ascii="Times New Roman" w:hAnsi="Times New Roman" w:cs="Times New Roman"/>
          <w:kern w:val="0"/>
          <w:lang w:val="en-US"/>
          <w14:ligatures w14:val="none"/>
        </w:rPr>
        <w:t>H0</w:t>
      </w:r>
      <w:r w:rsidRPr="0077752F">
        <w:rPr>
          <w:rFonts w:ascii="Times New Roman" w:hAnsi="Times New Roman" w:cs="Times New Roman"/>
          <w:kern w:val="0"/>
          <w:vertAlign w:val="subscript"/>
          <w:lang w:val="en-US"/>
          <w14:ligatures w14:val="none"/>
        </w:rPr>
        <w:t>2</w:t>
      </w:r>
      <w:r>
        <w:rPr>
          <w:rFonts w:ascii="Times New Roman" w:hAnsi="Times New Roman" w:cs="Times New Roman"/>
          <w:kern w:val="0"/>
          <w:lang w:val="en-US"/>
          <w14:ligatures w14:val="none"/>
        </w:rPr>
        <w:t xml:space="preserve">: </w:t>
      </w:r>
      <w:r w:rsidR="00791961">
        <w:rPr>
          <w:rFonts w:ascii="Times New Roman" w:hAnsi="Times New Roman" w:cs="Times New Roman"/>
          <w:kern w:val="0"/>
          <w:lang w:val="en-US"/>
          <w14:ligatures w14:val="none"/>
        </w:rPr>
        <w:t>B</w:t>
      </w:r>
      <w:r w:rsidRPr="0077752F">
        <w:rPr>
          <w:rFonts w:ascii="Times New Roman" w:hAnsi="Times New Roman" w:cs="Times New Roman"/>
          <w:kern w:val="0"/>
          <w:lang w:val="en-US"/>
          <w14:ligatures w14:val="none"/>
        </w:rPr>
        <w:t xml:space="preserve">oard independence </w:t>
      </w:r>
      <w:r w:rsidR="00791961">
        <w:rPr>
          <w:rFonts w:ascii="Times New Roman" w:hAnsi="Times New Roman" w:cs="Times New Roman"/>
          <w:kern w:val="0"/>
          <w:lang w:val="en-US"/>
          <w14:ligatures w14:val="none"/>
        </w:rPr>
        <w:t>has</w:t>
      </w:r>
      <w:r w:rsidR="00791961" w:rsidRPr="0077752F">
        <w:rPr>
          <w:rFonts w:ascii="Times New Roman" w:hAnsi="Times New Roman" w:cs="Times New Roman"/>
          <w:kern w:val="0"/>
          <w:lang w:val="en-US"/>
          <w14:ligatures w14:val="none"/>
        </w:rPr>
        <w:t xml:space="preserve"> no </w:t>
      </w:r>
      <w:r w:rsidR="00791961">
        <w:rPr>
          <w:rFonts w:ascii="Times New Roman" w:hAnsi="Times New Roman" w:cs="Times New Roman"/>
          <w:kern w:val="0"/>
          <w:lang w:val="en-US"/>
          <w14:ligatures w14:val="none"/>
        </w:rPr>
        <w:t xml:space="preserve">any </w:t>
      </w:r>
      <w:r w:rsidR="00791961" w:rsidRPr="0077752F">
        <w:rPr>
          <w:rFonts w:ascii="Times New Roman" w:hAnsi="Times New Roman" w:cs="Times New Roman"/>
          <w:kern w:val="0"/>
          <w:lang w:val="en-US"/>
          <w14:ligatures w14:val="none"/>
        </w:rPr>
        <w:t xml:space="preserve">significant </w:t>
      </w:r>
      <w:r w:rsidR="00791961">
        <w:rPr>
          <w:rFonts w:ascii="Times New Roman" w:hAnsi="Times New Roman" w:cs="Times New Roman"/>
          <w:kern w:val="0"/>
          <w:lang w:val="en-US"/>
          <w14:ligatures w14:val="none"/>
        </w:rPr>
        <w:t>effect on</w:t>
      </w:r>
      <w:r w:rsidR="00791961" w:rsidRPr="0077752F">
        <w:rPr>
          <w:rFonts w:ascii="Times New Roman" w:hAnsi="Times New Roman" w:cs="Times New Roman"/>
          <w:kern w:val="0"/>
          <w:lang w:val="en-US"/>
          <w14:ligatures w14:val="none"/>
        </w:rPr>
        <w:t xml:space="preserve"> intellectual capital efficiency</w:t>
      </w:r>
      <w:r w:rsidR="00791961">
        <w:rPr>
          <w:rFonts w:ascii="Times New Roman" w:hAnsi="Times New Roman" w:cs="Times New Roman"/>
          <w:kern w:val="0"/>
          <w:lang w:val="en-US"/>
          <w14:ligatures w14:val="none"/>
        </w:rPr>
        <w:t xml:space="preserve"> of</w:t>
      </w:r>
      <w:r w:rsidR="00791961" w:rsidRPr="0077752F">
        <w:rPr>
          <w:rFonts w:ascii="Times New Roman" w:hAnsi="Times New Roman" w:cs="Times New Roman"/>
          <w:kern w:val="0"/>
          <w:lang w:val="en-US"/>
          <w14:ligatures w14:val="none"/>
        </w:rPr>
        <w:t xml:space="preserve"> </w:t>
      </w:r>
      <w:r w:rsidR="00791961">
        <w:rPr>
          <w:rFonts w:ascii="Times New Roman" w:hAnsi="Times New Roman" w:cs="Times New Roman"/>
          <w:kern w:val="0"/>
          <w:lang w:val="en-US"/>
          <w14:ligatures w14:val="none"/>
        </w:rPr>
        <w:t>l</w:t>
      </w:r>
      <w:r w:rsidR="00791961" w:rsidRPr="0077752F">
        <w:rPr>
          <w:rFonts w:ascii="Times New Roman" w:hAnsi="Times New Roman" w:cs="Times New Roman"/>
          <w:kern w:val="0"/>
          <w:lang w:val="en-US"/>
          <w14:ligatures w14:val="none"/>
        </w:rPr>
        <w:t>isted manufacturing firms</w:t>
      </w:r>
      <w:r w:rsidR="00791961">
        <w:rPr>
          <w:rFonts w:ascii="Times New Roman" w:hAnsi="Times New Roman" w:cs="Times New Roman"/>
          <w:kern w:val="0"/>
          <w:lang w:val="en-US"/>
          <w14:ligatures w14:val="none"/>
        </w:rPr>
        <w:t xml:space="preserve"> in Nigeria</w:t>
      </w:r>
      <w:r w:rsidRPr="0077752F">
        <w:rPr>
          <w:rFonts w:ascii="Times New Roman" w:hAnsi="Times New Roman" w:cs="Times New Roman"/>
          <w:kern w:val="0"/>
          <w:lang w:val="en-US"/>
          <w14:ligatures w14:val="none"/>
        </w:rPr>
        <w:t xml:space="preserve">. </w:t>
      </w:r>
    </w:p>
    <w:p w14:paraId="326A8392" w14:textId="7F19A012" w:rsidR="0077752F" w:rsidRPr="0077752F" w:rsidRDefault="0077752F" w:rsidP="0078149A">
      <w:pPr>
        <w:spacing w:after="80" w:line="240" w:lineRule="auto"/>
        <w:ind w:left="450" w:hanging="450"/>
        <w:jc w:val="both"/>
        <w:rPr>
          <w:rFonts w:ascii="Times New Roman" w:hAnsi="Times New Roman" w:cs="Times New Roman"/>
          <w:kern w:val="0"/>
          <w:lang w:val="en-US"/>
          <w14:ligatures w14:val="none"/>
        </w:rPr>
      </w:pPr>
      <w:r w:rsidRPr="0077752F">
        <w:rPr>
          <w:rFonts w:ascii="Times New Roman" w:hAnsi="Times New Roman" w:cs="Times New Roman"/>
          <w:kern w:val="0"/>
          <w:lang w:val="en-US"/>
          <w14:ligatures w14:val="none"/>
        </w:rPr>
        <w:t>H0</w:t>
      </w:r>
      <w:r w:rsidRPr="0077752F">
        <w:rPr>
          <w:rFonts w:ascii="Times New Roman" w:hAnsi="Times New Roman" w:cs="Times New Roman"/>
          <w:kern w:val="0"/>
          <w:vertAlign w:val="subscript"/>
          <w:lang w:val="en-US"/>
          <w14:ligatures w14:val="none"/>
        </w:rPr>
        <w:t>3</w:t>
      </w:r>
      <w:r>
        <w:rPr>
          <w:rFonts w:ascii="Times New Roman" w:hAnsi="Times New Roman" w:cs="Times New Roman"/>
          <w:kern w:val="0"/>
          <w:lang w:val="en-US"/>
          <w14:ligatures w14:val="none"/>
        </w:rPr>
        <w:t xml:space="preserve">: </w:t>
      </w:r>
      <w:r w:rsidR="009E30BD">
        <w:rPr>
          <w:rFonts w:ascii="Times New Roman" w:hAnsi="Times New Roman" w:cs="Times New Roman"/>
          <w:kern w:val="0"/>
          <w:lang w:val="en-US"/>
          <w14:ligatures w14:val="none"/>
        </w:rPr>
        <w:t xml:space="preserve">Board </w:t>
      </w:r>
      <w:r w:rsidRPr="0077752F">
        <w:rPr>
          <w:rFonts w:ascii="Times New Roman" w:hAnsi="Times New Roman" w:cs="Times New Roman"/>
          <w:kern w:val="0"/>
          <w:lang w:val="en-US"/>
          <w14:ligatures w14:val="none"/>
        </w:rPr>
        <w:t xml:space="preserve">gender diversity </w:t>
      </w:r>
      <w:r w:rsidR="009E30BD">
        <w:rPr>
          <w:rFonts w:ascii="Times New Roman" w:hAnsi="Times New Roman" w:cs="Times New Roman"/>
          <w:kern w:val="0"/>
          <w:lang w:val="en-US"/>
          <w14:ligatures w14:val="none"/>
        </w:rPr>
        <w:t>has</w:t>
      </w:r>
      <w:r w:rsidR="009E30BD" w:rsidRPr="0077752F">
        <w:rPr>
          <w:rFonts w:ascii="Times New Roman" w:hAnsi="Times New Roman" w:cs="Times New Roman"/>
          <w:kern w:val="0"/>
          <w:lang w:val="en-US"/>
          <w14:ligatures w14:val="none"/>
        </w:rPr>
        <w:t xml:space="preserve"> no </w:t>
      </w:r>
      <w:r w:rsidR="009E30BD">
        <w:rPr>
          <w:rFonts w:ascii="Times New Roman" w:hAnsi="Times New Roman" w:cs="Times New Roman"/>
          <w:kern w:val="0"/>
          <w:lang w:val="en-US"/>
          <w14:ligatures w14:val="none"/>
        </w:rPr>
        <w:t xml:space="preserve">any </w:t>
      </w:r>
      <w:r w:rsidR="009E30BD" w:rsidRPr="0077752F">
        <w:rPr>
          <w:rFonts w:ascii="Times New Roman" w:hAnsi="Times New Roman" w:cs="Times New Roman"/>
          <w:kern w:val="0"/>
          <w:lang w:val="en-US"/>
          <w14:ligatures w14:val="none"/>
        </w:rPr>
        <w:t xml:space="preserve">significant </w:t>
      </w:r>
      <w:r w:rsidR="009E30BD">
        <w:rPr>
          <w:rFonts w:ascii="Times New Roman" w:hAnsi="Times New Roman" w:cs="Times New Roman"/>
          <w:kern w:val="0"/>
          <w:lang w:val="en-US"/>
          <w14:ligatures w14:val="none"/>
        </w:rPr>
        <w:t>effect on</w:t>
      </w:r>
      <w:r w:rsidR="009E30BD" w:rsidRPr="0077752F">
        <w:rPr>
          <w:rFonts w:ascii="Times New Roman" w:hAnsi="Times New Roman" w:cs="Times New Roman"/>
          <w:kern w:val="0"/>
          <w:lang w:val="en-US"/>
          <w14:ligatures w14:val="none"/>
        </w:rPr>
        <w:t xml:space="preserve"> intellectual capital efficiency</w:t>
      </w:r>
      <w:r w:rsidR="009E30BD">
        <w:rPr>
          <w:rFonts w:ascii="Times New Roman" w:hAnsi="Times New Roman" w:cs="Times New Roman"/>
          <w:kern w:val="0"/>
          <w:lang w:val="en-US"/>
          <w14:ligatures w14:val="none"/>
        </w:rPr>
        <w:t xml:space="preserve"> of</w:t>
      </w:r>
      <w:r w:rsidR="009E30BD" w:rsidRPr="0077752F">
        <w:rPr>
          <w:rFonts w:ascii="Times New Roman" w:hAnsi="Times New Roman" w:cs="Times New Roman"/>
          <w:kern w:val="0"/>
          <w:lang w:val="en-US"/>
          <w14:ligatures w14:val="none"/>
        </w:rPr>
        <w:t xml:space="preserve"> </w:t>
      </w:r>
      <w:r w:rsidR="009E30BD">
        <w:rPr>
          <w:rFonts w:ascii="Times New Roman" w:hAnsi="Times New Roman" w:cs="Times New Roman"/>
          <w:kern w:val="0"/>
          <w:lang w:val="en-US"/>
          <w14:ligatures w14:val="none"/>
        </w:rPr>
        <w:t>l</w:t>
      </w:r>
      <w:r w:rsidR="009E30BD" w:rsidRPr="0077752F">
        <w:rPr>
          <w:rFonts w:ascii="Times New Roman" w:hAnsi="Times New Roman" w:cs="Times New Roman"/>
          <w:kern w:val="0"/>
          <w:lang w:val="en-US"/>
          <w14:ligatures w14:val="none"/>
        </w:rPr>
        <w:t>isted manufacturing firms</w:t>
      </w:r>
      <w:r w:rsidR="009E30BD">
        <w:rPr>
          <w:rFonts w:ascii="Times New Roman" w:hAnsi="Times New Roman" w:cs="Times New Roman"/>
          <w:kern w:val="0"/>
          <w:lang w:val="en-US"/>
          <w14:ligatures w14:val="none"/>
        </w:rPr>
        <w:t xml:space="preserve"> in Nigeria</w:t>
      </w:r>
      <w:r w:rsidR="009E30BD" w:rsidRPr="0077752F">
        <w:rPr>
          <w:rFonts w:ascii="Times New Roman" w:hAnsi="Times New Roman" w:cs="Times New Roman"/>
          <w:kern w:val="0"/>
          <w:lang w:val="en-US"/>
          <w14:ligatures w14:val="none"/>
        </w:rPr>
        <w:t>.</w:t>
      </w:r>
      <w:r w:rsidRPr="0077752F">
        <w:rPr>
          <w:rFonts w:ascii="Times New Roman" w:hAnsi="Times New Roman" w:cs="Times New Roman"/>
          <w:kern w:val="0"/>
          <w:lang w:val="en-US"/>
          <w14:ligatures w14:val="none"/>
        </w:rPr>
        <w:t xml:space="preserve"> </w:t>
      </w:r>
    </w:p>
    <w:p w14:paraId="2EA8C263" w14:textId="2F5A1D34" w:rsidR="005058CD" w:rsidRPr="00322E7A" w:rsidRDefault="0077752F" w:rsidP="0078149A">
      <w:pPr>
        <w:spacing w:after="80" w:line="240" w:lineRule="auto"/>
        <w:ind w:left="450" w:hanging="450"/>
        <w:jc w:val="both"/>
        <w:rPr>
          <w:rFonts w:ascii="Times New Roman" w:hAnsi="Times New Roman" w:cs="Times New Roman"/>
          <w:kern w:val="0"/>
          <w:lang w:val="en-US"/>
        </w:rPr>
      </w:pPr>
      <w:r w:rsidRPr="0077752F">
        <w:rPr>
          <w:rFonts w:ascii="Times New Roman" w:hAnsi="Times New Roman" w:cs="Times New Roman"/>
          <w:kern w:val="0"/>
          <w:lang w:val="en-US"/>
          <w14:ligatures w14:val="none"/>
        </w:rPr>
        <w:t>H0</w:t>
      </w:r>
      <w:r w:rsidRPr="0077752F">
        <w:rPr>
          <w:rFonts w:ascii="Times New Roman" w:hAnsi="Times New Roman" w:cs="Times New Roman"/>
          <w:kern w:val="0"/>
          <w:vertAlign w:val="subscript"/>
          <w:lang w:val="en-US"/>
          <w14:ligatures w14:val="none"/>
        </w:rPr>
        <w:t>4</w:t>
      </w:r>
      <w:r w:rsidRPr="0077752F">
        <w:rPr>
          <w:rFonts w:ascii="Times New Roman" w:hAnsi="Times New Roman" w:cs="Times New Roman"/>
          <w:kern w:val="0"/>
          <w:lang w:val="en-US"/>
          <w14:ligatures w14:val="none"/>
        </w:rPr>
        <w:t xml:space="preserve">: </w:t>
      </w:r>
      <w:r w:rsidR="009E30BD">
        <w:rPr>
          <w:rFonts w:ascii="Times New Roman" w:hAnsi="Times New Roman" w:cs="Times New Roman"/>
          <w:kern w:val="0"/>
          <w:lang w:val="en-US"/>
          <w14:ligatures w14:val="none"/>
        </w:rPr>
        <w:t>B</w:t>
      </w:r>
      <w:r w:rsidRPr="0077752F">
        <w:rPr>
          <w:rFonts w:ascii="Times New Roman" w:hAnsi="Times New Roman" w:cs="Times New Roman"/>
          <w:kern w:val="0"/>
          <w:lang w:val="en-US"/>
          <w14:ligatures w14:val="none"/>
        </w:rPr>
        <w:t xml:space="preserve">oard meetings </w:t>
      </w:r>
      <w:r w:rsidR="009E30BD">
        <w:rPr>
          <w:rFonts w:ascii="Times New Roman" w:hAnsi="Times New Roman" w:cs="Times New Roman"/>
          <w:kern w:val="0"/>
          <w:lang w:val="en-US"/>
          <w14:ligatures w14:val="none"/>
        </w:rPr>
        <w:t>has</w:t>
      </w:r>
      <w:r w:rsidR="009E30BD" w:rsidRPr="0077752F">
        <w:rPr>
          <w:rFonts w:ascii="Times New Roman" w:hAnsi="Times New Roman" w:cs="Times New Roman"/>
          <w:kern w:val="0"/>
          <w:lang w:val="en-US"/>
          <w14:ligatures w14:val="none"/>
        </w:rPr>
        <w:t xml:space="preserve"> no </w:t>
      </w:r>
      <w:r w:rsidR="009E30BD">
        <w:rPr>
          <w:rFonts w:ascii="Times New Roman" w:hAnsi="Times New Roman" w:cs="Times New Roman"/>
          <w:kern w:val="0"/>
          <w:lang w:val="en-US"/>
          <w14:ligatures w14:val="none"/>
        </w:rPr>
        <w:t xml:space="preserve">any </w:t>
      </w:r>
      <w:r w:rsidR="009E30BD" w:rsidRPr="0077752F">
        <w:rPr>
          <w:rFonts w:ascii="Times New Roman" w:hAnsi="Times New Roman" w:cs="Times New Roman"/>
          <w:kern w:val="0"/>
          <w:lang w:val="en-US"/>
          <w14:ligatures w14:val="none"/>
        </w:rPr>
        <w:t xml:space="preserve">significant </w:t>
      </w:r>
      <w:r w:rsidR="009E30BD">
        <w:rPr>
          <w:rFonts w:ascii="Times New Roman" w:hAnsi="Times New Roman" w:cs="Times New Roman"/>
          <w:kern w:val="0"/>
          <w:lang w:val="en-US"/>
          <w14:ligatures w14:val="none"/>
        </w:rPr>
        <w:t>effect on</w:t>
      </w:r>
      <w:r w:rsidR="009E30BD" w:rsidRPr="0077752F">
        <w:rPr>
          <w:rFonts w:ascii="Times New Roman" w:hAnsi="Times New Roman" w:cs="Times New Roman"/>
          <w:kern w:val="0"/>
          <w:lang w:val="en-US"/>
          <w14:ligatures w14:val="none"/>
        </w:rPr>
        <w:t xml:space="preserve"> intellectual capital efficiency</w:t>
      </w:r>
      <w:r w:rsidR="009E30BD">
        <w:rPr>
          <w:rFonts w:ascii="Times New Roman" w:hAnsi="Times New Roman" w:cs="Times New Roman"/>
          <w:kern w:val="0"/>
          <w:lang w:val="en-US"/>
          <w14:ligatures w14:val="none"/>
        </w:rPr>
        <w:t xml:space="preserve"> of</w:t>
      </w:r>
      <w:r w:rsidR="009E30BD" w:rsidRPr="0077752F">
        <w:rPr>
          <w:rFonts w:ascii="Times New Roman" w:hAnsi="Times New Roman" w:cs="Times New Roman"/>
          <w:kern w:val="0"/>
          <w:lang w:val="en-US"/>
          <w14:ligatures w14:val="none"/>
        </w:rPr>
        <w:t xml:space="preserve"> </w:t>
      </w:r>
      <w:r w:rsidR="009E30BD">
        <w:rPr>
          <w:rFonts w:ascii="Times New Roman" w:hAnsi="Times New Roman" w:cs="Times New Roman"/>
          <w:kern w:val="0"/>
          <w:lang w:val="en-US"/>
          <w14:ligatures w14:val="none"/>
        </w:rPr>
        <w:t>l</w:t>
      </w:r>
      <w:r w:rsidR="009E30BD" w:rsidRPr="0077752F">
        <w:rPr>
          <w:rFonts w:ascii="Times New Roman" w:hAnsi="Times New Roman" w:cs="Times New Roman"/>
          <w:kern w:val="0"/>
          <w:lang w:val="en-US"/>
          <w14:ligatures w14:val="none"/>
        </w:rPr>
        <w:t>isted manufacturing firms</w:t>
      </w:r>
      <w:r w:rsidR="009E30BD">
        <w:rPr>
          <w:rFonts w:ascii="Times New Roman" w:hAnsi="Times New Roman" w:cs="Times New Roman"/>
          <w:kern w:val="0"/>
          <w:lang w:val="en-US"/>
          <w14:ligatures w14:val="none"/>
        </w:rPr>
        <w:t xml:space="preserve"> in Nigeria</w:t>
      </w:r>
      <w:r w:rsidR="009E30BD" w:rsidRPr="0077752F">
        <w:rPr>
          <w:rFonts w:ascii="Times New Roman" w:hAnsi="Times New Roman" w:cs="Times New Roman"/>
          <w:kern w:val="0"/>
          <w:lang w:val="en-US"/>
          <w14:ligatures w14:val="none"/>
        </w:rPr>
        <w:t>.</w:t>
      </w:r>
    </w:p>
    <w:p w14:paraId="35930D55" w14:textId="5AF42438" w:rsidR="00C769F9" w:rsidRPr="00C769F9" w:rsidRDefault="00C769F9" w:rsidP="0078149A">
      <w:pPr>
        <w:spacing w:after="80" w:line="240" w:lineRule="auto"/>
        <w:jc w:val="both"/>
        <w:rPr>
          <w:rFonts w:ascii="Times New Roman" w:hAnsi="Times New Roman" w:cs="Times New Roman"/>
          <w:kern w:val="0"/>
          <w:lang w:val="en-US"/>
        </w:rPr>
      </w:pPr>
      <w:r w:rsidRPr="00C769F9">
        <w:rPr>
          <w:rFonts w:ascii="Times New Roman" w:hAnsi="Times New Roman" w:cs="Times New Roman"/>
          <w:kern w:val="0"/>
          <w:lang w:val="en-US"/>
        </w:rPr>
        <w:t>This study will be relevant for scholars, practitioners, and policymakers. The scholars will gain deeper knowledge regarding the effects of board attributes on ICE in the context of the Nigerian manufacturing industry, which is under</w:t>
      </w:r>
      <w:r w:rsidR="008422CD">
        <w:rPr>
          <w:rFonts w:ascii="Times New Roman" w:hAnsi="Times New Roman" w:cs="Times New Roman"/>
          <w:kern w:val="0"/>
          <w:lang w:val="en-US"/>
        </w:rPr>
        <w:t xml:space="preserve"> </w:t>
      </w:r>
      <w:r w:rsidRPr="00C769F9">
        <w:rPr>
          <w:rFonts w:ascii="Times New Roman" w:hAnsi="Times New Roman" w:cs="Times New Roman"/>
          <w:kern w:val="0"/>
          <w:lang w:val="en-US"/>
        </w:rPr>
        <w:t>researched. The study also provides methodological contributions by including a wide range of ICE metrics that can be useful for future practice. The implication is that practitioners such as boards of directors, executive directors, and managers can use the findings to properly select capable boards of directors, improve governance structures, and manage human capital with a view to creating innovation and increased competitiveness. Both management insiders and policymakers receive research-based advice for enhancing governance codes, enhancing female board representation, and implementing suitable benchmarks for board composition and functioning, which will lead to improved monitoring and corporate responsibility. In this background, it plays a crucial role toward achieving sustainable organizations, as well as enhanced governance standards and better policies, which will enhance the economic development in Nigeria as well as other nations.</w:t>
      </w:r>
    </w:p>
    <w:p w14:paraId="1B0F1306" w14:textId="0EAE53B3" w:rsidR="002D1C52" w:rsidRDefault="0077752F" w:rsidP="0078149A">
      <w:pPr>
        <w:spacing w:after="80" w:line="240" w:lineRule="auto"/>
        <w:jc w:val="both"/>
        <w:rPr>
          <w:rFonts w:ascii="Times New Roman" w:hAnsi="Times New Roman" w:cs="Times New Roman"/>
          <w:kern w:val="0"/>
          <w:lang w:val="en-US"/>
        </w:rPr>
      </w:pPr>
      <w:r w:rsidRPr="0077752F">
        <w:rPr>
          <w:rFonts w:ascii="Times New Roman" w:hAnsi="Times New Roman" w:cs="Times New Roman"/>
          <w:kern w:val="0"/>
          <w:lang w:val="en-US"/>
        </w:rPr>
        <w:t xml:space="preserve">This study investigates the effect of board attributes on </w:t>
      </w:r>
      <w:r w:rsidR="00C769F9" w:rsidRPr="0077752F">
        <w:rPr>
          <w:rFonts w:ascii="Times New Roman" w:hAnsi="Times New Roman" w:cs="Times New Roman"/>
          <w:kern w:val="0"/>
          <w:lang w:val="en-US"/>
        </w:rPr>
        <w:t xml:space="preserve">intellectual capital efficiency </w:t>
      </w:r>
      <w:r w:rsidR="00C769F9">
        <w:rPr>
          <w:rFonts w:ascii="Times New Roman" w:hAnsi="Times New Roman" w:cs="Times New Roman"/>
          <w:kern w:val="0"/>
          <w:lang w:val="en-US"/>
        </w:rPr>
        <w:t>of listed manufacturing firms</w:t>
      </w:r>
      <w:r w:rsidRPr="0077752F">
        <w:rPr>
          <w:rFonts w:ascii="Times New Roman" w:hAnsi="Times New Roman" w:cs="Times New Roman"/>
          <w:kern w:val="0"/>
          <w:lang w:val="en-US"/>
        </w:rPr>
        <w:t xml:space="preserve"> </w:t>
      </w:r>
      <w:r w:rsidR="00C769F9">
        <w:rPr>
          <w:rFonts w:ascii="Times New Roman" w:hAnsi="Times New Roman" w:cs="Times New Roman"/>
          <w:kern w:val="0"/>
          <w:lang w:val="en-US"/>
        </w:rPr>
        <w:t xml:space="preserve">in Nigeria </w:t>
      </w:r>
      <w:r w:rsidRPr="0077752F">
        <w:rPr>
          <w:rFonts w:ascii="Times New Roman" w:hAnsi="Times New Roman" w:cs="Times New Roman"/>
          <w:kern w:val="0"/>
          <w:lang w:val="en-US"/>
        </w:rPr>
        <w:t xml:space="preserve">from 2013 – 2022. While the ICE is proxy by VAIC, board attributes are proxy by board size, independence, gender diversity, and board meetings. </w:t>
      </w:r>
    </w:p>
    <w:p w14:paraId="14B776B0" w14:textId="2C59848E" w:rsidR="0065394F" w:rsidRPr="00322E7A" w:rsidRDefault="0077752F" w:rsidP="0078149A">
      <w:pPr>
        <w:spacing w:after="80" w:line="240" w:lineRule="auto"/>
        <w:jc w:val="both"/>
        <w:rPr>
          <w:rFonts w:ascii="Times New Roman" w:hAnsi="Times New Roman" w:cs="Times New Roman"/>
          <w:kern w:val="0"/>
          <w:lang w:val="en-US"/>
        </w:rPr>
      </w:pPr>
      <w:r w:rsidRPr="0077752F">
        <w:rPr>
          <w:rFonts w:ascii="Times New Roman" w:hAnsi="Times New Roman" w:cs="Times New Roman"/>
          <w:kern w:val="0"/>
          <w:lang w:val="en-US"/>
        </w:rPr>
        <w:t>This study covers an introduction, literature review, methodology, results and discussions, conclusion and recommendations.</w:t>
      </w:r>
    </w:p>
    <w:p w14:paraId="67BAC76E" w14:textId="5FD1CAAD" w:rsidR="00E21145" w:rsidRPr="00322E7A" w:rsidRDefault="00F9291D" w:rsidP="0078149A">
      <w:pPr>
        <w:pStyle w:val="Heading1"/>
        <w:spacing w:before="0" w:line="240" w:lineRule="auto"/>
        <w:rPr>
          <w:lang w:val="en-US"/>
        </w:rPr>
      </w:pPr>
      <w:r w:rsidRPr="00322E7A">
        <w:rPr>
          <w:lang w:val="en-US"/>
        </w:rPr>
        <w:t xml:space="preserve">2. LITERATURE REVIEW </w:t>
      </w:r>
    </w:p>
    <w:p w14:paraId="7103D200" w14:textId="1508E804" w:rsidR="00F9291D" w:rsidRDefault="009E7DDD" w:rsidP="0078149A">
      <w:pPr>
        <w:spacing w:after="80" w:line="240" w:lineRule="auto"/>
        <w:jc w:val="both"/>
        <w:rPr>
          <w:rFonts w:ascii="Times New Roman" w:hAnsi="Times New Roman" w:cs="Times New Roman"/>
          <w:kern w:val="0"/>
          <w:lang w:val="en-US"/>
        </w:rPr>
      </w:pPr>
      <w:r w:rsidRPr="009E7DDD">
        <w:rPr>
          <w:rFonts w:ascii="Times New Roman" w:hAnsi="Times New Roman" w:cs="Times New Roman"/>
          <w:kern w:val="0"/>
          <w:lang w:val="en-US"/>
        </w:rPr>
        <w:t>Pulic (2004) define</w:t>
      </w:r>
      <w:r w:rsidR="00D64C60">
        <w:rPr>
          <w:rFonts w:ascii="Times New Roman" w:hAnsi="Times New Roman" w:cs="Times New Roman"/>
          <w:kern w:val="0"/>
          <w:lang w:val="en-US"/>
        </w:rPr>
        <w:t>d</w:t>
      </w:r>
      <w:r w:rsidRPr="009E7DDD">
        <w:rPr>
          <w:rFonts w:ascii="Times New Roman" w:hAnsi="Times New Roman" w:cs="Times New Roman"/>
          <w:kern w:val="0"/>
          <w:lang w:val="en-US"/>
        </w:rPr>
        <w:t xml:space="preserve"> intellectual capital efficiency (ICE) using the Value-Added Intellectual Coefficient (VAIC), which measures the efficiency of value creation from human, structural, and capital employed. Although VAIC provides a standardized metric for comparing ICE across firms and industries, it may oversimplify complex intangible assets and not account for industry-specific differences. Shahzad et al. (2023) assess</w:t>
      </w:r>
      <w:r w:rsidR="00D64C60">
        <w:rPr>
          <w:rFonts w:ascii="Times New Roman" w:hAnsi="Times New Roman" w:cs="Times New Roman"/>
          <w:kern w:val="0"/>
          <w:lang w:val="en-US"/>
        </w:rPr>
        <w:t>ed</w:t>
      </w:r>
      <w:r w:rsidRPr="009E7DDD">
        <w:rPr>
          <w:rFonts w:ascii="Times New Roman" w:hAnsi="Times New Roman" w:cs="Times New Roman"/>
          <w:kern w:val="0"/>
          <w:lang w:val="en-US"/>
        </w:rPr>
        <w:t xml:space="preserve"> ICE based on employee productivity, highlighting the critical role of human capital in driving innovation. However, this approach neglects structural and relational capital. Mahmudi (2014) measure</w:t>
      </w:r>
      <w:r w:rsidR="00D64C60">
        <w:rPr>
          <w:rFonts w:ascii="Times New Roman" w:hAnsi="Times New Roman" w:cs="Times New Roman"/>
          <w:kern w:val="0"/>
          <w:lang w:val="en-US"/>
        </w:rPr>
        <w:t>d</w:t>
      </w:r>
      <w:r w:rsidRPr="009E7DDD">
        <w:rPr>
          <w:rFonts w:ascii="Times New Roman" w:hAnsi="Times New Roman" w:cs="Times New Roman"/>
          <w:kern w:val="0"/>
          <w:lang w:val="en-US"/>
        </w:rPr>
        <w:t xml:space="preserve"> ICE by the effectiveness of organizational processes, databases, and intellectual property, emphasizing internal systems. Yet, this method may overlook the importance of human and capital employed. Kweh et al. (2022) evaluate</w:t>
      </w:r>
      <w:r w:rsidR="00D64C60">
        <w:rPr>
          <w:rFonts w:ascii="Times New Roman" w:hAnsi="Times New Roman" w:cs="Times New Roman"/>
          <w:kern w:val="0"/>
          <w:lang w:val="en-US"/>
        </w:rPr>
        <w:t>d</w:t>
      </w:r>
      <w:r w:rsidRPr="009E7DDD">
        <w:rPr>
          <w:rFonts w:ascii="Times New Roman" w:hAnsi="Times New Roman" w:cs="Times New Roman"/>
          <w:kern w:val="0"/>
          <w:lang w:val="en-US"/>
        </w:rPr>
        <w:t xml:space="preserve"> ICE based on the quality of a firm's capital employed but fail to capture human capital. Farooq and Ahmad (2023) </w:t>
      </w:r>
      <w:r w:rsidRPr="009E7DDD">
        <w:rPr>
          <w:rFonts w:ascii="Times New Roman" w:hAnsi="Times New Roman" w:cs="Times New Roman"/>
          <w:kern w:val="0"/>
          <w:lang w:val="en-US"/>
        </w:rPr>
        <w:lastRenderedPageBreak/>
        <w:t>use an integrated approach, combining human, structural, and capital employed to measure overall efficiency, providing a comprehensive view but requiring complex data collection. This study defines ICE as the synergistic effect of these capitals in enhancing the competitiveness of Nigerian manufacturing firms.</w:t>
      </w:r>
    </w:p>
    <w:p w14:paraId="693A8607" w14:textId="4CA4CFCA" w:rsidR="00190E1D" w:rsidRDefault="00F9291D" w:rsidP="0078149A">
      <w:pPr>
        <w:spacing w:line="240" w:lineRule="auto"/>
        <w:jc w:val="both"/>
        <w:rPr>
          <w:rFonts w:ascii="Times New Roman" w:hAnsi="Times New Roman" w:cs="Times New Roman"/>
          <w:kern w:val="0"/>
          <w:lang w:val="en-US"/>
        </w:rPr>
      </w:pPr>
      <w:r w:rsidRPr="002D6798">
        <w:rPr>
          <w:rFonts w:ascii="Times New Roman" w:hAnsi="Times New Roman" w:cs="Times New Roman"/>
          <w:kern w:val="0"/>
          <w:lang w:val="en-US"/>
        </w:rPr>
        <w:t xml:space="preserve">Board attributes have a significant influence on corporate governance procedures and, ultimately, business outcomes like ICE. These consist of meeting frequency, gender diversity, board size, and independence. </w:t>
      </w:r>
      <w:r w:rsidR="00666257" w:rsidRPr="00BA0DF9">
        <w:rPr>
          <w:rFonts w:ascii="Times New Roman" w:hAnsi="Times New Roman" w:cs="Times New Roman"/>
        </w:rPr>
        <w:t>Mahmudi (2014)</w:t>
      </w:r>
      <w:r w:rsidR="00D64C60">
        <w:rPr>
          <w:rFonts w:ascii="Times New Roman" w:hAnsi="Times New Roman" w:cs="Times New Roman"/>
          <w:kern w:val="0"/>
          <w:lang w:val="en-US"/>
        </w:rPr>
        <w:t xml:space="preserve"> described</w:t>
      </w:r>
      <w:r w:rsidR="00D74D6D" w:rsidRPr="00D74D6D">
        <w:rPr>
          <w:rFonts w:ascii="Times New Roman" w:hAnsi="Times New Roman" w:cs="Times New Roman"/>
          <w:kern w:val="0"/>
          <w:lang w:val="en-US"/>
        </w:rPr>
        <w:t xml:space="preserve"> board size as the number of directors governing a firm, noting that smaller boards may function more efficiently due to easier coordination and fewer conflicts. The limitation is that smaller boards might expertise challenges that larger boards offer. Nonetheless, their efficiency can lead to quicker decision-making and more cohesive strategic direction. Lawal et al. (2022) consider</w:t>
      </w:r>
      <w:r w:rsidR="00D64C60">
        <w:rPr>
          <w:rFonts w:ascii="Times New Roman" w:hAnsi="Times New Roman" w:cs="Times New Roman"/>
          <w:kern w:val="0"/>
          <w:lang w:val="en-US"/>
        </w:rPr>
        <w:t>ed</w:t>
      </w:r>
      <w:r w:rsidR="00D74D6D" w:rsidRPr="00D74D6D">
        <w:rPr>
          <w:rFonts w:ascii="Times New Roman" w:hAnsi="Times New Roman" w:cs="Times New Roman"/>
          <w:kern w:val="0"/>
          <w:lang w:val="en-US"/>
        </w:rPr>
        <w:t xml:space="preserve"> board size in terms of the number of board members, emphasizing that an optimal board size can enhance intellectual capital performance by balancing diverse insights and streamlined operations. The drawback is that determining the optimal size can be complex and context-specific. This study defines board size as the number of directors on the boards of listed manufacturing firms in Nigeria.</w:t>
      </w:r>
    </w:p>
    <w:p w14:paraId="5D43FF89" w14:textId="48CB9F02" w:rsidR="00D74D6D" w:rsidRDefault="00D74D6D" w:rsidP="0078149A">
      <w:pPr>
        <w:spacing w:line="240" w:lineRule="auto"/>
        <w:jc w:val="both"/>
        <w:rPr>
          <w:rFonts w:ascii="Times New Roman" w:hAnsi="Times New Roman" w:cs="Times New Roman"/>
          <w:kern w:val="0"/>
          <w:lang w:val="en-US"/>
        </w:rPr>
      </w:pPr>
      <w:r w:rsidRPr="00D74D6D">
        <w:rPr>
          <w:rFonts w:ascii="Times New Roman" w:hAnsi="Times New Roman" w:cs="Times New Roman"/>
          <w:kern w:val="0"/>
          <w:lang w:val="en-US"/>
        </w:rPr>
        <w:t>Aslam and Haron (2020) define</w:t>
      </w:r>
      <w:r w:rsidR="00D64C60">
        <w:rPr>
          <w:rFonts w:ascii="Times New Roman" w:hAnsi="Times New Roman" w:cs="Times New Roman"/>
          <w:kern w:val="0"/>
          <w:lang w:val="en-US"/>
        </w:rPr>
        <w:t>d</w:t>
      </w:r>
      <w:r w:rsidRPr="00D74D6D">
        <w:rPr>
          <w:rFonts w:ascii="Times New Roman" w:hAnsi="Times New Roman" w:cs="Times New Roman"/>
          <w:kern w:val="0"/>
          <w:lang w:val="en-US"/>
        </w:rPr>
        <w:t xml:space="preserve"> board independence as the presence of non-executive directors who are not part of the company's management, providing unbiased oversight and reducing conflicts of interest. However, non-executive directors may lack detailed operational knowledge, limiting their effectiveness. Nevertheless, their unbiased per</w:t>
      </w:r>
      <w:r w:rsidR="00F65AA7">
        <w:rPr>
          <w:rFonts w:ascii="Times New Roman" w:hAnsi="Times New Roman" w:cs="Times New Roman"/>
          <w:kern w:val="0"/>
          <w:lang w:val="en-US"/>
        </w:rPr>
        <w:t>spective strengthens governance.</w:t>
      </w:r>
      <w:r w:rsidRPr="00D74D6D">
        <w:rPr>
          <w:rFonts w:ascii="Times New Roman" w:hAnsi="Times New Roman" w:cs="Times New Roman"/>
          <w:kern w:val="0"/>
          <w:lang w:val="en-US"/>
        </w:rPr>
        <w:t xml:space="preserve"> Farooq and Ahmad (2023) describe</w:t>
      </w:r>
      <w:r w:rsidR="00D64C60">
        <w:rPr>
          <w:rFonts w:ascii="Times New Roman" w:hAnsi="Times New Roman" w:cs="Times New Roman"/>
          <w:kern w:val="0"/>
          <w:lang w:val="en-US"/>
        </w:rPr>
        <w:t>d</w:t>
      </w:r>
      <w:r w:rsidRPr="00D74D6D">
        <w:rPr>
          <w:rFonts w:ascii="Times New Roman" w:hAnsi="Times New Roman" w:cs="Times New Roman"/>
          <w:kern w:val="0"/>
          <w:lang w:val="en-US"/>
        </w:rPr>
        <w:t xml:space="preserve"> board independence as the proportion of independent directors, emphasizing enhanced monitoring and control over management. The limitation is that a high proportion of independent directors might slow decision-making due to potential disconnects with the executive team. However, increased independence protects shareholder interests and improves governance. This study defines board independence as the proportion of non-executive and independent directors on Nigerian manufacturing firm boards.</w:t>
      </w:r>
    </w:p>
    <w:p w14:paraId="5A97C2AF" w14:textId="51EA75C7" w:rsidR="00474A04" w:rsidRDefault="00F65AA7" w:rsidP="0078149A">
      <w:pPr>
        <w:spacing w:line="240" w:lineRule="auto"/>
        <w:jc w:val="both"/>
        <w:rPr>
          <w:rFonts w:ascii="Times New Roman" w:hAnsi="Times New Roman" w:cs="Times New Roman"/>
          <w:kern w:val="0"/>
          <w:lang w:val="en-US"/>
        </w:rPr>
      </w:pPr>
      <w:r w:rsidRPr="00F65AA7">
        <w:rPr>
          <w:rFonts w:ascii="Times New Roman" w:hAnsi="Times New Roman" w:cs="Times New Roman"/>
          <w:kern w:val="0"/>
          <w:lang w:val="en-US"/>
        </w:rPr>
        <w:t>Adams and Ferreira (2009) define</w:t>
      </w:r>
      <w:r w:rsidR="009743D8">
        <w:rPr>
          <w:rFonts w:ascii="Times New Roman" w:hAnsi="Times New Roman" w:cs="Times New Roman"/>
          <w:kern w:val="0"/>
          <w:lang w:val="en-US"/>
        </w:rPr>
        <w:t>d</w:t>
      </w:r>
      <w:r w:rsidRPr="00F65AA7">
        <w:rPr>
          <w:rFonts w:ascii="Times New Roman" w:hAnsi="Times New Roman" w:cs="Times New Roman"/>
          <w:kern w:val="0"/>
          <w:lang w:val="en-US"/>
        </w:rPr>
        <w:t xml:space="preserve"> gender diversity as the representation of women on corporate boards, which can enhance decision-making by bringing diverse perspectives. However, the limitation is that increased gender diversity might lead to tokenism, where women are appointed for appearance rather than merit. Nevertheless, gender diversity promotes equality and can improve board performance. Oktaviana and Setiawan (2022) view gender diversity as the ratio of female to male directors, emphasizing that it can lead to more balanced and inclusive governance. The limitation is that focusing solely on numbers may overlook the quality of participation. This study defines gender diversity as the proportion of female directors on Nigerian manufacturing firm boards.</w:t>
      </w:r>
    </w:p>
    <w:p w14:paraId="421D915D" w14:textId="0B14907D" w:rsidR="00474A04" w:rsidRPr="00474A04" w:rsidRDefault="00474A04" w:rsidP="0078149A">
      <w:pPr>
        <w:spacing w:line="240" w:lineRule="auto"/>
        <w:jc w:val="both"/>
        <w:rPr>
          <w:rFonts w:ascii="Times New Roman" w:hAnsi="Times New Roman" w:cs="Times New Roman"/>
          <w:kern w:val="0"/>
          <w:lang w:val="en-US"/>
        </w:rPr>
      </w:pPr>
      <w:r w:rsidRPr="00474A04">
        <w:rPr>
          <w:rFonts w:ascii="Times New Roman" w:hAnsi="Times New Roman" w:cs="Times New Roman"/>
          <w:kern w:val="0"/>
          <w:lang w:val="en-US"/>
        </w:rPr>
        <w:t>Gillan and Starks (2010) define board meetings as regular gatherings of directors to discuss and decide on company matters, which can enhance oversight and strategic direction. However, frequent meetings may become routine and less productive. Despite this, they signify a commitment to governance and engagement. Aljuaidi (2020) views board meetings as a mechanism for directors to monitor management, emphasizing their role in improving intellectual capital efficiency. The limitation is that excessive meetings might lead to managerial micromanagement. This study defines board meetings as the frequency of board gatherings in Nigerian manufacturing firms to explore their impact on intellectual capital efficiency.</w:t>
      </w:r>
    </w:p>
    <w:p w14:paraId="21754DF4" w14:textId="64520D91" w:rsidR="00E21145" w:rsidRPr="002D6798" w:rsidRDefault="00015317" w:rsidP="0078149A">
      <w:pPr>
        <w:spacing w:after="80" w:line="240" w:lineRule="auto"/>
        <w:jc w:val="both"/>
        <w:rPr>
          <w:rFonts w:ascii="Times New Roman" w:hAnsi="Times New Roman" w:cs="Times New Roman"/>
          <w:kern w:val="0"/>
          <w:lang w:val="en-US"/>
        </w:rPr>
      </w:pPr>
      <w:r w:rsidRPr="002D6798">
        <w:rPr>
          <w:rFonts w:ascii="Times New Roman" w:hAnsi="Times New Roman" w:cs="Times New Roman"/>
          <w:kern w:val="0"/>
          <w:lang w:val="en-US"/>
        </w:rPr>
        <w:t xml:space="preserve">An essential idea in corporate governance, agency theory looks at how principals like shareholders and agents like management interact and focus on minimizing conflicts of interest and guaranteeing alignment of interests (Jensen &amp; Meckling, 1976). The application of agency theory </w:t>
      </w:r>
      <w:r w:rsidRPr="002D6798">
        <w:rPr>
          <w:rFonts w:ascii="Times New Roman" w:hAnsi="Times New Roman" w:cs="Times New Roman"/>
          <w:kern w:val="0"/>
          <w:lang w:val="en-US"/>
        </w:rPr>
        <w:lastRenderedPageBreak/>
        <w:t>to Nigerian listed manufacturing enterprises helps clarify the difficulties in distinguishing ownership from control, especially about founders who may have a great deal of authority and influence within the company (Eisenhardt, 1989). Studies examining board cha</w:t>
      </w:r>
      <w:r w:rsidR="00052742">
        <w:rPr>
          <w:rFonts w:ascii="Times New Roman" w:hAnsi="Times New Roman" w:cs="Times New Roman"/>
          <w:kern w:val="0"/>
          <w:lang w:val="en-US"/>
        </w:rPr>
        <w:t>racteristics and their effect</w:t>
      </w:r>
      <w:r w:rsidRPr="002D6798">
        <w:rPr>
          <w:rFonts w:ascii="Times New Roman" w:hAnsi="Times New Roman" w:cs="Times New Roman"/>
          <w:kern w:val="0"/>
          <w:lang w:val="en-US"/>
        </w:rPr>
        <w:t xml:space="preserve"> on business performance and efficiency, especially intellectual capital efficiency, have regularly been supported by research using agency theory as a theoretical framework (Demir, 2009). Using agency theory, scholars can examine how </w:t>
      </w:r>
      <w:r w:rsidR="00474A04">
        <w:rPr>
          <w:rFonts w:ascii="Times New Roman" w:hAnsi="Times New Roman" w:cs="Times New Roman"/>
          <w:kern w:val="0"/>
          <w:lang w:val="en-US"/>
        </w:rPr>
        <w:t>attributes</w:t>
      </w:r>
      <w:r w:rsidRPr="002D6798">
        <w:rPr>
          <w:rFonts w:ascii="Times New Roman" w:hAnsi="Times New Roman" w:cs="Times New Roman"/>
          <w:kern w:val="0"/>
          <w:lang w:val="en-US"/>
        </w:rPr>
        <w:t xml:space="preserve"> of the board, such as size, independence, and gender diversity, impact the agency dynamic between management and shareholders. This, in turn, shapes organizational outcomes, such as </w:t>
      </w:r>
      <w:r w:rsidR="00C83101" w:rsidRPr="002D6798">
        <w:rPr>
          <w:rFonts w:ascii="Times New Roman" w:hAnsi="Times New Roman" w:cs="Times New Roman"/>
          <w:kern w:val="0"/>
          <w:lang w:val="en-US"/>
        </w:rPr>
        <w:t>ICE</w:t>
      </w:r>
      <w:r w:rsidRPr="002D6798">
        <w:rPr>
          <w:rFonts w:ascii="Times New Roman" w:hAnsi="Times New Roman" w:cs="Times New Roman"/>
          <w:kern w:val="0"/>
          <w:lang w:val="en-US"/>
        </w:rPr>
        <w:t>.</w:t>
      </w:r>
    </w:p>
    <w:p w14:paraId="1A913CB6" w14:textId="50499C9B" w:rsidR="001A2D8D" w:rsidRDefault="001A2D8D" w:rsidP="0078149A">
      <w:pPr>
        <w:spacing w:after="80" w:line="240" w:lineRule="auto"/>
        <w:jc w:val="both"/>
        <w:rPr>
          <w:rFonts w:ascii="Times New Roman" w:hAnsi="Times New Roman" w:cs="Times New Roman"/>
          <w:kern w:val="0"/>
          <w:lang w:val="en-US"/>
        </w:rPr>
      </w:pPr>
      <w:r w:rsidRPr="008A4DDB">
        <w:rPr>
          <w:rFonts w:ascii="Times New Roman" w:hAnsi="Times New Roman" w:cs="Times New Roman"/>
          <w:lang w:val="en-US"/>
        </w:rPr>
        <w:t>Ebrahim et al. (2021) examined the effect of board composition on the intellectual capital performance of the BSE commercial banks between 2014 and 2018. In the study, both regression testing analysis and correlation testing analysis are applied in assessing the relationship between board size and ICP. The study found a positive significant correlation between ICP and board size. While the study provides valuable knowledge on the relationship of board composition with ICP in Bahraini commercial banks, the generalization of the findings may not be very feasible, as the study is confined to Bahraini commercial banks only. To address this gap, this study is conducted in the Nigerian NFSFs context.</w:t>
      </w:r>
    </w:p>
    <w:p w14:paraId="2453F74F" w14:textId="15C6FC18" w:rsidR="00255C93" w:rsidRPr="00255C93" w:rsidRDefault="00255C93" w:rsidP="0078149A">
      <w:pPr>
        <w:spacing w:after="80" w:line="240" w:lineRule="auto"/>
        <w:jc w:val="both"/>
        <w:rPr>
          <w:rFonts w:ascii="Times New Roman" w:hAnsi="Times New Roman" w:cs="Times New Roman"/>
          <w:kern w:val="0"/>
          <w:lang w:val="en-US"/>
        </w:rPr>
      </w:pPr>
      <w:r w:rsidRPr="00255C93">
        <w:rPr>
          <w:rFonts w:ascii="Times New Roman" w:hAnsi="Times New Roman" w:cs="Times New Roman"/>
          <w:kern w:val="0"/>
          <w:lang w:val="en-US"/>
        </w:rPr>
        <w:t>Lawal et al. (2022) examined the effects of board diversity, including board size, on intellectual capital performance in Nigerian non-fina</w:t>
      </w:r>
      <w:r w:rsidR="00786665">
        <w:rPr>
          <w:rFonts w:ascii="Times New Roman" w:hAnsi="Times New Roman" w:cs="Times New Roman"/>
          <w:kern w:val="0"/>
          <w:lang w:val="en-US"/>
        </w:rPr>
        <w:t>ncial service organizations for</w:t>
      </w:r>
      <w:r w:rsidRPr="00255C93">
        <w:rPr>
          <w:rFonts w:ascii="Times New Roman" w:hAnsi="Times New Roman" w:cs="Times New Roman"/>
          <w:kern w:val="0"/>
          <w:lang w:val="en-US"/>
        </w:rPr>
        <w:t xml:space="preserve"> ten years (2011-2020). They employed descriptive statistics, correlation, and Fixed Effects regressions, </w:t>
      </w:r>
      <w:r w:rsidR="00C769F9">
        <w:rPr>
          <w:rFonts w:ascii="Times New Roman" w:hAnsi="Times New Roman" w:cs="Times New Roman"/>
          <w:kern w:val="0"/>
          <w:lang w:val="en-US"/>
        </w:rPr>
        <w:t xml:space="preserve">the </w:t>
      </w:r>
      <w:r w:rsidRPr="00255C93">
        <w:rPr>
          <w:rFonts w:ascii="Times New Roman" w:hAnsi="Times New Roman" w:cs="Times New Roman"/>
          <w:kern w:val="0"/>
          <w:lang w:val="en-US"/>
        </w:rPr>
        <w:t xml:space="preserve">finding </w:t>
      </w:r>
      <w:r w:rsidR="00C769F9">
        <w:rPr>
          <w:rFonts w:ascii="Times New Roman" w:hAnsi="Times New Roman" w:cs="Times New Roman"/>
          <w:kern w:val="0"/>
          <w:lang w:val="en-US"/>
        </w:rPr>
        <w:t xml:space="preserve">revealed </w:t>
      </w:r>
      <w:r w:rsidRPr="00255C93">
        <w:rPr>
          <w:rFonts w:ascii="Times New Roman" w:hAnsi="Times New Roman" w:cs="Times New Roman"/>
          <w:kern w:val="0"/>
          <w:lang w:val="en-US"/>
        </w:rPr>
        <w:t>that intellectual capital performance is significantly enhanced by board size. However, focusing on non-financial firms may limit the findings' generalizability to other sectors, such as NLMFs. This study addresses this gap by analyzing the dynamics of board size and its effect on NLMFs' ICE from 2013-2022.</w:t>
      </w:r>
    </w:p>
    <w:p w14:paraId="44434985" w14:textId="77777777" w:rsidR="00255C93" w:rsidRPr="00255C93" w:rsidRDefault="00255C93" w:rsidP="0078149A">
      <w:pPr>
        <w:spacing w:after="80" w:line="240" w:lineRule="auto"/>
        <w:jc w:val="both"/>
        <w:rPr>
          <w:rFonts w:ascii="Times New Roman" w:hAnsi="Times New Roman" w:cs="Times New Roman"/>
          <w:kern w:val="0"/>
          <w:lang w:val="en-US"/>
        </w:rPr>
      </w:pPr>
      <w:r w:rsidRPr="00255C93">
        <w:rPr>
          <w:rFonts w:ascii="Times New Roman" w:hAnsi="Times New Roman" w:cs="Times New Roman"/>
          <w:kern w:val="0"/>
          <w:lang w:val="en-US"/>
        </w:rPr>
        <w:t>Shahzad et al. (2023) investigated the relationship between intellectual capital efficiency and corporate governance characteristics, such as board size, in Pakistani service companies between 2016 and 2020. Using a fixed-effect model and two-stage least squares regression, they found a strong negative association between board size and ICE, indicating that larger boards were linked to lower ICE levels. The study's focus on Pakistani service companies limits its applicability to other sectors and regions. This study fills this gap by examining board size and ICE in NLMFs from 2013-2022.</w:t>
      </w:r>
    </w:p>
    <w:p w14:paraId="64685984" w14:textId="77777777" w:rsidR="00255C93" w:rsidRPr="00255C93" w:rsidRDefault="00255C93" w:rsidP="0078149A">
      <w:pPr>
        <w:spacing w:after="80" w:line="240" w:lineRule="auto"/>
        <w:jc w:val="both"/>
        <w:rPr>
          <w:rFonts w:ascii="Times New Roman" w:hAnsi="Times New Roman" w:cs="Times New Roman"/>
          <w:kern w:val="0"/>
          <w:lang w:val="en-US"/>
        </w:rPr>
      </w:pPr>
      <w:r w:rsidRPr="00255C93">
        <w:rPr>
          <w:rFonts w:ascii="Times New Roman" w:hAnsi="Times New Roman" w:cs="Times New Roman"/>
          <w:kern w:val="0"/>
          <w:lang w:val="en-US"/>
        </w:rPr>
        <w:t>Mahmudi (2014) explored the impact of board governance features on intellectual capital performance in Indonesian banks listed on the Indonesia Stock Exchange between 2008 and 2012. Using the VAIC technique and SPSS software, the study found a significant positive relationship between board independence and intellectual capital performance. The study focused on the banking industry and the Indonesian context and the period covered limiting its generalizability to other sectors and regions, such as NLMFs. This study addresses these gaps by examining the effect of board attributes on NLMFs' ICE from 2013-2022.</w:t>
      </w:r>
    </w:p>
    <w:p w14:paraId="000C3A82" w14:textId="77777777" w:rsidR="00776EF7" w:rsidRDefault="00776EF7" w:rsidP="0078149A">
      <w:pPr>
        <w:spacing w:after="80" w:line="240" w:lineRule="auto"/>
        <w:jc w:val="both"/>
        <w:rPr>
          <w:rFonts w:ascii="Times New Roman" w:hAnsi="Times New Roman" w:cs="Times New Roman"/>
          <w:kern w:val="0"/>
          <w:lang w:val="en-US"/>
        </w:rPr>
      </w:pPr>
      <w:r w:rsidRPr="00776EF7">
        <w:rPr>
          <w:rFonts w:ascii="Times New Roman" w:hAnsi="Times New Roman" w:cs="Times New Roman"/>
          <w:kern w:val="0"/>
          <w:lang w:val="en-US"/>
        </w:rPr>
        <w:t>Kweh et al. (2022) investigated the connection between board independence and intellectual capital efficiency (ICE) in Taiwanese semiconductor companies from 2011 to 2018. They used a stochastic nonparametric envelopment of data (StoNED) paradigm to convert structural, relational, and human capital into performance metrics. The study revealed an ideal degree of board independence that optimizes ICE, showing a substantial cubic S-curve link between ICE and board independence. While the study provides valuable insights into the semiconductor industry, its findings may not be generalized to other sectors and geographical areas, including NLMFs. This study addresses this gap by examining board attributes and ICE in NLMFs from 2013 to 2022.</w:t>
      </w:r>
    </w:p>
    <w:p w14:paraId="31178929" w14:textId="6EF5AE00" w:rsidR="001A2D8D" w:rsidRPr="00776EF7" w:rsidRDefault="001A2D8D" w:rsidP="0078149A">
      <w:pPr>
        <w:spacing w:after="80" w:line="240" w:lineRule="auto"/>
        <w:jc w:val="both"/>
        <w:rPr>
          <w:rFonts w:ascii="Times New Roman" w:hAnsi="Times New Roman" w:cs="Times New Roman"/>
          <w:kern w:val="0"/>
          <w:lang w:val="en-US"/>
        </w:rPr>
      </w:pPr>
      <w:r w:rsidRPr="00EF5F9A">
        <w:rPr>
          <w:rFonts w:ascii="Times New Roman" w:hAnsi="Times New Roman" w:cs="Times New Roman"/>
          <w:lang w:val="en-US"/>
        </w:rPr>
        <w:lastRenderedPageBreak/>
        <w:t xml:space="preserve">Kotte and Reddy (2023) also discussed the sample analysis to explain the impact of independent directors on ICE in Indian commercial banks from 2010 to 2020 using multiple regression and the VAIC method. Even though the study demonstrated a tremendous positive </w:t>
      </w:r>
      <w:r w:rsidRPr="00EF5F9A">
        <w:rPr>
          <w:rFonts w:ascii="Times New Roman" w:hAnsi="Times New Roman" w:cs="Times New Roman"/>
          <w:color w:val="3A7C22" w:themeColor="accent6" w:themeShade="BF"/>
          <w:lang w:val="en-US"/>
        </w:rPr>
        <w:t xml:space="preserve">relationship of board independence and </w:t>
      </w:r>
      <w:r w:rsidRPr="00EF5F9A">
        <w:rPr>
          <w:rFonts w:ascii="Times New Roman" w:hAnsi="Times New Roman" w:cs="Times New Roman"/>
          <w:lang w:val="en-US"/>
        </w:rPr>
        <w:t>ICE, it suffers from a limited industry generalization as its focus was on the banking sector and applied VAIC with no consideration of qualitative aspects of governance across different industries. In addition, it failed to consider an interaction effect of executive compensation on the ICE enhancement. These studies are then pursued in the present research to fill the foregoing gaps in two ways: by examining the effect of board independence and other characteristics of Nigerian non-financial service firm boards on ICE and by considering executive compensation as a moderator to these assessments to add richness to the results. It also provides a glimpse into how different characteristics of the board affect ICE in an emerging economy with a different governance environment.</w:t>
      </w:r>
    </w:p>
    <w:p w14:paraId="702D43C6" w14:textId="0C69193A" w:rsidR="00776EF7" w:rsidRPr="00776EF7" w:rsidRDefault="00776EF7" w:rsidP="0078149A">
      <w:pPr>
        <w:spacing w:after="80" w:line="240" w:lineRule="auto"/>
        <w:jc w:val="both"/>
        <w:rPr>
          <w:rFonts w:ascii="Times New Roman" w:hAnsi="Times New Roman" w:cs="Times New Roman"/>
          <w:kern w:val="0"/>
          <w:lang w:val="en-US"/>
        </w:rPr>
      </w:pPr>
      <w:r w:rsidRPr="00776EF7">
        <w:rPr>
          <w:rFonts w:ascii="Times New Roman" w:hAnsi="Times New Roman" w:cs="Times New Roman"/>
          <w:kern w:val="0"/>
          <w:lang w:val="en-US"/>
        </w:rPr>
        <w:t>From 2010 to 2019, Farooq and Ahmad (2023) investigated the association between non-financial companies listed on the Pakistan Stock Exchange and the success of their boards, particularly their independence. Using regression analysis with the modified value-added intellectual capital (MVAIC) model and various board features, they found a significant inverse association between board independence and ICE. Although the study offers valuable insights, its focus on Pakistani enterprises and covering ten years from 2010-2019 limits the applicability of its conclusions to other developing economies and sectors, such as NLMFs. This study fills this gap by investigating the dynamics of board independence and its effect on ICE in NLMFs from 2013 to 2022.</w:t>
      </w:r>
    </w:p>
    <w:p w14:paraId="138DE5C4" w14:textId="77777777" w:rsidR="00776EF7" w:rsidRPr="00776EF7" w:rsidRDefault="00776EF7" w:rsidP="0078149A">
      <w:pPr>
        <w:spacing w:after="80" w:line="240" w:lineRule="auto"/>
        <w:jc w:val="both"/>
        <w:rPr>
          <w:rFonts w:ascii="Times New Roman" w:hAnsi="Times New Roman" w:cs="Times New Roman"/>
          <w:kern w:val="0"/>
          <w:lang w:val="en-US"/>
        </w:rPr>
      </w:pPr>
      <w:r w:rsidRPr="00776EF7">
        <w:rPr>
          <w:rFonts w:ascii="Times New Roman" w:hAnsi="Times New Roman" w:cs="Times New Roman"/>
          <w:kern w:val="0"/>
          <w:lang w:val="en-US"/>
        </w:rPr>
        <w:t>Oktaviana and Setiawan (2022) examined the impact of board attributes, such as gender diversity, on intellectual capital in Islamic banks in Bangladesh, Malaysia, and Indonesia from 2014 to 2019. Using multiple linear regression analysis, they found that gender diversity positively affects intellectual capital. However, the study's focus on Islamic banks in specific countries and covering six years from 2014 to 2019 limits its applicability to other regions and sectors, including NLMFs. This study addresses these gaps by analyzing board attributes and ICE in NLMFs from 2013 to 2022.</w:t>
      </w:r>
    </w:p>
    <w:p w14:paraId="64F227F0" w14:textId="77777777" w:rsidR="00776EF7" w:rsidRDefault="00776EF7" w:rsidP="0078149A">
      <w:pPr>
        <w:spacing w:after="80" w:line="240" w:lineRule="auto"/>
        <w:jc w:val="both"/>
        <w:rPr>
          <w:rFonts w:ascii="Times New Roman" w:hAnsi="Times New Roman" w:cs="Times New Roman"/>
          <w:kern w:val="0"/>
          <w:lang w:val="en-US"/>
        </w:rPr>
      </w:pPr>
      <w:r w:rsidRPr="00776EF7">
        <w:rPr>
          <w:rFonts w:ascii="Times New Roman" w:hAnsi="Times New Roman" w:cs="Times New Roman"/>
          <w:kern w:val="0"/>
          <w:lang w:val="en-US"/>
        </w:rPr>
        <w:t>Asare et al. (2023) investigated the connection between intellectual capital and gender diversity on boards in African banks using data from 366 banks in 26 African nations between 2007 and 2015. They utilized the value-added intellectual coefficient (VAIC) and employed panel-corrected standard error estimation and panel regressions. The study found no significant impact of gender diversity on intellectual capital in African banks. However, the study's focus on African banks limits its applicability to other industries and regions, such as NLMFs. Additionally, advancements in board gender diversity practices may not have been captured in the 2007–2015 timeframe. This study fills these gaps by examining board gender diversity and its effects on ICE in NLMFs from 2013 to 2022.</w:t>
      </w:r>
    </w:p>
    <w:p w14:paraId="7287D026" w14:textId="0DADBF00" w:rsidR="00052742" w:rsidRPr="00776EF7" w:rsidRDefault="00052742" w:rsidP="0078149A">
      <w:pPr>
        <w:spacing w:after="80" w:line="240" w:lineRule="auto"/>
        <w:jc w:val="both"/>
        <w:rPr>
          <w:rFonts w:ascii="Times New Roman" w:hAnsi="Times New Roman" w:cs="Times New Roman"/>
          <w:kern w:val="0"/>
          <w:lang w:val="en-US"/>
        </w:rPr>
      </w:pPr>
      <w:r>
        <w:rPr>
          <w:rFonts w:ascii="Times New Roman" w:hAnsi="Times New Roman" w:cs="Times New Roman"/>
          <w:kern w:val="0"/>
          <w:lang w:val="en-US"/>
        </w:rPr>
        <w:t xml:space="preserve">In support of this, </w:t>
      </w:r>
      <w:r w:rsidRPr="00776EF7">
        <w:rPr>
          <w:rFonts w:ascii="Times New Roman" w:hAnsi="Times New Roman" w:cs="Times New Roman"/>
          <w:kern w:val="0"/>
          <w:lang w:val="en-US"/>
        </w:rPr>
        <w:t>Humairo and Abidin (2024) conducted a quantitative study on the impact of gender diversity on intellectual capital performance in the Indonesian banking industry, using the Common Effect Model (CEM) and multiple regression analysis on panel data from 23 banking companies for 2021–2022. They found a positive but statistically insignificant impact of gender diversity on intellectual capital performance. While the study clarifies the connection between gender diversity and intellectual capital, its focus on Indonesia's banking industry limits its generalization to other sectors. This study fills this by examining NLMFs and using comprehensive ICE metrics over an expanded period from 2013 to 2022.</w:t>
      </w:r>
    </w:p>
    <w:p w14:paraId="5FF744F8" w14:textId="77777777" w:rsidR="00776EF7" w:rsidRPr="00776EF7" w:rsidRDefault="00776EF7" w:rsidP="0078149A">
      <w:pPr>
        <w:spacing w:after="80" w:line="240" w:lineRule="auto"/>
        <w:jc w:val="both"/>
        <w:rPr>
          <w:rFonts w:ascii="Times New Roman" w:hAnsi="Times New Roman" w:cs="Times New Roman"/>
          <w:kern w:val="0"/>
          <w:lang w:val="en-US"/>
        </w:rPr>
      </w:pPr>
      <w:r w:rsidRPr="00776EF7">
        <w:rPr>
          <w:rFonts w:ascii="Times New Roman" w:hAnsi="Times New Roman" w:cs="Times New Roman"/>
          <w:kern w:val="0"/>
          <w:lang w:val="en-US"/>
        </w:rPr>
        <w:t xml:space="preserve">Attarita et al. (2017) analyzed the impact of board qualifications on intellectual capital efficiency (ICE) using data from 403 Thai companies listed on the Stock Exchange of Thailand (SET). Using </w:t>
      </w:r>
      <w:r w:rsidRPr="00776EF7">
        <w:rPr>
          <w:rFonts w:ascii="Times New Roman" w:hAnsi="Times New Roman" w:cs="Times New Roman"/>
          <w:kern w:val="0"/>
          <w:lang w:val="en-US"/>
        </w:rPr>
        <w:lastRenderedPageBreak/>
        <w:t>structural equation modeling (SEM), they found that the frequency of board meetings negatively affected ICE. While insightful for the Thai context, the study’s findings may not apply to other industries and regions, such as NLMFs. Moreover, the study’s timeframe (2013–2022) may have missed recent advancements in NLMF board meeting procedures. This study fills these gaps by investigating board attributes and ICE in NLMFs.</w:t>
      </w:r>
    </w:p>
    <w:p w14:paraId="61722C60" w14:textId="0B70DA23" w:rsidR="00DF6185" w:rsidRDefault="00776EF7" w:rsidP="0078149A">
      <w:pPr>
        <w:spacing w:after="80" w:line="240" w:lineRule="auto"/>
        <w:jc w:val="both"/>
        <w:rPr>
          <w:rFonts w:ascii="Times New Roman" w:hAnsi="Times New Roman" w:cs="Times New Roman"/>
          <w:kern w:val="0"/>
          <w:lang w:val="en-US"/>
        </w:rPr>
      </w:pPr>
      <w:r w:rsidRPr="00776EF7">
        <w:rPr>
          <w:rFonts w:ascii="Times New Roman" w:hAnsi="Times New Roman" w:cs="Times New Roman"/>
          <w:kern w:val="0"/>
          <w:lang w:val="en-US"/>
        </w:rPr>
        <w:t>Aljuaidi (2020) examined the relationship between board meetings and intellectual capital performance in Gulf banks, analyzing yearly reports from 86 banks over five years (2014–2018). Results showed a positive relationship between board meeting frequency and intellectual capital performance. Despite highlighting the value of board meetings for the banking industry, the focus on Gulf banks limits applicability to other sectors, such as NLMFs. This study addresses these gaps by examining board attributes and ICE in NLMFs from 2013 to 2022.</w:t>
      </w:r>
      <w:r w:rsidR="00DF6185" w:rsidRPr="002D6798">
        <w:rPr>
          <w:rFonts w:ascii="Times New Roman" w:hAnsi="Times New Roman" w:cs="Times New Roman"/>
          <w:kern w:val="0"/>
          <w:lang w:val="en-US"/>
        </w:rPr>
        <w:t xml:space="preserve"> </w:t>
      </w:r>
    </w:p>
    <w:p w14:paraId="54906F2F" w14:textId="1C7E43CD" w:rsidR="001A2D8D" w:rsidRPr="002D6798" w:rsidRDefault="001A2D8D" w:rsidP="0078149A">
      <w:pPr>
        <w:spacing w:after="80" w:line="240" w:lineRule="auto"/>
        <w:jc w:val="both"/>
        <w:rPr>
          <w:rFonts w:ascii="Times New Roman" w:hAnsi="Times New Roman" w:cs="Times New Roman"/>
          <w:kern w:val="0"/>
          <w:lang w:val="en-US"/>
        </w:rPr>
      </w:pPr>
      <w:r w:rsidRPr="00E77EDD">
        <w:rPr>
          <w:rFonts w:ascii="Times New Roman" w:hAnsi="Times New Roman" w:cs="Times New Roman"/>
          <w:lang w:val="en-US"/>
        </w:rPr>
        <w:t>Adebayo et al. (2020) stud</w:t>
      </w:r>
      <w:r w:rsidR="00052742">
        <w:rPr>
          <w:rFonts w:ascii="Times New Roman" w:hAnsi="Times New Roman" w:cs="Times New Roman"/>
          <w:lang w:val="en-US"/>
        </w:rPr>
        <w:t>ied</w:t>
      </w:r>
      <w:r w:rsidRPr="00E77EDD">
        <w:rPr>
          <w:rFonts w:ascii="Times New Roman" w:hAnsi="Times New Roman" w:cs="Times New Roman"/>
          <w:lang w:val="en-US"/>
        </w:rPr>
        <w:t xml:space="preserve"> corporate governance attributes and intellectual capital in Nigerian firms and reveal a negative relationship between board meeting frequency and ICE. However, purposive sampling and multiple regression analysis enhance the focus of the study and reduce the population variance, although they limit the number of participating firms (64) and the generalizability of the study results. Furthermore, the study lacks mediating factors or variation in the nature of industries. These limitations are addressed in this study by including a larger and more diverse sample of Nigerian NFSFs and the addition of executive compensation as a moderating variable to gain a deeper understanding of how the corporate governance attributes affect ICE in a broader and more complex sample.</w:t>
      </w:r>
    </w:p>
    <w:p w14:paraId="11640BE6" w14:textId="26E07172" w:rsidR="00426A93" w:rsidRPr="00322E7A" w:rsidRDefault="00426A93" w:rsidP="0078149A">
      <w:pPr>
        <w:pStyle w:val="Heading1"/>
        <w:spacing w:before="0" w:line="240" w:lineRule="auto"/>
        <w:rPr>
          <w:lang w:val="en-US"/>
        </w:rPr>
      </w:pPr>
      <w:r w:rsidRPr="00322E7A">
        <w:rPr>
          <w:lang w:val="en-US"/>
        </w:rPr>
        <w:t>3. METHODOLOGY</w:t>
      </w:r>
    </w:p>
    <w:p w14:paraId="78C70A44" w14:textId="75D17E98" w:rsidR="003E5F3D" w:rsidRPr="00322E7A" w:rsidRDefault="004E15C7" w:rsidP="0078149A">
      <w:pPr>
        <w:spacing w:after="0" w:line="240" w:lineRule="auto"/>
        <w:jc w:val="both"/>
        <w:rPr>
          <w:rFonts w:ascii="Times New Roman" w:hAnsi="Times New Roman" w:cs="Times New Roman"/>
          <w:kern w:val="0"/>
          <w:lang w:val="en-US"/>
        </w:rPr>
      </w:pPr>
      <w:r>
        <w:rPr>
          <w:rFonts w:ascii="Times New Roman" w:hAnsi="Times New Roman" w:cs="Times New Roman"/>
          <w:kern w:val="0"/>
          <w:lang w:val="en-US"/>
        </w:rPr>
        <w:t>This</w:t>
      </w:r>
      <w:r w:rsidR="00431ED9" w:rsidRPr="00322E7A">
        <w:rPr>
          <w:rFonts w:ascii="Times New Roman" w:hAnsi="Times New Roman" w:cs="Times New Roman"/>
          <w:kern w:val="0"/>
          <w:lang w:val="en-US"/>
        </w:rPr>
        <w:t xml:space="preserve"> study uses an ex-post facto research approach to investigate how board attributes and ICE in NLMFs relate. </w:t>
      </w:r>
      <w:r w:rsidR="002D4810">
        <w:rPr>
          <w:rFonts w:ascii="Times New Roman" w:hAnsi="Times New Roman" w:cs="Times New Roman"/>
          <w:kern w:val="0"/>
          <w:lang w:val="en-US"/>
        </w:rPr>
        <w:t>6</w:t>
      </w:r>
      <w:r w:rsidR="00E04A14">
        <w:rPr>
          <w:rFonts w:ascii="Times New Roman" w:hAnsi="Times New Roman" w:cs="Times New Roman"/>
          <w:kern w:val="0"/>
          <w:lang w:val="en-US"/>
        </w:rPr>
        <w:t>6</w:t>
      </w:r>
      <w:r w:rsidR="00431ED9" w:rsidRPr="00322E7A">
        <w:rPr>
          <w:rFonts w:ascii="Times New Roman" w:hAnsi="Times New Roman" w:cs="Times New Roman"/>
          <w:kern w:val="0"/>
          <w:lang w:val="en-US"/>
        </w:rPr>
        <w:t xml:space="preserve"> </w:t>
      </w:r>
      <w:r w:rsidR="005830D0">
        <w:rPr>
          <w:rFonts w:ascii="Times New Roman" w:hAnsi="Times New Roman" w:cs="Times New Roman"/>
          <w:kern w:val="0"/>
          <w:lang w:val="en-US"/>
        </w:rPr>
        <w:t xml:space="preserve">NLMFs </w:t>
      </w:r>
      <w:r w:rsidR="00431ED9" w:rsidRPr="00322E7A">
        <w:rPr>
          <w:rFonts w:ascii="Times New Roman" w:hAnsi="Times New Roman" w:cs="Times New Roman"/>
          <w:kern w:val="0"/>
          <w:lang w:val="en-US"/>
        </w:rPr>
        <w:t>make up the population of this study</w:t>
      </w:r>
      <w:r w:rsidR="0078065C">
        <w:rPr>
          <w:rFonts w:ascii="Times New Roman" w:hAnsi="Times New Roman" w:cs="Times New Roman"/>
          <w:kern w:val="0"/>
          <w:lang w:val="en-US"/>
        </w:rPr>
        <w:t xml:space="preserve"> as shown in appendix A</w:t>
      </w:r>
      <w:r w:rsidR="002D4810">
        <w:rPr>
          <w:rFonts w:ascii="Times New Roman" w:hAnsi="Times New Roman" w:cs="Times New Roman"/>
          <w:kern w:val="0"/>
          <w:lang w:val="en-US"/>
        </w:rPr>
        <w:t>. Out of the 6</w:t>
      </w:r>
      <w:r w:rsidR="001A2D8D">
        <w:rPr>
          <w:rFonts w:ascii="Times New Roman" w:hAnsi="Times New Roman" w:cs="Times New Roman"/>
          <w:kern w:val="0"/>
          <w:lang w:val="en-US"/>
        </w:rPr>
        <w:t>6</w:t>
      </w:r>
      <w:r w:rsidR="00431ED9" w:rsidRPr="00322E7A">
        <w:rPr>
          <w:rFonts w:ascii="Times New Roman" w:hAnsi="Times New Roman" w:cs="Times New Roman"/>
          <w:kern w:val="0"/>
          <w:lang w:val="en-US"/>
        </w:rPr>
        <w:t xml:space="preserve"> NLMFs, a representative sample of 31 firms is chosen using purposeful sampling based on the availability of data for the period 2013-2022</w:t>
      </w:r>
      <w:r w:rsidR="0078065C">
        <w:rPr>
          <w:rFonts w:ascii="Times New Roman" w:hAnsi="Times New Roman" w:cs="Times New Roman"/>
          <w:kern w:val="0"/>
          <w:lang w:val="en-US"/>
        </w:rPr>
        <w:t xml:space="preserve"> as shown in appendix B</w:t>
      </w:r>
      <w:r w:rsidR="00431ED9" w:rsidRPr="00322E7A">
        <w:rPr>
          <w:rFonts w:ascii="Times New Roman" w:hAnsi="Times New Roman" w:cs="Times New Roman"/>
          <w:kern w:val="0"/>
          <w:lang w:val="en-US"/>
        </w:rPr>
        <w:t xml:space="preserve">. Data is gathered from the chosen </w:t>
      </w:r>
      <w:r w:rsidR="00231809" w:rsidRPr="00322E7A">
        <w:rPr>
          <w:rFonts w:ascii="Times New Roman" w:hAnsi="Times New Roman" w:cs="Times New Roman"/>
          <w:kern w:val="0"/>
          <w:lang w:val="en-US"/>
        </w:rPr>
        <w:t>firm</w:t>
      </w:r>
      <w:r w:rsidR="00431ED9" w:rsidRPr="00322E7A">
        <w:rPr>
          <w:rFonts w:ascii="Times New Roman" w:hAnsi="Times New Roman" w:cs="Times New Roman"/>
          <w:kern w:val="0"/>
          <w:lang w:val="en-US"/>
        </w:rPr>
        <w:t xml:space="preserve">s' annual reports for 2013 to 2022. </w:t>
      </w:r>
      <w:r w:rsidR="003E5F3D" w:rsidRPr="00322E7A">
        <w:rPr>
          <w:rFonts w:ascii="Times New Roman" w:hAnsi="Times New Roman" w:cs="Times New Roman"/>
          <w:kern w:val="0"/>
          <w:lang w:val="en-US"/>
        </w:rPr>
        <w:t xml:space="preserve">STATA 13 software was utilized to carry out multiple regression analysis. The dependent variable in the model specification is intellectual capital efficiency, while the independent variables are board size, meetings, gender diversity, and independence; also, the control variables are firm age and sector.  This </w:t>
      </w:r>
      <w:r w:rsidR="00231809" w:rsidRPr="00322E7A">
        <w:rPr>
          <w:rFonts w:ascii="Times New Roman" w:hAnsi="Times New Roman" w:cs="Times New Roman"/>
          <w:kern w:val="0"/>
          <w:lang w:val="en-US"/>
        </w:rPr>
        <w:t xml:space="preserve">model </w:t>
      </w:r>
      <w:r w:rsidR="003E5F3D" w:rsidRPr="00322E7A">
        <w:rPr>
          <w:rFonts w:ascii="Times New Roman" w:hAnsi="Times New Roman" w:cs="Times New Roman"/>
          <w:kern w:val="0"/>
          <w:lang w:val="en-US"/>
        </w:rPr>
        <w:t xml:space="preserve">specification is predicated on theoretical underpinnings and earlier empirical research that suggests these board attributes may </w:t>
      </w:r>
      <w:r w:rsidR="00231809" w:rsidRPr="00322E7A">
        <w:rPr>
          <w:rFonts w:ascii="Times New Roman" w:hAnsi="Times New Roman" w:cs="Times New Roman"/>
          <w:kern w:val="0"/>
          <w:lang w:val="en-US"/>
        </w:rPr>
        <w:t>influence</w:t>
      </w:r>
      <w:r w:rsidR="003E5F3D" w:rsidRPr="00322E7A">
        <w:rPr>
          <w:rFonts w:ascii="Times New Roman" w:hAnsi="Times New Roman" w:cs="Times New Roman"/>
          <w:kern w:val="0"/>
          <w:lang w:val="en-US"/>
        </w:rPr>
        <w:t xml:space="preserve"> intellectual capital</w:t>
      </w:r>
      <w:r w:rsidR="00231809" w:rsidRPr="00322E7A">
        <w:rPr>
          <w:rFonts w:ascii="Times New Roman" w:hAnsi="Times New Roman" w:cs="Times New Roman"/>
          <w:kern w:val="0"/>
          <w:lang w:val="en-US"/>
        </w:rPr>
        <w:t xml:space="preserve"> efficiency</w:t>
      </w:r>
      <w:r w:rsidR="003E5F3D" w:rsidRPr="00322E7A">
        <w:rPr>
          <w:rFonts w:ascii="Times New Roman" w:hAnsi="Times New Roman" w:cs="Times New Roman"/>
          <w:kern w:val="0"/>
          <w:lang w:val="en-US"/>
        </w:rPr>
        <w:t>.</w:t>
      </w:r>
      <w:r w:rsidR="002D1C52">
        <w:rPr>
          <w:rFonts w:ascii="Times New Roman" w:hAnsi="Times New Roman" w:cs="Times New Roman"/>
          <w:kern w:val="0"/>
          <w:lang w:val="en-US"/>
        </w:rPr>
        <w:t xml:space="preserve"> </w:t>
      </w:r>
      <w:r w:rsidR="003E5F3D" w:rsidRPr="00322E7A">
        <w:rPr>
          <w:rFonts w:ascii="Times New Roman" w:hAnsi="Times New Roman" w:cs="Times New Roman"/>
          <w:kern w:val="0"/>
          <w:lang w:val="en-US"/>
        </w:rPr>
        <w:t xml:space="preserve">This study adapts the model of </w:t>
      </w:r>
      <w:r w:rsidR="003E5F3D" w:rsidRPr="00322E7A">
        <w:rPr>
          <w:rFonts w:ascii="Times New Roman" w:hAnsi="Times New Roman" w:cs="Times New Roman"/>
          <w:color w:val="222222"/>
          <w:shd w:val="clear" w:color="auto" w:fill="FFFFFF"/>
        </w:rPr>
        <w:t>Sanyaolu, et al. (2022). Th</w:t>
      </w:r>
      <w:r w:rsidR="00190C2C">
        <w:rPr>
          <w:rFonts w:ascii="Times New Roman" w:hAnsi="Times New Roman" w:cs="Times New Roman"/>
          <w:color w:val="222222"/>
          <w:shd w:val="clear" w:color="auto" w:fill="FFFFFF"/>
          <w:lang w:val="en-US"/>
        </w:rPr>
        <w:t>e</w:t>
      </w:r>
      <w:r w:rsidR="003E5F3D" w:rsidRPr="00322E7A">
        <w:rPr>
          <w:rFonts w:ascii="Times New Roman" w:hAnsi="Times New Roman" w:cs="Times New Roman"/>
          <w:color w:val="222222"/>
          <w:shd w:val="clear" w:color="auto" w:fill="FFFFFF"/>
        </w:rPr>
        <w:t xml:space="preserve"> model is stated below:</w:t>
      </w:r>
    </w:p>
    <w:p w14:paraId="06E1CCB1" w14:textId="77777777" w:rsidR="003E5F3D" w:rsidRPr="00322E7A" w:rsidRDefault="003E5F3D" w:rsidP="0078149A">
      <w:pPr>
        <w:spacing w:after="0" w:line="240" w:lineRule="auto"/>
        <w:jc w:val="both"/>
        <w:rPr>
          <w:rFonts w:ascii="Times New Roman" w:hAnsi="Times New Roman" w:cs="Times New Roman"/>
          <w:kern w:val="0"/>
          <w:lang w:val="en-US"/>
        </w:rPr>
      </w:pPr>
      <w:r w:rsidRPr="00322E7A">
        <w:rPr>
          <w:rFonts w:ascii="Times New Roman" w:hAnsi="Times New Roman" w:cs="Times New Roman"/>
          <w:color w:val="333333"/>
        </w:rPr>
        <w:t>VAIC</w:t>
      </w:r>
      <w:r w:rsidRPr="00322E7A">
        <w:rPr>
          <w:rFonts w:ascii="Times New Roman" w:hAnsi="Times New Roman" w:cs="Times New Roman"/>
          <w:color w:val="333333"/>
          <w:vertAlign w:val="subscript"/>
        </w:rPr>
        <w:t>it</w:t>
      </w:r>
      <w:r w:rsidRPr="00322E7A">
        <w:rPr>
          <w:rFonts w:ascii="Times New Roman" w:hAnsi="Times New Roman" w:cs="Times New Roman"/>
          <w:color w:val="333333"/>
        </w:rPr>
        <w:t> = β</w:t>
      </w:r>
      <w:r w:rsidRPr="00322E7A">
        <w:rPr>
          <w:rFonts w:ascii="Times New Roman" w:hAnsi="Times New Roman" w:cs="Times New Roman"/>
          <w:color w:val="333333"/>
          <w:vertAlign w:val="subscript"/>
        </w:rPr>
        <w:t>0</w:t>
      </w:r>
      <w:r w:rsidRPr="00322E7A">
        <w:rPr>
          <w:rFonts w:ascii="Times New Roman" w:hAnsi="Times New Roman" w:cs="Times New Roman"/>
          <w:color w:val="333333"/>
        </w:rPr>
        <w:t>+ β</w:t>
      </w:r>
      <w:r w:rsidRPr="00322E7A">
        <w:rPr>
          <w:rFonts w:ascii="Times New Roman" w:hAnsi="Times New Roman" w:cs="Times New Roman"/>
          <w:color w:val="333333"/>
          <w:vertAlign w:val="subscript"/>
        </w:rPr>
        <w:t>1</w:t>
      </w:r>
      <w:r w:rsidRPr="00322E7A">
        <w:rPr>
          <w:rFonts w:ascii="Times New Roman" w:hAnsi="Times New Roman" w:cs="Times New Roman"/>
          <w:color w:val="333333"/>
        </w:rPr>
        <w:t>GD+β</w:t>
      </w:r>
      <w:r w:rsidRPr="00322E7A">
        <w:rPr>
          <w:rFonts w:ascii="Times New Roman" w:hAnsi="Times New Roman" w:cs="Times New Roman"/>
          <w:color w:val="333333"/>
          <w:vertAlign w:val="subscript"/>
        </w:rPr>
        <w:t>2</w:t>
      </w:r>
      <w:r w:rsidRPr="00322E7A">
        <w:rPr>
          <w:rFonts w:ascii="Times New Roman" w:hAnsi="Times New Roman" w:cs="Times New Roman"/>
          <w:color w:val="333333"/>
        </w:rPr>
        <w:t>IN</w:t>
      </w:r>
      <w:r w:rsidRPr="00322E7A">
        <w:rPr>
          <w:rFonts w:ascii="Times New Roman" w:hAnsi="Times New Roman" w:cs="Times New Roman"/>
          <w:color w:val="333333"/>
          <w:vertAlign w:val="subscript"/>
        </w:rPr>
        <w:t>it</w:t>
      </w:r>
      <w:r w:rsidRPr="00322E7A">
        <w:rPr>
          <w:rFonts w:ascii="Times New Roman" w:hAnsi="Times New Roman" w:cs="Times New Roman"/>
          <w:color w:val="333333"/>
        </w:rPr>
        <w:t> + β</w:t>
      </w:r>
      <w:r w:rsidRPr="00322E7A">
        <w:rPr>
          <w:rFonts w:ascii="Times New Roman" w:hAnsi="Times New Roman" w:cs="Times New Roman"/>
          <w:color w:val="333333"/>
          <w:vertAlign w:val="subscript"/>
        </w:rPr>
        <w:t>3</w:t>
      </w:r>
      <w:r w:rsidRPr="00322E7A">
        <w:rPr>
          <w:rFonts w:ascii="Times New Roman" w:hAnsi="Times New Roman" w:cs="Times New Roman"/>
          <w:color w:val="333333"/>
        </w:rPr>
        <w:t>(GD*IN)</w:t>
      </w:r>
      <w:r w:rsidRPr="00322E7A">
        <w:rPr>
          <w:rFonts w:ascii="Times New Roman" w:hAnsi="Times New Roman" w:cs="Times New Roman"/>
          <w:color w:val="333333"/>
          <w:vertAlign w:val="subscript"/>
        </w:rPr>
        <w:t>it</w:t>
      </w:r>
      <w:r w:rsidRPr="00322E7A">
        <w:rPr>
          <w:rFonts w:ascii="Times New Roman" w:hAnsi="Times New Roman" w:cs="Times New Roman"/>
          <w:color w:val="333333"/>
        </w:rPr>
        <w:t> + β</w:t>
      </w:r>
      <w:r w:rsidRPr="00322E7A">
        <w:rPr>
          <w:rFonts w:ascii="Times New Roman" w:hAnsi="Times New Roman" w:cs="Times New Roman"/>
          <w:color w:val="333333"/>
          <w:vertAlign w:val="subscript"/>
        </w:rPr>
        <w:t>4</w:t>
      </w:r>
      <w:r w:rsidRPr="00322E7A">
        <w:rPr>
          <w:rFonts w:ascii="Times New Roman" w:hAnsi="Times New Roman" w:cs="Times New Roman"/>
          <w:color w:val="333333"/>
        </w:rPr>
        <w:t>ROA</w:t>
      </w:r>
      <w:r w:rsidRPr="00322E7A">
        <w:rPr>
          <w:rFonts w:ascii="Times New Roman" w:hAnsi="Times New Roman" w:cs="Times New Roman"/>
          <w:color w:val="333333"/>
          <w:vertAlign w:val="subscript"/>
        </w:rPr>
        <w:t>it</w:t>
      </w:r>
      <w:r w:rsidRPr="00322E7A">
        <w:rPr>
          <w:rFonts w:ascii="Times New Roman" w:hAnsi="Times New Roman" w:cs="Times New Roman"/>
          <w:color w:val="333333"/>
        </w:rPr>
        <w:t> + β</w:t>
      </w:r>
      <w:r w:rsidRPr="00322E7A">
        <w:rPr>
          <w:rFonts w:ascii="Times New Roman" w:hAnsi="Times New Roman" w:cs="Times New Roman"/>
          <w:color w:val="333333"/>
          <w:vertAlign w:val="subscript"/>
        </w:rPr>
        <w:t>5</w:t>
      </w:r>
      <w:r w:rsidRPr="00322E7A">
        <w:rPr>
          <w:rFonts w:ascii="Times New Roman" w:hAnsi="Times New Roman" w:cs="Times New Roman"/>
          <w:color w:val="333333"/>
        </w:rPr>
        <w:t>AGE</w:t>
      </w:r>
      <w:r w:rsidRPr="00322E7A">
        <w:rPr>
          <w:rFonts w:ascii="Times New Roman" w:hAnsi="Times New Roman" w:cs="Times New Roman"/>
          <w:color w:val="333333"/>
          <w:vertAlign w:val="subscript"/>
        </w:rPr>
        <w:t>it</w:t>
      </w:r>
      <w:r w:rsidRPr="00322E7A">
        <w:rPr>
          <w:rFonts w:ascii="Times New Roman" w:hAnsi="Times New Roman" w:cs="Times New Roman"/>
          <w:color w:val="333333"/>
        </w:rPr>
        <w:t>+ e</w:t>
      </w:r>
      <w:r w:rsidRPr="00322E7A">
        <w:rPr>
          <w:rFonts w:ascii="Times New Roman" w:hAnsi="Times New Roman" w:cs="Times New Roman"/>
          <w:color w:val="333333"/>
          <w:vertAlign w:val="subscript"/>
        </w:rPr>
        <w:t>it</w:t>
      </w:r>
    </w:p>
    <w:p w14:paraId="1F764AB0" w14:textId="77777777" w:rsidR="003E5F3D" w:rsidRPr="00322E7A" w:rsidRDefault="003E5F3D" w:rsidP="0078149A">
      <w:pPr>
        <w:spacing w:after="0" w:line="240" w:lineRule="auto"/>
        <w:jc w:val="both"/>
        <w:rPr>
          <w:rFonts w:ascii="Times New Roman" w:hAnsi="Times New Roman" w:cs="Times New Roman"/>
          <w:lang w:val="en-US"/>
        </w:rPr>
      </w:pPr>
      <w:r w:rsidRPr="00322E7A">
        <w:rPr>
          <w:rFonts w:ascii="Times New Roman" w:hAnsi="Times New Roman" w:cs="Times New Roman"/>
          <w:lang w:val="en-US"/>
        </w:rPr>
        <w:t>And modified as:</w:t>
      </w:r>
    </w:p>
    <w:p w14:paraId="7A47D50F" w14:textId="3D3D1AEC" w:rsidR="001749F9" w:rsidRPr="00322E7A" w:rsidRDefault="001749F9" w:rsidP="0078149A">
      <w:pPr>
        <w:spacing w:after="0" w:line="240" w:lineRule="auto"/>
        <w:ind w:left="851" w:hanging="851"/>
        <w:jc w:val="both"/>
        <w:rPr>
          <w:rFonts w:ascii="Times New Roman" w:hAnsi="Times New Roman" w:cs="Times New Roman"/>
          <w:lang w:val="en-US"/>
        </w:rPr>
      </w:pPr>
      <w:bookmarkStart w:id="1" w:name="_Hlk149755951"/>
      <w:r w:rsidRPr="00322E7A">
        <w:rPr>
          <w:rFonts w:ascii="Times New Roman" w:hAnsi="Times New Roman" w:cs="Times New Roman"/>
          <w:lang w:val="en-US"/>
        </w:rPr>
        <w:t>vaic</w:t>
      </w:r>
      <w:r w:rsidRPr="00322E7A">
        <w:rPr>
          <w:rFonts w:ascii="Times New Roman" w:hAnsi="Times New Roman" w:cs="Times New Roman"/>
          <w:vertAlign w:val="subscript"/>
          <w:lang w:val="en-US"/>
        </w:rPr>
        <w:t xml:space="preserve">it </w:t>
      </w:r>
      <w:r w:rsidRPr="00322E7A">
        <w:rPr>
          <w:rFonts w:ascii="Times New Roman" w:hAnsi="Times New Roman" w:cs="Times New Roman"/>
          <w:lang w:val="en-US"/>
        </w:rPr>
        <w:t>= β0</w:t>
      </w:r>
      <w:r w:rsidRPr="00322E7A">
        <w:rPr>
          <w:rFonts w:ascii="Times New Roman" w:hAnsi="Times New Roman" w:cs="Times New Roman"/>
          <w:vertAlign w:val="subscript"/>
          <w:lang w:val="en-US"/>
        </w:rPr>
        <w:t>it</w:t>
      </w:r>
      <w:r w:rsidRPr="00322E7A">
        <w:rPr>
          <w:rFonts w:ascii="Times New Roman" w:hAnsi="Times New Roman" w:cs="Times New Roman"/>
          <w:lang w:val="en-US"/>
        </w:rPr>
        <w:t xml:space="preserve"> + β</w:t>
      </w:r>
      <w:r w:rsidRPr="00322E7A">
        <w:rPr>
          <w:rFonts w:ascii="Times New Roman" w:hAnsi="Times New Roman" w:cs="Times New Roman"/>
          <w:vertAlign w:val="subscript"/>
          <w:lang w:val="en-US"/>
        </w:rPr>
        <w:t>1</w:t>
      </w:r>
      <w:r w:rsidRPr="00322E7A">
        <w:rPr>
          <w:rFonts w:ascii="Times New Roman" w:hAnsi="Times New Roman" w:cs="Times New Roman"/>
          <w:lang w:val="en-US"/>
        </w:rPr>
        <w:t>bs</w:t>
      </w:r>
      <w:r w:rsidRPr="00322E7A">
        <w:rPr>
          <w:rFonts w:ascii="Times New Roman" w:hAnsi="Times New Roman" w:cs="Times New Roman"/>
          <w:vertAlign w:val="subscript"/>
          <w:lang w:val="en-US"/>
        </w:rPr>
        <w:t>it</w:t>
      </w:r>
      <w:r w:rsidRPr="00322E7A">
        <w:rPr>
          <w:rFonts w:ascii="Times New Roman" w:hAnsi="Times New Roman" w:cs="Times New Roman"/>
          <w:lang w:val="en-US"/>
        </w:rPr>
        <w:t xml:space="preserve"> + β</w:t>
      </w:r>
      <w:r w:rsidRPr="00322E7A">
        <w:rPr>
          <w:rFonts w:ascii="Times New Roman" w:hAnsi="Times New Roman" w:cs="Times New Roman"/>
          <w:vertAlign w:val="subscript"/>
          <w:lang w:val="en-US"/>
        </w:rPr>
        <w:t>2</w:t>
      </w:r>
      <w:r w:rsidRPr="00322E7A">
        <w:rPr>
          <w:rFonts w:ascii="Times New Roman" w:hAnsi="Times New Roman" w:cs="Times New Roman"/>
          <w:lang w:val="en-US"/>
        </w:rPr>
        <w:t>bi</w:t>
      </w:r>
      <w:r w:rsidRPr="00322E7A">
        <w:rPr>
          <w:rFonts w:ascii="Times New Roman" w:hAnsi="Times New Roman" w:cs="Times New Roman"/>
          <w:vertAlign w:val="subscript"/>
          <w:lang w:val="en-US"/>
        </w:rPr>
        <w:t>it</w:t>
      </w:r>
      <w:r w:rsidRPr="00322E7A">
        <w:rPr>
          <w:rFonts w:ascii="Times New Roman" w:hAnsi="Times New Roman" w:cs="Times New Roman"/>
          <w:lang w:val="en-US"/>
        </w:rPr>
        <w:t xml:space="preserve"> + β</w:t>
      </w:r>
      <w:r w:rsidRPr="00322E7A">
        <w:rPr>
          <w:rFonts w:ascii="Times New Roman" w:hAnsi="Times New Roman" w:cs="Times New Roman"/>
          <w:vertAlign w:val="subscript"/>
          <w:lang w:val="en-US"/>
        </w:rPr>
        <w:t>3</w:t>
      </w:r>
      <w:r w:rsidRPr="00322E7A">
        <w:rPr>
          <w:rFonts w:ascii="Times New Roman" w:hAnsi="Times New Roman" w:cs="Times New Roman"/>
          <w:lang w:val="en-US"/>
        </w:rPr>
        <w:t>gd</w:t>
      </w:r>
      <w:r w:rsidRPr="00322E7A">
        <w:rPr>
          <w:rFonts w:ascii="Times New Roman" w:hAnsi="Times New Roman" w:cs="Times New Roman"/>
          <w:vertAlign w:val="subscript"/>
          <w:lang w:val="en-US"/>
        </w:rPr>
        <w:t>it</w:t>
      </w:r>
      <w:r w:rsidRPr="00322E7A">
        <w:rPr>
          <w:rFonts w:ascii="Times New Roman" w:hAnsi="Times New Roman" w:cs="Times New Roman"/>
          <w:lang w:val="en-US"/>
        </w:rPr>
        <w:t xml:space="preserve"> + β</w:t>
      </w:r>
      <w:r w:rsidRPr="00322E7A">
        <w:rPr>
          <w:rFonts w:ascii="Times New Roman" w:hAnsi="Times New Roman" w:cs="Times New Roman"/>
          <w:vertAlign w:val="subscript"/>
          <w:lang w:val="en-US"/>
        </w:rPr>
        <w:t>4</w:t>
      </w:r>
      <w:r w:rsidRPr="00322E7A">
        <w:rPr>
          <w:rFonts w:ascii="Times New Roman" w:hAnsi="Times New Roman" w:cs="Times New Roman"/>
          <w:lang w:val="en-US"/>
        </w:rPr>
        <w:t>bm</w:t>
      </w:r>
      <w:r w:rsidRPr="00322E7A">
        <w:rPr>
          <w:rFonts w:ascii="Times New Roman" w:hAnsi="Times New Roman" w:cs="Times New Roman"/>
          <w:vertAlign w:val="subscript"/>
          <w:lang w:val="en-US"/>
        </w:rPr>
        <w:t>it</w:t>
      </w:r>
      <w:r w:rsidRPr="00322E7A">
        <w:rPr>
          <w:rFonts w:ascii="Times New Roman" w:hAnsi="Times New Roman" w:cs="Times New Roman"/>
          <w:lang w:val="en-US"/>
        </w:rPr>
        <w:t xml:space="preserve"> + β</w:t>
      </w:r>
      <w:r w:rsidRPr="00322E7A">
        <w:rPr>
          <w:rFonts w:ascii="Times New Roman" w:hAnsi="Times New Roman" w:cs="Times New Roman"/>
          <w:vertAlign w:val="subscript"/>
          <w:lang w:val="en-US"/>
        </w:rPr>
        <w:t>4</w:t>
      </w:r>
      <w:r w:rsidRPr="00322E7A">
        <w:rPr>
          <w:rFonts w:ascii="Times New Roman" w:hAnsi="Times New Roman" w:cs="Times New Roman"/>
          <w:lang w:val="en-US"/>
        </w:rPr>
        <w:t>age</w:t>
      </w:r>
      <w:r w:rsidRPr="00322E7A">
        <w:rPr>
          <w:rFonts w:ascii="Times New Roman" w:hAnsi="Times New Roman" w:cs="Times New Roman"/>
          <w:vertAlign w:val="subscript"/>
          <w:lang w:val="en-US"/>
        </w:rPr>
        <w:t>it</w:t>
      </w:r>
      <w:r w:rsidRPr="00322E7A">
        <w:rPr>
          <w:rFonts w:ascii="Times New Roman" w:hAnsi="Times New Roman" w:cs="Times New Roman"/>
          <w:lang w:val="en-US"/>
        </w:rPr>
        <w:t xml:space="preserve"> + β</w:t>
      </w:r>
      <w:r w:rsidRPr="00322E7A">
        <w:rPr>
          <w:rFonts w:ascii="Times New Roman" w:hAnsi="Times New Roman" w:cs="Times New Roman"/>
          <w:vertAlign w:val="subscript"/>
          <w:lang w:val="en-US"/>
        </w:rPr>
        <w:t>5</w:t>
      </w:r>
      <w:r w:rsidRPr="00322E7A">
        <w:rPr>
          <w:rFonts w:ascii="Times New Roman" w:hAnsi="Times New Roman" w:cs="Times New Roman"/>
          <w:lang w:val="en-US"/>
        </w:rPr>
        <w:t>sec + ℇ</w:t>
      </w:r>
      <w:r w:rsidRPr="00322E7A">
        <w:rPr>
          <w:rFonts w:ascii="Times New Roman" w:hAnsi="Times New Roman" w:cs="Times New Roman"/>
          <w:vertAlign w:val="subscript"/>
          <w:lang w:val="en-US"/>
        </w:rPr>
        <w:t>it</w:t>
      </w:r>
    </w:p>
    <w:p w14:paraId="08D5994E" w14:textId="6FF81373" w:rsidR="003E5F3D" w:rsidRDefault="001749F9" w:rsidP="0078149A">
      <w:pPr>
        <w:spacing w:after="0" w:line="240" w:lineRule="auto"/>
        <w:jc w:val="both"/>
        <w:rPr>
          <w:rFonts w:ascii="Times New Roman" w:hAnsi="Times New Roman" w:cs="Times New Roman"/>
        </w:rPr>
      </w:pPr>
      <w:r w:rsidRPr="00322E7A">
        <w:rPr>
          <w:rFonts w:ascii="Times New Roman" w:hAnsi="Times New Roman" w:cs="Times New Roman"/>
        </w:rPr>
        <w:t>where: vaic = Value-added intellectual coefficient; bs = Board size; bi = board independence; gd = Bord gender diversity; bm = board meetings; age = Firm’s age; sec = firm’s sector; β</w:t>
      </w:r>
      <w:r w:rsidRPr="00322E7A">
        <w:rPr>
          <w:rFonts w:ascii="Times New Roman" w:hAnsi="Times New Roman" w:cs="Times New Roman"/>
          <w:vertAlign w:val="subscript"/>
        </w:rPr>
        <w:t>1</w:t>
      </w:r>
      <w:r w:rsidRPr="00322E7A">
        <w:rPr>
          <w:rFonts w:ascii="Times New Roman" w:hAnsi="Times New Roman" w:cs="Times New Roman"/>
        </w:rPr>
        <w:t>-β</w:t>
      </w:r>
      <w:r w:rsidR="008F2527" w:rsidRPr="00322E7A">
        <w:rPr>
          <w:rFonts w:ascii="Times New Roman" w:hAnsi="Times New Roman" w:cs="Times New Roman"/>
          <w:vertAlign w:val="subscript"/>
        </w:rPr>
        <w:t>5</w:t>
      </w:r>
      <w:r w:rsidRPr="00322E7A">
        <w:rPr>
          <w:rFonts w:ascii="Times New Roman" w:hAnsi="Times New Roman" w:cs="Times New Roman"/>
          <w:vertAlign w:val="subscript"/>
        </w:rPr>
        <w:t xml:space="preserve"> </w:t>
      </w:r>
      <w:r w:rsidRPr="00322E7A">
        <w:rPr>
          <w:rFonts w:ascii="Times New Roman" w:hAnsi="Times New Roman" w:cs="Times New Roman"/>
        </w:rPr>
        <w:t>= Coefficients of determination</w:t>
      </w:r>
      <w:r w:rsidR="008F2527" w:rsidRPr="00322E7A">
        <w:rPr>
          <w:rFonts w:ascii="Times New Roman" w:hAnsi="Times New Roman" w:cs="Times New Roman"/>
        </w:rPr>
        <w:t xml:space="preserve">; </w:t>
      </w:r>
      <w:r w:rsidRPr="00322E7A">
        <w:rPr>
          <w:rFonts w:ascii="Times New Roman" w:hAnsi="Times New Roman" w:cs="Times New Roman"/>
        </w:rPr>
        <w:t>β</w:t>
      </w:r>
      <w:r w:rsidRPr="00322E7A">
        <w:rPr>
          <w:rFonts w:ascii="Times New Roman" w:hAnsi="Times New Roman" w:cs="Times New Roman"/>
          <w:vertAlign w:val="subscript"/>
        </w:rPr>
        <w:t>o</w:t>
      </w:r>
      <w:r w:rsidRPr="00322E7A">
        <w:rPr>
          <w:rFonts w:ascii="Times New Roman" w:hAnsi="Times New Roman" w:cs="Times New Roman"/>
        </w:rPr>
        <w:t>= Intercept of the regression line</w:t>
      </w:r>
      <w:r w:rsidR="008F2527" w:rsidRPr="00322E7A">
        <w:rPr>
          <w:rFonts w:ascii="Times New Roman" w:hAnsi="Times New Roman" w:cs="Times New Roman"/>
        </w:rPr>
        <w:t xml:space="preserve">; </w:t>
      </w:r>
      <w:r w:rsidRPr="00322E7A">
        <w:rPr>
          <w:rFonts w:ascii="Times New Roman" w:hAnsi="Times New Roman" w:cs="Times New Roman"/>
        </w:rPr>
        <w:t>it = firm i time t; εi= Residual or error term.</w:t>
      </w:r>
      <w:bookmarkEnd w:id="1"/>
    </w:p>
    <w:p w14:paraId="0567027B" w14:textId="7CDCCF36" w:rsidR="003E5F3D" w:rsidRPr="0003440A" w:rsidRDefault="0003440A" w:rsidP="0078149A">
      <w:pPr>
        <w:spacing w:after="0" w:line="240" w:lineRule="auto"/>
        <w:jc w:val="both"/>
        <w:rPr>
          <w:rFonts w:ascii="Times New Roman" w:hAnsi="Times New Roman" w:cs="Times New Roman"/>
          <w:lang w:val="en-US"/>
        </w:rPr>
      </w:pPr>
      <w:r>
        <w:rPr>
          <w:rFonts w:ascii="Times New Roman" w:hAnsi="Times New Roman" w:cs="Times New Roman"/>
          <w:lang w:val="en-US"/>
        </w:rPr>
        <w:t xml:space="preserve">Variable definition and measurement is shown in appendix C. </w:t>
      </w:r>
    </w:p>
    <w:p w14:paraId="5BD6E48D" w14:textId="77777777" w:rsidR="003E5F3D" w:rsidRPr="00081725" w:rsidRDefault="003E5F3D" w:rsidP="0078149A">
      <w:pPr>
        <w:pStyle w:val="Heading1"/>
        <w:spacing w:before="0" w:line="240" w:lineRule="auto"/>
        <w:rPr>
          <w:lang w:val="en-US"/>
        </w:rPr>
      </w:pPr>
      <w:r w:rsidRPr="00081725">
        <w:rPr>
          <w:lang w:val="en-US"/>
        </w:rPr>
        <w:t>4. RESULT AND DISCUSSIONS</w:t>
      </w:r>
    </w:p>
    <w:p w14:paraId="204E87CD" w14:textId="3B6CE59B" w:rsidR="003E5F3D" w:rsidRPr="00081725" w:rsidRDefault="003E5F3D" w:rsidP="0078149A">
      <w:pPr>
        <w:spacing w:after="0" w:line="240" w:lineRule="auto"/>
        <w:jc w:val="both"/>
        <w:rPr>
          <w:rFonts w:ascii="Times New Roman" w:hAnsi="Times New Roman" w:cs="Times New Roman"/>
          <w:kern w:val="0"/>
          <w:lang w:val="en-US"/>
          <w14:ligatures w14:val="none"/>
        </w:rPr>
      </w:pPr>
      <w:r w:rsidRPr="00081725">
        <w:rPr>
          <w:rFonts w:ascii="Times New Roman" w:hAnsi="Times New Roman" w:cs="Times New Roman"/>
          <w:lang w:val="en-US"/>
        </w:rPr>
        <w:t xml:space="preserve">This </w:t>
      </w:r>
      <w:r w:rsidR="001A2D8D">
        <w:rPr>
          <w:rFonts w:ascii="Times New Roman" w:hAnsi="Times New Roman" w:cs="Times New Roman"/>
          <w:lang w:val="en-US"/>
        </w:rPr>
        <w:t xml:space="preserve">section </w:t>
      </w:r>
      <w:r w:rsidRPr="00081725">
        <w:rPr>
          <w:rFonts w:ascii="Times New Roman" w:hAnsi="Times New Roman" w:cs="Times New Roman"/>
          <w:lang w:val="en-US"/>
        </w:rPr>
        <w:t xml:space="preserve">presents the result of data analysis and the discussions as it relates to descriptive statistics, </w:t>
      </w:r>
      <w:r w:rsidRPr="00081725">
        <w:rPr>
          <w:rFonts w:ascii="Times New Roman" w:hAnsi="Times New Roman" w:cs="Times New Roman"/>
          <w:kern w:val="0"/>
          <w:lang w:val="en-US"/>
        </w:rPr>
        <w:t xml:space="preserve">Correlation Matrix, </w:t>
      </w:r>
      <w:r w:rsidRPr="00081725">
        <w:rPr>
          <w:rFonts w:ascii="Times New Roman" w:hAnsi="Times New Roman" w:cs="Times New Roman"/>
        </w:rPr>
        <w:t>Robustness Tests</w:t>
      </w:r>
      <w:r w:rsidRPr="00081725">
        <w:rPr>
          <w:rFonts w:ascii="Times New Roman" w:hAnsi="Times New Roman" w:cs="Times New Roman"/>
          <w:kern w:val="0"/>
          <w:lang w:val="en-US"/>
        </w:rPr>
        <w:t xml:space="preserve">, </w:t>
      </w:r>
      <w:r w:rsidRPr="00081725">
        <w:rPr>
          <w:rFonts w:ascii="Times New Roman" w:hAnsi="Times New Roman" w:cs="Times New Roman"/>
          <w:kern w:val="0"/>
          <w:lang w:val="en-US"/>
          <w14:ligatures w14:val="none"/>
        </w:rPr>
        <w:t>Regression results, and test of hypothesis.</w:t>
      </w:r>
    </w:p>
    <w:p w14:paraId="0C1247D8" w14:textId="3804B384" w:rsidR="000360D2" w:rsidRPr="00081725" w:rsidRDefault="00DF3638" w:rsidP="0078149A">
      <w:pPr>
        <w:widowControl w:val="0"/>
        <w:autoSpaceDE w:val="0"/>
        <w:autoSpaceDN w:val="0"/>
        <w:adjustRightInd w:val="0"/>
        <w:spacing w:after="0" w:line="240" w:lineRule="auto"/>
        <w:rPr>
          <w:rFonts w:ascii="Times New Roman" w:hAnsi="Times New Roman" w:cs="Times New Roman"/>
          <w:b/>
          <w:kern w:val="0"/>
          <w:lang w:val="en-US"/>
        </w:rPr>
      </w:pPr>
      <w:r w:rsidRPr="00081725">
        <w:rPr>
          <w:rFonts w:ascii="Times New Roman" w:hAnsi="Times New Roman" w:cs="Times New Roman"/>
          <w:b/>
          <w:kern w:val="0"/>
          <w:lang w:val="en-US"/>
        </w:rPr>
        <w:t xml:space="preserve">Table </w:t>
      </w:r>
      <w:r w:rsidR="001A2D8D">
        <w:rPr>
          <w:rFonts w:ascii="Times New Roman" w:hAnsi="Times New Roman" w:cs="Times New Roman"/>
          <w:b/>
          <w:kern w:val="0"/>
          <w:lang w:val="en-US"/>
        </w:rPr>
        <w:t>1</w:t>
      </w:r>
    </w:p>
    <w:p w14:paraId="65E2F8EB" w14:textId="1D20BD7E" w:rsidR="003E5F3D" w:rsidRPr="00081725" w:rsidRDefault="003E5F3D" w:rsidP="0078149A">
      <w:pPr>
        <w:widowControl w:val="0"/>
        <w:autoSpaceDE w:val="0"/>
        <w:autoSpaceDN w:val="0"/>
        <w:adjustRightInd w:val="0"/>
        <w:spacing w:after="0" w:line="240" w:lineRule="auto"/>
        <w:rPr>
          <w:rFonts w:ascii="Times New Roman" w:hAnsi="Times New Roman" w:cs="Times New Roman"/>
          <w:i/>
          <w:iCs/>
          <w:kern w:val="0"/>
          <w:lang w:val="en-US"/>
        </w:rPr>
      </w:pPr>
      <w:r w:rsidRPr="00081725">
        <w:rPr>
          <w:rFonts w:ascii="Times New Roman" w:hAnsi="Times New Roman" w:cs="Times New Roman"/>
          <w:i/>
          <w:iCs/>
          <w:kern w:val="0"/>
          <w:lang w:val="en-US"/>
        </w:rPr>
        <w:t xml:space="preserve">Descriptive Statistics </w:t>
      </w:r>
    </w:p>
    <w:tbl>
      <w:tblPr>
        <w:tblW w:w="0" w:type="auto"/>
        <w:tblLayout w:type="fixed"/>
        <w:tblLook w:val="0000" w:firstRow="0" w:lastRow="0" w:firstColumn="0" w:lastColumn="0" w:noHBand="0" w:noVBand="0"/>
      </w:tblPr>
      <w:tblGrid>
        <w:gridCol w:w="2508"/>
        <w:gridCol w:w="800"/>
        <w:gridCol w:w="1400"/>
        <w:gridCol w:w="1400"/>
        <w:gridCol w:w="1400"/>
        <w:gridCol w:w="1400"/>
      </w:tblGrid>
      <w:tr w:rsidR="003E5F3D" w:rsidRPr="00081725" w14:paraId="7DAB4BF3" w14:textId="77777777" w:rsidTr="000F4C21">
        <w:tc>
          <w:tcPr>
            <w:tcW w:w="2508" w:type="dxa"/>
            <w:tcBorders>
              <w:top w:val="single" w:sz="4" w:space="0" w:color="auto"/>
              <w:left w:val="nil"/>
              <w:bottom w:val="single" w:sz="10" w:space="0" w:color="auto"/>
              <w:right w:val="nil"/>
            </w:tcBorders>
          </w:tcPr>
          <w:p w14:paraId="4F744B60" w14:textId="77777777" w:rsidR="003E5F3D" w:rsidRPr="00081725"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081725">
              <w:rPr>
                <w:rFonts w:ascii="Times New Roman" w:hAnsi="Times New Roman" w:cs="Times New Roman"/>
                <w:kern w:val="0"/>
                <w:lang w:val="en-US"/>
              </w:rPr>
              <w:t xml:space="preserve"> Variable</w:t>
            </w:r>
          </w:p>
        </w:tc>
        <w:tc>
          <w:tcPr>
            <w:tcW w:w="800" w:type="dxa"/>
            <w:tcBorders>
              <w:top w:val="single" w:sz="4" w:space="0" w:color="auto"/>
              <w:left w:val="nil"/>
              <w:bottom w:val="single" w:sz="10" w:space="0" w:color="auto"/>
              <w:right w:val="nil"/>
            </w:tcBorders>
          </w:tcPr>
          <w:p w14:paraId="3B7C9351"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 xml:space="preserve"> Obs</w:t>
            </w:r>
          </w:p>
        </w:tc>
        <w:tc>
          <w:tcPr>
            <w:tcW w:w="1400" w:type="dxa"/>
            <w:tcBorders>
              <w:top w:val="single" w:sz="4" w:space="0" w:color="auto"/>
              <w:left w:val="nil"/>
              <w:bottom w:val="single" w:sz="10" w:space="0" w:color="auto"/>
              <w:right w:val="nil"/>
            </w:tcBorders>
          </w:tcPr>
          <w:p w14:paraId="352C646A"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 xml:space="preserve"> Mean</w:t>
            </w:r>
          </w:p>
        </w:tc>
        <w:tc>
          <w:tcPr>
            <w:tcW w:w="1400" w:type="dxa"/>
            <w:tcBorders>
              <w:top w:val="single" w:sz="4" w:space="0" w:color="auto"/>
              <w:left w:val="nil"/>
              <w:bottom w:val="single" w:sz="10" w:space="0" w:color="auto"/>
              <w:right w:val="nil"/>
            </w:tcBorders>
          </w:tcPr>
          <w:p w14:paraId="0315161F"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 xml:space="preserve"> Std. Dev.</w:t>
            </w:r>
          </w:p>
        </w:tc>
        <w:tc>
          <w:tcPr>
            <w:tcW w:w="1400" w:type="dxa"/>
            <w:tcBorders>
              <w:top w:val="single" w:sz="4" w:space="0" w:color="auto"/>
              <w:left w:val="nil"/>
              <w:bottom w:val="single" w:sz="10" w:space="0" w:color="auto"/>
              <w:right w:val="nil"/>
            </w:tcBorders>
          </w:tcPr>
          <w:p w14:paraId="5AFE4E0B"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 xml:space="preserve"> Min</w:t>
            </w:r>
          </w:p>
        </w:tc>
        <w:tc>
          <w:tcPr>
            <w:tcW w:w="1400" w:type="dxa"/>
            <w:tcBorders>
              <w:top w:val="single" w:sz="4" w:space="0" w:color="auto"/>
              <w:left w:val="nil"/>
              <w:bottom w:val="single" w:sz="10" w:space="0" w:color="auto"/>
              <w:right w:val="nil"/>
            </w:tcBorders>
          </w:tcPr>
          <w:p w14:paraId="6904F155"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 xml:space="preserve"> Max</w:t>
            </w:r>
          </w:p>
        </w:tc>
      </w:tr>
      <w:tr w:rsidR="003E5F3D" w:rsidRPr="00081725" w14:paraId="77912BDF" w14:textId="77777777" w:rsidTr="000F4C21">
        <w:tc>
          <w:tcPr>
            <w:tcW w:w="2508" w:type="dxa"/>
            <w:tcBorders>
              <w:top w:val="nil"/>
              <w:left w:val="nil"/>
              <w:bottom w:val="nil"/>
              <w:right w:val="nil"/>
            </w:tcBorders>
          </w:tcPr>
          <w:p w14:paraId="2F8DB612" w14:textId="73BAFEE5" w:rsidR="003E5F3D" w:rsidRPr="00081725"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081725">
              <w:rPr>
                <w:rFonts w:ascii="Times New Roman" w:hAnsi="Times New Roman" w:cs="Times New Roman"/>
                <w:kern w:val="0"/>
                <w:lang w:val="en-US"/>
              </w:rPr>
              <w:lastRenderedPageBreak/>
              <w:t xml:space="preserve"> </w:t>
            </w:r>
            <w:r w:rsidR="00190C2C" w:rsidRPr="00081725">
              <w:rPr>
                <w:rFonts w:ascii="Times New Roman" w:hAnsi="Times New Roman" w:cs="Times New Roman"/>
                <w:kern w:val="0"/>
                <w:lang w:val="en-US"/>
              </w:rPr>
              <w:t>V</w:t>
            </w:r>
            <w:r w:rsidRPr="00081725">
              <w:rPr>
                <w:rFonts w:ascii="Times New Roman" w:hAnsi="Times New Roman" w:cs="Times New Roman"/>
                <w:kern w:val="0"/>
                <w:lang w:val="en-US"/>
              </w:rPr>
              <w:t>aic</w:t>
            </w:r>
          </w:p>
        </w:tc>
        <w:tc>
          <w:tcPr>
            <w:tcW w:w="800" w:type="dxa"/>
            <w:tcBorders>
              <w:top w:val="nil"/>
              <w:left w:val="nil"/>
              <w:bottom w:val="nil"/>
              <w:right w:val="nil"/>
            </w:tcBorders>
          </w:tcPr>
          <w:p w14:paraId="6A8E8FB4"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310</w:t>
            </w:r>
          </w:p>
        </w:tc>
        <w:tc>
          <w:tcPr>
            <w:tcW w:w="1400" w:type="dxa"/>
            <w:tcBorders>
              <w:top w:val="nil"/>
              <w:left w:val="nil"/>
              <w:bottom w:val="nil"/>
              <w:right w:val="nil"/>
            </w:tcBorders>
          </w:tcPr>
          <w:p w14:paraId="7A2BCAF2"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4.624</w:t>
            </w:r>
          </w:p>
        </w:tc>
        <w:tc>
          <w:tcPr>
            <w:tcW w:w="1400" w:type="dxa"/>
            <w:tcBorders>
              <w:top w:val="nil"/>
              <w:left w:val="nil"/>
              <w:bottom w:val="nil"/>
              <w:right w:val="nil"/>
            </w:tcBorders>
          </w:tcPr>
          <w:p w14:paraId="7D15AEF4"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6.85</w:t>
            </w:r>
          </w:p>
        </w:tc>
        <w:tc>
          <w:tcPr>
            <w:tcW w:w="1400" w:type="dxa"/>
            <w:tcBorders>
              <w:top w:val="nil"/>
              <w:left w:val="nil"/>
              <w:bottom w:val="nil"/>
              <w:right w:val="nil"/>
            </w:tcBorders>
          </w:tcPr>
          <w:p w14:paraId="43E5CF63"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-32.53</w:t>
            </w:r>
          </w:p>
        </w:tc>
        <w:tc>
          <w:tcPr>
            <w:tcW w:w="1400" w:type="dxa"/>
            <w:tcBorders>
              <w:top w:val="nil"/>
              <w:left w:val="nil"/>
              <w:bottom w:val="nil"/>
              <w:right w:val="nil"/>
            </w:tcBorders>
          </w:tcPr>
          <w:p w14:paraId="6251CF78"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40.07</w:t>
            </w:r>
          </w:p>
        </w:tc>
      </w:tr>
      <w:tr w:rsidR="003E5F3D" w:rsidRPr="00081725" w14:paraId="67EB4331" w14:textId="77777777" w:rsidTr="000F4C21">
        <w:tc>
          <w:tcPr>
            <w:tcW w:w="2508" w:type="dxa"/>
            <w:tcBorders>
              <w:top w:val="nil"/>
              <w:left w:val="nil"/>
              <w:bottom w:val="nil"/>
              <w:right w:val="nil"/>
            </w:tcBorders>
          </w:tcPr>
          <w:p w14:paraId="174CFED4" w14:textId="6A5CEC6F" w:rsidR="003E5F3D" w:rsidRPr="00081725"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081725">
              <w:rPr>
                <w:rFonts w:ascii="Times New Roman" w:hAnsi="Times New Roman" w:cs="Times New Roman"/>
                <w:kern w:val="0"/>
                <w:lang w:val="en-US"/>
              </w:rPr>
              <w:t xml:space="preserve"> </w:t>
            </w:r>
            <w:r w:rsidR="00190C2C" w:rsidRPr="00081725">
              <w:rPr>
                <w:rFonts w:ascii="Times New Roman" w:hAnsi="Times New Roman" w:cs="Times New Roman"/>
                <w:kern w:val="0"/>
                <w:lang w:val="en-US"/>
              </w:rPr>
              <w:t>B</w:t>
            </w:r>
            <w:r w:rsidRPr="00081725">
              <w:rPr>
                <w:rFonts w:ascii="Times New Roman" w:hAnsi="Times New Roman" w:cs="Times New Roman"/>
                <w:kern w:val="0"/>
                <w:lang w:val="en-US"/>
              </w:rPr>
              <w:t>s</w:t>
            </w:r>
          </w:p>
        </w:tc>
        <w:tc>
          <w:tcPr>
            <w:tcW w:w="800" w:type="dxa"/>
            <w:tcBorders>
              <w:top w:val="nil"/>
              <w:left w:val="nil"/>
              <w:bottom w:val="nil"/>
              <w:right w:val="nil"/>
            </w:tcBorders>
          </w:tcPr>
          <w:p w14:paraId="7FD8C562"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310</w:t>
            </w:r>
          </w:p>
        </w:tc>
        <w:tc>
          <w:tcPr>
            <w:tcW w:w="1400" w:type="dxa"/>
            <w:tcBorders>
              <w:top w:val="nil"/>
              <w:left w:val="nil"/>
              <w:bottom w:val="nil"/>
              <w:right w:val="nil"/>
            </w:tcBorders>
          </w:tcPr>
          <w:p w14:paraId="3A192D8C"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9.139</w:t>
            </w:r>
          </w:p>
        </w:tc>
        <w:tc>
          <w:tcPr>
            <w:tcW w:w="1400" w:type="dxa"/>
            <w:tcBorders>
              <w:top w:val="nil"/>
              <w:left w:val="nil"/>
              <w:bottom w:val="nil"/>
              <w:right w:val="nil"/>
            </w:tcBorders>
          </w:tcPr>
          <w:p w14:paraId="72F531E4"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2.559</w:t>
            </w:r>
          </w:p>
        </w:tc>
        <w:tc>
          <w:tcPr>
            <w:tcW w:w="1400" w:type="dxa"/>
            <w:tcBorders>
              <w:top w:val="nil"/>
              <w:left w:val="nil"/>
              <w:bottom w:val="nil"/>
              <w:right w:val="nil"/>
            </w:tcBorders>
          </w:tcPr>
          <w:p w14:paraId="4387F675"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4</w:t>
            </w:r>
          </w:p>
        </w:tc>
        <w:tc>
          <w:tcPr>
            <w:tcW w:w="1400" w:type="dxa"/>
            <w:tcBorders>
              <w:top w:val="nil"/>
              <w:left w:val="nil"/>
              <w:bottom w:val="nil"/>
              <w:right w:val="nil"/>
            </w:tcBorders>
          </w:tcPr>
          <w:p w14:paraId="5206BF71"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17</w:t>
            </w:r>
          </w:p>
        </w:tc>
      </w:tr>
      <w:tr w:rsidR="003E5F3D" w:rsidRPr="00081725" w14:paraId="7560E9EB" w14:textId="77777777" w:rsidTr="000F4C21">
        <w:tc>
          <w:tcPr>
            <w:tcW w:w="2508" w:type="dxa"/>
            <w:tcBorders>
              <w:top w:val="nil"/>
              <w:left w:val="nil"/>
              <w:bottom w:val="nil"/>
              <w:right w:val="nil"/>
            </w:tcBorders>
          </w:tcPr>
          <w:p w14:paraId="477D9348" w14:textId="06FACE14" w:rsidR="003E5F3D" w:rsidRPr="00081725"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081725">
              <w:rPr>
                <w:rFonts w:ascii="Times New Roman" w:hAnsi="Times New Roman" w:cs="Times New Roman"/>
                <w:kern w:val="0"/>
                <w:lang w:val="en-US"/>
              </w:rPr>
              <w:t xml:space="preserve"> </w:t>
            </w:r>
            <w:r w:rsidR="00190C2C" w:rsidRPr="00081725">
              <w:rPr>
                <w:rFonts w:ascii="Times New Roman" w:hAnsi="Times New Roman" w:cs="Times New Roman"/>
                <w:kern w:val="0"/>
                <w:lang w:val="en-US"/>
              </w:rPr>
              <w:t>B</w:t>
            </w:r>
            <w:r w:rsidRPr="00081725">
              <w:rPr>
                <w:rFonts w:ascii="Times New Roman" w:hAnsi="Times New Roman" w:cs="Times New Roman"/>
                <w:kern w:val="0"/>
                <w:lang w:val="en-US"/>
              </w:rPr>
              <w:t>i</w:t>
            </w:r>
          </w:p>
        </w:tc>
        <w:tc>
          <w:tcPr>
            <w:tcW w:w="800" w:type="dxa"/>
            <w:tcBorders>
              <w:top w:val="nil"/>
              <w:left w:val="nil"/>
              <w:bottom w:val="nil"/>
              <w:right w:val="nil"/>
            </w:tcBorders>
          </w:tcPr>
          <w:p w14:paraId="3787FAE3"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310</w:t>
            </w:r>
          </w:p>
        </w:tc>
        <w:tc>
          <w:tcPr>
            <w:tcW w:w="1400" w:type="dxa"/>
            <w:tcBorders>
              <w:top w:val="nil"/>
              <w:left w:val="nil"/>
              <w:bottom w:val="nil"/>
              <w:right w:val="nil"/>
            </w:tcBorders>
          </w:tcPr>
          <w:p w14:paraId="76B0A61C"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.741</w:t>
            </w:r>
          </w:p>
        </w:tc>
        <w:tc>
          <w:tcPr>
            <w:tcW w:w="1400" w:type="dxa"/>
            <w:tcBorders>
              <w:top w:val="nil"/>
              <w:left w:val="nil"/>
              <w:bottom w:val="nil"/>
              <w:right w:val="nil"/>
            </w:tcBorders>
          </w:tcPr>
          <w:p w14:paraId="71E18398"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.105</w:t>
            </w:r>
          </w:p>
        </w:tc>
        <w:tc>
          <w:tcPr>
            <w:tcW w:w="1400" w:type="dxa"/>
            <w:tcBorders>
              <w:top w:val="nil"/>
              <w:left w:val="nil"/>
              <w:bottom w:val="nil"/>
              <w:right w:val="nil"/>
            </w:tcBorders>
          </w:tcPr>
          <w:p w14:paraId="73824F22"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.5</w:t>
            </w:r>
          </w:p>
        </w:tc>
        <w:tc>
          <w:tcPr>
            <w:tcW w:w="1400" w:type="dxa"/>
            <w:tcBorders>
              <w:top w:val="nil"/>
              <w:left w:val="nil"/>
              <w:bottom w:val="nil"/>
              <w:right w:val="nil"/>
            </w:tcBorders>
          </w:tcPr>
          <w:p w14:paraId="6922C15D"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.92</w:t>
            </w:r>
          </w:p>
        </w:tc>
      </w:tr>
      <w:tr w:rsidR="003E5F3D" w:rsidRPr="00081725" w14:paraId="37D320DA" w14:textId="77777777" w:rsidTr="000F4C21">
        <w:tc>
          <w:tcPr>
            <w:tcW w:w="2508" w:type="dxa"/>
            <w:tcBorders>
              <w:top w:val="nil"/>
              <w:left w:val="nil"/>
              <w:bottom w:val="nil"/>
              <w:right w:val="nil"/>
            </w:tcBorders>
          </w:tcPr>
          <w:p w14:paraId="21FAD41C" w14:textId="1CFCBF2B" w:rsidR="003E5F3D" w:rsidRPr="00081725"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081725">
              <w:rPr>
                <w:rFonts w:ascii="Times New Roman" w:hAnsi="Times New Roman" w:cs="Times New Roman"/>
                <w:kern w:val="0"/>
                <w:lang w:val="en-US"/>
              </w:rPr>
              <w:t xml:space="preserve"> </w:t>
            </w:r>
            <w:r w:rsidR="00190C2C" w:rsidRPr="00081725">
              <w:rPr>
                <w:rFonts w:ascii="Times New Roman" w:hAnsi="Times New Roman" w:cs="Times New Roman"/>
                <w:kern w:val="0"/>
                <w:lang w:val="en-US"/>
              </w:rPr>
              <w:t>G</w:t>
            </w:r>
            <w:r w:rsidRPr="00081725">
              <w:rPr>
                <w:rFonts w:ascii="Times New Roman" w:hAnsi="Times New Roman" w:cs="Times New Roman"/>
                <w:kern w:val="0"/>
                <w:lang w:val="en-US"/>
              </w:rPr>
              <w:t>d</w:t>
            </w:r>
          </w:p>
        </w:tc>
        <w:tc>
          <w:tcPr>
            <w:tcW w:w="800" w:type="dxa"/>
            <w:tcBorders>
              <w:top w:val="nil"/>
              <w:left w:val="nil"/>
              <w:bottom w:val="nil"/>
              <w:right w:val="nil"/>
            </w:tcBorders>
          </w:tcPr>
          <w:p w14:paraId="2EA7F3D7"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310</w:t>
            </w:r>
          </w:p>
        </w:tc>
        <w:tc>
          <w:tcPr>
            <w:tcW w:w="1400" w:type="dxa"/>
            <w:tcBorders>
              <w:top w:val="nil"/>
              <w:left w:val="nil"/>
              <w:bottom w:val="nil"/>
              <w:right w:val="nil"/>
            </w:tcBorders>
          </w:tcPr>
          <w:p w14:paraId="7C424563"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.188</w:t>
            </w:r>
          </w:p>
        </w:tc>
        <w:tc>
          <w:tcPr>
            <w:tcW w:w="1400" w:type="dxa"/>
            <w:tcBorders>
              <w:top w:val="nil"/>
              <w:left w:val="nil"/>
              <w:bottom w:val="nil"/>
              <w:right w:val="nil"/>
            </w:tcBorders>
          </w:tcPr>
          <w:p w14:paraId="156CCF58"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.139</w:t>
            </w:r>
          </w:p>
        </w:tc>
        <w:tc>
          <w:tcPr>
            <w:tcW w:w="1400" w:type="dxa"/>
            <w:tcBorders>
              <w:top w:val="nil"/>
              <w:left w:val="nil"/>
              <w:bottom w:val="nil"/>
              <w:right w:val="nil"/>
            </w:tcBorders>
          </w:tcPr>
          <w:p w14:paraId="0A5B177F"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0</w:t>
            </w:r>
          </w:p>
        </w:tc>
        <w:tc>
          <w:tcPr>
            <w:tcW w:w="1400" w:type="dxa"/>
            <w:tcBorders>
              <w:top w:val="nil"/>
              <w:left w:val="nil"/>
              <w:bottom w:val="nil"/>
              <w:right w:val="nil"/>
            </w:tcBorders>
          </w:tcPr>
          <w:p w14:paraId="63A12346"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.6</w:t>
            </w:r>
          </w:p>
        </w:tc>
      </w:tr>
      <w:tr w:rsidR="003E5F3D" w:rsidRPr="00081725" w14:paraId="7811D514" w14:textId="77777777" w:rsidTr="000F4C21">
        <w:tc>
          <w:tcPr>
            <w:tcW w:w="2508" w:type="dxa"/>
            <w:tcBorders>
              <w:top w:val="nil"/>
              <w:left w:val="nil"/>
              <w:bottom w:val="nil"/>
              <w:right w:val="nil"/>
            </w:tcBorders>
          </w:tcPr>
          <w:p w14:paraId="39A01EAB" w14:textId="2961A5EE" w:rsidR="003E5F3D" w:rsidRPr="00081725"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081725">
              <w:rPr>
                <w:rFonts w:ascii="Times New Roman" w:hAnsi="Times New Roman" w:cs="Times New Roman"/>
                <w:kern w:val="0"/>
                <w:lang w:val="en-US"/>
              </w:rPr>
              <w:t xml:space="preserve"> </w:t>
            </w:r>
            <w:r w:rsidR="00190C2C" w:rsidRPr="00081725">
              <w:rPr>
                <w:rFonts w:ascii="Times New Roman" w:hAnsi="Times New Roman" w:cs="Times New Roman"/>
                <w:kern w:val="0"/>
                <w:lang w:val="en-US"/>
              </w:rPr>
              <w:t>B</w:t>
            </w:r>
            <w:r w:rsidRPr="00081725">
              <w:rPr>
                <w:rFonts w:ascii="Times New Roman" w:hAnsi="Times New Roman" w:cs="Times New Roman"/>
                <w:kern w:val="0"/>
                <w:lang w:val="en-US"/>
              </w:rPr>
              <w:t>m</w:t>
            </w:r>
          </w:p>
        </w:tc>
        <w:tc>
          <w:tcPr>
            <w:tcW w:w="800" w:type="dxa"/>
            <w:tcBorders>
              <w:top w:val="nil"/>
              <w:left w:val="nil"/>
              <w:bottom w:val="nil"/>
              <w:right w:val="nil"/>
            </w:tcBorders>
          </w:tcPr>
          <w:p w14:paraId="4EC546EF"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310</w:t>
            </w:r>
          </w:p>
        </w:tc>
        <w:tc>
          <w:tcPr>
            <w:tcW w:w="1400" w:type="dxa"/>
            <w:tcBorders>
              <w:top w:val="nil"/>
              <w:left w:val="nil"/>
              <w:bottom w:val="nil"/>
              <w:right w:val="nil"/>
            </w:tcBorders>
          </w:tcPr>
          <w:p w14:paraId="013F1D3D"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5.058</w:t>
            </w:r>
          </w:p>
        </w:tc>
        <w:tc>
          <w:tcPr>
            <w:tcW w:w="1400" w:type="dxa"/>
            <w:tcBorders>
              <w:top w:val="nil"/>
              <w:left w:val="nil"/>
              <w:bottom w:val="nil"/>
              <w:right w:val="nil"/>
            </w:tcBorders>
          </w:tcPr>
          <w:p w14:paraId="6D515B8A"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1.381</w:t>
            </w:r>
          </w:p>
        </w:tc>
        <w:tc>
          <w:tcPr>
            <w:tcW w:w="1400" w:type="dxa"/>
            <w:tcBorders>
              <w:top w:val="nil"/>
              <w:left w:val="nil"/>
              <w:bottom w:val="nil"/>
              <w:right w:val="nil"/>
            </w:tcBorders>
          </w:tcPr>
          <w:p w14:paraId="6531A7AE"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1</w:t>
            </w:r>
          </w:p>
        </w:tc>
        <w:tc>
          <w:tcPr>
            <w:tcW w:w="1400" w:type="dxa"/>
            <w:tcBorders>
              <w:top w:val="nil"/>
              <w:left w:val="nil"/>
              <w:bottom w:val="nil"/>
              <w:right w:val="nil"/>
            </w:tcBorders>
          </w:tcPr>
          <w:p w14:paraId="3CFAAED4" w14:textId="77777777" w:rsidR="003E5F3D" w:rsidRPr="00081725"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081725">
              <w:rPr>
                <w:rFonts w:ascii="Times New Roman" w:hAnsi="Times New Roman" w:cs="Times New Roman"/>
                <w:kern w:val="0"/>
                <w:lang w:val="en-US"/>
              </w:rPr>
              <w:t>11</w:t>
            </w:r>
          </w:p>
        </w:tc>
      </w:tr>
      <w:tr w:rsidR="003E5F3D" w:rsidRPr="00081725" w14:paraId="73DFF0A1" w14:textId="77777777" w:rsidTr="000F4C21">
        <w:tc>
          <w:tcPr>
            <w:tcW w:w="8908" w:type="dxa"/>
            <w:gridSpan w:val="6"/>
            <w:tcBorders>
              <w:top w:val="single" w:sz="6" w:space="0" w:color="auto"/>
              <w:left w:val="nil"/>
              <w:bottom w:val="nil"/>
              <w:right w:val="nil"/>
            </w:tcBorders>
          </w:tcPr>
          <w:p w14:paraId="654DC734" w14:textId="3CE68F76" w:rsidR="003E5F3D" w:rsidRPr="00081725" w:rsidRDefault="002D1C52" w:rsidP="0078149A">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Source: STATA 13, 2024</w:t>
            </w:r>
          </w:p>
        </w:tc>
      </w:tr>
    </w:tbl>
    <w:p w14:paraId="779CB696" w14:textId="77777777" w:rsidR="00E46945" w:rsidRPr="00E46945" w:rsidRDefault="00E46945" w:rsidP="0078149A">
      <w:pPr>
        <w:widowControl w:val="0"/>
        <w:autoSpaceDE w:val="0"/>
        <w:autoSpaceDN w:val="0"/>
        <w:adjustRightInd w:val="0"/>
        <w:spacing w:after="0" w:line="240" w:lineRule="auto"/>
        <w:jc w:val="both"/>
        <w:rPr>
          <w:rFonts w:ascii="Times New Roman" w:hAnsi="Times New Roman" w:cs="Times New Roman"/>
          <w:lang w:val="en-US"/>
        </w:rPr>
      </w:pPr>
      <w:r w:rsidRPr="00E46945">
        <w:rPr>
          <w:rFonts w:ascii="Times New Roman" w:hAnsi="Times New Roman" w:cs="Times New Roman"/>
          <w:lang w:val="en-US"/>
        </w:rPr>
        <w:t>Table 1 shows that ICE values range from -32.53 to 40.07, with a mean of 4.624 and a standard deviation of 6.85; this revealed a wider variation in how successfully firms employ their intellectual capital. Board size (bs) ranges from 4 to 17 and has a mean of 9.139 with a standard deviation of 2.559, indicating a larger variation in board size among firms. Board independence (bi) values ranging from 0.5 to 0.92 have a mean of 0.741 and a standard deviation of 0.105, revealing a moderate deviation of board independence among firms. In addition, gender diversity, which ranges from 0 to 0.6, has a mean of 0.188 and a standard deviation of 0.139, indicating low variation in gender diversity. Board meetings (BM) vary from 1 to 11, with a mean of 5.058 and standard deviation of 1.381, implying deviation in board meetings among firms.</w:t>
      </w:r>
    </w:p>
    <w:p w14:paraId="552E98AC" w14:textId="353627A4" w:rsidR="003E5F3D" w:rsidRPr="00322E7A" w:rsidRDefault="00B5084A" w:rsidP="0078149A">
      <w:pPr>
        <w:widowControl w:val="0"/>
        <w:autoSpaceDE w:val="0"/>
        <w:autoSpaceDN w:val="0"/>
        <w:adjustRightInd w:val="0"/>
        <w:spacing w:after="0" w:line="240" w:lineRule="auto"/>
        <w:rPr>
          <w:rFonts w:ascii="Times New Roman" w:hAnsi="Times New Roman" w:cs="Times New Roman"/>
          <w:i/>
          <w:iCs/>
          <w:kern w:val="0"/>
          <w:lang w:val="en-US"/>
        </w:rPr>
      </w:pPr>
      <w:r w:rsidRPr="00DF3638">
        <w:rPr>
          <w:rFonts w:ascii="Times New Roman" w:hAnsi="Times New Roman" w:cs="Times New Roman"/>
          <w:b/>
          <w:kern w:val="0"/>
          <w:lang w:val="en-US"/>
        </w:rPr>
        <w:t xml:space="preserve">Table </w:t>
      </w:r>
      <w:r w:rsidR="001A2D8D">
        <w:rPr>
          <w:rFonts w:ascii="Times New Roman" w:hAnsi="Times New Roman" w:cs="Times New Roman"/>
          <w:b/>
          <w:kern w:val="0"/>
          <w:lang w:val="en-US"/>
        </w:rPr>
        <w:t>2</w:t>
      </w:r>
      <w:r w:rsidR="003E5F3D" w:rsidRPr="00DF3638">
        <w:rPr>
          <w:rFonts w:ascii="Times New Roman" w:hAnsi="Times New Roman" w:cs="Times New Roman"/>
          <w:b/>
          <w:kern w:val="0"/>
          <w:lang w:val="en-US"/>
        </w:rPr>
        <w:br/>
      </w:r>
      <w:r w:rsidR="003E5F3D" w:rsidRPr="00322E7A">
        <w:rPr>
          <w:rFonts w:ascii="Times New Roman" w:hAnsi="Times New Roman" w:cs="Times New Roman"/>
          <w:i/>
          <w:iCs/>
          <w:kern w:val="0"/>
          <w:lang w:val="en-US"/>
        </w:rPr>
        <w:t xml:space="preserve">Pairwise correlations </w:t>
      </w:r>
    </w:p>
    <w:tbl>
      <w:tblPr>
        <w:tblW w:w="0" w:type="auto"/>
        <w:tblLayout w:type="fixed"/>
        <w:tblLook w:val="0000" w:firstRow="0" w:lastRow="0" w:firstColumn="0" w:lastColumn="0" w:noHBand="0" w:noVBand="0"/>
      </w:tblPr>
      <w:tblGrid>
        <w:gridCol w:w="1206"/>
        <w:gridCol w:w="1062"/>
        <w:gridCol w:w="1782"/>
        <w:gridCol w:w="1800"/>
        <w:gridCol w:w="1530"/>
        <w:gridCol w:w="996"/>
        <w:gridCol w:w="267"/>
        <w:gridCol w:w="270"/>
      </w:tblGrid>
      <w:tr w:rsidR="003E5F3D" w:rsidRPr="00322E7A" w14:paraId="0B22DEB6" w14:textId="77777777" w:rsidTr="008F55E2">
        <w:tc>
          <w:tcPr>
            <w:tcW w:w="1206" w:type="dxa"/>
            <w:tcBorders>
              <w:top w:val="single" w:sz="4" w:space="0" w:color="auto"/>
              <w:bottom w:val="single" w:sz="4" w:space="0" w:color="auto"/>
            </w:tcBorders>
          </w:tcPr>
          <w:p w14:paraId="77A3EDE6"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Variables</w:t>
            </w:r>
          </w:p>
        </w:tc>
        <w:tc>
          <w:tcPr>
            <w:tcW w:w="1062" w:type="dxa"/>
            <w:tcBorders>
              <w:top w:val="single" w:sz="4" w:space="0" w:color="auto"/>
              <w:bottom w:val="single" w:sz="4" w:space="0" w:color="auto"/>
            </w:tcBorders>
          </w:tcPr>
          <w:p w14:paraId="66EA949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w:t>
            </w:r>
          </w:p>
        </w:tc>
        <w:tc>
          <w:tcPr>
            <w:tcW w:w="1782" w:type="dxa"/>
            <w:tcBorders>
              <w:top w:val="single" w:sz="4" w:space="0" w:color="auto"/>
              <w:bottom w:val="single" w:sz="4" w:space="0" w:color="auto"/>
            </w:tcBorders>
          </w:tcPr>
          <w:p w14:paraId="5052CDB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(2)</w:t>
            </w:r>
          </w:p>
        </w:tc>
        <w:tc>
          <w:tcPr>
            <w:tcW w:w="1800" w:type="dxa"/>
            <w:tcBorders>
              <w:top w:val="single" w:sz="4" w:space="0" w:color="auto"/>
              <w:bottom w:val="single" w:sz="4" w:space="0" w:color="auto"/>
            </w:tcBorders>
          </w:tcPr>
          <w:p w14:paraId="13AA475D"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(3)</w:t>
            </w:r>
          </w:p>
        </w:tc>
        <w:tc>
          <w:tcPr>
            <w:tcW w:w="1530" w:type="dxa"/>
            <w:tcBorders>
              <w:top w:val="single" w:sz="4" w:space="0" w:color="auto"/>
              <w:bottom w:val="single" w:sz="4" w:space="0" w:color="auto"/>
            </w:tcBorders>
          </w:tcPr>
          <w:p w14:paraId="06806D8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(4)</w:t>
            </w:r>
          </w:p>
        </w:tc>
        <w:tc>
          <w:tcPr>
            <w:tcW w:w="996" w:type="dxa"/>
            <w:tcBorders>
              <w:top w:val="single" w:sz="4" w:space="0" w:color="auto"/>
              <w:bottom w:val="single" w:sz="4" w:space="0" w:color="auto"/>
            </w:tcBorders>
          </w:tcPr>
          <w:p w14:paraId="07F6134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(5)</w:t>
            </w:r>
          </w:p>
        </w:tc>
        <w:tc>
          <w:tcPr>
            <w:tcW w:w="267" w:type="dxa"/>
            <w:tcBorders>
              <w:top w:val="single" w:sz="4" w:space="0" w:color="auto"/>
              <w:bottom w:val="single" w:sz="4" w:space="0" w:color="auto"/>
            </w:tcBorders>
          </w:tcPr>
          <w:p w14:paraId="064F7394" w14:textId="2CC786A5"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Borders>
              <w:top w:val="single" w:sz="4" w:space="0" w:color="auto"/>
              <w:bottom w:val="single" w:sz="4" w:space="0" w:color="auto"/>
            </w:tcBorders>
          </w:tcPr>
          <w:p w14:paraId="311198E2" w14:textId="26E7FC51"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18E6B761" w14:textId="77777777" w:rsidTr="008F55E2">
        <w:tc>
          <w:tcPr>
            <w:tcW w:w="1206" w:type="dxa"/>
            <w:tcBorders>
              <w:top w:val="single" w:sz="4" w:space="0" w:color="auto"/>
            </w:tcBorders>
          </w:tcPr>
          <w:p w14:paraId="53C69FF7"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(1) vaic</w:t>
            </w:r>
          </w:p>
        </w:tc>
        <w:tc>
          <w:tcPr>
            <w:tcW w:w="1062" w:type="dxa"/>
            <w:tcBorders>
              <w:top w:val="single" w:sz="4" w:space="0" w:color="auto"/>
            </w:tcBorders>
          </w:tcPr>
          <w:p w14:paraId="05F3BB3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1.000</w:t>
            </w:r>
          </w:p>
        </w:tc>
        <w:tc>
          <w:tcPr>
            <w:tcW w:w="1782" w:type="dxa"/>
            <w:tcBorders>
              <w:top w:val="single" w:sz="4" w:space="0" w:color="auto"/>
            </w:tcBorders>
          </w:tcPr>
          <w:p w14:paraId="726324AB"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800" w:type="dxa"/>
            <w:tcBorders>
              <w:top w:val="single" w:sz="4" w:space="0" w:color="auto"/>
            </w:tcBorders>
          </w:tcPr>
          <w:p w14:paraId="6082AA9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530" w:type="dxa"/>
            <w:tcBorders>
              <w:top w:val="single" w:sz="4" w:space="0" w:color="auto"/>
            </w:tcBorders>
          </w:tcPr>
          <w:p w14:paraId="0FD6F6B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996" w:type="dxa"/>
            <w:tcBorders>
              <w:top w:val="single" w:sz="4" w:space="0" w:color="auto"/>
            </w:tcBorders>
          </w:tcPr>
          <w:p w14:paraId="44C38320"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Borders>
              <w:top w:val="single" w:sz="4" w:space="0" w:color="auto"/>
            </w:tcBorders>
          </w:tcPr>
          <w:p w14:paraId="1B8A48C1"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Borders>
              <w:top w:val="single" w:sz="4" w:space="0" w:color="auto"/>
            </w:tcBorders>
          </w:tcPr>
          <w:p w14:paraId="2315DDB2"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114F71B4" w14:textId="77777777" w:rsidTr="008F55E2">
        <w:tc>
          <w:tcPr>
            <w:tcW w:w="1206" w:type="dxa"/>
          </w:tcPr>
          <w:p w14:paraId="3D716614"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(2) bs</w:t>
            </w:r>
          </w:p>
        </w:tc>
        <w:tc>
          <w:tcPr>
            <w:tcW w:w="1062" w:type="dxa"/>
          </w:tcPr>
          <w:p w14:paraId="4265F12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0.115*</w:t>
            </w:r>
          </w:p>
        </w:tc>
        <w:tc>
          <w:tcPr>
            <w:tcW w:w="1782" w:type="dxa"/>
          </w:tcPr>
          <w:p w14:paraId="5BE2670C"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1.000</w:t>
            </w:r>
          </w:p>
        </w:tc>
        <w:tc>
          <w:tcPr>
            <w:tcW w:w="1800" w:type="dxa"/>
          </w:tcPr>
          <w:p w14:paraId="1798226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530" w:type="dxa"/>
          </w:tcPr>
          <w:p w14:paraId="426DC57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996" w:type="dxa"/>
          </w:tcPr>
          <w:p w14:paraId="083CD7C6"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Pr>
          <w:p w14:paraId="212E783C"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Pr>
          <w:p w14:paraId="0EC75D3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263E8917" w14:textId="77777777" w:rsidTr="008F55E2">
        <w:tc>
          <w:tcPr>
            <w:tcW w:w="1206" w:type="dxa"/>
          </w:tcPr>
          <w:p w14:paraId="2FC9C9C1"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p>
        </w:tc>
        <w:tc>
          <w:tcPr>
            <w:tcW w:w="1062" w:type="dxa"/>
          </w:tcPr>
          <w:p w14:paraId="6B4DAFE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(0.044)</w:t>
            </w:r>
          </w:p>
        </w:tc>
        <w:tc>
          <w:tcPr>
            <w:tcW w:w="1782" w:type="dxa"/>
          </w:tcPr>
          <w:p w14:paraId="1E621300"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800" w:type="dxa"/>
          </w:tcPr>
          <w:p w14:paraId="337FB800"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530" w:type="dxa"/>
          </w:tcPr>
          <w:p w14:paraId="45C2990A"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996" w:type="dxa"/>
          </w:tcPr>
          <w:p w14:paraId="5575E19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Pr>
          <w:p w14:paraId="265BFFE0"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Pr>
          <w:p w14:paraId="3273F9A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07BA60EB" w14:textId="77777777" w:rsidTr="008F55E2">
        <w:tc>
          <w:tcPr>
            <w:tcW w:w="1206" w:type="dxa"/>
          </w:tcPr>
          <w:p w14:paraId="481DFB04"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(3) bi</w:t>
            </w:r>
          </w:p>
        </w:tc>
        <w:tc>
          <w:tcPr>
            <w:tcW w:w="1062" w:type="dxa"/>
          </w:tcPr>
          <w:p w14:paraId="4133A31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0.173*</w:t>
            </w:r>
          </w:p>
        </w:tc>
        <w:tc>
          <w:tcPr>
            <w:tcW w:w="1782" w:type="dxa"/>
          </w:tcPr>
          <w:p w14:paraId="7505877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0.123*</w:t>
            </w:r>
          </w:p>
        </w:tc>
        <w:tc>
          <w:tcPr>
            <w:tcW w:w="1800" w:type="dxa"/>
          </w:tcPr>
          <w:p w14:paraId="702BE58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1.000</w:t>
            </w:r>
          </w:p>
        </w:tc>
        <w:tc>
          <w:tcPr>
            <w:tcW w:w="1530" w:type="dxa"/>
          </w:tcPr>
          <w:p w14:paraId="5F12714B"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996" w:type="dxa"/>
          </w:tcPr>
          <w:p w14:paraId="61913C0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Pr>
          <w:p w14:paraId="1BBA0848"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Pr>
          <w:p w14:paraId="4ADC7D29"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00ACEC37" w14:textId="77777777" w:rsidTr="008F55E2">
        <w:tc>
          <w:tcPr>
            <w:tcW w:w="1206" w:type="dxa"/>
          </w:tcPr>
          <w:p w14:paraId="1424D4BE"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p>
        </w:tc>
        <w:tc>
          <w:tcPr>
            <w:tcW w:w="1062" w:type="dxa"/>
          </w:tcPr>
          <w:p w14:paraId="6402276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(0.002)</w:t>
            </w:r>
          </w:p>
        </w:tc>
        <w:tc>
          <w:tcPr>
            <w:tcW w:w="1782" w:type="dxa"/>
          </w:tcPr>
          <w:p w14:paraId="41AF9FD2"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(0.031)</w:t>
            </w:r>
          </w:p>
        </w:tc>
        <w:tc>
          <w:tcPr>
            <w:tcW w:w="1800" w:type="dxa"/>
          </w:tcPr>
          <w:p w14:paraId="0993149B"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530" w:type="dxa"/>
          </w:tcPr>
          <w:p w14:paraId="6A8A4590"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996" w:type="dxa"/>
          </w:tcPr>
          <w:p w14:paraId="559B9B8C"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Pr>
          <w:p w14:paraId="4DAB3BD3"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Pr>
          <w:p w14:paraId="3D22F20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79A8BDFD" w14:textId="77777777" w:rsidTr="008F55E2">
        <w:tc>
          <w:tcPr>
            <w:tcW w:w="1206" w:type="dxa"/>
          </w:tcPr>
          <w:p w14:paraId="04EEA764"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(4) gd</w:t>
            </w:r>
          </w:p>
        </w:tc>
        <w:tc>
          <w:tcPr>
            <w:tcW w:w="1062" w:type="dxa"/>
          </w:tcPr>
          <w:p w14:paraId="52985DA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-0.055</w:t>
            </w:r>
          </w:p>
        </w:tc>
        <w:tc>
          <w:tcPr>
            <w:tcW w:w="1782" w:type="dxa"/>
          </w:tcPr>
          <w:p w14:paraId="3A4DA91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-0.118*</w:t>
            </w:r>
          </w:p>
        </w:tc>
        <w:tc>
          <w:tcPr>
            <w:tcW w:w="1800" w:type="dxa"/>
          </w:tcPr>
          <w:p w14:paraId="505CB4A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0.011</w:t>
            </w:r>
          </w:p>
        </w:tc>
        <w:tc>
          <w:tcPr>
            <w:tcW w:w="1530" w:type="dxa"/>
          </w:tcPr>
          <w:p w14:paraId="0F8AD6E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1.000</w:t>
            </w:r>
          </w:p>
        </w:tc>
        <w:tc>
          <w:tcPr>
            <w:tcW w:w="996" w:type="dxa"/>
          </w:tcPr>
          <w:p w14:paraId="5C629E1A"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Pr>
          <w:p w14:paraId="4E582AE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Pr>
          <w:p w14:paraId="2772C97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5D63519E" w14:textId="77777777" w:rsidTr="008F55E2">
        <w:tc>
          <w:tcPr>
            <w:tcW w:w="1206" w:type="dxa"/>
          </w:tcPr>
          <w:p w14:paraId="598D7D3B"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p>
        </w:tc>
        <w:tc>
          <w:tcPr>
            <w:tcW w:w="1062" w:type="dxa"/>
          </w:tcPr>
          <w:p w14:paraId="240A370C"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(0.337)</w:t>
            </w:r>
          </w:p>
        </w:tc>
        <w:tc>
          <w:tcPr>
            <w:tcW w:w="1782" w:type="dxa"/>
          </w:tcPr>
          <w:p w14:paraId="36EE8F71"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(0.038)</w:t>
            </w:r>
          </w:p>
        </w:tc>
        <w:tc>
          <w:tcPr>
            <w:tcW w:w="1800" w:type="dxa"/>
          </w:tcPr>
          <w:p w14:paraId="7901B1D9"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(0.844)</w:t>
            </w:r>
          </w:p>
        </w:tc>
        <w:tc>
          <w:tcPr>
            <w:tcW w:w="1530" w:type="dxa"/>
          </w:tcPr>
          <w:p w14:paraId="5110BCD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996" w:type="dxa"/>
          </w:tcPr>
          <w:p w14:paraId="0A28F98B"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Pr>
          <w:p w14:paraId="60FA0BE2"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Pr>
          <w:p w14:paraId="73A6B464"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05578763" w14:textId="77777777" w:rsidTr="008F55E2">
        <w:tc>
          <w:tcPr>
            <w:tcW w:w="1206" w:type="dxa"/>
          </w:tcPr>
          <w:p w14:paraId="463F0CD0"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(5) bm</w:t>
            </w:r>
          </w:p>
        </w:tc>
        <w:tc>
          <w:tcPr>
            <w:tcW w:w="1062" w:type="dxa"/>
          </w:tcPr>
          <w:p w14:paraId="7BDB6F69"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-0.096</w:t>
            </w:r>
          </w:p>
        </w:tc>
        <w:tc>
          <w:tcPr>
            <w:tcW w:w="1782" w:type="dxa"/>
          </w:tcPr>
          <w:p w14:paraId="2C4E05E8"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0.113*</w:t>
            </w:r>
          </w:p>
        </w:tc>
        <w:tc>
          <w:tcPr>
            <w:tcW w:w="1800" w:type="dxa"/>
          </w:tcPr>
          <w:p w14:paraId="48456B60"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0.038</w:t>
            </w:r>
          </w:p>
        </w:tc>
        <w:tc>
          <w:tcPr>
            <w:tcW w:w="1530" w:type="dxa"/>
          </w:tcPr>
          <w:p w14:paraId="2A35106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0.218*</w:t>
            </w:r>
          </w:p>
        </w:tc>
        <w:tc>
          <w:tcPr>
            <w:tcW w:w="996" w:type="dxa"/>
          </w:tcPr>
          <w:p w14:paraId="50C300A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1.000</w:t>
            </w:r>
          </w:p>
        </w:tc>
        <w:tc>
          <w:tcPr>
            <w:tcW w:w="267" w:type="dxa"/>
          </w:tcPr>
          <w:p w14:paraId="63FDF511"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Pr>
          <w:p w14:paraId="20AF6F8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3E9AFA2D" w14:textId="77777777" w:rsidTr="008F55E2">
        <w:tc>
          <w:tcPr>
            <w:tcW w:w="1206" w:type="dxa"/>
            <w:tcBorders>
              <w:bottom w:val="single" w:sz="4" w:space="0" w:color="auto"/>
            </w:tcBorders>
          </w:tcPr>
          <w:p w14:paraId="09F18A8E"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p>
        </w:tc>
        <w:tc>
          <w:tcPr>
            <w:tcW w:w="1062" w:type="dxa"/>
            <w:tcBorders>
              <w:bottom w:val="single" w:sz="4" w:space="0" w:color="auto"/>
            </w:tcBorders>
          </w:tcPr>
          <w:p w14:paraId="125D15CC"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(0.090)</w:t>
            </w:r>
          </w:p>
        </w:tc>
        <w:tc>
          <w:tcPr>
            <w:tcW w:w="1782" w:type="dxa"/>
            <w:tcBorders>
              <w:bottom w:val="single" w:sz="4" w:space="0" w:color="auto"/>
            </w:tcBorders>
          </w:tcPr>
          <w:p w14:paraId="1819ED08"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(0.047)</w:t>
            </w:r>
          </w:p>
        </w:tc>
        <w:tc>
          <w:tcPr>
            <w:tcW w:w="1800" w:type="dxa"/>
            <w:tcBorders>
              <w:bottom w:val="single" w:sz="4" w:space="0" w:color="auto"/>
            </w:tcBorders>
          </w:tcPr>
          <w:p w14:paraId="35A70F0B"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(0.506)</w:t>
            </w:r>
          </w:p>
        </w:tc>
        <w:tc>
          <w:tcPr>
            <w:tcW w:w="1530" w:type="dxa"/>
            <w:tcBorders>
              <w:bottom w:val="single" w:sz="4" w:space="0" w:color="auto"/>
            </w:tcBorders>
          </w:tcPr>
          <w:p w14:paraId="64F8E93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(0.000)</w:t>
            </w:r>
          </w:p>
        </w:tc>
        <w:tc>
          <w:tcPr>
            <w:tcW w:w="996" w:type="dxa"/>
            <w:tcBorders>
              <w:bottom w:val="single" w:sz="4" w:space="0" w:color="auto"/>
            </w:tcBorders>
          </w:tcPr>
          <w:p w14:paraId="3C18DDF8"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67" w:type="dxa"/>
            <w:tcBorders>
              <w:bottom w:val="single" w:sz="4" w:space="0" w:color="auto"/>
            </w:tcBorders>
          </w:tcPr>
          <w:p w14:paraId="210842E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270" w:type="dxa"/>
            <w:tcBorders>
              <w:bottom w:val="single" w:sz="4" w:space="0" w:color="auto"/>
            </w:tcBorders>
          </w:tcPr>
          <w:p w14:paraId="54FB0FD3"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18BE33C9" w14:textId="77777777" w:rsidTr="008F55E2">
        <w:tc>
          <w:tcPr>
            <w:tcW w:w="8913" w:type="dxa"/>
            <w:gridSpan w:val="8"/>
            <w:tcBorders>
              <w:top w:val="single" w:sz="4" w:space="0" w:color="auto"/>
            </w:tcBorders>
          </w:tcPr>
          <w:p w14:paraId="1DC7E58E"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i/>
                <w:iCs/>
                <w:kern w:val="0"/>
                <w:lang w:val="en-US"/>
              </w:rPr>
              <w:t>*** p&lt;0.01, ** p&lt;0.05, * p&lt;0.1</w:t>
            </w:r>
          </w:p>
        </w:tc>
      </w:tr>
    </w:tbl>
    <w:p w14:paraId="53D55D2A" w14:textId="5B98973D" w:rsidR="003E5F3D" w:rsidRPr="00322E7A" w:rsidRDefault="00433863" w:rsidP="0078149A">
      <w:pPr>
        <w:spacing w:after="0" w:line="240" w:lineRule="auto"/>
        <w:rPr>
          <w:rFonts w:ascii="Times New Roman" w:hAnsi="Times New Roman" w:cs="Times New Roman"/>
        </w:rPr>
      </w:pPr>
      <w:r w:rsidRPr="00322E7A">
        <w:rPr>
          <w:rFonts w:ascii="Times New Roman" w:hAnsi="Times New Roman" w:cs="Times New Roman"/>
        </w:rPr>
        <w:t>Source: STATA 13</w:t>
      </w:r>
      <w:r w:rsidR="002D1C52">
        <w:rPr>
          <w:rFonts w:ascii="Times New Roman" w:hAnsi="Times New Roman" w:cs="Times New Roman"/>
          <w:lang w:val="en-US"/>
        </w:rPr>
        <w:t>, 2024</w:t>
      </w:r>
    </w:p>
    <w:p w14:paraId="6C20CACB" w14:textId="5965460C" w:rsidR="00433863" w:rsidRPr="00DF3638" w:rsidRDefault="00E46945" w:rsidP="0078149A">
      <w:pPr>
        <w:spacing w:after="0" w:line="240" w:lineRule="auto"/>
        <w:jc w:val="both"/>
        <w:rPr>
          <w:rFonts w:ascii="Times New Roman" w:hAnsi="Times New Roman" w:cs="Times New Roman"/>
          <w:lang w:val="en-US"/>
        </w:rPr>
      </w:pPr>
      <w:r>
        <w:rPr>
          <w:rFonts w:ascii="Times New Roman" w:hAnsi="Times New Roman" w:cs="Times New Roman"/>
        </w:rPr>
        <w:t>Table 2</w:t>
      </w:r>
      <w:r w:rsidR="00FF42BE" w:rsidRPr="00FF42BE">
        <w:rPr>
          <w:rFonts w:ascii="Times New Roman" w:hAnsi="Times New Roman" w:cs="Times New Roman"/>
        </w:rPr>
        <w:t xml:space="preserve"> shows a modest positive correlation between board size and intellectual capital efficiency (ICE) (r = 0.115, p &lt; 0.1). Board independence has a weak positive association with ICE (r = 0.173, p &lt; 0.01). Gender diversity on boards shows a weak negative correlation with ICE (r = -0.055, p &gt; 0.1), and board meetings also have a weak negative correlation with ICE (r = -0.096, p &gt; 0.1). There is no strong linear relationship among the independent variables.</w:t>
      </w:r>
      <w:r w:rsidR="00DF3638">
        <w:rPr>
          <w:rFonts w:ascii="Times New Roman" w:hAnsi="Times New Roman" w:cs="Times New Roman"/>
          <w:lang w:val="en-US"/>
        </w:rPr>
        <w:t xml:space="preserve"> </w:t>
      </w:r>
    </w:p>
    <w:p w14:paraId="008B8D05" w14:textId="134DD364" w:rsidR="003E5F3D" w:rsidRPr="00081725" w:rsidRDefault="00433863" w:rsidP="0078149A">
      <w:pPr>
        <w:spacing w:after="0" w:line="240" w:lineRule="auto"/>
        <w:rPr>
          <w:rFonts w:ascii="Times New Roman" w:hAnsi="Times New Roman" w:cs="Times New Roman"/>
          <w:b/>
          <w:lang w:val="en-US"/>
        </w:rPr>
      </w:pPr>
      <w:r w:rsidRPr="00081725">
        <w:rPr>
          <w:rFonts w:ascii="Times New Roman" w:hAnsi="Times New Roman" w:cs="Times New Roman"/>
          <w:b/>
        </w:rPr>
        <w:t xml:space="preserve">Table </w:t>
      </w:r>
      <w:r w:rsidR="00E46945">
        <w:rPr>
          <w:rFonts w:ascii="Times New Roman" w:hAnsi="Times New Roman" w:cs="Times New Roman"/>
          <w:b/>
          <w:lang w:val="en-US"/>
        </w:rPr>
        <w:t>3</w:t>
      </w:r>
    </w:p>
    <w:p w14:paraId="04ADB177" w14:textId="70DC0D5C" w:rsidR="003E5F3D" w:rsidRPr="00322E7A" w:rsidRDefault="00D16C94" w:rsidP="0078149A">
      <w:pPr>
        <w:widowControl w:val="0"/>
        <w:autoSpaceDE w:val="0"/>
        <w:autoSpaceDN w:val="0"/>
        <w:adjustRightInd w:val="0"/>
        <w:spacing w:after="0" w:line="240" w:lineRule="auto"/>
        <w:rPr>
          <w:rFonts w:ascii="Times New Roman" w:hAnsi="Times New Roman" w:cs="Times New Roman"/>
          <w:i/>
          <w:iCs/>
          <w:kern w:val="0"/>
          <w:lang w:val="en-US"/>
        </w:rPr>
      </w:pPr>
      <w:r w:rsidRPr="00322E7A">
        <w:rPr>
          <w:rFonts w:ascii="Times New Roman" w:hAnsi="Times New Roman" w:cs="Times New Roman"/>
          <w:i/>
          <w:iCs/>
          <w:kern w:val="0"/>
          <w:lang w:val="en-US"/>
        </w:rPr>
        <w:t>Robustness Test</w:t>
      </w:r>
    </w:p>
    <w:tbl>
      <w:tblPr>
        <w:tblW w:w="0" w:type="auto"/>
        <w:tblLayout w:type="fixed"/>
        <w:tblLook w:val="0000" w:firstRow="0" w:lastRow="0" w:firstColumn="0" w:lastColumn="0" w:noHBand="0" w:noVBand="0"/>
      </w:tblPr>
      <w:tblGrid>
        <w:gridCol w:w="6663"/>
        <w:gridCol w:w="992"/>
        <w:gridCol w:w="1559"/>
      </w:tblGrid>
      <w:tr w:rsidR="003E5F3D" w:rsidRPr="00322E7A" w14:paraId="6AFE76FF" w14:textId="77777777" w:rsidTr="00D16C94">
        <w:tc>
          <w:tcPr>
            <w:tcW w:w="6663" w:type="dxa"/>
            <w:tcBorders>
              <w:top w:val="single" w:sz="4" w:space="0" w:color="auto"/>
              <w:left w:val="nil"/>
              <w:bottom w:val="single" w:sz="10" w:space="0" w:color="auto"/>
              <w:right w:val="nil"/>
            </w:tcBorders>
          </w:tcPr>
          <w:p w14:paraId="167DE200"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 xml:space="preserve">  </w:t>
            </w:r>
          </w:p>
        </w:tc>
        <w:tc>
          <w:tcPr>
            <w:tcW w:w="992" w:type="dxa"/>
            <w:tcBorders>
              <w:top w:val="single" w:sz="4" w:space="0" w:color="auto"/>
              <w:left w:val="nil"/>
              <w:bottom w:val="single" w:sz="10" w:space="0" w:color="auto"/>
              <w:right w:val="nil"/>
            </w:tcBorders>
          </w:tcPr>
          <w:p w14:paraId="7653C8B6"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 xml:space="preserve">  VIF</w:t>
            </w:r>
          </w:p>
        </w:tc>
        <w:tc>
          <w:tcPr>
            <w:tcW w:w="1559" w:type="dxa"/>
            <w:tcBorders>
              <w:top w:val="single" w:sz="4" w:space="0" w:color="auto"/>
              <w:left w:val="nil"/>
              <w:bottom w:val="single" w:sz="10" w:space="0" w:color="auto"/>
              <w:right w:val="nil"/>
            </w:tcBorders>
          </w:tcPr>
          <w:p w14:paraId="0747DD39"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 xml:space="preserve">  1/VIF</w:t>
            </w:r>
          </w:p>
        </w:tc>
      </w:tr>
      <w:tr w:rsidR="003E5F3D" w:rsidRPr="00322E7A" w14:paraId="0CBBB14D" w14:textId="77777777" w:rsidTr="00D16C94">
        <w:tc>
          <w:tcPr>
            <w:tcW w:w="6663" w:type="dxa"/>
            <w:tcBorders>
              <w:top w:val="nil"/>
              <w:left w:val="nil"/>
              <w:bottom w:val="nil"/>
              <w:right w:val="nil"/>
            </w:tcBorders>
          </w:tcPr>
          <w:p w14:paraId="3F2803AE" w14:textId="52B1D4D5"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 </w:t>
            </w:r>
            <w:r w:rsidR="00E46945" w:rsidRPr="00322E7A">
              <w:rPr>
                <w:rFonts w:ascii="Times New Roman" w:hAnsi="Times New Roman" w:cs="Times New Roman"/>
                <w:kern w:val="0"/>
                <w:lang w:val="en-US"/>
              </w:rPr>
              <w:t>A</w:t>
            </w:r>
            <w:r w:rsidRPr="00322E7A">
              <w:rPr>
                <w:rFonts w:ascii="Times New Roman" w:hAnsi="Times New Roman" w:cs="Times New Roman"/>
                <w:kern w:val="0"/>
                <w:lang w:val="en-US"/>
              </w:rPr>
              <w:t>ge</w:t>
            </w:r>
          </w:p>
        </w:tc>
        <w:tc>
          <w:tcPr>
            <w:tcW w:w="992" w:type="dxa"/>
            <w:tcBorders>
              <w:top w:val="nil"/>
              <w:left w:val="nil"/>
              <w:bottom w:val="nil"/>
              <w:right w:val="nil"/>
            </w:tcBorders>
          </w:tcPr>
          <w:p w14:paraId="7D220B8A"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1.207</w:t>
            </w:r>
          </w:p>
        </w:tc>
        <w:tc>
          <w:tcPr>
            <w:tcW w:w="1559" w:type="dxa"/>
            <w:tcBorders>
              <w:top w:val="nil"/>
              <w:left w:val="nil"/>
              <w:bottom w:val="nil"/>
              <w:right w:val="nil"/>
            </w:tcBorders>
          </w:tcPr>
          <w:p w14:paraId="1E21AB7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.828</w:t>
            </w:r>
          </w:p>
        </w:tc>
      </w:tr>
      <w:tr w:rsidR="003E5F3D" w:rsidRPr="00322E7A" w14:paraId="1F8DBBB3" w14:textId="77777777" w:rsidTr="00D16C94">
        <w:tc>
          <w:tcPr>
            <w:tcW w:w="6663" w:type="dxa"/>
            <w:tcBorders>
              <w:top w:val="nil"/>
              <w:left w:val="nil"/>
              <w:bottom w:val="nil"/>
              <w:right w:val="nil"/>
            </w:tcBorders>
          </w:tcPr>
          <w:p w14:paraId="178D8BE0" w14:textId="02867D59"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 </w:t>
            </w:r>
            <w:r w:rsidR="00E46945" w:rsidRPr="00322E7A">
              <w:rPr>
                <w:rFonts w:ascii="Times New Roman" w:hAnsi="Times New Roman" w:cs="Times New Roman"/>
                <w:kern w:val="0"/>
                <w:lang w:val="en-US"/>
              </w:rPr>
              <w:t>G</w:t>
            </w:r>
            <w:r w:rsidRPr="00322E7A">
              <w:rPr>
                <w:rFonts w:ascii="Times New Roman" w:hAnsi="Times New Roman" w:cs="Times New Roman"/>
                <w:kern w:val="0"/>
                <w:lang w:val="en-US"/>
              </w:rPr>
              <w:t>d</w:t>
            </w:r>
          </w:p>
        </w:tc>
        <w:tc>
          <w:tcPr>
            <w:tcW w:w="992" w:type="dxa"/>
            <w:tcBorders>
              <w:top w:val="nil"/>
              <w:left w:val="nil"/>
              <w:bottom w:val="nil"/>
              <w:right w:val="nil"/>
            </w:tcBorders>
          </w:tcPr>
          <w:p w14:paraId="2C3BCCF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1.178</w:t>
            </w:r>
          </w:p>
        </w:tc>
        <w:tc>
          <w:tcPr>
            <w:tcW w:w="1559" w:type="dxa"/>
            <w:tcBorders>
              <w:top w:val="nil"/>
              <w:left w:val="nil"/>
              <w:bottom w:val="nil"/>
              <w:right w:val="nil"/>
            </w:tcBorders>
          </w:tcPr>
          <w:p w14:paraId="0D340418"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.849</w:t>
            </w:r>
          </w:p>
        </w:tc>
      </w:tr>
      <w:tr w:rsidR="003E5F3D" w:rsidRPr="00322E7A" w14:paraId="2CEFDB61" w14:textId="77777777" w:rsidTr="00D16C94">
        <w:tc>
          <w:tcPr>
            <w:tcW w:w="6663" w:type="dxa"/>
            <w:tcBorders>
              <w:top w:val="nil"/>
              <w:left w:val="nil"/>
              <w:bottom w:val="nil"/>
              <w:right w:val="nil"/>
            </w:tcBorders>
          </w:tcPr>
          <w:p w14:paraId="1B669799" w14:textId="4A9601B3"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 </w:t>
            </w:r>
            <w:r w:rsidR="00E46945" w:rsidRPr="00322E7A">
              <w:rPr>
                <w:rFonts w:ascii="Times New Roman" w:hAnsi="Times New Roman" w:cs="Times New Roman"/>
                <w:kern w:val="0"/>
                <w:lang w:val="en-US"/>
              </w:rPr>
              <w:t>B</w:t>
            </w:r>
            <w:r w:rsidRPr="00322E7A">
              <w:rPr>
                <w:rFonts w:ascii="Times New Roman" w:hAnsi="Times New Roman" w:cs="Times New Roman"/>
                <w:kern w:val="0"/>
                <w:lang w:val="en-US"/>
              </w:rPr>
              <w:t>s</w:t>
            </w:r>
          </w:p>
        </w:tc>
        <w:tc>
          <w:tcPr>
            <w:tcW w:w="992" w:type="dxa"/>
            <w:tcBorders>
              <w:top w:val="nil"/>
              <w:left w:val="nil"/>
              <w:bottom w:val="nil"/>
              <w:right w:val="nil"/>
            </w:tcBorders>
          </w:tcPr>
          <w:p w14:paraId="49D28CB1"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1.145</w:t>
            </w:r>
          </w:p>
        </w:tc>
        <w:tc>
          <w:tcPr>
            <w:tcW w:w="1559" w:type="dxa"/>
            <w:tcBorders>
              <w:top w:val="nil"/>
              <w:left w:val="nil"/>
              <w:bottom w:val="nil"/>
              <w:right w:val="nil"/>
            </w:tcBorders>
          </w:tcPr>
          <w:p w14:paraId="2D6C406A"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.873</w:t>
            </w:r>
          </w:p>
        </w:tc>
      </w:tr>
      <w:tr w:rsidR="003E5F3D" w:rsidRPr="00322E7A" w14:paraId="09F6F801" w14:textId="77777777" w:rsidTr="00D16C94">
        <w:tc>
          <w:tcPr>
            <w:tcW w:w="6663" w:type="dxa"/>
            <w:tcBorders>
              <w:top w:val="nil"/>
              <w:left w:val="nil"/>
              <w:bottom w:val="nil"/>
              <w:right w:val="nil"/>
            </w:tcBorders>
          </w:tcPr>
          <w:p w14:paraId="08BFECE9" w14:textId="6AE54CD5"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 </w:t>
            </w:r>
            <w:r w:rsidR="00E46945" w:rsidRPr="00322E7A">
              <w:rPr>
                <w:rFonts w:ascii="Times New Roman" w:hAnsi="Times New Roman" w:cs="Times New Roman"/>
                <w:kern w:val="0"/>
                <w:lang w:val="en-US"/>
              </w:rPr>
              <w:t>B</w:t>
            </w:r>
            <w:r w:rsidRPr="00322E7A">
              <w:rPr>
                <w:rFonts w:ascii="Times New Roman" w:hAnsi="Times New Roman" w:cs="Times New Roman"/>
                <w:kern w:val="0"/>
                <w:lang w:val="en-US"/>
              </w:rPr>
              <w:t>m</w:t>
            </w:r>
          </w:p>
        </w:tc>
        <w:tc>
          <w:tcPr>
            <w:tcW w:w="992" w:type="dxa"/>
            <w:tcBorders>
              <w:top w:val="nil"/>
              <w:left w:val="nil"/>
              <w:bottom w:val="nil"/>
              <w:right w:val="nil"/>
            </w:tcBorders>
          </w:tcPr>
          <w:p w14:paraId="45F063DC"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1.115</w:t>
            </w:r>
          </w:p>
        </w:tc>
        <w:tc>
          <w:tcPr>
            <w:tcW w:w="1559" w:type="dxa"/>
            <w:tcBorders>
              <w:top w:val="nil"/>
              <w:left w:val="nil"/>
              <w:bottom w:val="nil"/>
              <w:right w:val="nil"/>
            </w:tcBorders>
          </w:tcPr>
          <w:p w14:paraId="3233D81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.897</w:t>
            </w:r>
          </w:p>
        </w:tc>
      </w:tr>
      <w:tr w:rsidR="003E5F3D" w:rsidRPr="00322E7A" w14:paraId="5029995A" w14:textId="77777777" w:rsidTr="00D16C94">
        <w:tc>
          <w:tcPr>
            <w:tcW w:w="6663" w:type="dxa"/>
            <w:tcBorders>
              <w:top w:val="nil"/>
              <w:left w:val="nil"/>
              <w:bottom w:val="nil"/>
              <w:right w:val="nil"/>
            </w:tcBorders>
          </w:tcPr>
          <w:p w14:paraId="6294F090"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 sect</w:t>
            </w:r>
          </w:p>
        </w:tc>
        <w:tc>
          <w:tcPr>
            <w:tcW w:w="992" w:type="dxa"/>
            <w:tcBorders>
              <w:top w:val="nil"/>
              <w:left w:val="nil"/>
              <w:bottom w:val="nil"/>
              <w:right w:val="nil"/>
            </w:tcBorders>
          </w:tcPr>
          <w:p w14:paraId="06DDB8FB"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1.106</w:t>
            </w:r>
          </w:p>
        </w:tc>
        <w:tc>
          <w:tcPr>
            <w:tcW w:w="1559" w:type="dxa"/>
            <w:tcBorders>
              <w:top w:val="nil"/>
              <w:left w:val="nil"/>
              <w:bottom w:val="nil"/>
              <w:right w:val="nil"/>
            </w:tcBorders>
          </w:tcPr>
          <w:p w14:paraId="030E218C"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.904</w:t>
            </w:r>
          </w:p>
        </w:tc>
      </w:tr>
      <w:tr w:rsidR="003E5F3D" w:rsidRPr="00322E7A" w14:paraId="03AFDDCA" w14:textId="77777777" w:rsidTr="00D16C94">
        <w:tc>
          <w:tcPr>
            <w:tcW w:w="6663" w:type="dxa"/>
            <w:tcBorders>
              <w:top w:val="nil"/>
              <w:left w:val="nil"/>
              <w:bottom w:val="nil"/>
              <w:right w:val="nil"/>
            </w:tcBorders>
          </w:tcPr>
          <w:p w14:paraId="66ECF2F4" w14:textId="1041B3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 </w:t>
            </w:r>
            <w:r w:rsidR="00E46945" w:rsidRPr="00322E7A">
              <w:rPr>
                <w:rFonts w:ascii="Times New Roman" w:hAnsi="Times New Roman" w:cs="Times New Roman"/>
                <w:kern w:val="0"/>
                <w:lang w:val="en-US"/>
              </w:rPr>
              <w:t>B</w:t>
            </w:r>
            <w:r w:rsidRPr="00322E7A">
              <w:rPr>
                <w:rFonts w:ascii="Times New Roman" w:hAnsi="Times New Roman" w:cs="Times New Roman"/>
                <w:kern w:val="0"/>
                <w:lang w:val="en-US"/>
              </w:rPr>
              <w:t>i</w:t>
            </w:r>
          </w:p>
        </w:tc>
        <w:tc>
          <w:tcPr>
            <w:tcW w:w="992" w:type="dxa"/>
            <w:tcBorders>
              <w:top w:val="nil"/>
              <w:left w:val="nil"/>
              <w:bottom w:val="nil"/>
              <w:right w:val="nil"/>
            </w:tcBorders>
          </w:tcPr>
          <w:p w14:paraId="2B3162A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1.065</w:t>
            </w:r>
          </w:p>
        </w:tc>
        <w:tc>
          <w:tcPr>
            <w:tcW w:w="1559" w:type="dxa"/>
            <w:tcBorders>
              <w:top w:val="nil"/>
              <w:left w:val="nil"/>
              <w:bottom w:val="nil"/>
              <w:right w:val="nil"/>
            </w:tcBorders>
          </w:tcPr>
          <w:p w14:paraId="20A20BEA"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.939</w:t>
            </w:r>
          </w:p>
        </w:tc>
      </w:tr>
      <w:tr w:rsidR="003E5F3D" w:rsidRPr="00322E7A" w14:paraId="3E811586" w14:textId="77777777" w:rsidTr="00D16C94">
        <w:tc>
          <w:tcPr>
            <w:tcW w:w="6663" w:type="dxa"/>
            <w:tcBorders>
              <w:top w:val="nil"/>
              <w:left w:val="nil"/>
              <w:bottom w:val="nil"/>
              <w:right w:val="nil"/>
            </w:tcBorders>
          </w:tcPr>
          <w:p w14:paraId="0CDC3054"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 Mean VIF</w:t>
            </w:r>
          </w:p>
        </w:tc>
        <w:tc>
          <w:tcPr>
            <w:tcW w:w="992" w:type="dxa"/>
            <w:tcBorders>
              <w:top w:val="nil"/>
              <w:left w:val="nil"/>
              <w:bottom w:val="nil"/>
              <w:right w:val="nil"/>
            </w:tcBorders>
          </w:tcPr>
          <w:p w14:paraId="7636C4DA"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1.136</w:t>
            </w:r>
          </w:p>
        </w:tc>
        <w:tc>
          <w:tcPr>
            <w:tcW w:w="1559" w:type="dxa"/>
            <w:tcBorders>
              <w:top w:val="nil"/>
              <w:left w:val="nil"/>
              <w:bottom w:val="nil"/>
              <w:right w:val="nil"/>
            </w:tcBorders>
          </w:tcPr>
          <w:p w14:paraId="2E2AE432"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w:t>
            </w:r>
          </w:p>
        </w:tc>
      </w:tr>
      <w:tr w:rsidR="00C77518" w:rsidRPr="00322E7A" w14:paraId="6B122EB9" w14:textId="77777777" w:rsidTr="00D16C94">
        <w:tc>
          <w:tcPr>
            <w:tcW w:w="6663" w:type="dxa"/>
            <w:tcBorders>
              <w:top w:val="nil"/>
              <w:left w:val="nil"/>
              <w:bottom w:val="nil"/>
              <w:right w:val="nil"/>
            </w:tcBorders>
          </w:tcPr>
          <w:p w14:paraId="57B3D010" w14:textId="10EF309F" w:rsidR="00C77518" w:rsidRPr="00322E7A" w:rsidRDefault="00C77518"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Hettest</w:t>
            </w:r>
          </w:p>
        </w:tc>
        <w:tc>
          <w:tcPr>
            <w:tcW w:w="992" w:type="dxa"/>
            <w:tcBorders>
              <w:top w:val="nil"/>
              <w:left w:val="nil"/>
              <w:bottom w:val="nil"/>
              <w:right w:val="nil"/>
            </w:tcBorders>
          </w:tcPr>
          <w:p w14:paraId="2841E515" w14:textId="2D3E38A0" w:rsidR="00C77518" w:rsidRPr="00322E7A" w:rsidRDefault="00C77518"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0.0434</w:t>
            </w:r>
          </w:p>
        </w:tc>
        <w:tc>
          <w:tcPr>
            <w:tcW w:w="1559" w:type="dxa"/>
            <w:tcBorders>
              <w:top w:val="nil"/>
              <w:left w:val="nil"/>
              <w:bottom w:val="nil"/>
              <w:right w:val="nil"/>
            </w:tcBorders>
          </w:tcPr>
          <w:p w14:paraId="02FE265B" w14:textId="77777777" w:rsidR="00C77518" w:rsidRPr="00322E7A" w:rsidRDefault="00C77518"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C77518" w:rsidRPr="00322E7A" w14:paraId="070ACBD7" w14:textId="77777777" w:rsidTr="00D16C94">
        <w:tc>
          <w:tcPr>
            <w:tcW w:w="6663" w:type="dxa"/>
            <w:tcBorders>
              <w:top w:val="nil"/>
              <w:left w:val="nil"/>
              <w:bottom w:val="nil"/>
              <w:right w:val="nil"/>
            </w:tcBorders>
          </w:tcPr>
          <w:p w14:paraId="6F17709A" w14:textId="306394CE" w:rsidR="00C77518" w:rsidRPr="00322E7A" w:rsidRDefault="00C77518"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Hausman Specification Test</w:t>
            </w:r>
          </w:p>
        </w:tc>
        <w:tc>
          <w:tcPr>
            <w:tcW w:w="992" w:type="dxa"/>
            <w:tcBorders>
              <w:top w:val="nil"/>
              <w:left w:val="nil"/>
              <w:bottom w:val="nil"/>
              <w:right w:val="nil"/>
            </w:tcBorders>
          </w:tcPr>
          <w:p w14:paraId="7147B443" w14:textId="55D4CD88" w:rsidR="00C77518" w:rsidRPr="00322E7A" w:rsidRDefault="00C77518"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0.5103</w:t>
            </w:r>
          </w:p>
        </w:tc>
        <w:tc>
          <w:tcPr>
            <w:tcW w:w="1559" w:type="dxa"/>
            <w:tcBorders>
              <w:top w:val="nil"/>
              <w:left w:val="nil"/>
              <w:bottom w:val="nil"/>
              <w:right w:val="nil"/>
            </w:tcBorders>
          </w:tcPr>
          <w:p w14:paraId="66DB52F7" w14:textId="77777777" w:rsidR="00C77518" w:rsidRPr="00322E7A" w:rsidRDefault="00C77518"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C77518" w:rsidRPr="00322E7A" w14:paraId="61F9AF97" w14:textId="77777777" w:rsidTr="00D16C94">
        <w:tc>
          <w:tcPr>
            <w:tcW w:w="6663" w:type="dxa"/>
            <w:tcBorders>
              <w:top w:val="nil"/>
              <w:left w:val="nil"/>
              <w:bottom w:val="single" w:sz="6" w:space="0" w:color="auto"/>
              <w:right w:val="nil"/>
            </w:tcBorders>
          </w:tcPr>
          <w:p w14:paraId="5D972F27" w14:textId="500F18AF" w:rsidR="00C77518" w:rsidRPr="00322E7A" w:rsidRDefault="00341E42"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Breusch and </w:t>
            </w:r>
            <w:r w:rsidR="00D16C94" w:rsidRPr="00322E7A">
              <w:rPr>
                <w:rFonts w:ascii="Times New Roman" w:hAnsi="Times New Roman" w:cs="Times New Roman"/>
                <w:kern w:val="0"/>
                <w:lang w:val="en-US"/>
              </w:rPr>
              <w:t xml:space="preserve">Pagan </w:t>
            </w:r>
            <w:r w:rsidRPr="00322E7A">
              <w:rPr>
                <w:rFonts w:ascii="Times New Roman" w:hAnsi="Times New Roman" w:cs="Times New Roman"/>
                <w:kern w:val="0"/>
                <w:lang w:val="en-US"/>
              </w:rPr>
              <w:t>Lagragian Multiplier Test</w:t>
            </w:r>
            <w:r w:rsidR="00D16C94" w:rsidRPr="00322E7A">
              <w:rPr>
                <w:rFonts w:ascii="Times New Roman" w:hAnsi="Times New Roman" w:cs="Times New Roman"/>
                <w:kern w:val="0"/>
                <w:lang w:val="en-US"/>
              </w:rPr>
              <w:t xml:space="preserve"> for Random Effects </w:t>
            </w:r>
          </w:p>
        </w:tc>
        <w:tc>
          <w:tcPr>
            <w:tcW w:w="992" w:type="dxa"/>
            <w:tcBorders>
              <w:top w:val="nil"/>
              <w:left w:val="nil"/>
              <w:bottom w:val="single" w:sz="6" w:space="0" w:color="auto"/>
              <w:right w:val="nil"/>
            </w:tcBorders>
          </w:tcPr>
          <w:p w14:paraId="0BF8CFE0" w14:textId="49978EFE" w:rsidR="00C77518" w:rsidRPr="00322E7A" w:rsidRDefault="00C77518"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0.0000</w:t>
            </w:r>
          </w:p>
        </w:tc>
        <w:tc>
          <w:tcPr>
            <w:tcW w:w="1559" w:type="dxa"/>
            <w:tcBorders>
              <w:top w:val="nil"/>
              <w:left w:val="nil"/>
              <w:bottom w:val="single" w:sz="6" w:space="0" w:color="auto"/>
              <w:right w:val="nil"/>
            </w:tcBorders>
          </w:tcPr>
          <w:p w14:paraId="634B7CA5" w14:textId="77777777" w:rsidR="00C77518" w:rsidRPr="00322E7A" w:rsidRDefault="00C77518"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bl>
    <w:p w14:paraId="79239AD4" w14:textId="421F222E" w:rsidR="003E5F3D" w:rsidRPr="00322E7A" w:rsidRDefault="004570DA" w:rsidP="0078149A">
      <w:pPr>
        <w:spacing w:line="240" w:lineRule="auto"/>
        <w:rPr>
          <w:rFonts w:ascii="Times New Roman" w:hAnsi="Times New Roman" w:cs="Times New Roman"/>
        </w:rPr>
      </w:pPr>
      <w:r w:rsidRPr="00322E7A">
        <w:rPr>
          <w:rFonts w:ascii="Times New Roman" w:hAnsi="Times New Roman" w:cs="Times New Roman"/>
        </w:rPr>
        <w:lastRenderedPageBreak/>
        <w:t>Source: STATA 13</w:t>
      </w:r>
      <w:r w:rsidR="002D1C52">
        <w:rPr>
          <w:rFonts w:ascii="Times New Roman" w:hAnsi="Times New Roman" w:cs="Times New Roman"/>
          <w:lang w:val="en-US"/>
        </w:rPr>
        <w:t>, 2024</w:t>
      </w:r>
    </w:p>
    <w:p w14:paraId="45D30581" w14:textId="1D68C83B" w:rsidR="004570DA" w:rsidRDefault="00FF42BE" w:rsidP="0078149A">
      <w:pPr>
        <w:spacing w:after="0" w:line="240" w:lineRule="auto"/>
        <w:jc w:val="both"/>
        <w:rPr>
          <w:rFonts w:ascii="Times New Roman" w:hAnsi="Times New Roman" w:cs="Times New Roman"/>
        </w:rPr>
      </w:pPr>
      <w:r w:rsidRPr="00FF42BE">
        <w:rPr>
          <w:rFonts w:ascii="Times New Roman" w:hAnsi="Times New Roman" w:cs="Times New Roman"/>
        </w:rPr>
        <w:t xml:space="preserve">Table </w:t>
      </w:r>
      <w:r w:rsidR="00E46945">
        <w:rPr>
          <w:rFonts w:ascii="Times New Roman" w:hAnsi="Times New Roman" w:cs="Times New Roman"/>
          <w:lang w:val="en-US"/>
        </w:rPr>
        <w:t>3</w:t>
      </w:r>
      <w:r w:rsidRPr="00FF42BE">
        <w:rPr>
          <w:rFonts w:ascii="Times New Roman" w:hAnsi="Times New Roman" w:cs="Times New Roman"/>
        </w:rPr>
        <w:t xml:space="preserve"> shows that the regression model's Variance Inflation Factor (VIF) values and tolerance levels indicate no multicollinearity, ensuring model robustness. The H</w:t>
      </w:r>
      <w:r w:rsidR="00E46945">
        <w:rPr>
          <w:rFonts w:ascii="Times New Roman" w:hAnsi="Times New Roman" w:cs="Times New Roman"/>
          <w:lang w:val="en-US"/>
        </w:rPr>
        <w:t>e</w:t>
      </w:r>
      <w:r w:rsidRPr="00FF42BE">
        <w:rPr>
          <w:rFonts w:ascii="Times New Roman" w:hAnsi="Times New Roman" w:cs="Times New Roman"/>
        </w:rPr>
        <w:t>ttest p-value of 0.0434 suggests the presence of heteroscedasticity, which was addressed through regression robustness tests. The random effects model is suitable for the dataset, as per the Hausman Specification Test result of 0.5103. Additionally, the Breusch and Pagan Lagrangian Multiplier Test result of 0.0000 supports the use of random effects for panel data.</w:t>
      </w:r>
      <w:r w:rsidR="004570DA" w:rsidRPr="00322E7A">
        <w:rPr>
          <w:rFonts w:ascii="Times New Roman" w:hAnsi="Times New Roman" w:cs="Times New Roman"/>
        </w:rPr>
        <w:t xml:space="preserve"> </w:t>
      </w:r>
    </w:p>
    <w:p w14:paraId="5061204A" w14:textId="0B2E9B2C" w:rsidR="00C77518" w:rsidRPr="004D368C" w:rsidRDefault="004570DA" w:rsidP="0078149A">
      <w:pPr>
        <w:spacing w:after="0" w:line="240" w:lineRule="auto"/>
        <w:rPr>
          <w:rFonts w:ascii="Times New Roman" w:hAnsi="Times New Roman" w:cs="Times New Roman"/>
          <w:b/>
          <w:lang w:val="en-US"/>
        </w:rPr>
      </w:pPr>
      <w:r w:rsidRPr="004D368C">
        <w:rPr>
          <w:rFonts w:ascii="Times New Roman" w:hAnsi="Times New Roman" w:cs="Times New Roman"/>
          <w:b/>
        </w:rPr>
        <w:t xml:space="preserve">Table </w:t>
      </w:r>
      <w:r w:rsidR="00331EF6">
        <w:rPr>
          <w:rFonts w:ascii="Times New Roman" w:hAnsi="Times New Roman" w:cs="Times New Roman"/>
          <w:b/>
          <w:lang w:val="en-US"/>
        </w:rPr>
        <w:t>4</w:t>
      </w:r>
    </w:p>
    <w:p w14:paraId="65F7BF75"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i/>
          <w:iCs/>
          <w:kern w:val="0"/>
          <w:lang w:val="en-US"/>
        </w:rPr>
      </w:pPr>
      <w:r w:rsidRPr="00322E7A">
        <w:rPr>
          <w:rFonts w:ascii="Times New Roman" w:hAnsi="Times New Roman" w:cs="Times New Roman"/>
          <w:i/>
          <w:iCs/>
          <w:kern w:val="0"/>
          <w:lang w:val="en-US"/>
        </w:rPr>
        <w:t xml:space="preserve">Regression results </w:t>
      </w:r>
    </w:p>
    <w:tbl>
      <w:tblPr>
        <w:tblW w:w="0" w:type="auto"/>
        <w:tblLayout w:type="fixed"/>
        <w:tblLook w:val="0000" w:firstRow="0" w:lastRow="0" w:firstColumn="0" w:lastColumn="0" w:noHBand="0" w:noVBand="0"/>
      </w:tblPr>
      <w:tblGrid>
        <w:gridCol w:w="2410"/>
        <w:gridCol w:w="696"/>
        <w:gridCol w:w="504"/>
        <w:gridCol w:w="643"/>
        <w:gridCol w:w="794"/>
        <w:gridCol w:w="1433"/>
        <w:gridCol w:w="135"/>
        <w:gridCol w:w="531"/>
        <w:gridCol w:w="319"/>
        <w:gridCol w:w="600"/>
        <w:gridCol w:w="9"/>
      </w:tblGrid>
      <w:tr w:rsidR="004570DA" w:rsidRPr="00322E7A" w14:paraId="17791019" w14:textId="77777777" w:rsidTr="00081725">
        <w:tc>
          <w:tcPr>
            <w:tcW w:w="2410" w:type="dxa"/>
            <w:tcBorders>
              <w:top w:val="single" w:sz="4" w:space="0" w:color="auto"/>
              <w:left w:val="nil"/>
              <w:bottom w:val="single" w:sz="4" w:space="0" w:color="auto"/>
              <w:right w:val="nil"/>
            </w:tcBorders>
          </w:tcPr>
          <w:p w14:paraId="6C78E2DD" w14:textId="7181BA28" w:rsidR="003E5F3D" w:rsidRPr="00322E7A" w:rsidRDefault="00823131" w:rsidP="0078149A">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 xml:space="preserve"> </w:t>
            </w:r>
          </w:p>
        </w:tc>
        <w:tc>
          <w:tcPr>
            <w:tcW w:w="1200" w:type="dxa"/>
            <w:gridSpan w:val="2"/>
            <w:tcBorders>
              <w:top w:val="single" w:sz="4" w:space="0" w:color="auto"/>
              <w:left w:val="nil"/>
              <w:bottom w:val="single" w:sz="4" w:space="0" w:color="auto"/>
              <w:right w:val="nil"/>
            </w:tcBorders>
          </w:tcPr>
          <w:p w14:paraId="74A41FA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 xml:space="preserve"> Coef.</w:t>
            </w:r>
          </w:p>
        </w:tc>
        <w:tc>
          <w:tcPr>
            <w:tcW w:w="643" w:type="dxa"/>
            <w:tcBorders>
              <w:top w:val="single" w:sz="4" w:space="0" w:color="auto"/>
              <w:left w:val="nil"/>
              <w:bottom w:val="single" w:sz="4" w:space="0" w:color="auto"/>
              <w:right w:val="nil"/>
            </w:tcBorders>
          </w:tcPr>
          <w:p w14:paraId="57606FE3" w14:textId="3419A9AC"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top w:val="single" w:sz="4" w:space="0" w:color="auto"/>
              <w:left w:val="nil"/>
              <w:bottom w:val="single" w:sz="4" w:space="0" w:color="auto"/>
              <w:right w:val="nil"/>
            </w:tcBorders>
          </w:tcPr>
          <w:p w14:paraId="29B14649" w14:textId="3D210ED6"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top w:val="single" w:sz="4" w:space="0" w:color="auto"/>
              <w:left w:val="nil"/>
              <w:bottom w:val="single" w:sz="4" w:space="0" w:color="auto"/>
              <w:right w:val="nil"/>
            </w:tcBorders>
          </w:tcPr>
          <w:p w14:paraId="10E22ACD"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 xml:space="preserve"> p-value</w:t>
            </w:r>
          </w:p>
        </w:tc>
        <w:tc>
          <w:tcPr>
            <w:tcW w:w="666" w:type="dxa"/>
            <w:gridSpan w:val="2"/>
            <w:tcBorders>
              <w:top w:val="single" w:sz="4" w:space="0" w:color="auto"/>
              <w:left w:val="nil"/>
              <w:bottom w:val="single" w:sz="4" w:space="0" w:color="auto"/>
              <w:right w:val="nil"/>
            </w:tcBorders>
          </w:tcPr>
          <w:p w14:paraId="4F90AA80" w14:textId="6C7F5489"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top w:val="single" w:sz="4" w:space="0" w:color="auto"/>
              <w:left w:val="nil"/>
              <w:bottom w:val="single" w:sz="4" w:space="0" w:color="auto"/>
              <w:right w:val="nil"/>
            </w:tcBorders>
          </w:tcPr>
          <w:p w14:paraId="7BE9DAE5" w14:textId="79F95002"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top w:val="single" w:sz="4" w:space="0" w:color="auto"/>
              <w:left w:val="nil"/>
              <w:bottom w:val="single" w:sz="4" w:space="0" w:color="auto"/>
              <w:right w:val="nil"/>
            </w:tcBorders>
          </w:tcPr>
          <w:p w14:paraId="557F80B2"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 xml:space="preserve"> Sig</w:t>
            </w:r>
          </w:p>
        </w:tc>
      </w:tr>
      <w:tr w:rsidR="004570DA" w:rsidRPr="00322E7A" w14:paraId="4FDBB86C" w14:textId="77777777" w:rsidTr="00081725">
        <w:tc>
          <w:tcPr>
            <w:tcW w:w="2410" w:type="dxa"/>
            <w:tcBorders>
              <w:top w:val="single" w:sz="4" w:space="0" w:color="auto"/>
              <w:left w:val="nil"/>
              <w:right w:val="nil"/>
            </w:tcBorders>
          </w:tcPr>
          <w:p w14:paraId="1FE57F34" w14:textId="216BC2BF" w:rsidR="004570DA" w:rsidRPr="00322E7A" w:rsidRDefault="004570DA" w:rsidP="0078149A">
            <w:pPr>
              <w:widowControl w:val="0"/>
              <w:autoSpaceDE w:val="0"/>
              <w:autoSpaceDN w:val="0"/>
              <w:adjustRightInd w:val="0"/>
              <w:spacing w:after="0" w:line="240" w:lineRule="auto"/>
              <w:rPr>
                <w:rFonts w:ascii="Times New Roman" w:hAnsi="Times New Roman" w:cs="Times New Roman"/>
                <w:i/>
                <w:iCs/>
                <w:kern w:val="0"/>
                <w:lang w:val="en-US"/>
              </w:rPr>
            </w:pPr>
            <w:r w:rsidRPr="00322E7A">
              <w:rPr>
                <w:rFonts w:ascii="Times New Roman" w:hAnsi="Times New Roman" w:cs="Times New Roman"/>
                <w:i/>
                <w:iCs/>
                <w:kern w:val="0"/>
                <w:lang w:val="en-US"/>
              </w:rPr>
              <w:t>Independent Variables</w:t>
            </w:r>
          </w:p>
        </w:tc>
        <w:tc>
          <w:tcPr>
            <w:tcW w:w="1200" w:type="dxa"/>
            <w:gridSpan w:val="2"/>
            <w:tcBorders>
              <w:top w:val="single" w:sz="4" w:space="0" w:color="auto"/>
              <w:left w:val="nil"/>
              <w:right w:val="nil"/>
            </w:tcBorders>
          </w:tcPr>
          <w:p w14:paraId="424DA111" w14:textId="77777777" w:rsidR="004570DA" w:rsidRPr="00322E7A" w:rsidRDefault="004570DA"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43" w:type="dxa"/>
            <w:tcBorders>
              <w:top w:val="single" w:sz="4" w:space="0" w:color="auto"/>
              <w:left w:val="nil"/>
              <w:right w:val="nil"/>
            </w:tcBorders>
          </w:tcPr>
          <w:p w14:paraId="3728E557" w14:textId="77777777" w:rsidR="004570DA" w:rsidRPr="00322E7A" w:rsidRDefault="004570DA"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top w:val="single" w:sz="4" w:space="0" w:color="auto"/>
              <w:left w:val="nil"/>
              <w:right w:val="nil"/>
            </w:tcBorders>
          </w:tcPr>
          <w:p w14:paraId="36F2FE1E" w14:textId="77777777" w:rsidR="004570DA" w:rsidRPr="00322E7A" w:rsidRDefault="004570DA"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top w:val="single" w:sz="4" w:space="0" w:color="auto"/>
              <w:left w:val="nil"/>
              <w:right w:val="nil"/>
            </w:tcBorders>
          </w:tcPr>
          <w:p w14:paraId="230B91A1" w14:textId="77777777" w:rsidR="004570DA" w:rsidRPr="00322E7A" w:rsidRDefault="004570DA"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66" w:type="dxa"/>
            <w:gridSpan w:val="2"/>
            <w:tcBorders>
              <w:top w:val="single" w:sz="4" w:space="0" w:color="auto"/>
              <w:left w:val="nil"/>
              <w:right w:val="nil"/>
            </w:tcBorders>
          </w:tcPr>
          <w:p w14:paraId="0DDE80F8" w14:textId="77777777" w:rsidR="004570DA" w:rsidRPr="00322E7A" w:rsidRDefault="004570DA"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top w:val="single" w:sz="4" w:space="0" w:color="auto"/>
              <w:left w:val="nil"/>
              <w:right w:val="nil"/>
            </w:tcBorders>
          </w:tcPr>
          <w:p w14:paraId="2C065567" w14:textId="77777777" w:rsidR="004570DA" w:rsidRPr="00322E7A" w:rsidRDefault="004570DA"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top w:val="single" w:sz="4" w:space="0" w:color="auto"/>
              <w:left w:val="nil"/>
              <w:right w:val="nil"/>
            </w:tcBorders>
          </w:tcPr>
          <w:p w14:paraId="0A0729D0" w14:textId="77777777" w:rsidR="004570DA" w:rsidRPr="00322E7A" w:rsidRDefault="004570DA"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4570DA" w:rsidRPr="00322E7A" w14:paraId="55DD0DED" w14:textId="77777777" w:rsidTr="00081725">
        <w:tc>
          <w:tcPr>
            <w:tcW w:w="2410" w:type="dxa"/>
            <w:tcBorders>
              <w:left w:val="nil"/>
              <w:bottom w:val="nil"/>
              <w:right w:val="nil"/>
            </w:tcBorders>
          </w:tcPr>
          <w:p w14:paraId="1A6B43FC" w14:textId="25FB5381" w:rsidR="003E5F3D" w:rsidRPr="00322E7A" w:rsidRDefault="00331EF6"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B</w:t>
            </w:r>
            <w:r w:rsidR="003E5F3D" w:rsidRPr="00322E7A">
              <w:rPr>
                <w:rFonts w:ascii="Times New Roman" w:hAnsi="Times New Roman" w:cs="Times New Roman"/>
                <w:kern w:val="0"/>
                <w:lang w:val="en-US"/>
              </w:rPr>
              <w:t>s</w:t>
            </w:r>
          </w:p>
        </w:tc>
        <w:tc>
          <w:tcPr>
            <w:tcW w:w="1200" w:type="dxa"/>
            <w:gridSpan w:val="2"/>
            <w:tcBorders>
              <w:left w:val="nil"/>
              <w:bottom w:val="nil"/>
              <w:right w:val="nil"/>
            </w:tcBorders>
          </w:tcPr>
          <w:p w14:paraId="201BD72B"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.689</w:t>
            </w:r>
          </w:p>
        </w:tc>
        <w:tc>
          <w:tcPr>
            <w:tcW w:w="643" w:type="dxa"/>
            <w:tcBorders>
              <w:left w:val="nil"/>
              <w:bottom w:val="nil"/>
              <w:right w:val="nil"/>
            </w:tcBorders>
          </w:tcPr>
          <w:p w14:paraId="671A3E12" w14:textId="578EF30A"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left w:val="nil"/>
              <w:bottom w:val="nil"/>
              <w:right w:val="nil"/>
            </w:tcBorders>
          </w:tcPr>
          <w:p w14:paraId="74CC343E" w14:textId="384307A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left w:val="nil"/>
              <w:bottom w:val="nil"/>
              <w:right w:val="nil"/>
            </w:tcBorders>
          </w:tcPr>
          <w:p w14:paraId="58FD2A74" w14:textId="7DA4502C"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.000</w:t>
            </w:r>
          </w:p>
        </w:tc>
        <w:tc>
          <w:tcPr>
            <w:tcW w:w="666" w:type="dxa"/>
            <w:gridSpan w:val="2"/>
            <w:tcBorders>
              <w:left w:val="nil"/>
              <w:bottom w:val="nil"/>
              <w:right w:val="nil"/>
            </w:tcBorders>
          </w:tcPr>
          <w:p w14:paraId="03528EC5" w14:textId="4A36C5EF"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left w:val="nil"/>
              <w:bottom w:val="nil"/>
              <w:right w:val="nil"/>
            </w:tcBorders>
          </w:tcPr>
          <w:p w14:paraId="113BBAE4" w14:textId="6BDAF6B1"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left w:val="nil"/>
              <w:bottom w:val="nil"/>
              <w:right w:val="nil"/>
            </w:tcBorders>
          </w:tcPr>
          <w:p w14:paraId="3B7D6D76"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w:t>
            </w:r>
          </w:p>
        </w:tc>
      </w:tr>
      <w:tr w:rsidR="003E5F3D" w:rsidRPr="00322E7A" w14:paraId="623DCE6F" w14:textId="77777777" w:rsidTr="00081725">
        <w:tc>
          <w:tcPr>
            <w:tcW w:w="2410" w:type="dxa"/>
            <w:tcBorders>
              <w:top w:val="nil"/>
              <w:left w:val="nil"/>
              <w:bottom w:val="nil"/>
              <w:right w:val="nil"/>
            </w:tcBorders>
          </w:tcPr>
          <w:p w14:paraId="1C6C1092" w14:textId="03B8A093" w:rsidR="003E5F3D" w:rsidRPr="00322E7A" w:rsidRDefault="00331EF6"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B</w:t>
            </w:r>
            <w:r w:rsidR="003E5F3D" w:rsidRPr="00322E7A">
              <w:rPr>
                <w:rFonts w:ascii="Times New Roman" w:hAnsi="Times New Roman" w:cs="Times New Roman"/>
                <w:kern w:val="0"/>
                <w:lang w:val="en-US"/>
              </w:rPr>
              <w:t>i</w:t>
            </w:r>
          </w:p>
        </w:tc>
        <w:tc>
          <w:tcPr>
            <w:tcW w:w="1200" w:type="dxa"/>
            <w:gridSpan w:val="2"/>
            <w:tcBorders>
              <w:top w:val="nil"/>
              <w:left w:val="nil"/>
              <w:bottom w:val="nil"/>
              <w:right w:val="nil"/>
            </w:tcBorders>
          </w:tcPr>
          <w:p w14:paraId="78C471D9"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6.923</w:t>
            </w:r>
          </w:p>
        </w:tc>
        <w:tc>
          <w:tcPr>
            <w:tcW w:w="643" w:type="dxa"/>
            <w:tcBorders>
              <w:top w:val="nil"/>
              <w:left w:val="nil"/>
              <w:bottom w:val="nil"/>
              <w:right w:val="nil"/>
            </w:tcBorders>
          </w:tcPr>
          <w:p w14:paraId="2350969B" w14:textId="220EB262"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top w:val="nil"/>
              <w:left w:val="nil"/>
              <w:bottom w:val="nil"/>
              <w:right w:val="nil"/>
            </w:tcBorders>
          </w:tcPr>
          <w:p w14:paraId="65AE8D0D" w14:textId="7E895852"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top w:val="nil"/>
              <w:left w:val="nil"/>
              <w:bottom w:val="nil"/>
              <w:right w:val="nil"/>
            </w:tcBorders>
          </w:tcPr>
          <w:p w14:paraId="7466164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.093</w:t>
            </w:r>
          </w:p>
        </w:tc>
        <w:tc>
          <w:tcPr>
            <w:tcW w:w="666" w:type="dxa"/>
            <w:gridSpan w:val="2"/>
            <w:tcBorders>
              <w:top w:val="nil"/>
              <w:left w:val="nil"/>
              <w:bottom w:val="nil"/>
              <w:right w:val="nil"/>
            </w:tcBorders>
          </w:tcPr>
          <w:p w14:paraId="0B713A26" w14:textId="62AA4FA3"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top w:val="nil"/>
              <w:left w:val="nil"/>
              <w:bottom w:val="nil"/>
              <w:right w:val="nil"/>
            </w:tcBorders>
          </w:tcPr>
          <w:p w14:paraId="11D078A2" w14:textId="32542F60"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top w:val="nil"/>
              <w:left w:val="nil"/>
              <w:bottom w:val="nil"/>
              <w:right w:val="nil"/>
            </w:tcBorders>
          </w:tcPr>
          <w:p w14:paraId="05B09481"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w:t>
            </w:r>
          </w:p>
        </w:tc>
      </w:tr>
      <w:tr w:rsidR="003E5F3D" w:rsidRPr="00322E7A" w14:paraId="26BDC07F" w14:textId="77777777" w:rsidTr="00081725">
        <w:tc>
          <w:tcPr>
            <w:tcW w:w="2410" w:type="dxa"/>
            <w:tcBorders>
              <w:top w:val="nil"/>
              <w:left w:val="nil"/>
              <w:bottom w:val="nil"/>
              <w:right w:val="nil"/>
            </w:tcBorders>
          </w:tcPr>
          <w:p w14:paraId="782573A7" w14:textId="363355CB" w:rsidR="003E5F3D" w:rsidRPr="00322E7A" w:rsidRDefault="00331EF6"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G</w:t>
            </w:r>
            <w:r w:rsidR="003E5F3D" w:rsidRPr="00322E7A">
              <w:rPr>
                <w:rFonts w:ascii="Times New Roman" w:hAnsi="Times New Roman" w:cs="Times New Roman"/>
                <w:kern w:val="0"/>
                <w:lang w:val="en-US"/>
              </w:rPr>
              <w:t>d</w:t>
            </w:r>
          </w:p>
        </w:tc>
        <w:tc>
          <w:tcPr>
            <w:tcW w:w="1200" w:type="dxa"/>
            <w:gridSpan w:val="2"/>
            <w:tcBorders>
              <w:top w:val="nil"/>
              <w:left w:val="nil"/>
              <w:bottom w:val="nil"/>
              <w:right w:val="nil"/>
            </w:tcBorders>
          </w:tcPr>
          <w:p w14:paraId="4FD2CD1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8.289</w:t>
            </w:r>
          </w:p>
        </w:tc>
        <w:tc>
          <w:tcPr>
            <w:tcW w:w="643" w:type="dxa"/>
            <w:tcBorders>
              <w:top w:val="nil"/>
              <w:left w:val="nil"/>
              <w:bottom w:val="nil"/>
              <w:right w:val="nil"/>
            </w:tcBorders>
          </w:tcPr>
          <w:p w14:paraId="6513F70D" w14:textId="28DE14B9"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top w:val="nil"/>
              <w:left w:val="nil"/>
              <w:bottom w:val="nil"/>
              <w:right w:val="nil"/>
            </w:tcBorders>
          </w:tcPr>
          <w:p w14:paraId="49F990ED" w14:textId="760E4D01"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top w:val="nil"/>
              <w:left w:val="nil"/>
              <w:bottom w:val="nil"/>
              <w:right w:val="nil"/>
            </w:tcBorders>
          </w:tcPr>
          <w:p w14:paraId="0639C0D3"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.006</w:t>
            </w:r>
          </w:p>
        </w:tc>
        <w:tc>
          <w:tcPr>
            <w:tcW w:w="666" w:type="dxa"/>
            <w:gridSpan w:val="2"/>
            <w:tcBorders>
              <w:top w:val="nil"/>
              <w:left w:val="nil"/>
              <w:bottom w:val="nil"/>
              <w:right w:val="nil"/>
            </w:tcBorders>
          </w:tcPr>
          <w:p w14:paraId="70A70144" w14:textId="28A9D4AB"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top w:val="nil"/>
              <w:left w:val="nil"/>
              <w:bottom w:val="nil"/>
              <w:right w:val="nil"/>
            </w:tcBorders>
          </w:tcPr>
          <w:p w14:paraId="51E88AC2" w14:textId="3ABE1148"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top w:val="nil"/>
              <w:left w:val="nil"/>
              <w:bottom w:val="nil"/>
              <w:right w:val="nil"/>
            </w:tcBorders>
          </w:tcPr>
          <w:p w14:paraId="6120147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w:t>
            </w:r>
          </w:p>
        </w:tc>
      </w:tr>
      <w:tr w:rsidR="003E5F3D" w:rsidRPr="00322E7A" w14:paraId="64F1A9D6" w14:textId="77777777" w:rsidTr="00081725">
        <w:tc>
          <w:tcPr>
            <w:tcW w:w="2410" w:type="dxa"/>
            <w:tcBorders>
              <w:top w:val="nil"/>
              <w:left w:val="nil"/>
              <w:bottom w:val="nil"/>
              <w:right w:val="nil"/>
            </w:tcBorders>
          </w:tcPr>
          <w:p w14:paraId="588E8281" w14:textId="449860A1" w:rsidR="003E5F3D" w:rsidRPr="00322E7A" w:rsidRDefault="00331EF6"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B</w:t>
            </w:r>
            <w:r w:rsidR="003E5F3D" w:rsidRPr="00322E7A">
              <w:rPr>
                <w:rFonts w:ascii="Times New Roman" w:hAnsi="Times New Roman" w:cs="Times New Roman"/>
                <w:kern w:val="0"/>
                <w:lang w:val="en-US"/>
              </w:rPr>
              <w:t>m</w:t>
            </w:r>
          </w:p>
        </w:tc>
        <w:tc>
          <w:tcPr>
            <w:tcW w:w="1200" w:type="dxa"/>
            <w:gridSpan w:val="2"/>
            <w:tcBorders>
              <w:top w:val="nil"/>
              <w:left w:val="nil"/>
              <w:bottom w:val="nil"/>
              <w:right w:val="nil"/>
            </w:tcBorders>
          </w:tcPr>
          <w:p w14:paraId="6E317BCE"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-.566</w:t>
            </w:r>
          </w:p>
        </w:tc>
        <w:tc>
          <w:tcPr>
            <w:tcW w:w="643" w:type="dxa"/>
            <w:tcBorders>
              <w:top w:val="nil"/>
              <w:left w:val="nil"/>
              <w:bottom w:val="nil"/>
              <w:right w:val="nil"/>
            </w:tcBorders>
          </w:tcPr>
          <w:p w14:paraId="7B679215" w14:textId="6ACDBCBE"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top w:val="nil"/>
              <w:left w:val="nil"/>
              <w:bottom w:val="nil"/>
              <w:right w:val="nil"/>
            </w:tcBorders>
          </w:tcPr>
          <w:p w14:paraId="4F5C2065" w14:textId="1DAD0C16"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top w:val="nil"/>
              <w:left w:val="nil"/>
              <w:bottom w:val="nil"/>
              <w:right w:val="nil"/>
            </w:tcBorders>
          </w:tcPr>
          <w:p w14:paraId="1C53AAC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.035</w:t>
            </w:r>
          </w:p>
        </w:tc>
        <w:tc>
          <w:tcPr>
            <w:tcW w:w="666" w:type="dxa"/>
            <w:gridSpan w:val="2"/>
            <w:tcBorders>
              <w:top w:val="nil"/>
              <w:left w:val="nil"/>
              <w:bottom w:val="nil"/>
              <w:right w:val="nil"/>
            </w:tcBorders>
          </w:tcPr>
          <w:p w14:paraId="50CB0681" w14:textId="27312CBC"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top w:val="nil"/>
              <w:left w:val="nil"/>
              <w:bottom w:val="nil"/>
              <w:right w:val="nil"/>
            </w:tcBorders>
          </w:tcPr>
          <w:p w14:paraId="17C572E2" w14:textId="165071F9"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top w:val="nil"/>
              <w:left w:val="nil"/>
              <w:bottom w:val="nil"/>
              <w:right w:val="nil"/>
            </w:tcBorders>
          </w:tcPr>
          <w:p w14:paraId="0CD510C9"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w:t>
            </w:r>
          </w:p>
        </w:tc>
      </w:tr>
      <w:tr w:rsidR="003E5F3D" w:rsidRPr="00322E7A" w14:paraId="5C9DCEC4" w14:textId="77777777" w:rsidTr="002D1C52">
        <w:tc>
          <w:tcPr>
            <w:tcW w:w="2410" w:type="dxa"/>
            <w:tcBorders>
              <w:top w:val="nil"/>
              <w:left w:val="nil"/>
              <w:right w:val="nil"/>
            </w:tcBorders>
          </w:tcPr>
          <w:p w14:paraId="5D3710D6" w14:textId="71388264" w:rsidR="003E5F3D" w:rsidRPr="00322E7A" w:rsidRDefault="00331EF6"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A</w:t>
            </w:r>
            <w:r w:rsidR="003E5F3D" w:rsidRPr="00322E7A">
              <w:rPr>
                <w:rFonts w:ascii="Times New Roman" w:hAnsi="Times New Roman" w:cs="Times New Roman"/>
                <w:kern w:val="0"/>
                <w:lang w:val="en-US"/>
              </w:rPr>
              <w:t>ge</w:t>
            </w:r>
          </w:p>
        </w:tc>
        <w:tc>
          <w:tcPr>
            <w:tcW w:w="1200" w:type="dxa"/>
            <w:gridSpan w:val="2"/>
            <w:tcBorders>
              <w:top w:val="nil"/>
              <w:left w:val="nil"/>
              <w:right w:val="nil"/>
            </w:tcBorders>
          </w:tcPr>
          <w:p w14:paraId="248DC7A6"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-.156</w:t>
            </w:r>
          </w:p>
        </w:tc>
        <w:tc>
          <w:tcPr>
            <w:tcW w:w="643" w:type="dxa"/>
            <w:tcBorders>
              <w:top w:val="nil"/>
              <w:left w:val="nil"/>
              <w:right w:val="nil"/>
            </w:tcBorders>
          </w:tcPr>
          <w:p w14:paraId="6E30DFFA" w14:textId="249F11C0"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top w:val="nil"/>
              <w:left w:val="nil"/>
              <w:right w:val="nil"/>
            </w:tcBorders>
          </w:tcPr>
          <w:p w14:paraId="640D6E42" w14:textId="55BEB705"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top w:val="nil"/>
              <w:left w:val="nil"/>
              <w:right w:val="nil"/>
            </w:tcBorders>
          </w:tcPr>
          <w:p w14:paraId="724BBE4E" w14:textId="6256F623"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.000</w:t>
            </w:r>
          </w:p>
        </w:tc>
        <w:tc>
          <w:tcPr>
            <w:tcW w:w="666" w:type="dxa"/>
            <w:gridSpan w:val="2"/>
            <w:tcBorders>
              <w:top w:val="nil"/>
              <w:left w:val="nil"/>
              <w:right w:val="nil"/>
            </w:tcBorders>
          </w:tcPr>
          <w:p w14:paraId="5ED0987E" w14:textId="75AB68CA"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top w:val="nil"/>
              <w:left w:val="nil"/>
              <w:right w:val="nil"/>
            </w:tcBorders>
          </w:tcPr>
          <w:p w14:paraId="0376F1D1" w14:textId="5FF2837E"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top w:val="nil"/>
              <w:left w:val="nil"/>
              <w:right w:val="nil"/>
            </w:tcBorders>
          </w:tcPr>
          <w:p w14:paraId="0527A2D1"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w:t>
            </w:r>
          </w:p>
        </w:tc>
      </w:tr>
      <w:tr w:rsidR="003E5F3D" w:rsidRPr="00322E7A" w14:paraId="20EB406E" w14:textId="77777777" w:rsidTr="002D1C52">
        <w:tc>
          <w:tcPr>
            <w:tcW w:w="2410" w:type="dxa"/>
            <w:tcBorders>
              <w:top w:val="nil"/>
              <w:left w:val="nil"/>
              <w:right w:val="nil"/>
            </w:tcBorders>
          </w:tcPr>
          <w:p w14:paraId="2D1220CD"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Constant</w:t>
            </w:r>
          </w:p>
        </w:tc>
        <w:tc>
          <w:tcPr>
            <w:tcW w:w="1200" w:type="dxa"/>
            <w:gridSpan w:val="2"/>
            <w:tcBorders>
              <w:top w:val="nil"/>
              <w:left w:val="nil"/>
              <w:right w:val="nil"/>
            </w:tcBorders>
          </w:tcPr>
          <w:p w14:paraId="2B812C0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2.106</w:t>
            </w:r>
          </w:p>
        </w:tc>
        <w:tc>
          <w:tcPr>
            <w:tcW w:w="643" w:type="dxa"/>
            <w:tcBorders>
              <w:top w:val="nil"/>
              <w:left w:val="nil"/>
              <w:right w:val="nil"/>
            </w:tcBorders>
          </w:tcPr>
          <w:p w14:paraId="1582839A" w14:textId="0578B79D"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794" w:type="dxa"/>
            <w:tcBorders>
              <w:top w:val="nil"/>
              <w:left w:val="nil"/>
              <w:right w:val="nil"/>
            </w:tcBorders>
          </w:tcPr>
          <w:p w14:paraId="4AFF5EDF" w14:textId="1080169B"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1433" w:type="dxa"/>
            <w:tcBorders>
              <w:top w:val="nil"/>
              <w:left w:val="nil"/>
              <w:right w:val="nil"/>
            </w:tcBorders>
          </w:tcPr>
          <w:p w14:paraId="41E76621"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.582</w:t>
            </w:r>
          </w:p>
        </w:tc>
        <w:tc>
          <w:tcPr>
            <w:tcW w:w="666" w:type="dxa"/>
            <w:gridSpan w:val="2"/>
            <w:tcBorders>
              <w:top w:val="nil"/>
              <w:left w:val="nil"/>
              <w:right w:val="nil"/>
            </w:tcBorders>
          </w:tcPr>
          <w:p w14:paraId="6545E703" w14:textId="6AE3C2ED"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319" w:type="dxa"/>
            <w:tcBorders>
              <w:top w:val="nil"/>
              <w:left w:val="nil"/>
              <w:right w:val="nil"/>
            </w:tcBorders>
          </w:tcPr>
          <w:p w14:paraId="45BC54ED" w14:textId="4BDFFC6D"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c>
          <w:tcPr>
            <w:tcW w:w="609" w:type="dxa"/>
            <w:gridSpan w:val="2"/>
            <w:tcBorders>
              <w:top w:val="nil"/>
              <w:left w:val="nil"/>
              <w:right w:val="nil"/>
            </w:tcBorders>
          </w:tcPr>
          <w:p w14:paraId="6512E515"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p>
        </w:tc>
      </w:tr>
      <w:tr w:rsidR="003E5F3D" w:rsidRPr="00322E7A" w14:paraId="0F5E58E8" w14:textId="77777777" w:rsidTr="00081725">
        <w:trPr>
          <w:gridAfter w:val="2"/>
          <w:wAfter w:w="609" w:type="dxa"/>
        </w:trPr>
        <w:tc>
          <w:tcPr>
            <w:tcW w:w="3106" w:type="dxa"/>
            <w:gridSpan w:val="2"/>
            <w:tcBorders>
              <w:top w:val="nil"/>
              <w:left w:val="nil"/>
              <w:bottom w:val="nil"/>
              <w:right w:val="nil"/>
            </w:tcBorders>
          </w:tcPr>
          <w:p w14:paraId="4AA938A5"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Overall r-squared </w:t>
            </w:r>
          </w:p>
        </w:tc>
        <w:tc>
          <w:tcPr>
            <w:tcW w:w="1147" w:type="dxa"/>
            <w:gridSpan w:val="2"/>
            <w:tcBorders>
              <w:top w:val="nil"/>
              <w:left w:val="nil"/>
              <w:bottom w:val="nil"/>
              <w:right w:val="nil"/>
            </w:tcBorders>
          </w:tcPr>
          <w:p w14:paraId="58EEE0D7"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0.230</w:t>
            </w:r>
          </w:p>
        </w:tc>
        <w:tc>
          <w:tcPr>
            <w:tcW w:w="2362" w:type="dxa"/>
            <w:gridSpan w:val="3"/>
            <w:tcBorders>
              <w:top w:val="nil"/>
              <w:left w:val="nil"/>
              <w:bottom w:val="nil"/>
              <w:right w:val="nil"/>
            </w:tcBorders>
          </w:tcPr>
          <w:p w14:paraId="5F347C35"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Number of obs  </w:t>
            </w:r>
          </w:p>
        </w:tc>
        <w:tc>
          <w:tcPr>
            <w:tcW w:w="850" w:type="dxa"/>
            <w:gridSpan w:val="2"/>
            <w:tcBorders>
              <w:top w:val="nil"/>
              <w:left w:val="nil"/>
              <w:bottom w:val="nil"/>
              <w:right w:val="nil"/>
            </w:tcBorders>
          </w:tcPr>
          <w:p w14:paraId="7B8DF0DD"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310</w:t>
            </w:r>
          </w:p>
        </w:tc>
      </w:tr>
      <w:tr w:rsidR="003E5F3D" w:rsidRPr="00322E7A" w14:paraId="4C0C6D76" w14:textId="77777777" w:rsidTr="00081725">
        <w:trPr>
          <w:gridAfter w:val="2"/>
          <w:wAfter w:w="609" w:type="dxa"/>
        </w:trPr>
        <w:tc>
          <w:tcPr>
            <w:tcW w:w="3106" w:type="dxa"/>
            <w:gridSpan w:val="2"/>
            <w:tcBorders>
              <w:top w:val="nil"/>
              <w:left w:val="nil"/>
              <w:bottom w:val="nil"/>
              <w:right w:val="nil"/>
            </w:tcBorders>
          </w:tcPr>
          <w:p w14:paraId="31857142" w14:textId="1601DAD9" w:rsidR="003E5F3D" w:rsidRPr="00322E7A" w:rsidRDefault="004570DA"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Wald </w:t>
            </w:r>
            <w:r w:rsidR="003E5F3D" w:rsidRPr="00322E7A">
              <w:rPr>
                <w:rFonts w:ascii="Times New Roman" w:hAnsi="Times New Roman" w:cs="Times New Roman"/>
                <w:kern w:val="0"/>
                <w:lang w:val="en-US"/>
              </w:rPr>
              <w:t>Chi</w:t>
            </w:r>
            <w:r w:rsidRPr="00322E7A">
              <w:rPr>
                <w:rFonts w:ascii="Times New Roman" w:hAnsi="Times New Roman" w:cs="Times New Roman"/>
                <w:kern w:val="0"/>
                <w:lang w:val="en-US"/>
              </w:rPr>
              <w:t>2(6)</w:t>
            </w:r>
            <w:r w:rsidR="003E5F3D" w:rsidRPr="00322E7A">
              <w:rPr>
                <w:rFonts w:ascii="Times New Roman" w:hAnsi="Times New Roman" w:cs="Times New Roman"/>
                <w:kern w:val="0"/>
                <w:lang w:val="en-US"/>
              </w:rPr>
              <w:t xml:space="preserve">  </w:t>
            </w:r>
          </w:p>
        </w:tc>
        <w:tc>
          <w:tcPr>
            <w:tcW w:w="1147" w:type="dxa"/>
            <w:gridSpan w:val="2"/>
            <w:tcBorders>
              <w:top w:val="nil"/>
              <w:left w:val="nil"/>
              <w:bottom w:val="nil"/>
              <w:right w:val="nil"/>
            </w:tcBorders>
          </w:tcPr>
          <w:p w14:paraId="6756B48F"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42.467</w:t>
            </w:r>
          </w:p>
        </w:tc>
        <w:tc>
          <w:tcPr>
            <w:tcW w:w="2362" w:type="dxa"/>
            <w:gridSpan w:val="3"/>
            <w:tcBorders>
              <w:top w:val="nil"/>
              <w:left w:val="nil"/>
              <w:bottom w:val="nil"/>
              <w:right w:val="nil"/>
            </w:tcBorders>
          </w:tcPr>
          <w:p w14:paraId="0459CC03"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kern w:val="0"/>
                <w:lang w:val="en-US"/>
              </w:rPr>
              <w:t xml:space="preserve">Prob &gt; chi2 </w:t>
            </w:r>
          </w:p>
        </w:tc>
        <w:tc>
          <w:tcPr>
            <w:tcW w:w="850" w:type="dxa"/>
            <w:gridSpan w:val="2"/>
            <w:tcBorders>
              <w:top w:val="nil"/>
              <w:left w:val="nil"/>
              <w:bottom w:val="nil"/>
              <w:right w:val="nil"/>
            </w:tcBorders>
          </w:tcPr>
          <w:p w14:paraId="03F43E73" w14:textId="77777777" w:rsidR="003E5F3D" w:rsidRPr="00322E7A" w:rsidRDefault="003E5F3D" w:rsidP="0078149A">
            <w:pPr>
              <w:widowControl w:val="0"/>
              <w:autoSpaceDE w:val="0"/>
              <w:autoSpaceDN w:val="0"/>
              <w:adjustRightInd w:val="0"/>
              <w:spacing w:after="0" w:line="240" w:lineRule="auto"/>
              <w:jc w:val="right"/>
              <w:rPr>
                <w:rFonts w:ascii="Times New Roman" w:hAnsi="Times New Roman" w:cs="Times New Roman"/>
                <w:kern w:val="0"/>
                <w:lang w:val="en-US"/>
              </w:rPr>
            </w:pPr>
            <w:r w:rsidRPr="00322E7A">
              <w:rPr>
                <w:rFonts w:ascii="Times New Roman" w:hAnsi="Times New Roman" w:cs="Times New Roman"/>
                <w:kern w:val="0"/>
                <w:lang w:val="en-US"/>
              </w:rPr>
              <w:t>0.000</w:t>
            </w:r>
          </w:p>
        </w:tc>
      </w:tr>
      <w:tr w:rsidR="003E5F3D" w:rsidRPr="00322E7A" w14:paraId="7A469ABB" w14:textId="77777777" w:rsidTr="00081725">
        <w:trPr>
          <w:gridAfter w:val="1"/>
          <w:wAfter w:w="9" w:type="dxa"/>
        </w:trPr>
        <w:tc>
          <w:tcPr>
            <w:tcW w:w="8065" w:type="dxa"/>
            <w:gridSpan w:val="10"/>
            <w:tcBorders>
              <w:top w:val="single" w:sz="6" w:space="0" w:color="auto"/>
              <w:left w:val="nil"/>
              <w:bottom w:val="nil"/>
              <w:right w:val="nil"/>
            </w:tcBorders>
          </w:tcPr>
          <w:p w14:paraId="6EA63B87" w14:textId="77777777" w:rsidR="003E5F3D" w:rsidRPr="00322E7A" w:rsidRDefault="003E5F3D" w:rsidP="0078149A">
            <w:pPr>
              <w:widowControl w:val="0"/>
              <w:autoSpaceDE w:val="0"/>
              <w:autoSpaceDN w:val="0"/>
              <w:adjustRightInd w:val="0"/>
              <w:spacing w:after="0" w:line="240" w:lineRule="auto"/>
              <w:rPr>
                <w:rFonts w:ascii="Times New Roman" w:hAnsi="Times New Roman" w:cs="Times New Roman"/>
                <w:kern w:val="0"/>
                <w:lang w:val="en-US"/>
              </w:rPr>
            </w:pPr>
            <w:r w:rsidRPr="00322E7A">
              <w:rPr>
                <w:rFonts w:ascii="Times New Roman" w:hAnsi="Times New Roman" w:cs="Times New Roman"/>
                <w:i/>
                <w:iCs/>
                <w:kern w:val="0"/>
                <w:lang w:val="en-US"/>
              </w:rPr>
              <w:t>*** p&lt;.01, ** p&lt;.05, * p&lt;.1</w:t>
            </w:r>
          </w:p>
        </w:tc>
      </w:tr>
      <w:tr w:rsidR="003E5F3D" w:rsidRPr="00322E7A" w14:paraId="18121C0D" w14:textId="77777777" w:rsidTr="00081725">
        <w:trPr>
          <w:gridAfter w:val="1"/>
          <w:wAfter w:w="9" w:type="dxa"/>
        </w:trPr>
        <w:tc>
          <w:tcPr>
            <w:tcW w:w="8065" w:type="dxa"/>
            <w:gridSpan w:val="10"/>
            <w:tcBorders>
              <w:top w:val="nil"/>
              <w:left w:val="nil"/>
              <w:bottom w:val="nil"/>
              <w:right w:val="nil"/>
            </w:tcBorders>
          </w:tcPr>
          <w:p w14:paraId="01AAFF55" w14:textId="73A7186E" w:rsidR="003E5F3D" w:rsidRPr="00322E7A" w:rsidRDefault="002D1C52" w:rsidP="0078149A">
            <w:pPr>
              <w:widowControl w:val="0"/>
              <w:autoSpaceDE w:val="0"/>
              <w:autoSpaceDN w:val="0"/>
              <w:adjustRightInd w:val="0"/>
              <w:spacing w:after="0" w:line="240" w:lineRule="auto"/>
              <w:rPr>
                <w:rFonts w:ascii="Times New Roman" w:hAnsi="Times New Roman" w:cs="Times New Roman"/>
                <w:kern w:val="0"/>
                <w:lang w:val="en-US"/>
              </w:rPr>
            </w:pPr>
            <w:r>
              <w:rPr>
                <w:rFonts w:ascii="Times New Roman" w:hAnsi="Times New Roman" w:cs="Times New Roman"/>
                <w:kern w:val="0"/>
                <w:lang w:val="en-US"/>
              </w:rPr>
              <w:t>Source: STATA 13, 2024</w:t>
            </w:r>
          </w:p>
        </w:tc>
      </w:tr>
    </w:tbl>
    <w:p w14:paraId="1D1761BF" w14:textId="3293C4A0" w:rsidR="00F97EF2" w:rsidRPr="00F97EF2" w:rsidRDefault="00F97EF2" w:rsidP="0078149A">
      <w:pPr>
        <w:spacing w:after="0" w:line="240" w:lineRule="auto"/>
        <w:jc w:val="both"/>
        <w:rPr>
          <w:rFonts w:ascii="Times New Roman" w:hAnsi="Times New Roman" w:cs="Times New Roman"/>
        </w:rPr>
      </w:pPr>
      <w:r w:rsidRPr="00F97EF2">
        <w:rPr>
          <w:rFonts w:ascii="Times New Roman" w:hAnsi="Times New Roman" w:cs="Times New Roman"/>
        </w:rPr>
        <w:t xml:space="preserve">Table </w:t>
      </w:r>
      <w:r w:rsidR="00331EF6">
        <w:rPr>
          <w:rFonts w:ascii="Times New Roman" w:hAnsi="Times New Roman" w:cs="Times New Roman"/>
          <w:lang w:val="en-US"/>
        </w:rPr>
        <w:t>4</w:t>
      </w:r>
      <w:r w:rsidRPr="00F97EF2">
        <w:rPr>
          <w:rFonts w:ascii="Times New Roman" w:hAnsi="Times New Roman" w:cs="Times New Roman"/>
        </w:rPr>
        <w:t xml:space="preserve"> presents the regression results, revealing significant insights into the relationships among the dependent variable, control factors, and independent variables. The total R-squared value of 0.230 indicates that the model explains 23% of the variation in ICE for the sample of NLMFs. The statistically significant Wald Chi-square result (p &lt; 0.001) confirms the model's fitness and predictive potential.</w:t>
      </w:r>
    </w:p>
    <w:p w14:paraId="1726A36B" w14:textId="77777777" w:rsidR="008023C4" w:rsidRPr="008023C4" w:rsidRDefault="008023C4" w:rsidP="0078149A">
      <w:pPr>
        <w:spacing w:after="0" w:line="240" w:lineRule="auto"/>
        <w:jc w:val="both"/>
        <w:rPr>
          <w:rFonts w:ascii="Times New Roman" w:hAnsi="Times New Roman" w:cs="Times New Roman"/>
          <w:lang w:val="en-US"/>
        </w:rPr>
      </w:pPr>
      <w:r w:rsidRPr="008023C4">
        <w:rPr>
          <w:rFonts w:ascii="Times New Roman" w:hAnsi="Times New Roman" w:cs="Times New Roman"/>
          <w:lang w:val="en-US"/>
        </w:rPr>
        <w:t>Board size has a coefficient of 0.689 with a p-value of 0.000, indicating a positive and statistically significant effect, implying that an increase in board size has a significant effect on ICE. This study therefore rejects the null hypothesis 1. However, this finding is in support of agency theory (Jensen &amp; Meckling, 1976) and the studies of Ebrahim et al. (2021) and Lawal et al. (2022), but contrary to the study of Shahzad et al. (2023).</w:t>
      </w:r>
    </w:p>
    <w:p w14:paraId="4057F67E" w14:textId="77777777" w:rsidR="008023C4" w:rsidRPr="008023C4" w:rsidRDefault="008023C4" w:rsidP="0078149A">
      <w:pPr>
        <w:spacing w:after="0" w:line="240" w:lineRule="auto"/>
        <w:jc w:val="both"/>
        <w:rPr>
          <w:rFonts w:ascii="Times New Roman" w:hAnsi="Times New Roman" w:cs="Times New Roman"/>
          <w:lang w:val="en-US"/>
        </w:rPr>
      </w:pPr>
      <w:r w:rsidRPr="008023C4">
        <w:rPr>
          <w:rFonts w:ascii="Times New Roman" w:hAnsi="Times New Roman" w:cs="Times New Roman"/>
          <w:lang w:val="en-US"/>
        </w:rPr>
        <w:t>On the contrary, board independence has a coefficient of 6.923 with a p = 0.093, documenting that board independence is statistically insignificant at the 0.05 level. This study accepts the null hypothesis 2. This study finding is in support of the study of Mahmudi (2014) and Farooq and Ahmad (2023), contrary to agency theory (Jensen &amp; Meckling, 1976) and the study of Kotte and Reddy (2023).</w:t>
      </w:r>
    </w:p>
    <w:p w14:paraId="09982993" w14:textId="77777777" w:rsidR="008023C4" w:rsidRPr="008023C4" w:rsidRDefault="008023C4" w:rsidP="0078149A">
      <w:pPr>
        <w:spacing w:after="0" w:line="240" w:lineRule="auto"/>
        <w:jc w:val="both"/>
        <w:rPr>
          <w:rFonts w:ascii="Times New Roman" w:hAnsi="Times New Roman" w:cs="Times New Roman"/>
          <w:lang w:val="en-US"/>
        </w:rPr>
      </w:pPr>
      <w:r w:rsidRPr="008023C4">
        <w:rPr>
          <w:rFonts w:ascii="Times New Roman" w:hAnsi="Times New Roman" w:cs="Times New Roman"/>
          <w:lang w:val="en-US"/>
        </w:rPr>
        <w:t>In addition, gender diversity has a coefficient of 8.289, and a p-value of 0.006 exhibits a positive and statistically significant coefficient at the 0.01 level. Indicating that gender diversity has a positive, significant effect on ICE. In the light of this, this study rejects the null hypothesis 3. This finding supports agency theory (Jensen &amp; Meckling, 1976) and the study of Oktaviana and Setiawan (2022) but is contrary to the study of Humairo and Abidin (2024) and Asare et al. (2023).</w:t>
      </w:r>
    </w:p>
    <w:p w14:paraId="1CD1C22C" w14:textId="0351F97B" w:rsidR="00012438" w:rsidRPr="008023C4" w:rsidRDefault="008023C4" w:rsidP="0078149A">
      <w:pPr>
        <w:spacing w:after="0" w:line="240" w:lineRule="auto"/>
        <w:jc w:val="both"/>
        <w:rPr>
          <w:rFonts w:ascii="Times New Roman" w:hAnsi="Times New Roman" w:cs="Times New Roman"/>
          <w:lang w:val="en-US"/>
        </w:rPr>
      </w:pPr>
      <w:r w:rsidRPr="008023C4">
        <w:rPr>
          <w:rFonts w:ascii="Times New Roman" w:hAnsi="Times New Roman" w:cs="Times New Roman"/>
          <w:lang w:val="en-US"/>
        </w:rPr>
        <w:t>Board meetings have a coefficient of -0.566 and a p-value of 0.035, which has a negative and statistically significant effect on ICE. This study rejects null hypothesis 4. This finding does not support the study of Attarita et al. (2017) and Adebayo et al. (2020), but is contrary to agency theory (Jensen &amp; Meckling, 1976) and the study of Aljuaidi (2020).</w:t>
      </w:r>
    </w:p>
    <w:p w14:paraId="36B89EBC" w14:textId="3F41B0F2" w:rsidR="00AB6539" w:rsidRPr="00012438" w:rsidRDefault="00AB6539" w:rsidP="0078149A">
      <w:pPr>
        <w:pStyle w:val="Heading1"/>
        <w:spacing w:before="0" w:after="0" w:line="240" w:lineRule="auto"/>
        <w:rPr>
          <w:rFonts w:eastAsia="Times New Roman"/>
        </w:rPr>
      </w:pPr>
      <w:r w:rsidRPr="00322E7A">
        <w:rPr>
          <w:rFonts w:eastAsia="Times New Roman"/>
        </w:rPr>
        <w:lastRenderedPageBreak/>
        <w:t>5. CONCLUSION AND RECOMMENDATIONS</w:t>
      </w:r>
    </w:p>
    <w:p w14:paraId="6D0AC95A" w14:textId="36886BD4" w:rsidR="00FF42BE" w:rsidRDefault="002D1C52" w:rsidP="0078149A">
      <w:pPr>
        <w:spacing w:after="0" w:line="240" w:lineRule="auto"/>
        <w:jc w:val="both"/>
        <w:rPr>
          <w:rFonts w:ascii="Times New Roman" w:hAnsi="Times New Roman" w:cs="Times New Roman"/>
        </w:rPr>
      </w:pPr>
      <w:r>
        <w:rPr>
          <w:rFonts w:ascii="Times New Roman" w:hAnsi="Times New Roman" w:cs="Times New Roman"/>
          <w:lang w:val="en-US"/>
        </w:rPr>
        <w:t>I</w:t>
      </w:r>
      <w:r w:rsidR="00823131">
        <w:rPr>
          <w:rFonts w:ascii="Times New Roman" w:hAnsi="Times New Roman" w:cs="Times New Roman"/>
          <w:lang w:val="en-US"/>
        </w:rPr>
        <w:t>n</w:t>
      </w:r>
      <w:r>
        <w:rPr>
          <w:rFonts w:ascii="Times New Roman" w:hAnsi="Times New Roman" w:cs="Times New Roman"/>
          <w:lang w:val="en-US"/>
        </w:rPr>
        <w:t xml:space="preserve"> conclusion of this</w:t>
      </w:r>
      <w:r w:rsidR="00FF42BE" w:rsidRPr="00FF42BE">
        <w:rPr>
          <w:rFonts w:ascii="Times New Roman" w:hAnsi="Times New Roman" w:cs="Times New Roman"/>
        </w:rPr>
        <w:t xml:space="preserve"> study</w:t>
      </w:r>
      <w:r>
        <w:rPr>
          <w:rFonts w:ascii="Times New Roman" w:hAnsi="Times New Roman" w:cs="Times New Roman"/>
          <w:lang w:val="en-US"/>
        </w:rPr>
        <w:t xml:space="preserve">, </w:t>
      </w:r>
      <w:r w:rsidR="00FF42BE" w:rsidRPr="00FF42BE">
        <w:rPr>
          <w:rFonts w:ascii="Times New Roman" w:hAnsi="Times New Roman" w:cs="Times New Roman"/>
        </w:rPr>
        <w:t>board size, gender diversity, and meetings si</w:t>
      </w:r>
      <w:r w:rsidR="002F0CB8">
        <w:rPr>
          <w:rFonts w:ascii="Times New Roman" w:hAnsi="Times New Roman" w:cs="Times New Roman"/>
        </w:rPr>
        <w:t>gnificantly affect ICE in NLMFs</w:t>
      </w:r>
      <w:r w:rsidR="002F0CB8">
        <w:rPr>
          <w:rFonts w:ascii="Times New Roman" w:hAnsi="Times New Roman" w:cs="Times New Roman"/>
          <w:lang w:val="en-US"/>
        </w:rPr>
        <w:t xml:space="preserve">. </w:t>
      </w:r>
      <w:r w:rsidR="00FF42BE" w:rsidRPr="00FF42BE">
        <w:rPr>
          <w:rFonts w:ascii="Times New Roman" w:hAnsi="Times New Roman" w:cs="Times New Roman"/>
        </w:rPr>
        <w:t xml:space="preserve"> In particular, there is a negative and statistically significant </w:t>
      </w:r>
      <w:r w:rsidR="007C314F">
        <w:rPr>
          <w:rFonts w:ascii="Times New Roman" w:hAnsi="Times New Roman" w:cs="Times New Roman"/>
          <w:lang w:val="en-US"/>
        </w:rPr>
        <w:t>effect of</w:t>
      </w:r>
      <w:r w:rsidR="00FF42BE" w:rsidRPr="00FF42BE">
        <w:rPr>
          <w:rFonts w:ascii="Times New Roman" w:hAnsi="Times New Roman" w:cs="Times New Roman"/>
        </w:rPr>
        <w:t xml:space="preserve"> the frequency of board meetings </w:t>
      </w:r>
      <w:r w:rsidR="007C314F">
        <w:rPr>
          <w:rFonts w:ascii="Times New Roman" w:hAnsi="Times New Roman" w:cs="Times New Roman"/>
          <w:lang w:val="en-US"/>
        </w:rPr>
        <w:t>on</w:t>
      </w:r>
      <w:r w:rsidR="00FF42BE" w:rsidRPr="00FF42BE">
        <w:rPr>
          <w:rFonts w:ascii="Times New Roman" w:hAnsi="Times New Roman" w:cs="Times New Roman"/>
        </w:rPr>
        <w:t xml:space="preserve"> ICE; but, there is a positive and statistically significant </w:t>
      </w:r>
      <w:r w:rsidR="002F0CB8">
        <w:rPr>
          <w:rFonts w:ascii="Times New Roman" w:hAnsi="Times New Roman" w:cs="Times New Roman"/>
          <w:lang w:val="en-US"/>
        </w:rPr>
        <w:t xml:space="preserve">effect of </w:t>
      </w:r>
      <w:r w:rsidR="00FF42BE" w:rsidRPr="00FF42BE">
        <w:rPr>
          <w:rFonts w:ascii="Times New Roman" w:hAnsi="Times New Roman" w:cs="Times New Roman"/>
        </w:rPr>
        <w:t xml:space="preserve">board size and gender diversity </w:t>
      </w:r>
      <w:r w:rsidR="002F0CB8">
        <w:rPr>
          <w:rFonts w:ascii="Times New Roman" w:hAnsi="Times New Roman" w:cs="Times New Roman"/>
          <w:lang w:val="en-US"/>
        </w:rPr>
        <w:t>on</w:t>
      </w:r>
      <w:r w:rsidR="00FF42BE" w:rsidRPr="00FF42BE">
        <w:rPr>
          <w:rFonts w:ascii="Times New Roman" w:hAnsi="Times New Roman" w:cs="Times New Roman"/>
        </w:rPr>
        <w:t xml:space="preserve"> ICE. Unfortunately, there is an insignificant </w:t>
      </w:r>
      <w:r w:rsidR="007C314F">
        <w:rPr>
          <w:rFonts w:ascii="Times New Roman" w:hAnsi="Times New Roman" w:cs="Times New Roman"/>
          <w:lang w:val="en-US"/>
        </w:rPr>
        <w:t xml:space="preserve">effect of </w:t>
      </w:r>
      <w:r w:rsidR="00FF42BE" w:rsidRPr="00FF42BE">
        <w:rPr>
          <w:rFonts w:ascii="Times New Roman" w:hAnsi="Times New Roman" w:cs="Times New Roman"/>
        </w:rPr>
        <w:t xml:space="preserve">board independence </w:t>
      </w:r>
      <w:r w:rsidR="007C314F">
        <w:rPr>
          <w:rFonts w:ascii="Times New Roman" w:hAnsi="Times New Roman" w:cs="Times New Roman"/>
          <w:lang w:val="en-US"/>
        </w:rPr>
        <w:t xml:space="preserve">on </w:t>
      </w:r>
      <w:r w:rsidR="00FF42BE" w:rsidRPr="00FF42BE">
        <w:rPr>
          <w:rFonts w:ascii="Times New Roman" w:hAnsi="Times New Roman" w:cs="Times New Roman"/>
        </w:rPr>
        <w:t xml:space="preserve">ICE.  </w:t>
      </w:r>
    </w:p>
    <w:p w14:paraId="0517E2C5" w14:textId="77777777" w:rsidR="00F95D70" w:rsidRDefault="00662619" w:rsidP="0078149A">
      <w:pPr>
        <w:spacing w:after="0" w:line="240" w:lineRule="auto"/>
        <w:jc w:val="both"/>
        <w:rPr>
          <w:rFonts w:ascii="Times New Roman" w:hAnsi="Times New Roman" w:cs="Times New Roman"/>
          <w:lang w:val="en-US"/>
        </w:rPr>
      </w:pPr>
      <w:r w:rsidRPr="00662619">
        <w:rPr>
          <w:rFonts w:ascii="Times New Roman" w:hAnsi="Times New Roman" w:cs="Times New Roman"/>
          <w:lang w:val="en-US"/>
        </w:rPr>
        <w:t xml:space="preserve">This study recommends that </w:t>
      </w:r>
      <w:r w:rsidR="00F95D70">
        <w:rPr>
          <w:rFonts w:ascii="Times New Roman" w:hAnsi="Times New Roman" w:cs="Times New Roman"/>
          <w:lang w:val="en-US"/>
        </w:rPr>
        <w:t xml:space="preserve">as follows: </w:t>
      </w:r>
    </w:p>
    <w:p w14:paraId="455EC095" w14:textId="00633FDE" w:rsidR="00662619" w:rsidRPr="00662619" w:rsidRDefault="00662619" w:rsidP="0078149A">
      <w:pPr>
        <w:spacing w:after="0" w:line="240" w:lineRule="auto"/>
        <w:jc w:val="both"/>
        <w:rPr>
          <w:rFonts w:ascii="Times New Roman" w:hAnsi="Times New Roman" w:cs="Times New Roman"/>
          <w:lang w:val="en-US"/>
        </w:rPr>
      </w:pPr>
      <w:r w:rsidRPr="00662619">
        <w:rPr>
          <w:rFonts w:ascii="Times New Roman" w:hAnsi="Times New Roman" w:cs="Times New Roman"/>
          <w:lang w:val="en-US"/>
        </w:rPr>
        <w:t>Nigerian-listed manufacturing firms without females should try to have at least one female director on their board; those that have less than 10 board members should try to increase the number, as this will improve intellectual capital efficiency. While board meetings are essential for governance, those firms with more than five board meetings should try to reduce it, as too-frequent meetings lead to fatigue that may reduce ICE. Additionally, the role and effectiveness of independent directors should be reexamined to enhance their contribution to ICE, ensuring they provide meaningful oversight and strategic input.</w:t>
      </w:r>
    </w:p>
    <w:p w14:paraId="1C611F84" w14:textId="6936140A" w:rsidR="00B40AAC" w:rsidRPr="00322E7A" w:rsidRDefault="00F97EF2" w:rsidP="0078149A">
      <w:pPr>
        <w:pStyle w:val="NoSpacing"/>
        <w:rPr>
          <w:rFonts w:ascii="Times New Roman" w:hAnsi="Times New Roman" w:cs="Times New Roman"/>
          <w:b/>
          <w:bCs/>
          <w:color w:val="222222"/>
          <w:sz w:val="24"/>
          <w:szCs w:val="24"/>
          <w:shd w:val="clear" w:color="auto" w:fill="FFFFFF"/>
        </w:rPr>
      </w:pPr>
      <w:bookmarkStart w:id="2" w:name="_Hlk164715922"/>
      <w:r w:rsidRPr="00322E7A">
        <w:rPr>
          <w:rFonts w:ascii="Times New Roman" w:hAnsi="Times New Roman" w:cs="Times New Roman"/>
          <w:b/>
          <w:bCs/>
          <w:color w:val="222222"/>
          <w:sz w:val="24"/>
          <w:szCs w:val="24"/>
          <w:shd w:val="clear" w:color="auto" w:fill="FFFFFF"/>
        </w:rPr>
        <w:t xml:space="preserve">REFERENCES </w:t>
      </w:r>
    </w:p>
    <w:p w14:paraId="7CBBB079" w14:textId="77777777" w:rsidR="00B40AAC" w:rsidRPr="00322E7A" w:rsidRDefault="00B40AAC" w:rsidP="0078149A">
      <w:pPr>
        <w:pStyle w:val="NoSpacing"/>
        <w:rPr>
          <w:rFonts w:ascii="Times New Roman" w:hAnsi="Times New Roman" w:cs="Times New Roman"/>
          <w:b/>
          <w:bCs/>
          <w:color w:val="222222"/>
          <w:sz w:val="24"/>
          <w:szCs w:val="24"/>
          <w:shd w:val="clear" w:color="auto" w:fill="FFFFFF"/>
        </w:rPr>
      </w:pPr>
    </w:p>
    <w:bookmarkEnd w:id="2"/>
    <w:p w14:paraId="7A30E62B"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t xml:space="preserve">Adams, R. B., &amp; Ferreira, D. (2009). Women in the boardroom and their impact on governance and performance. </w:t>
      </w:r>
      <w:r w:rsidRPr="00BA0DF9">
        <w:rPr>
          <w:rFonts w:ascii="Times New Roman" w:hAnsi="Times New Roman" w:cs="Times New Roman"/>
          <w:i/>
          <w:iCs/>
          <w:kern w:val="0"/>
          <w:lang w:val="en-US"/>
        </w:rPr>
        <w:t>Journal of Financial Economics, 94</w:t>
      </w:r>
      <w:r w:rsidRPr="00BA0DF9">
        <w:rPr>
          <w:rFonts w:ascii="Times New Roman" w:hAnsi="Times New Roman" w:cs="Times New Roman"/>
          <w:kern w:val="0"/>
          <w:lang w:val="en-US"/>
        </w:rPr>
        <w:t>(2), 291-309.</w:t>
      </w:r>
    </w:p>
    <w:p w14:paraId="40FAFC4D" w14:textId="77777777" w:rsidR="007C314F" w:rsidRDefault="007C314F" w:rsidP="0078149A">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Adebayo, A. O., Oyewole, O. M., &amp; Lamidi, W. A. (2020). Corporate governance characteristics and intellectual capital of listed non-financial service firms in Nigeria. </w:t>
      </w:r>
      <w:r>
        <w:rPr>
          <w:rFonts w:ascii="Times New Roman" w:hAnsi="Times New Roman" w:cs="Times New Roman"/>
          <w:i/>
          <w:iCs/>
          <w:noProof/>
          <w:sz w:val="24"/>
          <w:szCs w:val="24"/>
        </w:rPr>
        <w:t>Horn of Africa Journal of Business and Economics (HAJBE), 4</w:t>
      </w:r>
      <w:r>
        <w:rPr>
          <w:rFonts w:ascii="Times New Roman" w:hAnsi="Times New Roman" w:cs="Times New Roman"/>
          <w:noProof/>
          <w:sz w:val="24"/>
          <w:szCs w:val="24"/>
        </w:rPr>
        <w:t>(1), 44-55.</w:t>
      </w:r>
    </w:p>
    <w:p w14:paraId="56D75957"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rPr>
        <w:t>Aljuaidi</w:t>
      </w:r>
      <w:r w:rsidRPr="00BA0DF9">
        <w:rPr>
          <w:rFonts w:ascii="Times New Roman" w:hAnsi="Times New Roman" w:cs="Times New Roman"/>
          <w:lang w:val="en-US"/>
        </w:rPr>
        <w:t xml:space="preserve">, O. (2020). </w:t>
      </w:r>
      <w:r w:rsidRPr="00BA0DF9">
        <w:rPr>
          <w:rFonts w:ascii="Times New Roman" w:hAnsi="Times New Roman" w:cs="Times New Roman"/>
        </w:rPr>
        <w:t>Impact of Characteristics of Board of Directors on Intellectual Capital Performance for Banks Listed in Gulf Markets</w:t>
      </w:r>
      <w:r w:rsidRPr="00BA0DF9">
        <w:rPr>
          <w:rFonts w:ascii="Times New Roman" w:hAnsi="Times New Roman" w:cs="Times New Roman"/>
          <w:lang w:val="en-US"/>
        </w:rPr>
        <w:t xml:space="preserve">. </w:t>
      </w:r>
      <w:r w:rsidRPr="00BA0DF9">
        <w:rPr>
          <w:rFonts w:ascii="Times New Roman" w:hAnsi="Times New Roman" w:cs="Times New Roman"/>
          <w:i/>
          <w:iCs/>
        </w:rPr>
        <w:t>International Journal of Innovation, Creativity and Change, 14</w:t>
      </w:r>
      <w:r w:rsidRPr="00BA0DF9">
        <w:rPr>
          <w:rFonts w:ascii="Times New Roman" w:hAnsi="Times New Roman" w:cs="Times New Roman"/>
        </w:rPr>
        <w:t xml:space="preserve">(2). </w:t>
      </w:r>
    </w:p>
    <w:p w14:paraId="1E8B445C" w14:textId="77777777" w:rsidR="007C314F" w:rsidRPr="00BA0DF9" w:rsidRDefault="007C314F" w:rsidP="0078149A">
      <w:pPr>
        <w:pStyle w:val="NoSpacing"/>
        <w:spacing w:after="140"/>
        <w:ind w:left="540" w:hanging="540"/>
        <w:rPr>
          <w:rFonts w:ascii="Times New Roman" w:hAnsi="Times New Roman" w:cs="Times New Roman"/>
          <w:color w:val="222222"/>
          <w:sz w:val="24"/>
          <w:szCs w:val="24"/>
          <w:shd w:val="clear" w:color="auto" w:fill="FFFFFF"/>
        </w:rPr>
      </w:pPr>
      <w:r w:rsidRPr="00BA0DF9">
        <w:rPr>
          <w:rFonts w:ascii="Times New Roman" w:hAnsi="Times New Roman" w:cs="Times New Roman"/>
          <w:color w:val="222222"/>
          <w:sz w:val="24"/>
          <w:szCs w:val="24"/>
          <w:shd w:val="clear" w:color="auto" w:fill="FFFFFF"/>
        </w:rPr>
        <w:t>Asare, N., Aboagye-Otchere, F., &amp; Onumah, J. M. (2023). Corporate board structures and intellectual capital: evidence from banks in Africa. </w:t>
      </w:r>
      <w:r w:rsidRPr="00BA0DF9">
        <w:rPr>
          <w:rFonts w:ascii="Times New Roman" w:hAnsi="Times New Roman" w:cs="Times New Roman"/>
          <w:i/>
          <w:iCs/>
          <w:color w:val="222222"/>
          <w:sz w:val="24"/>
          <w:szCs w:val="24"/>
          <w:shd w:val="clear" w:color="auto" w:fill="FFFFFF"/>
        </w:rPr>
        <w:t>Asian Journal of Economics and Banking</w:t>
      </w:r>
      <w:r w:rsidRPr="00BA0DF9">
        <w:rPr>
          <w:rFonts w:ascii="Times New Roman" w:hAnsi="Times New Roman" w:cs="Times New Roman"/>
          <w:color w:val="222222"/>
          <w:sz w:val="24"/>
          <w:szCs w:val="24"/>
          <w:shd w:val="clear" w:color="auto" w:fill="FFFFFF"/>
        </w:rPr>
        <w:t>, </w:t>
      </w:r>
      <w:r w:rsidRPr="00BA0DF9">
        <w:rPr>
          <w:rFonts w:ascii="Times New Roman" w:hAnsi="Times New Roman" w:cs="Times New Roman"/>
          <w:i/>
          <w:iCs/>
          <w:color w:val="222222"/>
          <w:sz w:val="24"/>
          <w:szCs w:val="24"/>
          <w:shd w:val="clear" w:color="auto" w:fill="FFFFFF"/>
        </w:rPr>
        <w:t>7</w:t>
      </w:r>
      <w:r w:rsidRPr="00BA0DF9">
        <w:rPr>
          <w:rFonts w:ascii="Times New Roman" w:hAnsi="Times New Roman" w:cs="Times New Roman"/>
          <w:color w:val="222222"/>
          <w:sz w:val="24"/>
          <w:szCs w:val="24"/>
          <w:shd w:val="clear" w:color="auto" w:fill="FFFFFF"/>
        </w:rPr>
        <w:t>(1), 146-163.</w:t>
      </w:r>
    </w:p>
    <w:p w14:paraId="5FCA4A85" w14:textId="77777777" w:rsidR="007C314F" w:rsidRPr="00BA0DF9" w:rsidRDefault="007C314F" w:rsidP="0078149A">
      <w:pPr>
        <w:spacing w:after="140" w:line="240" w:lineRule="auto"/>
        <w:ind w:left="540" w:hanging="540"/>
        <w:rPr>
          <w:rFonts w:ascii="Times New Roman" w:hAnsi="Times New Roman" w:cs="Times New Roman"/>
        </w:rPr>
      </w:pPr>
      <w:r w:rsidRPr="00BA0DF9">
        <w:rPr>
          <w:rFonts w:ascii="Times New Roman" w:hAnsi="Times New Roman" w:cs="Times New Roman"/>
        </w:rPr>
        <w:t xml:space="preserve">Aslam, E. &amp; Haron, R. (2020). The influence of corporate governance on intellectual capital efficiency: evidence from Islamic banks of OIC countries. </w:t>
      </w:r>
      <w:r w:rsidRPr="00BA0DF9">
        <w:rPr>
          <w:rFonts w:ascii="Times New Roman" w:hAnsi="Times New Roman" w:cs="Times New Roman"/>
          <w:i/>
          <w:iCs/>
        </w:rPr>
        <w:t>Asian Journal of Accounting Research, 5</w:t>
      </w:r>
      <w:r w:rsidRPr="00BA0DF9">
        <w:rPr>
          <w:rFonts w:ascii="Times New Roman" w:hAnsi="Times New Roman" w:cs="Times New Roman"/>
        </w:rPr>
        <w:t>(2), 195-208</w:t>
      </w:r>
    </w:p>
    <w:p w14:paraId="6E99CCFF" w14:textId="77777777" w:rsidR="007C314F" w:rsidRPr="00BA0DF9" w:rsidRDefault="007C314F" w:rsidP="0078149A">
      <w:pPr>
        <w:spacing w:after="140" w:line="240" w:lineRule="auto"/>
        <w:ind w:left="540" w:hanging="540"/>
        <w:rPr>
          <w:rFonts w:ascii="Times New Roman" w:hAnsi="Times New Roman" w:cs="Times New Roman"/>
          <w:color w:val="222222"/>
          <w:shd w:val="clear" w:color="auto" w:fill="FFFFFF"/>
        </w:rPr>
      </w:pPr>
      <w:r w:rsidRPr="00BA0DF9">
        <w:rPr>
          <w:rFonts w:ascii="Times New Roman" w:hAnsi="Times New Roman" w:cs="Times New Roman"/>
          <w:color w:val="222222"/>
          <w:shd w:val="clear" w:color="auto" w:fill="FFFFFF"/>
        </w:rPr>
        <w:t>Attarita, T., Dampitakseb, K., &amp; Panmanee, P. (2017). Using SEM to Verify the Impacts of Board of Director Characteristics and Intellectual Capital Efficiency. A Case of Thailand-Listed Companies.</w:t>
      </w:r>
      <w:r w:rsidRPr="00BA0DF9">
        <w:rPr>
          <w:rFonts w:ascii="Times New Roman" w:hAnsi="Times New Roman" w:cs="Times New Roman"/>
          <w:i/>
          <w:iCs/>
          <w:color w:val="222222"/>
          <w:shd w:val="clear" w:color="auto" w:fill="FFFFFF"/>
        </w:rPr>
        <w:t xml:space="preserve"> International Journal of Applied Business and Economic Research</w:t>
      </w:r>
      <w:r w:rsidRPr="00BA0DF9">
        <w:rPr>
          <w:rFonts w:ascii="Times New Roman" w:hAnsi="Times New Roman" w:cs="Times New Roman"/>
          <w:color w:val="222222"/>
          <w:shd w:val="clear" w:color="auto" w:fill="FFFFFF"/>
        </w:rPr>
        <w:t>, </w:t>
      </w:r>
      <w:r w:rsidRPr="00BA0DF9">
        <w:rPr>
          <w:rFonts w:ascii="Times New Roman" w:hAnsi="Times New Roman" w:cs="Times New Roman"/>
          <w:i/>
          <w:iCs/>
          <w:color w:val="222222"/>
          <w:shd w:val="clear" w:color="auto" w:fill="FFFFFF"/>
        </w:rPr>
        <w:t>15</w:t>
      </w:r>
      <w:r w:rsidRPr="00BA0DF9">
        <w:rPr>
          <w:rFonts w:ascii="Times New Roman" w:hAnsi="Times New Roman" w:cs="Times New Roman"/>
          <w:color w:val="222222"/>
          <w:shd w:val="clear" w:color="auto" w:fill="FFFFFF"/>
        </w:rPr>
        <w:t>(10), 321-332.</w:t>
      </w:r>
    </w:p>
    <w:p w14:paraId="1D5A3612"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t xml:space="preserve">Demir, R. (2009). Corporate governance and firm performance in Turkey: Evidence from Turkish manufacturing industry. </w:t>
      </w:r>
      <w:r w:rsidRPr="00BA0DF9">
        <w:rPr>
          <w:rFonts w:ascii="Times New Roman" w:hAnsi="Times New Roman" w:cs="Times New Roman"/>
          <w:i/>
          <w:iCs/>
          <w:kern w:val="0"/>
          <w:lang w:val="en-US"/>
        </w:rPr>
        <w:t>International Journal of Economic Perspectives, 3</w:t>
      </w:r>
      <w:r w:rsidRPr="00BA0DF9">
        <w:rPr>
          <w:rFonts w:ascii="Times New Roman" w:hAnsi="Times New Roman" w:cs="Times New Roman"/>
          <w:kern w:val="0"/>
          <w:lang w:val="en-US"/>
        </w:rPr>
        <w:t>(1), 42-54.</w:t>
      </w:r>
    </w:p>
    <w:p w14:paraId="28D90584" w14:textId="77777777" w:rsidR="007C314F" w:rsidRDefault="007C314F" w:rsidP="0078149A">
      <w:pPr>
        <w:pStyle w:val="Bibliography"/>
        <w:spacing w:line="240" w:lineRule="auto"/>
        <w:ind w:left="720" w:hanging="720"/>
        <w:rPr>
          <w:rFonts w:ascii="Times New Roman" w:hAnsi="Times New Roman" w:cs="Times New Roman"/>
          <w:noProof/>
          <w:sz w:val="24"/>
          <w:szCs w:val="24"/>
        </w:rPr>
      </w:pPr>
      <w:r>
        <w:rPr>
          <w:rFonts w:ascii="Times New Roman" w:hAnsi="Times New Roman" w:cs="Times New Roman"/>
          <w:noProof/>
          <w:sz w:val="24"/>
          <w:szCs w:val="24"/>
        </w:rPr>
        <w:t xml:space="preserve">Ebrahim, S. A., Ali, B. J., &amp; Oudat, M. S. (2021). The effect of board characteristics on intellectual capital in the commercial banks sector listed on the Bahrain Bourse: An empirical study. </w:t>
      </w:r>
      <w:r>
        <w:rPr>
          <w:rFonts w:ascii="Times New Roman" w:hAnsi="Times New Roman" w:cs="Times New Roman"/>
          <w:i/>
          <w:iCs/>
          <w:noProof/>
          <w:sz w:val="24"/>
          <w:szCs w:val="24"/>
        </w:rPr>
        <w:t>Information Sciences Letters An International Journal, 10</w:t>
      </w:r>
      <w:r>
        <w:rPr>
          <w:rFonts w:ascii="Times New Roman" w:hAnsi="Times New Roman" w:cs="Times New Roman"/>
          <w:noProof/>
          <w:sz w:val="24"/>
          <w:szCs w:val="24"/>
        </w:rPr>
        <w:t>(S1), 91-109.</w:t>
      </w:r>
    </w:p>
    <w:p w14:paraId="28B55C8A"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t xml:space="preserve">Egbunike, F. C., &amp; Okoye, E. I. (2023). Comparative analysis of firms’ financial performance in manufacturing and non-manufacturing sectors in Nigeria. </w:t>
      </w:r>
      <w:r w:rsidRPr="00BA0DF9">
        <w:rPr>
          <w:rFonts w:ascii="Times New Roman" w:hAnsi="Times New Roman" w:cs="Times New Roman"/>
          <w:i/>
          <w:kern w:val="0"/>
          <w:lang w:val="en-US"/>
        </w:rPr>
        <w:t xml:space="preserve">Research Journal of Finance and </w:t>
      </w:r>
      <w:r w:rsidRPr="00BA0DF9">
        <w:rPr>
          <w:rFonts w:ascii="Times New Roman" w:hAnsi="Times New Roman" w:cs="Times New Roman"/>
          <w:i/>
          <w:kern w:val="0"/>
          <w:lang w:val="en-US"/>
        </w:rPr>
        <w:lastRenderedPageBreak/>
        <w:t>Accounting, 14</w:t>
      </w:r>
      <w:r w:rsidRPr="00BA0DF9">
        <w:rPr>
          <w:rFonts w:ascii="Times New Roman" w:hAnsi="Times New Roman" w:cs="Times New Roman"/>
          <w:kern w:val="0"/>
          <w:lang w:val="en-US"/>
        </w:rPr>
        <w:t>(1), 24-32. Retrieved from https://www.iiste.org/Journals/index.php/RJFA/article/view/40150</w:t>
      </w:r>
    </w:p>
    <w:p w14:paraId="50ABEDD4" w14:textId="77777777" w:rsidR="007C314F" w:rsidRPr="00BA0DF9" w:rsidRDefault="007C314F" w:rsidP="0078149A">
      <w:pPr>
        <w:spacing w:after="140" w:line="240" w:lineRule="auto"/>
        <w:ind w:left="540" w:hanging="540"/>
        <w:rPr>
          <w:rFonts w:ascii="Times New Roman" w:hAnsi="Times New Roman" w:cs="Times New Roman"/>
          <w:kern w:val="0"/>
          <w:lang w:val="en-US"/>
        </w:rPr>
      </w:pPr>
      <w:bookmarkStart w:id="3" w:name="_Hlk164716982"/>
      <w:r w:rsidRPr="00BA0DF9">
        <w:rPr>
          <w:rFonts w:ascii="Times New Roman" w:hAnsi="Times New Roman" w:cs="Times New Roman"/>
          <w:kern w:val="0"/>
          <w:lang w:val="en-US"/>
        </w:rPr>
        <w:t xml:space="preserve">Eisenhardt, K. M. (1989). Agency theory: An assessment and review. </w:t>
      </w:r>
      <w:r w:rsidRPr="00BA0DF9">
        <w:rPr>
          <w:rFonts w:ascii="Times New Roman" w:hAnsi="Times New Roman" w:cs="Times New Roman"/>
          <w:i/>
          <w:iCs/>
          <w:kern w:val="0"/>
          <w:lang w:val="en-US"/>
        </w:rPr>
        <w:t>Academy of Management Review, 14</w:t>
      </w:r>
      <w:r w:rsidRPr="00BA0DF9">
        <w:rPr>
          <w:rFonts w:ascii="Times New Roman" w:hAnsi="Times New Roman" w:cs="Times New Roman"/>
          <w:kern w:val="0"/>
          <w:lang w:val="en-US"/>
        </w:rPr>
        <w:t>(1), 57-74.</w:t>
      </w:r>
    </w:p>
    <w:p w14:paraId="6ECFB3BB" w14:textId="77777777" w:rsidR="007C314F" w:rsidRPr="00BA0DF9" w:rsidRDefault="007C314F" w:rsidP="0078149A">
      <w:pPr>
        <w:pStyle w:val="NormalWeb"/>
        <w:shd w:val="clear" w:color="auto" w:fill="FFFFFF"/>
        <w:spacing w:before="0" w:beforeAutospacing="0" w:after="140" w:afterAutospacing="0"/>
        <w:ind w:left="540" w:hanging="540"/>
      </w:pPr>
      <w:r w:rsidRPr="00BA0DF9">
        <w:rPr>
          <w:color w:val="222222"/>
          <w:shd w:val="clear" w:color="auto" w:fill="FFFFFF"/>
        </w:rPr>
        <w:t>Farooq, M., &amp; Ahmad, N. (2023). Nexus between board characteristics, firm performance and intellectual capital: an emerging market evidence. </w:t>
      </w:r>
      <w:r w:rsidRPr="00BA0DF9">
        <w:rPr>
          <w:i/>
          <w:iCs/>
          <w:color w:val="222222"/>
          <w:shd w:val="clear" w:color="auto" w:fill="FFFFFF"/>
        </w:rPr>
        <w:t>Corporate Governance: The International Journal of Business in Society</w:t>
      </w:r>
      <w:r w:rsidRPr="00BA0DF9">
        <w:rPr>
          <w:color w:val="222222"/>
          <w:shd w:val="clear" w:color="auto" w:fill="FFFFFF"/>
        </w:rPr>
        <w:t>.</w:t>
      </w:r>
    </w:p>
    <w:bookmarkEnd w:id="3"/>
    <w:p w14:paraId="73ECD6E9"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t xml:space="preserve">Gillan, S. L., &amp; Starks, L. T. (2000). Corporate governance proposals and shareholder activism: The role of institutional investors. </w:t>
      </w:r>
      <w:r w:rsidRPr="00BA0DF9">
        <w:rPr>
          <w:rFonts w:ascii="Times New Roman" w:hAnsi="Times New Roman" w:cs="Times New Roman"/>
          <w:i/>
          <w:iCs/>
          <w:kern w:val="0"/>
          <w:lang w:val="en-US"/>
        </w:rPr>
        <w:t>Journal of Financial Economics, 57</w:t>
      </w:r>
      <w:r w:rsidRPr="00BA0DF9">
        <w:rPr>
          <w:rFonts w:ascii="Times New Roman" w:hAnsi="Times New Roman" w:cs="Times New Roman"/>
          <w:kern w:val="0"/>
          <w:lang w:val="en-US"/>
        </w:rPr>
        <w:t>(2), 275-305.</w:t>
      </w:r>
    </w:p>
    <w:p w14:paraId="5FFD8F98" w14:textId="77777777" w:rsidR="007C314F" w:rsidRPr="00BA0DF9" w:rsidRDefault="007C314F" w:rsidP="0078149A">
      <w:pPr>
        <w:pStyle w:val="NoSpacing"/>
        <w:spacing w:after="140"/>
        <w:ind w:left="540" w:hanging="540"/>
        <w:rPr>
          <w:rFonts w:ascii="Times New Roman" w:hAnsi="Times New Roman" w:cs="Times New Roman"/>
          <w:color w:val="222222"/>
          <w:sz w:val="24"/>
          <w:szCs w:val="24"/>
          <w:shd w:val="clear" w:color="auto" w:fill="FFFFFF"/>
        </w:rPr>
      </w:pPr>
      <w:r w:rsidRPr="00BA0DF9">
        <w:rPr>
          <w:rFonts w:ascii="Times New Roman" w:hAnsi="Times New Roman" w:cs="Times New Roman"/>
          <w:color w:val="222222"/>
          <w:sz w:val="24"/>
          <w:szCs w:val="24"/>
          <w:shd w:val="clear" w:color="auto" w:fill="FFFFFF"/>
        </w:rPr>
        <w:t>Humairo, S., &amp; Abidin, Z. (2024). Influence of Gender Diversity, Age, Education, and Work Experience Top Management Team on Intellectual Capital Performance: Empirical Study on Sector Companies Banking in 2021-2022. </w:t>
      </w:r>
      <w:r w:rsidRPr="00BA0DF9">
        <w:rPr>
          <w:rFonts w:ascii="Times New Roman" w:hAnsi="Times New Roman" w:cs="Times New Roman"/>
          <w:i/>
          <w:iCs/>
          <w:color w:val="222222"/>
          <w:sz w:val="24"/>
          <w:szCs w:val="24"/>
          <w:shd w:val="clear" w:color="auto" w:fill="FFFFFF"/>
        </w:rPr>
        <w:t>Journal of Business Management and Economic Development</w:t>
      </w:r>
      <w:r w:rsidRPr="00BA0DF9">
        <w:rPr>
          <w:rFonts w:ascii="Times New Roman" w:hAnsi="Times New Roman" w:cs="Times New Roman"/>
          <w:color w:val="222222"/>
          <w:sz w:val="24"/>
          <w:szCs w:val="24"/>
          <w:shd w:val="clear" w:color="auto" w:fill="FFFFFF"/>
        </w:rPr>
        <w:t>, </w:t>
      </w:r>
      <w:r w:rsidRPr="00BA0DF9">
        <w:rPr>
          <w:rFonts w:ascii="Times New Roman" w:hAnsi="Times New Roman" w:cs="Times New Roman"/>
          <w:i/>
          <w:iCs/>
          <w:color w:val="222222"/>
          <w:sz w:val="24"/>
          <w:szCs w:val="24"/>
          <w:shd w:val="clear" w:color="auto" w:fill="FFFFFF"/>
        </w:rPr>
        <w:t>2</w:t>
      </w:r>
      <w:r w:rsidRPr="00BA0DF9">
        <w:rPr>
          <w:rFonts w:ascii="Times New Roman" w:hAnsi="Times New Roman" w:cs="Times New Roman"/>
          <w:color w:val="222222"/>
          <w:sz w:val="24"/>
          <w:szCs w:val="24"/>
          <w:shd w:val="clear" w:color="auto" w:fill="FFFFFF"/>
        </w:rPr>
        <w:t>(01), 142-158.</w:t>
      </w:r>
    </w:p>
    <w:p w14:paraId="1D7AAA3D"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t xml:space="preserve">Jensen, M. C., &amp; Meckling, W. H. (1976). Theory of the firm: Managerial behavior, agency costs and ownership structure. </w:t>
      </w:r>
      <w:r w:rsidRPr="00BA0DF9">
        <w:rPr>
          <w:rFonts w:ascii="Times New Roman" w:hAnsi="Times New Roman" w:cs="Times New Roman"/>
          <w:i/>
          <w:iCs/>
          <w:kern w:val="0"/>
          <w:lang w:val="en-US"/>
        </w:rPr>
        <w:t>Journal of Financial Economics, 3</w:t>
      </w:r>
      <w:r w:rsidRPr="00BA0DF9">
        <w:rPr>
          <w:rFonts w:ascii="Times New Roman" w:hAnsi="Times New Roman" w:cs="Times New Roman"/>
          <w:kern w:val="0"/>
          <w:lang w:val="en-US"/>
        </w:rPr>
        <w:t>(4), 305-360.</w:t>
      </w:r>
    </w:p>
    <w:p w14:paraId="3DFD4F4A" w14:textId="77777777" w:rsidR="007C314F" w:rsidRPr="00BA0DF9" w:rsidRDefault="007C314F" w:rsidP="0078149A">
      <w:pPr>
        <w:pStyle w:val="Bibliography"/>
        <w:spacing w:line="240" w:lineRule="auto"/>
        <w:ind w:left="540" w:hanging="540"/>
        <w:rPr>
          <w:rFonts w:ascii="Times New Roman" w:hAnsi="Times New Roman" w:cs="Times New Roman"/>
          <w:noProof/>
          <w:sz w:val="24"/>
          <w:szCs w:val="24"/>
        </w:rPr>
      </w:pPr>
      <w:r w:rsidRPr="00BA0DF9">
        <w:rPr>
          <w:rFonts w:ascii="Times New Roman" w:hAnsi="Times New Roman" w:cs="Times New Roman"/>
          <w:noProof/>
          <w:sz w:val="24"/>
          <w:szCs w:val="24"/>
        </w:rPr>
        <w:t xml:space="preserve">Kamath, G. (2019). Board Characteristics and Intellectual Capital Performance: A Comparison of Service vs. Manufacturing Firms in India. </w:t>
      </w:r>
      <w:r w:rsidRPr="00BA0DF9">
        <w:rPr>
          <w:rFonts w:ascii="Times New Roman" w:hAnsi="Times New Roman" w:cs="Times New Roman"/>
          <w:i/>
          <w:iCs/>
          <w:noProof/>
          <w:sz w:val="24"/>
          <w:szCs w:val="24"/>
        </w:rPr>
        <w:t>Scholedge International Journal of Business Policy &amp; Governance, 6</w:t>
      </w:r>
      <w:r w:rsidRPr="00BA0DF9">
        <w:rPr>
          <w:rFonts w:ascii="Times New Roman" w:hAnsi="Times New Roman" w:cs="Times New Roman"/>
          <w:noProof/>
          <w:sz w:val="24"/>
          <w:szCs w:val="24"/>
        </w:rPr>
        <w:t xml:space="preserve">(1), 1-11. </w:t>
      </w:r>
      <w:r w:rsidRPr="008D4E1C">
        <w:rPr>
          <w:rFonts w:ascii="Times New Roman" w:hAnsi="Times New Roman" w:cs="Times New Roman"/>
          <w:noProof/>
          <w:sz w:val="24"/>
          <w:szCs w:val="24"/>
        </w:rPr>
        <w:t>https://doi.org/</w:t>
      </w:r>
      <w:r w:rsidRPr="00BA0DF9">
        <w:rPr>
          <w:rFonts w:ascii="Times New Roman" w:hAnsi="Times New Roman" w:cs="Times New Roman"/>
          <w:noProof/>
          <w:sz w:val="24"/>
          <w:szCs w:val="24"/>
        </w:rPr>
        <w:t>10.19085/sijbpg060</w:t>
      </w:r>
    </w:p>
    <w:p w14:paraId="39D793EA" w14:textId="77777777" w:rsidR="007C314F" w:rsidRDefault="007C314F" w:rsidP="0078149A">
      <w:pPr>
        <w:pStyle w:val="Bibliography"/>
        <w:spacing w:line="240" w:lineRule="auto"/>
        <w:ind w:left="720" w:hanging="720"/>
        <w:rPr>
          <w:rFonts w:ascii="Times New Roman" w:hAnsi="Times New Roman" w:cs="Times New Roman"/>
          <w:noProof/>
        </w:rPr>
      </w:pPr>
      <w:r>
        <w:rPr>
          <w:rFonts w:ascii="Times New Roman" w:hAnsi="Times New Roman" w:cs="Times New Roman"/>
          <w:noProof/>
          <w:kern w:val="0"/>
          <w:sz w:val="24"/>
          <w:szCs w:val="24"/>
          <w14:ligatures w14:val="none"/>
        </w:rPr>
        <w:t xml:space="preserve">Kotte, S., &amp; Reddy, I. L. (2023). The influence of corporate governance factors on intellectual capital performance: Panel data evidence from the Indian banking sector. </w:t>
      </w:r>
      <w:r>
        <w:rPr>
          <w:rFonts w:ascii="Times New Roman" w:hAnsi="Times New Roman" w:cs="Times New Roman"/>
          <w:i/>
          <w:iCs/>
          <w:noProof/>
          <w:kern w:val="0"/>
          <w:sz w:val="24"/>
          <w:szCs w:val="24"/>
          <w14:ligatures w14:val="none"/>
        </w:rPr>
        <w:t>Banks and Bank Systems, 18</w:t>
      </w:r>
      <w:r>
        <w:rPr>
          <w:rFonts w:ascii="Times New Roman" w:hAnsi="Times New Roman" w:cs="Times New Roman"/>
          <w:noProof/>
          <w:kern w:val="0"/>
          <w:sz w:val="24"/>
          <w:szCs w:val="24"/>
          <w14:ligatures w14:val="none"/>
        </w:rPr>
        <w:t>(2), 101-112. doi:10.21511/bbs.18(2).2023.09</w:t>
      </w:r>
      <w:r w:rsidRPr="007C314F">
        <w:rPr>
          <w:rFonts w:ascii="Times New Roman" w:hAnsi="Times New Roman" w:cs="Times New Roman"/>
          <w:noProof/>
        </w:rPr>
        <w:t xml:space="preserve"> </w:t>
      </w:r>
    </w:p>
    <w:p w14:paraId="1E523D2B" w14:textId="77777777" w:rsidR="007C314F" w:rsidRPr="00BA0DF9" w:rsidRDefault="007C314F" w:rsidP="0078149A">
      <w:pPr>
        <w:spacing w:after="140" w:line="240" w:lineRule="auto"/>
        <w:ind w:left="540" w:hanging="540"/>
        <w:rPr>
          <w:rFonts w:ascii="Times New Roman" w:hAnsi="Times New Roman" w:cs="Times New Roman"/>
          <w:color w:val="222222"/>
          <w:shd w:val="clear" w:color="auto" w:fill="FFFFFF"/>
        </w:rPr>
      </w:pPr>
      <w:bookmarkStart w:id="4" w:name="_Hlk164716473"/>
      <w:r w:rsidRPr="00BA0DF9">
        <w:rPr>
          <w:rFonts w:ascii="Times New Roman" w:hAnsi="Times New Roman" w:cs="Times New Roman"/>
          <w:color w:val="222222"/>
          <w:shd w:val="clear" w:color="auto" w:fill="FFFFFF"/>
        </w:rPr>
        <w:t>Kweh, Q. L., Lu, W. M., Ting, I. W. K., &amp; Thi My Le, H. (2022). The cubic S-curve relationship between board independence and intellectual capital efficiency: Does firm size matter?. </w:t>
      </w:r>
      <w:r w:rsidRPr="00BA0DF9">
        <w:rPr>
          <w:rFonts w:ascii="Times New Roman" w:hAnsi="Times New Roman" w:cs="Times New Roman"/>
          <w:i/>
          <w:iCs/>
          <w:color w:val="222222"/>
          <w:shd w:val="clear" w:color="auto" w:fill="FFFFFF"/>
        </w:rPr>
        <w:t>Journal of Intellectual Capital</w:t>
      </w:r>
      <w:r w:rsidRPr="00BA0DF9">
        <w:rPr>
          <w:rFonts w:ascii="Times New Roman" w:hAnsi="Times New Roman" w:cs="Times New Roman"/>
          <w:color w:val="222222"/>
          <w:shd w:val="clear" w:color="auto" w:fill="FFFFFF"/>
        </w:rPr>
        <w:t>, </w:t>
      </w:r>
      <w:r w:rsidRPr="00BA0DF9">
        <w:rPr>
          <w:rFonts w:ascii="Times New Roman" w:hAnsi="Times New Roman" w:cs="Times New Roman"/>
          <w:i/>
          <w:iCs/>
          <w:color w:val="222222"/>
          <w:shd w:val="clear" w:color="auto" w:fill="FFFFFF"/>
        </w:rPr>
        <w:t>23</w:t>
      </w:r>
      <w:r w:rsidRPr="00BA0DF9">
        <w:rPr>
          <w:rFonts w:ascii="Times New Roman" w:hAnsi="Times New Roman" w:cs="Times New Roman"/>
          <w:color w:val="222222"/>
          <w:shd w:val="clear" w:color="auto" w:fill="FFFFFF"/>
        </w:rPr>
        <w:t>(5), 1025-1051.</w:t>
      </w:r>
      <w:bookmarkEnd w:id="4"/>
    </w:p>
    <w:p w14:paraId="54016732" w14:textId="77777777" w:rsidR="007C314F" w:rsidRPr="00BA0DF9" w:rsidRDefault="007C314F" w:rsidP="0078149A">
      <w:pPr>
        <w:spacing w:after="140" w:line="240" w:lineRule="auto"/>
        <w:ind w:left="540" w:hanging="540"/>
        <w:rPr>
          <w:rFonts w:ascii="Times New Roman" w:hAnsi="Times New Roman" w:cs="Times New Roman"/>
        </w:rPr>
      </w:pPr>
      <w:r w:rsidRPr="00BA0DF9">
        <w:rPr>
          <w:rFonts w:ascii="Times New Roman" w:hAnsi="Times New Roman" w:cs="Times New Roman"/>
        </w:rPr>
        <w:t xml:space="preserve">Lawal, </w:t>
      </w:r>
      <w:r w:rsidRPr="00BA0DF9">
        <w:rPr>
          <w:rFonts w:ascii="Times New Roman" w:hAnsi="Times New Roman" w:cs="Times New Roman"/>
          <w:lang w:val="en-US"/>
        </w:rPr>
        <w:t xml:space="preserve">T., </w:t>
      </w:r>
      <w:r w:rsidRPr="00BA0DF9">
        <w:rPr>
          <w:rFonts w:ascii="Times New Roman" w:hAnsi="Times New Roman" w:cs="Times New Roman"/>
        </w:rPr>
        <w:t xml:space="preserve">Abdulazeez, </w:t>
      </w:r>
      <w:r w:rsidRPr="00BA0DF9">
        <w:rPr>
          <w:rFonts w:ascii="Times New Roman" w:hAnsi="Times New Roman" w:cs="Times New Roman"/>
          <w:lang w:val="en-US"/>
        </w:rPr>
        <w:t>D.A., &amp; S</w:t>
      </w:r>
      <w:r w:rsidRPr="00BA0DF9">
        <w:rPr>
          <w:rFonts w:ascii="Times New Roman" w:hAnsi="Times New Roman" w:cs="Times New Roman"/>
        </w:rPr>
        <w:t>aidu</w:t>
      </w:r>
      <w:r w:rsidRPr="00BA0DF9">
        <w:rPr>
          <w:rFonts w:ascii="Times New Roman" w:hAnsi="Times New Roman" w:cs="Times New Roman"/>
          <w:lang w:val="en-US"/>
        </w:rPr>
        <w:t>, M.</w:t>
      </w:r>
      <w:r w:rsidRPr="00BA0DF9">
        <w:rPr>
          <w:rFonts w:ascii="Times New Roman" w:hAnsi="Times New Roman" w:cs="Times New Roman"/>
        </w:rPr>
        <w:t xml:space="preserve"> (2022). Board diversity and intellectual capital performance of listed non-financial service firms in Nigeria. </w:t>
      </w:r>
      <w:r w:rsidRPr="00BA0DF9">
        <w:rPr>
          <w:rFonts w:ascii="Times New Roman" w:hAnsi="Times New Roman" w:cs="Times New Roman"/>
          <w:i/>
          <w:iCs/>
        </w:rPr>
        <w:t>Accounting Analysis Journal, 11</w:t>
      </w:r>
      <w:r w:rsidRPr="00BA0DF9">
        <w:rPr>
          <w:rFonts w:ascii="Times New Roman" w:hAnsi="Times New Roman" w:cs="Times New Roman"/>
        </w:rPr>
        <w:t>(2), 85-93.</w:t>
      </w:r>
    </w:p>
    <w:p w14:paraId="54E0DB6E" w14:textId="77777777" w:rsidR="007C314F" w:rsidRPr="00BA0DF9" w:rsidRDefault="007C314F" w:rsidP="0078149A">
      <w:pPr>
        <w:spacing w:after="140" w:line="240" w:lineRule="auto"/>
        <w:ind w:left="540" w:hanging="540"/>
        <w:rPr>
          <w:rFonts w:ascii="Times New Roman" w:hAnsi="Times New Roman" w:cs="Times New Roman"/>
        </w:rPr>
      </w:pPr>
      <w:bookmarkStart w:id="5" w:name="_Hlk164716647"/>
      <w:r w:rsidRPr="00BA0DF9">
        <w:rPr>
          <w:rFonts w:ascii="Times New Roman" w:hAnsi="Times New Roman" w:cs="Times New Roman"/>
        </w:rPr>
        <w:t>Mahmudi</w:t>
      </w:r>
      <w:r w:rsidRPr="00BA0DF9">
        <w:rPr>
          <w:rFonts w:ascii="Times New Roman" w:hAnsi="Times New Roman" w:cs="Times New Roman"/>
          <w:lang w:val="en-US"/>
        </w:rPr>
        <w:t>, B.</w:t>
      </w:r>
      <w:r w:rsidRPr="00BA0DF9">
        <w:rPr>
          <w:rFonts w:ascii="Times New Roman" w:hAnsi="Times New Roman" w:cs="Times New Roman"/>
        </w:rPr>
        <w:t xml:space="preserve"> (2014). The Influence of Board Governance Characteristics on Intellectual Capital Performance (Empirical Study on Listed Banks in BEI 2008 – 2012. Rev. </w:t>
      </w:r>
      <w:r w:rsidRPr="00BA0DF9">
        <w:rPr>
          <w:rFonts w:ascii="Times New Roman" w:hAnsi="Times New Roman" w:cs="Times New Roman"/>
          <w:i/>
          <w:iCs/>
        </w:rPr>
        <w:t>Integr. Bus. Econ. Res., 4</w:t>
      </w:r>
      <w:r w:rsidRPr="00BA0DF9">
        <w:rPr>
          <w:rFonts w:ascii="Times New Roman" w:hAnsi="Times New Roman" w:cs="Times New Roman"/>
        </w:rPr>
        <w:t>(1), 417-430.</w:t>
      </w:r>
      <w:bookmarkEnd w:id="5"/>
    </w:p>
    <w:p w14:paraId="514EE4E0"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t xml:space="preserve">Nwachukwu, C. C., &amp; Chladkova, H. (2023). Corporate governance and firm performance: Evidence from the Nigerian non-financial services sector. </w:t>
      </w:r>
      <w:r w:rsidRPr="00BA0DF9">
        <w:rPr>
          <w:rFonts w:ascii="Times New Roman" w:hAnsi="Times New Roman" w:cs="Times New Roman"/>
          <w:i/>
          <w:kern w:val="0"/>
          <w:lang w:val="en-US"/>
        </w:rPr>
        <w:t>African Journal of Economic and Management Studies, 14</w:t>
      </w:r>
      <w:r w:rsidRPr="00BA0DF9">
        <w:rPr>
          <w:rFonts w:ascii="Times New Roman" w:hAnsi="Times New Roman" w:cs="Times New Roman"/>
          <w:kern w:val="0"/>
          <w:lang w:val="en-US"/>
        </w:rPr>
        <w:t>(1), 56-74. https://doi.org/10.1108/AJEMS-08-2022-0332</w:t>
      </w:r>
    </w:p>
    <w:p w14:paraId="5AAF3E04"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t xml:space="preserve">Okeke, T. C., Nneji, I. D., &amp; Anichebe, N. A. (2023). Board attributes and intellectual capital efficiency of listed non-financial firms in Nigeria. </w:t>
      </w:r>
      <w:r w:rsidRPr="00BA0DF9">
        <w:rPr>
          <w:rFonts w:ascii="Times New Roman" w:hAnsi="Times New Roman" w:cs="Times New Roman"/>
          <w:i/>
          <w:kern w:val="0"/>
          <w:lang w:val="en-US"/>
        </w:rPr>
        <w:t>Journal of Business Diversity, 24</w:t>
      </w:r>
      <w:r w:rsidRPr="00BA0DF9">
        <w:rPr>
          <w:rFonts w:ascii="Times New Roman" w:hAnsi="Times New Roman" w:cs="Times New Roman"/>
          <w:kern w:val="0"/>
          <w:lang w:val="en-US"/>
        </w:rPr>
        <w:t>(3), 59-74. Retrieved from https://www.articlegateway.com/index.php/JBD/article/view/3971</w:t>
      </w:r>
    </w:p>
    <w:p w14:paraId="0FEAF4BA" w14:textId="77777777" w:rsidR="007C314F" w:rsidRPr="00BA0DF9" w:rsidRDefault="007C314F" w:rsidP="0078149A">
      <w:pPr>
        <w:spacing w:after="140" w:line="240" w:lineRule="auto"/>
        <w:ind w:left="540" w:hanging="540"/>
        <w:rPr>
          <w:rStyle w:val="Hyperlink"/>
          <w:rFonts w:ascii="Times New Roman" w:hAnsi="Times New Roman" w:cs="Times New Roman"/>
        </w:rPr>
      </w:pPr>
      <w:r w:rsidRPr="00BA0DF9">
        <w:rPr>
          <w:rFonts w:ascii="Times New Roman" w:hAnsi="Times New Roman" w:cs="Times New Roman"/>
        </w:rPr>
        <w:t>Oktaviana, A. R., &amp; Setiawan</w:t>
      </w:r>
      <w:r>
        <w:rPr>
          <w:rFonts w:ascii="Times New Roman" w:hAnsi="Times New Roman" w:cs="Times New Roman"/>
          <w:lang w:val="en-US"/>
        </w:rPr>
        <w:t>,</w:t>
      </w:r>
      <w:r w:rsidRPr="00BA0DF9">
        <w:rPr>
          <w:rFonts w:ascii="Times New Roman" w:hAnsi="Times New Roman" w:cs="Times New Roman"/>
        </w:rPr>
        <w:t xml:space="preserve"> D. (2022). Board Characteristics and Intellectual Capital in Islamic Banks: Evidence from Indonesia, Malaysia and Bangladesh. Falah: </w:t>
      </w:r>
      <w:r w:rsidRPr="00BA0DF9">
        <w:rPr>
          <w:rFonts w:ascii="Times New Roman" w:hAnsi="Times New Roman" w:cs="Times New Roman"/>
          <w:i/>
          <w:iCs/>
        </w:rPr>
        <w:t>Journal Ekonomi Syariah, 7</w:t>
      </w:r>
      <w:r w:rsidRPr="00BA0DF9">
        <w:rPr>
          <w:rFonts w:ascii="Times New Roman" w:hAnsi="Times New Roman" w:cs="Times New Roman"/>
        </w:rPr>
        <w:t>(1), 1-12</w:t>
      </w:r>
      <w:r w:rsidRPr="008D4E1C">
        <w:rPr>
          <w:rFonts w:ascii="Times New Roman" w:hAnsi="Times New Roman" w:cs="Times New Roman"/>
        </w:rPr>
        <w:t xml:space="preserve">. </w:t>
      </w:r>
      <w:hyperlink r:id="rId7" w:history="1">
        <w:r w:rsidRPr="008D4E1C">
          <w:rPr>
            <w:rStyle w:val="Hyperlink"/>
            <w:rFonts w:ascii="Times New Roman" w:hAnsi="Times New Roman" w:cs="Times New Roman"/>
            <w:color w:val="auto"/>
            <w:u w:val="none"/>
          </w:rPr>
          <w:t>https://doi.org/10.22219/jes.v7i1.19900</w:t>
        </w:r>
      </w:hyperlink>
    </w:p>
    <w:p w14:paraId="43BB2BCF" w14:textId="77777777" w:rsidR="007C314F" w:rsidRPr="00BA0DF9" w:rsidRDefault="007C314F" w:rsidP="0078149A">
      <w:pPr>
        <w:spacing w:after="140" w:line="240" w:lineRule="auto"/>
        <w:ind w:left="540" w:hanging="540"/>
        <w:rPr>
          <w:rFonts w:ascii="Times New Roman" w:hAnsi="Times New Roman" w:cs="Times New Roman"/>
          <w:kern w:val="0"/>
          <w:lang w:val="en-US"/>
        </w:rPr>
      </w:pPr>
      <w:r w:rsidRPr="00BA0DF9">
        <w:rPr>
          <w:rFonts w:ascii="Times New Roman" w:hAnsi="Times New Roman" w:cs="Times New Roman"/>
          <w:kern w:val="0"/>
          <w:lang w:val="en-US"/>
        </w:rPr>
        <w:lastRenderedPageBreak/>
        <w:t xml:space="preserve">Pulic, A. (2004). Intellectual capital – does it create or destroy value? </w:t>
      </w:r>
      <w:r w:rsidRPr="00BA0DF9">
        <w:rPr>
          <w:rFonts w:ascii="Times New Roman" w:hAnsi="Times New Roman" w:cs="Times New Roman"/>
          <w:i/>
          <w:kern w:val="0"/>
          <w:lang w:val="en-US"/>
        </w:rPr>
        <w:t>Measuring Business Excellence, 8</w:t>
      </w:r>
      <w:r w:rsidRPr="00BA0DF9">
        <w:rPr>
          <w:rFonts w:ascii="Times New Roman" w:hAnsi="Times New Roman" w:cs="Times New Roman"/>
          <w:kern w:val="0"/>
          <w:lang w:val="en-US"/>
        </w:rPr>
        <w:t>(1), 62-68.</w:t>
      </w:r>
    </w:p>
    <w:p w14:paraId="7E8C6C6D" w14:textId="77777777" w:rsidR="007C314F" w:rsidRPr="00BA0DF9" w:rsidRDefault="007C314F" w:rsidP="0078149A">
      <w:pPr>
        <w:spacing w:after="140" w:line="240" w:lineRule="auto"/>
        <w:ind w:left="540" w:hanging="540"/>
        <w:rPr>
          <w:rFonts w:ascii="Times New Roman" w:hAnsi="Times New Roman" w:cs="Times New Roman"/>
          <w:kern w:val="0"/>
          <w:lang w:val="en-US"/>
        </w:rPr>
      </w:pPr>
      <w:bookmarkStart w:id="6" w:name="_Hlk165908612"/>
      <w:r w:rsidRPr="00BA0DF9">
        <w:rPr>
          <w:rFonts w:ascii="Times New Roman" w:hAnsi="Times New Roman" w:cs="Times New Roman"/>
        </w:rPr>
        <w:t>Sanyaolu</w:t>
      </w:r>
      <w:bookmarkEnd w:id="6"/>
      <w:r w:rsidRPr="00BA0DF9">
        <w:rPr>
          <w:rFonts w:ascii="Times New Roman" w:hAnsi="Times New Roman" w:cs="Times New Roman"/>
        </w:rPr>
        <w:t xml:space="preserve">, W. A., Eniola, A. A., Zhaxat, K., Nursapina, K., Kuangaliyeva, T. K. &amp; Odunayo, J. (2022) Board of directors’ gender diversity and intellectual capital efficiency: The role of international authorisation, </w:t>
      </w:r>
      <w:r w:rsidRPr="00BA0DF9">
        <w:rPr>
          <w:rFonts w:ascii="Times New Roman" w:hAnsi="Times New Roman" w:cs="Times New Roman"/>
          <w:i/>
          <w:iCs/>
        </w:rPr>
        <w:t>Cogent Business &amp; Management, 9</w:t>
      </w:r>
      <w:r w:rsidRPr="00BA0DF9">
        <w:rPr>
          <w:rFonts w:ascii="Times New Roman" w:hAnsi="Times New Roman" w:cs="Times New Roman"/>
        </w:rPr>
        <w:t xml:space="preserve">(1), 2122802, </w:t>
      </w:r>
      <w:r w:rsidRPr="008D4E1C">
        <w:rPr>
          <w:rFonts w:ascii="Times New Roman" w:hAnsi="Times New Roman" w:cs="Times New Roman"/>
        </w:rPr>
        <w:t>https://doi.org/</w:t>
      </w:r>
      <w:r w:rsidRPr="00BA0DF9">
        <w:rPr>
          <w:rFonts w:ascii="Times New Roman" w:hAnsi="Times New Roman" w:cs="Times New Roman"/>
        </w:rPr>
        <w:t>10.1080/23311975.2022.2122802</w:t>
      </w:r>
    </w:p>
    <w:p w14:paraId="6C2895B2" w14:textId="77777777" w:rsidR="007C314F" w:rsidRPr="00BA0DF9" w:rsidRDefault="007C314F" w:rsidP="0078149A">
      <w:pPr>
        <w:spacing w:after="140" w:line="240" w:lineRule="auto"/>
        <w:ind w:left="540" w:hanging="540"/>
        <w:rPr>
          <w:rFonts w:ascii="Times New Roman" w:hAnsi="Times New Roman" w:cs="Times New Roman"/>
          <w:color w:val="222222"/>
          <w:shd w:val="clear" w:color="auto" w:fill="FFFFFF"/>
        </w:rPr>
      </w:pPr>
      <w:r w:rsidRPr="00BA0DF9">
        <w:rPr>
          <w:rFonts w:ascii="Times New Roman" w:hAnsi="Times New Roman" w:cs="Times New Roman"/>
          <w:color w:val="222222"/>
          <w:shd w:val="clear" w:color="auto" w:fill="FFFFFF"/>
        </w:rPr>
        <w:t>Shahzad, K., Shah, S. Q. A., Lai, F. W., Jan, A. A., Shah, S. A. A., &amp; Shad, M. K. (2023). Exploring the nexus of corporate governance and intellectual capital efficiency: from the lens of profitability. </w:t>
      </w:r>
      <w:r w:rsidRPr="00BA0DF9">
        <w:rPr>
          <w:rFonts w:ascii="Times New Roman" w:hAnsi="Times New Roman" w:cs="Times New Roman"/>
          <w:i/>
          <w:iCs/>
          <w:color w:val="222222"/>
          <w:shd w:val="clear" w:color="auto" w:fill="FFFFFF"/>
        </w:rPr>
        <w:t>Quality &amp; Quantity</w:t>
      </w:r>
      <w:r w:rsidRPr="00BA0DF9">
        <w:rPr>
          <w:rFonts w:ascii="Times New Roman" w:hAnsi="Times New Roman" w:cs="Times New Roman"/>
          <w:color w:val="222222"/>
          <w:shd w:val="clear" w:color="auto" w:fill="FFFFFF"/>
        </w:rPr>
        <w:t>, </w:t>
      </w:r>
      <w:r w:rsidRPr="00BA0DF9">
        <w:rPr>
          <w:rFonts w:ascii="Times New Roman" w:hAnsi="Times New Roman" w:cs="Times New Roman"/>
          <w:i/>
          <w:iCs/>
          <w:color w:val="222222"/>
          <w:shd w:val="clear" w:color="auto" w:fill="FFFFFF"/>
        </w:rPr>
        <w:t>57</w:t>
      </w:r>
      <w:r w:rsidRPr="00BA0DF9">
        <w:rPr>
          <w:rFonts w:ascii="Times New Roman" w:hAnsi="Times New Roman" w:cs="Times New Roman"/>
          <w:color w:val="222222"/>
          <w:shd w:val="clear" w:color="auto" w:fill="FFFFFF"/>
        </w:rPr>
        <w:t>(3), 2447-2468.</w:t>
      </w:r>
    </w:p>
    <w:sectPr w:rsidR="007C314F" w:rsidRPr="00BA0DF9" w:rsidSect="0003440A">
      <w:footerReference w:type="default" r:id="rId8"/>
      <w:pgSz w:w="12240" w:h="15840"/>
      <w:pgMar w:top="1440" w:right="1440" w:bottom="1134"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92623" w14:textId="77777777" w:rsidR="00F46D76" w:rsidRDefault="00F46D76" w:rsidP="0003440A">
      <w:pPr>
        <w:spacing w:after="0" w:line="240" w:lineRule="auto"/>
      </w:pPr>
      <w:r>
        <w:separator/>
      </w:r>
    </w:p>
  </w:endnote>
  <w:endnote w:type="continuationSeparator" w:id="0">
    <w:p w14:paraId="08D10FED" w14:textId="77777777" w:rsidR="00F46D76" w:rsidRDefault="00F46D76" w:rsidP="00034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0083228"/>
      <w:docPartObj>
        <w:docPartGallery w:val="Page Numbers (Bottom of Page)"/>
        <w:docPartUnique/>
      </w:docPartObj>
    </w:sdtPr>
    <w:sdtEndPr>
      <w:rPr>
        <w:noProof/>
      </w:rPr>
    </w:sdtEndPr>
    <w:sdtContent>
      <w:p w14:paraId="2FC42986" w14:textId="40059168" w:rsidR="0005463B" w:rsidRDefault="0005463B">
        <w:pPr>
          <w:pStyle w:val="Footer"/>
          <w:jc w:val="center"/>
        </w:pPr>
        <w:r>
          <w:fldChar w:fldCharType="begin"/>
        </w:r>
        <w:r>
          <w:instrText xml:space="preserve"> PAGE   \* MERGEFORMAT </w:instrText>
        </w:r>
        <w:r>
          <w:fldChar w:fldCharType="separate"/>
        </w:r>
        <w:r w:rsidR="00897AB5">
          <w:rPr>
            <w:noProof/>
          </w:rPr>
          <w:t>1</w:t>
        </w:r>
        <w:r>
          <w:rPr>
            <w:noProof/>
          </w:rPr>
          <w:fldChar w:fldCharType="end"/>
        </w:r>
      </w:p>
    </w:sdtContent>
  </w:sdt>
  <w:p w14:paraId="179DEB3D" w14:textId="77777777" w:rsidR="0005463B" w:rsidRDefault="000546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F54F44" w14:textId="77777777" w:rsidR="00F46D76" w:rsidRDefault="00F46D76" w:rsidP="0003440A">
      <w:pPr>
        <w:spacing w:after="0" w:line="240" w:lineRule="auto"/>
      </w:pPr>
      <w:r>
        <w:separator/>
      </w:r>
    </w:p>
  </w:footnote>
  <w:footnote w:type="continuationSeparator" w:id="0">
    <w:p w14:paraId="7F12E460" w14:textId="77777777" w:rsidR="00F46D76" w:rsidRDefault="00F46D76" w:rsidP="00034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30A"/>
    <w:multiLevelType w:val="hybridMultilevel"/>
    <w:tmpl w:val="982E89C4"/>
    <w:lvl w:ilvl="0" w:tplc="09BE0918">
      <w:start w:val="1"/>
      <w:numFmt w:val="lowerRoman"/>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085B3973"/>
    <w:multiLevelType w:val="hybridMultilevel"/>
    <w:tmpl w:val="4B1A8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E795FEC"/>
    <w:multiLevelType w:val="hybridMultilevel"/>
    <w:tmpl w:val="708890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895BEE"/>
    <w:multiLevelType w:val="hybridMultilevel"/>
    <w:tmpl w:val="ED240084"/>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4" w15:restartNumberingAfterBreak="0">
    <w:nsid w:val="137F2C33"/>
    <w:multiLevelType w:val="hybridMultilevel"/>
    <w:tmpl w:val="3EDA8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8E1B22"/>
    <w:multiLevelType w:val="hybridMultilevel"/>
    <w:tmpl w:val="DD92A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F41C6D"/>
    <w:multiLevelType w:val="hybridMultilevel"/>
    <w:tmpl w:val="07A23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6E0E9D"/>
    <w:multiLevelType w:val="hybridMultilevel"/>
    <w:tmpl w:val="ED2400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A8654E"/>
    <w:multiLevelType w:val="hybridMultilevel"/>
    <w:tmpl w:val="4CC21AFA"/>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2C23064"/>
    <w:multiLevelType w:val="hybridMultilevel"/>
    <w:tmpl w:val="5CE0557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AA6693B"/>
    <w:multiLevelType w:val="hybridMultilevel"/>
    <w:tmpl w:val="07A23AE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1A42586"/>
    <w:multiLevelType w:val="hybridMultilevel"/>
    <w:tmpl w:val="4CC2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68C4A07"/>
    <w:multiLevelType w:val="hybridMultilevel"/>
    <w:tmpl w:val="5CE0557C"/>
    <w:lvl w:ilvl="0" w:tplc="FFFFFFFF">
      <w:start w:val="1"/>
      <w:numFmt w:val="decimal"/>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205BFA"/>
    <w:multiLevelType w:val="hybridMultilevel"/>
    <w:tmpl w:val="268E7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B47F05"/>
    <w:multiLevelType w:val="hybridMultilevel"/>
    <w:tmpl w:val="CEB44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E03329F"/>
    <w:multiLevelType w:val="hybridMultilevel"/>
    <w:tmpl w:val="4CC21AF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4AF3E72"/>
    <w:multiLevelType w:val="hybridMultilevel"/>
    <w:tmpl w:val="B2527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4B75C03"/>
    <w:multiLevelType w:val="multilevel"/>
    <w:tmpl w:val="3F70F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C507A8"/>
    <w:multiLevelType w:val="hybridMultilevel"/>
    <w:tmpl w:val="05ACD232"/>
    <w:lvl w:ilvl="0" w:tplc="A0186494">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505058F6"/>
    <w:multiLevelType w:val="hybridMultilevel"/>
    <w:tmpl w:val="CEB44C9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0" w15:restartNumberingAfterBreak="0">
    <w:nsid w:val="512B1521"/>
    <w:multiLevelType w:val="hybridMultilevel"/>
    <w:tmpl w:val="B252742E"/>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1" w15:restartNumberingAfterBreak="0">
    <w:nsid w:val="522803BB"/>
    <w:multiLevelType w:val="hybridMultilevel"/>
    <w:tmpl w:val="ED24008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7F768BB"/>
    <w:multiLevelType w:val="hybridMultilevel"/>
    <w:tmpl w:val="5CE0557C"/>
    <w:lvl w:ilvl="0" w:tplc="9E1C207C">
      <w:start w:val="1"/>
      <w:numFmt w:val="decimal"/>
      <w:lvlText w:val="%1."/>
      <w:lvlJc w:val="righ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3" w15:restartNumberingAfterBreak="0">
    <w:nsid w:val="6582737D"/>
    <w:multiLevelType w:val="hybridMultilevel"/>
    <w:tmpl w:val="DD92AF9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5DA35AB"/>
    <w:multiLevelType w:val="hybridMultilevel"/>
    <w:tmpl w:val="3EDA80F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8F3090E"/>
    <w:multiLevelType w:val="hybridMultilevel"/>
    <w:tmpl w:val="07A23AE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6AFF789A"/>
    <w:multiLevelType w:val="hybridMultilevel"/>
    <w:tmpl w:val="090A1C72"/>
    <w:lvl w:ilvl="0" w:tplc="09BE0918">
      <w:start w:val="1"/>
      <w:numFmt w:val="lowerRoman"/>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7" w15:restartNumberingAfterBreak="0">
    <w:nsid w:val="6C303721"/>
    <w:multiLevelType w:val="hybridMultilevel"/>
    <w:tmpl w:val="4B1A8C8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8" w15:restartNumberingAfterBreak="0">
    <w:nsid w:val="6CD16B6E"/>
    <w:multiLevelType w:val="hybridMultilevel"/>
    <w:tmpl w:val="CEB44C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D260B02"/>
    <w:multiLevelType w:val="hybridMultilevel"/>
    <w:tmpl w:val="4B1A8C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F1F541A"/>
    <w:multiLevelType w:val="hybridMultilevel"/>
    <w:tmpl w:val="03C0230A"/>
    <w:lvl w:ilvl="0" w:tplc="7534D79C">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1" w15:restartNumberingAfterBreak="0">
    <w:nsid w:val="7075034D"/>
    <w:multiLevelType w:val="hybridMultilevel"/>
    <w:tmpl w:val="3EDA80F6"/>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2" w15:restartNumberingAfterBreak="0">
    <w:nsid w:val="7124399E"/>
    <w:multiLevelType w:val="hybridMultilevel"/>
    <w:tmpl w:val="B25274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298130A"/>
    <w:multiLevelType w:val="hybridMultilevel"/>
    <w:tmpl w:val="268E7D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33C18D6"/>
    <w:multiLevelType w:val="hybridMultilevel"/>
    <w:tmpl w:val="7088909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3CB16AE"/>
    <w:multiLevelType w:val="hybridMultilevel"/>
    <w:tmpl w:val="70889092"/>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6" w15:restartNumberingAfterBreak="0">
    <w:nsid w:val="773622AF"/>
    <w:multiLevelType w:val="hybridMultilevel"/>
    <w:tmpl w:val="268E7D3E"/>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7" w15:restartNumberingAfterBreak="0">
    <w:nsid w:val="77751EB4"/>
    <w:multiLevelType w:val="hybridMultilevel"/>
    <w:tmpl w:val="DD92AF9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8" w15:restartNumberingAfterBreak="0">
    <w:nsid w:val="7E7813B1"/>
    <w:multiLevelType w:val="hybridMultilevel"/>
    <w:tmpl w:val="DBC23284"/>
    <w:lvl w:ilvl="0" w:tplc="76340352">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9" w15:restartNumberingAfterBreak="0">
    <w:nsid w:val="7FDA2A49"/>
    <w:multiLevelType w:val="hybridMultilevel"/>
    <w:tmpl w:val="A0DA4466"/>
    <w:lvl w:ilvl="0" w:tplc="E7621644">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abstractNumId w:val="18"/>
  </w:num>
  <w:num w:numId="2">
    <w:abstractNumId w:val="38"/>
  </w:num>
  <w:num w:numId="3">
    <w:abstractNumId w:val="25"/>
  </w:num>
  <w:num w:numId="4">
    <w:abstractNumId w:val="20"/>
  </w:num>
  <w:num w:numId="5">
    <w:abstractNumId w:val="36"/>
  </w:num>
  <w:num w:numId="6">
    <w:abstractNumId w:val="19"/>
  </w:num>
  <w:num w:numId="7">
    <w:abstractNumId w:val="31"/>
  </w:num>
  <w:num w:numId="8">
    <w:abstractNumId w:val="37"/>
  </w:num>
  <w:num w:numId="9">
    <w:abstractNumId w:val="8"/>
  </w:num>
  <w:num w:numId="10">
    <w:abstractNumId w:val="3"/>
  </w:num>
  <w:num w:numId="11">
    <w:abstractNumId w:val="35"/>
  </w:num>
  <w:num w:numId="12">
    <w:abstractNumId w:val="27"/>
  </w:num>
  <w:num w:numId="13">
    <w:abstractNumId w:val="22"/>
  </w:num>
  <w:num w:numId="14">
    <w:abstractNumId w:val="12"/>
  </w:num>
  <w:num w:numId="15">
    <w:abstractNumId w:val="29"/>
  </w:num>
  <w:num w:numId="16">
    <w:abstractNumId w:val="2"/>
  </w:num>
  <w:num w:numId="17">
    <w:abstractNumId w:val="21"/>
  </w:num>
  <w:num w:numId="18">
    <w:abstractNumId w:val="6"/>
  </w:num>
  <w:num w:numId="19">
    <w:abstractNumId w:val="16"/>
  </w:num>
  <w:num w:numId="20">
    <w:abstractNumId w:val="11"/>
  </w:num>
  <w:num w:numId="21">
    <w:abstractNumId w:val="5"/>
  </w:num>
  <w:num w:numId="22">
    <w:abstractNumId w:val="4"/>
  </w:num>
  <w:num w:numId="23">
    <w:abstractNumId w:val="14"/>
  </w:num>
  <w:num w:numId="24">
    <w:abstractNumId w:val="13"/>
  </w:num>
  <w:num w:numId="25">
    <w:abstractNumId w:val="9"/>
  </w:num>
  <w:num w:numId="26">
    <w:abstractNumId w:val="15"/>
  </w:num>
  <w:num w:numId="27">
    <w:abstractNumId w:val="23"/>
  </w:num>
  <w:num w:numId="28">
    <w:abstractNumId w:val="24"/>
  </w:num>
  <w:num w:numId="29">
    <w:abstractNumId w:val="28"/>
  </w:num>
  <w:num w:numId="30">
    <w:abstractNumId w:val="32"/>
  </w:num>
  <w:num w:numId="31">
    <w:abstractNumId w:val="10"/>
  </w:num>
  <w:num w:numId="32">
    <w:abstractNumId w:val="7"/>
  </w:num>
  <w:num w:numId="33">
    <w:abstractNumId w:val="34"/>
  </w:num>
  <w:num w:numId="34">
    <w:abstractNumId w:val="1"/>
  </w:num>
  <w:num w:numId="35">
    <w:abstractNumId w:val="33"/>
  </w:num>
  <w:num w:numId="36">
    <w:abstractNumId w:val="17"/>
  </w:num>
  <w:num w:numId="37">
    <w:abstractNumId w:val="26"/>
  </w:num>
  <w:num w:numId="38">
    <w:abstractNumId w:val="30"/>
  </w:num>
  <w:num w:numId="39">
    <w:abstractNumId w:val="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01B"/>
    <w:rsid w:val="00012438"/>
    <w:rsid w:val="00015317"/>
    <w:rsid w:val="00022863"/>
    <w:rsid w:val="0003440A"/>
    <w:rsid w:val="000360D2"/>
    <w:rsid w:val="00052742"/>
    <w:rsid w:val="0005463B"/>
    <w:rsid w:val="00056DF9"/>
    <w:rsid w:val="00081725"/>
    <w:rsid w:val="000A537A"/>
    <w:rsid w:val="000B399F"/>
    <w:rsid w:val="000F4C21"/>
    <w:rsid w:val="0010004F"/>
    <w:rsid w:val="0010543E"/>
    <w:rsid w:val="0014104F"/>
    <w:rsid w:val="001467F9"/>
    <w:rsid w:val="00163F20"/>
    <w:rsid w:val="001749F9"/>
    <w:rsid w:val="00190C2C"/>
    <w:rsid w:val="00190E1D"/>
    <w:rsid w:val="001A2D8D"/>
    <w:rsid w:val="001B1A9B"/>
    <w:rsid w:val="001C7E9F"/>
    <w:rsid w:val="00215CBE"/>
    <w:rsid w:val="002259C5"/>
    <w:rsid w:val="00231809"/>
    <w:rsid w:val="00255C93"/>
    <w:rsid w:val="002D1C52"/>
    <w:rsid w:val="002D21D3"/>
    <w:rsid w:val="002D378E"/>
    <w:rsid w:val="002D4810"/>
    <w:rsid w:val="002D6798"/>
    <w:rsid w:val="002F0CB8"/>
    <w:rsid w:val="00322E7A"/>
    <w:rsid w:val="00331EF6"/>
    <w:rsid w:val="00341E42"/>
    <w:rsid w:val="0035184B"/>
    <w:rsid w:val="003D1F0E"/>
    <w:rsid w:val="003D60F2"/>
    <w:rsid w:val="003E5F3D"/>
    <w:rsid w:val="00426A93"/>
    <w:rsid w:val="00431ED9"/>
    <w:rsid w:val="00433863"/>
    <w:rsid w:val="004570DA"/>
    <w:rsid w:val="004747DB"/>
    <w:rsid w:val="00474A04"/>
    <w:rsid w:val="00493A41"/>
    <w:rsid w:val="004B4266"/>
    <w:rsid w:val="004C0434"/>
    <w:rsid w:val="004D368C"/>
    <w:rsid w:val="004E15C7"/>
    <w:rsid w:val="004E71FE"/>
    <w:rsid w:val="005058CD"/>
    <w:rsid w:val="005125C0"/>
    <w:rsid w:val="0055059C"/>
    <w:rsid w:val="0056708D"/>
    <w:rsid w:val="005773D2"/>
    <w:rsid w:val="005830D0"/>
    <w:rsid w:val="005B1ABB"/>
    <w:rsid w:val="00607A46"/>
    <w:rsid w:val="0061718C"/>
    <w:rsid w:val="00621CD5"/>
    <w:rsid w:val="006272F8"/>
    <w:rsid w:val="0065394F"/>
    <w:rsid w:val="00662619"/>
    <w:rsid w:val="00662FC3"/>
    <w:rsid w:val="0066356F"/>
    <w:rsid w:val="00666257"/>
    <w:rsid w:val="006A701B"/>
    <w:rsid w:val="006E12E8"/>
    <w:rsid w:val="006F01A7"/>
    <w:rsid w:val="00710616"/>
    <w:rsid w:val="00720370"/>
    <w:rsid w:val="00744DF5"/>
    <w:rsid w:val="007512F2"/>
    <w:rsid w:val="007647E7"/>
    <w:rsid w:val="00776EF7"/>
    <w:rsid w:val="0077752F"/>
    <w:rsid w:val="0078065C"/>
    <w:rsid w:val="0078149A"/>
    <w:rsid w:val="00786665"/>
    <w:rsid w:val="00791961"/>
    <w:rsid w:val="007B0EB0"/>
    <w:rsid w:val="007C314F"/>
    <w:rsid w:val="007E0B88"/>
    <w:rsid w:val="007F2A55"/>
    <w:rsid w:val="008023C4"/>
    <w:rsid w:val="00806BF2"/>
    <w:rsid w:val="00815AA8"/>
    <w:rsid w:val="00823131"/>
    <w:rsid w:val="0084131E"/>
    <w:rsid w:val="008415CD"/>
    <w:rsid w:val="008422CD"/>
    <w:rsid w:val="0087333A"/>
    <w:rsid w:val="00897AB5"/>
    <w:rsid w:val="008A1EA9"/>
    <w:rsid w:val="008D4E1C"/>
    <w:rsid w:val="008F2527"/>
    <w:rsid w:val="008F3487"/>
    <w:rsid w:val="008F5034"/>
    <w:rsid w:val="008F55E2"/>
    <w:rsid w:val="00902CD4"/>
    <w:rsid w:val="009506E7"/>
    <w:rsid w:val="00972ED0"/>
    <w:rsid w:val="009743D8"/>
    <w:rsid w:val="00982E42"/>
    <w:rsid w:val="00992B54"/>
    <w:rsid w:val="009A2E75"/>
    <w:rsid w:val="009A2F16"/>
    <w:rsid w:val="009A7C79"/>
    <w:rsid w:val="009D68C5"/>
    <w:rsid w:val="009E30BD"/>
    <w:rsid w:val="009E7DDD"/>
    <w:rsid w:val="009F006A"/>
    <w:rsid w:val="00A649C7"/>
    <w:rsid w:val="00A81AB3"/>
    <w:rsid w:val="00A8742B"/>
    <w:rsid w:val="00AB0591"/>
    <w:rsid w:val="00AB6495"/>
    <w:rsid w:val="00AB6539"/>
    <w:rsid w:val="00AC0029"/>
    <w:rsid w:val="00AC1763"/>
    <w:rsid w:val="00AE6071"/>
    <w:rsid w:val="00B05877"/>
    <w:rsid w:val="00B2746C"/>
    <w:rsid w:val="00B32099"/>
    <w:rsid w:val="00B40AAC"/>
    <w:rsid w:val="00B5084A"/>
    <w:rsid w:val="00B571FC"/>
    <w:rsid w:val="00B650FD"/>
    <w:rsid w:val="00B76B77"/>
    <w:rsid w:val="00B90FB8"/>
    <w:rsid w:val="00BA0DF9"/>
    <w:rsid w:val="00BE0C35"/>
    <w:rsid w:val="00C244DA"/>
    <w:rsid w:val="00C35923"/>
    <w:rsid w:val="00C4593D"/>
    <w:rsid w:val="00C65482"/>
    <w:rsid w:val="00C67F99"/>
    <w:rsid w:val="00C7681F"/>
    <w:rsid w:val="00C769F9"/>
    <w:rsid w:val="00C77518"/>
    <w:rsid w:val="00C83101"/>
    <w:rsid w:val="00C8720F"/>
    <w:rsid w:val="00C92DCE"/>
    <w:rsid w:val="00CD1B9E"/>
    <w:rsid w:val="00CF0855"/>
    <w:rsid w:val="00D16C94"/>
    <w:rsid w:val="00D43304"/>
    <w:rsid w:val="00D511F3"/>
    <w:rsid w:val="00D64C60"/>
    <w:rsid w:val="00D74D6D"/>
    <w:rsid w:val="00D9011D"/>
    <w:rsid w:val="00DA4F24"/>
    <w:rsid w:val="00DC4ADB"/>
    <w:rsid w:val="00DE7C6F"/>
    <w:rsid w:val="00DF3638"/>
    <w:rsid w:val="00DF6185"/>
    <w:rsid w:val="00E04A14"/>
    <w:rsid w:val="00E21145"/>
    <w:rsid w:val="00E21C4F"/>
    <w:rsid w:val="00E25EEC"/>
    <w:rsid w:val="00E42E1B"/>
    <w:rsid w:val="00E44365"/>
    <w:rsid w:val="00E46945"/>
    <w:rsid w:val="00EA1E95"/>
    <w:rsid w:val="00EC021E"/>
    <w:rsid w:val="00EC4753"/>
    <w:rsid w:val="00EC4894"/>
    <w:rsid w:val="00EC57C1"/>
    <w:rsid w:val="00EC5D96"/>
    <w:rsid w:val="00EC6B89"/>
    <w:rsid w:val="00F055B6"/>
    <w:rsid w:val="00F17299"/>
    <w:rsid w:val="00F2378D"/>
    <w:rsid w:val="00F46D76"/>
    <w:rsid w:val="00F50EB0"/>
    <w:rsid w:val="00F65AA7"/>
    <w:rsid w:val="00F9291D"/>
    <w:rsid w:val="00F95D70"/>
    <w:rsid w:val="00F97EF2"/>
    <w:rsid w:val="00FB32B8"/>
    <w:rsid w:val="00FD4C42"/>
    <w:rsid w:val="00FF42BE"/>
  </w:rsids>
  <m:mathPr>
    <m:mathFont m:val="Cambria Math"/>
    <m:brkBin m:val="before"/>
    <m:brkBinSub m:val="--"/>
    <m:smallFrac m:val="0"/>
    <m:dispDef/>
    <m:lMargin m:val="0"/>
    <m:rMargin m:val="0"/>
    <m:defJc m:val="centerGroup"/>
    <m:wrapIndent m:val="1440"/>
    <m:intLim m:val="subSup"/>
    <m:naryLim m:val="undOvr"/>
  </m:mathPr>
  <w:themeFontLang w:val="en-B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49C16"/>
  <w15:chartTrackingRefBased/>
  <w15:docId w15:val="{BA419B0F-A95C-4EC3-8838-C2200122B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B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58CD"/>
    <w:rPr>
      <w:rFonts w:eastAsiaTheme="minorEastAsia"/>
      <w:lang w:eastAsia="en-BB"/>
    </w:rPr>
  </w:style>
  <w:style w:type="paragraph" w:styleId="Heading1">
    <w:name w:val="heading 1"/>
    <w:basedOn w:val="Normal"/>
    <w:next w:val="Normal"/>
    <w:link w:val="Heading1Char"/>
    <w:uiPriority w:val="9"/>
    <w:qFormat/>
    <w:rsid w:val="00C7681F"/>
    <w:pPr>
      <w:keepNext/>
      <w:keepLines/>
      <w:spacing w:before="360" w:after="80" w:line="360" w:lineRule="auto"/>
      <w:outlineLvl w:val="0"/>
    </w:pPr>
    <w:rPr>
      <w:rFonts w:ascii="Times New Roman" w:eastAsiaTheme="majorEastAsia" w:hAnsi="Times New Roman" w:cstheme="majorBidi"/>
      <w:b/>
      <w:color w:val="000000" w:themeColor="text1"/>
      <w:szCs w:val="40"/>
    </w:rPr>
  </w:style>
  <w:style w:type="paragraph" w:styleId="Heading2">
    <w:name w:val="heading 2"/>
    <w:basedOn w:val="Normal"/>
    <w:next w:val="Normal"/>
    <w:link w:val="Heading2Char"/>
    <w:uiPriority w:val="9"/>
    <w:unhideWhenUsed/>
    <w:qFormat/>
    <w:rsid w:val="006A70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A70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A70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70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70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70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70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70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681F"/>
    <w:rPr>
      <w:rFonts w:ascii="Times New Roman" w:eastAsiaTheme="majorEastAsia" w:hAnsi="Times New Roman" w:cstheme="majorBidi"/>
      <w:b/>
      <w:color w:val="000000" w:themeColor="text1"/>
      <w:szCs w:val="40"/>
      <w:lang w:eastAsia="en-BB"/>
    </w:rPr>
  </w:style>
  <w:style w:type="character" w:customStyle="1" w:styleId="Heading2Char">
    <w:name w:val="Heading 2 Char"/>
    <w:basedOn w:val="DefaultParagraphFont"/>
    <w:link w:val="Heading2"/>
    <w:uiPriority w:val="9"/>
    <w:rsid w:val="006A70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A70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A70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70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70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70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70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701B"/>
    <w:rPr>
      <w:rFonts w:eastAsiaTheme="majorEastAsia" w:cstheme="majorBidi"/>
      <w:color w:val="272727" w:themeColor="text1" w:themeTint="D8"/>
    </w:rPr>
  </w:style>
  <w:style w:type="paragraph" w:styleId="Title">
    <w:name w:val="Title"/>
    <w:basedOn w:val="Normal"/>
    <w:next w:val="Normal"/>
    <w:link w:val="TitleChar"/>
    <w:uiPriority w:val="10"/>
    <w:qFormat/>
    <w:rsid w:val="006A70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70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70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70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701B"/>
    <w:pPr>
      <w:spacing w:before="160"/>
      <w:jc w:val="center"/>
    </w:pPr>
    <w:rPr>
      <w:i/>
      <w:iCs/>
      <w:color w:val="404040" w:themeColor="text1" w:themeTint="BF"/>
    </w:rPr>
  </w:style>
  <w:style w:type="character" w:customStyle="1" w:styleId="QuoteChar">
    <w:name w:val="Quote Char"/>
    <w:basedOn w:val="DefaultParagraphFont"/>
    <w:link w:val="Quote"/>
    <w:uiPriority w:val="29"/>
    <w:rsid w:val="006A701B"/>
    <w:rPr>
      <w:i/>
      <w:iCs/>
      <w:color w:val="404040" w:themeColor="text1" w:themeTint="BF"/>
    </w:rPr>
  </w:style>
  <w:style w:type="paragraph" w:styleId="ListParagraph">
    <w:name w:val="List Paragraph"/>
    <w:basedOn w:val="Normal"/>
    <w:uiPriority w:val="34"/>
    <w:qFormat/>
    <w:rsid w:val="006A701B"/>
    <w:pPr>
      <w:ind w:left="720"/>
      <w:contextualSpacing/>
    </w:pPr>
  </w:style>
  <w:style w:type="character" w:styleId="IntenseEmphasis">
    <w:name w:val="Intense Emphasis"/>
    <w:basedOn w:val="DefaultParagraphFont"/>
    <w:uiPriority w:val="21"/>
    <w:qFormat/>
    <w:rsid w:val="006A701B"/>
    <w:rPr>
      <w:i/>
      <w:iCs/>
      <w:color w:val="0F4761" w:themeColor="accent1" w:themeShade="BF"/>
    </w:rPr>
  </w:style>
  <w:style w:type="paragraph" w:styleId="IntenseQuote">
    <w:name w:val="Intense Quote"/>
    <w:basedOn w:val="Normal"/>
    <w:next w:val="Normal"/>
    <w:link w:val="IntenseQuoteChar"/>
    <w:uiPriority w:val="30"/>
    <w:qFormat/>
    <w:rsid w:val="006A70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701B"/>
    <w:rPr>
      <w:i/>
      <w:iCs/>
      <w:color w:val="0F4761" w:themeColor="accent1" w:themeShade="BF"/>
    </w:rPr>
  </w:style>
  <w:style w:type="character" w:styleId="IntenseReference">
    <w:name w:val="Intense Reference"/>
    <w:basedOn w:val="DefaultParagraphFont"/>
    <w:uiPriority w:val="32"/>
    <w:qFormat/>
    <w:rsid w:val="006A701B"/>
    <w:rPr>
      <w:b/>
      <w:bCs/>
      <w:smallCaps/>
      <w:color w:val="0F4761" w:themeColor="accent1" w:themeShade="BF"/>
      <w:spacing w:val="5"/>
    </w:rPr>
  </w:style>
  <w:style w:type="paragraph" w:styleId="NoSpacing">
    <w:name w:val="No Spacing"/>
    <w:uiPriority w:val="1"/>
    <w:qFormat/>
    <w:rsid w:val="00C4593D"/>
    <w:pPr>
      <w:spacing w:after="0" w:line="240" w:lineRule="auto"/>
    </w:pPr>
    <w:rPr>
      <w:sz w:val="22"/>
      <w:szCs w:val="22"/>
    </w:rPr>
  </w:style>
  <w:style w:type="paragraph" w:styleId="NormalWeb">
    <w:name w:val="Normal (Web)"/>
    <w:basedOn w:val="Normal"/>
    <w:uiPriority w:val="99"/>
    <w:semiHidden/>
    <w:unhideWhenUsed/>
    <w:rsid w:val="00C67F99"/>
    <w:pPr>
      <w:spacing w:before="100" w:beforeAutospacing="1" w:after="100" w:afterAutospacing="1" w:line="240" w:lineRule="auto"/>
    </w:pPr>
    <w:rPr>
      <w:rFonts w:ascii="Times New Roman" w:eastAsia="Times New Roman" w:hAnsi="Times New Roman" w:cs="Times New Roman"/>
      <w:kern w:val="0"/>
    </w:rPr>
  </w:style>
  <w:style w:type="character" w:styleId="Hyperlink">
    <w:name w:val="Hyperlink"/>
    <w:basedOn w:val="DefaultParagraphFont"/>
    <w:uiPriority w:val="99"/>
    <w:unhideWhenUsed/>
    <w:rsid w:val="00EC4894"/>
    <w:rPr>
      <w:color w:val="467886" w:themeColor="hyperlink"/>
      <w:u w:val="single"/>
    </w:rPr>
  </w:style>
  <w:style w:type="character" w:styleId="FollowedHyperlink">
    <w:name w:val="FollowedHyperlink"/>
    <w:basedOn w:val="DefaultParagraphFont"/>
    <w:uiPriority w:val="99"/>
    <w:semiHidden/>
    <w:unhideWhenUsed/>
    <w:rsid w:val="0061718C"/>
    <w:rPr>
      <w:color w:val="954F72"/>
      <w:u w:val="single"/>
    </w:rPr>
  </w:style>
  <w:style w:type="paragraph" w:customStyle="1" w:styleId="msonormal0">
    <w:name w:val="msonormal"/>
    <w:basedOn w:val="Normal"/>
    <w:rsid w:val="0061718C"/>
    <w:pPr>
      <w:spacing w:before="100" w:beforeAutospacing="1" w:after="100" w:afterAutospacing="1" w:line="240" w:lineRule="auto"/>
    </w:pPr>
    <w:rPr>
      <w:rFonts w:ascii="Times New Roman" w:eastAsia="Times New Roman" w:hAnsi="Times New Roman" w:cs="Times New Roman"/>
      <w:kern w:val="0"/>
      <w14:ligatures w14:val="none"/>
    </w:rPr>
  </w:style>
  <w:style w:type="table" w:styleId="TableGrid">
    <w:name w:val="Table Grid"/>
    <w:basedOn w:val="TableNormal"/>
    <w:uiPriority w:val="39"/>
    <w:rsid w:val="0087333A"/>
    <w:pPr>
      <w:spacing w:after="0" w:line="240" w:lineRule="auto"/>
    </w:pPr>
    <w:rPr>
      <w:rFonts w:ascii="Aptos" w:eastAsia="Aptos" w:hAnsi="Aptos" w:cs="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BA0DF9"/>
    <w:pPr>
      <w:spacing w:line="259" w:lineRule="auto"/>
    </w:pPr>
    <w:rPr>
      <w:rFonts w:eastAsiaTheme="minorHAnsi"/>
      <w:sz w:val="22"/>
      <w:szCs w:val="22"/>
      <w:lang w:eastAsia="en-US"/>
    </w:rPr>
  </w:style>
  <w:style w:type="paragraph" w:styleId="Header">
    <w:name w:val="header"/>
    <w:basedOn w:val="Normal"/>
    <w:link w:val="HeaderChar"/>
    <w:uiPriority w:val="99"/>
    <w:unhideWhenUsed/>
    <w:rsid w:val="00034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40A"/>
    <w:rPr>
      <w:rFonts w:eastAsiaTheme="minorEastAsia"/>
      <w:lang w:eastAsia="en-BB"/>
    </w:rPr>
  </w:style>
  <w:style w:type="paragraph" w:styleId="Footer">
    <w:name w:val="footer"/>
    <w:basedOn w:val="Normal"/>
    <w:link w:val="FooterChar"/>
    <w:uiPriority w:val="99"/>
    <w:unhideWhenUsed/>
    <w:rsid w:val="00034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40A"/>
    <w:rPr>
      <w:rFonts w:eastAsiaTheme="minorEastAsia"/>
      <w:lang w:eastAsia="en-BB"/>
    </w:rPr>
  </w:style>
  <w:style w:type="paragraph" w:styleId="TOCHeading">
    <w:name w:val="TOC Heading"/>
    <w:basedOn w:val="Heading1"/>
    <w:next w:val="Normal"/>
    <w:uiPriority w:val="39"/>
    <w:unhideWhenUsed/>
    <w:qFormat/>
    <w:rsid w:val="009506E7"/>
    <w:pPr>
      <w:spacing w:before="240" w:after="0" w:line="259" w:lineRule="auto"/>
      <w:outlineLvl w:val="9"/>
    </w:pPr>
    <w:rPr>
      <w:rFonts w:asciiTheme="majorHAnsi" w:hAnsiTheme="majorHAnsi"/>
      <w:b w:val="0"/>
      <w:color w:val="0F4761" w:themeColor="accent1" w:themeShade="BF"/>
      <w:kern w:val="0"/>
      <w:sz w:val="32"/>
      <w:szCs w:val="32"/>
      <w:lang w:val="en-US" w:eastAsia="en-US"/>
      <w14:ligatures w14:val="none"/>
    </w:rPr>
  </w:style>
  <w:style w:type="paragraph" w:styleId="TOC1">
    <w:name w:val="toc 1"/>
    <w:basedOn w:val="Normal"/>
    <w:next w:val="Normal"/>
    <w:autoRedefine/>
    <w:uiPriority w:val="39"/>
    <w:unhideWhenUsed/>
    <w:rsid w:val="009506E7"/>
    <w:pPr>
      <w:spacing w:after="100" w:line="259" w:lineRule="auto"/>
    </w:pPr>
    <w:rPr>
      <w:rFonts w:eastAsiaTheme="minorHAnsi"/>
      <w:sz w:val="22"/>
      <w:szCs w:val="22"/>
      <w:lang w:eastAsia="en-US"/>
    </w:rPr>
  </w:style>
  <w:style w:type="paragraph" w:styleId="TOC2">
    <w:name w:val="toc 2"/>
    <w:basedOn w:val="Normal"/>
    <w:next w:val="Normal"/>
    <w:autoRedefine/>
    <w:uiPriority w:val="39"/>
    <w:unhideWhenUsed/>
    <w:rsid w:val="009506E7"/>
    <w:pPr>
      <w:spacing w:after="100" w:line="259" w:lineRule="auto"/>
      <w:ind w:left="220"/>
    </w:pPr>
    <w:rPr>
      <w:rFonts w:eastAsiaTheme="minorHAnsi"/>
      <w:sz w:val="22"/>
      <w:szCs w:val="22"/>
      <w:lang w:eastAsia="en-US"/>
    </w:rPr>
  </w:style>
  <w:style w:type="paragraph" w:styleId="TOC3">
    <w:name w:val="toc 3"/>
    <w:basedOn w:val="Normal"/>
    <w:next w:val="Normal"/>
    <w:autoRedefine/>
    <w:uiPriority w:val="39"/>
    <w:unhideWhenUsed/>
    <w:rsid w:val="009506E7"/>
    <w:pPr>
      <w:spacing w:after="100" w:line="259" w:lineRule="auto"/>
      <w:ind w:left="440"/>
    </w:pPr>
    <w:rPr>
      <w:rFonts w:eastAsiaTheme="minorHAnsi"/>
      <w:sz w:val="22"/>
      <w:szCs w:val="22"/>
      <w:lang w:eastAsia="en-US"/>
    </w:rPr>
  </w:style>
  <w:style w:type="paragraph" w:styleId="BalloonText">
    <w:name w:val="Balloon Text"/>
    <w:basedOn w:val="Normal"/>
    <w:link w:val="BalloonTextChar"/>
    <w:uiPriority w:val="99"/>
    <w:semiHidden/>
    <w:unhideWhenUsed/>
    <w:rsid w:val="008D4E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E1C"/>
    <w:rPr>
      <w:rFonts w:ascii="Segoe UI" w:eastAsiaTheme="minorEastAsia" w:hAnsi="Segoe UI" w:cs="Segoe UI"/>
      <w:sz w:val="18"/>
      <w:szCs w:val="18"/>
      <w:lang w:eastAsia="en-B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235360">
      <w:bodyDiv w:val="1"/>
      <w:marLeft w:val="0"/>
      <w:marRight w:val="0"/>
      <w:marTop w:val="0"/>
      <w:marBottom w:val="0"/>
      <w:divBdr>
        <w:top w:val="none" w:sz="0" w:space="0" w:color="auto"/>
        <w:left w:val="none" w:sz="0" w:space="0" w:color="auto"/>
        <w:bottom w:val="none" w:sz="0" w:space="0" w:color="auto"/>
        <w:right w:val="none" w:sz="0" w:space="0" w:color="auto"/>
      </w:divBdr>
    </w:div>
    <w:div w:id="187915597">
      <w:bodyDiv w:val="1"/>
      <w:marLeft w:val="0"/>
      <w:marRight w:val="0"/>
      <w:marTop w:val="0"/>
      <w:marBottom w:val="0"/>
      <w:divBdr>
        <w:top w:val="none" w:sz="0" w:space="0" w:color="auto"/>
        <w:left w:val="none" w:sz="0" w:space="0" w:color="auto"/>
        <w:bottom w:val="none" w:sz="0" w:space="0" w:color="auto"/>
        <w:right w:val="none" w:sz="0" w:space="0" w:color="auto"/>
      </w:divBdr>
    </w:div>
    <w:div w:id="221797878">
      <w:bodyDiv w:val="1"/>
      <w:marLeft w:val="0"/>
      <w:marRight w:val="0"/>
      <w:marTop w:val="0"/>
      <w:marBottom w:val="0"/>
      <w:divBdr>
        <w:top w:val="none" w:sz="0" w:space="0" w:color="auto"/>
        <w:left w:val="none" w:sz="0" w:space="0" w:color="auto"/>
        <w:bottom w:val="none" w:sz="0" w:space="0" w:color="auto"/>
        <w:right w:val="none" w:sz="0" w:space="0" w:color="auto"/>
      </w:divBdr>
    </w:div>
    <w:div w:id="299002551">
      <w:bodyDiv w:val="1"/>
      <w:marLeft w:val="0"/>
      <w:marRight w:val="0"/>
      <w:marTop w:val="0"/>
      <w:marBottom w:val="0"/>
      <w:divBdr>
        <w:top w:val="none" w:sz="0" w:space="0" w:color="auto"/>
        <w:left w:val="none" w:sz="0" w:space="0" w:color="auto"/>
        <w:bottom w:val="none" w:sz="0" w:space="0" w:color="auto"/>
        <w:right w:val="none" w:sz="0" w:space="0" w:color="auto"/>
      </w:divBdr>
    </w:div>
    <w:div w:id="299461536">
      <w:bodyDiv w:val="1"/>
      <w:marLeft w:val="0"/>
      <w:marRight w:val="0"/>
      <w:marTop w:val="0"/>
      <w:marBottom w:val="0"/>
      <w:divBdr>
        <w:top w:val="none" w:sz="0" w:space="0" w:color="auto"/>
        <w:left w:val="none" w:sz="0" w:space="0" w:color="auto"/>
        <w:bottom w:val="none" w:sz="0" w:space="0" w:color="auto"/>
        <w:right w:val="none" w:sz="0" w:space="0" w:color="auto"/>
      </w:divBdr>
    </w:div>
    <w:div w:id="442305642">
      <w:bodyDiv w:val="1"/>
      <w:marLeft w:val="0"/>
      <w:marRight w:val="0"/>
      <w:marTop w:val="0"/>
      <w:marBottom w:val="0"/>
      <w:divBdr>
        <w:top w:val="none" w:sz="0" w:space="0" w:color="auto"/>
        <w:left w:val="none" w:sz="0" w:space="0" w:color="auto"/>
        <w:bottom w:val="none" w:sz="0" w:space="0" w:color="auto"/>
        <w:right w:val="none" w:sz="0" w:space="0" w:color="auto"/>
      </w:divBdr>
    </w:div>
    <w:div w:id="650450205">
      <w:bodyDiv w:val="1"/>
      <w:marLeft w:val="0"/>
      <w:marRight w:val="0"/>
      <w:marTop w:val="0"/>
      <w:marBottom w:val="0"/>
      <w:divBdr>
        <w:top w:val="none" w:sz="0" w:space="0" w:color="auto"/>
        <w:left w:val="none" w:sz="0" w:space="0" w:color="auto"/>
        <w:bottom w:val="none" w:sz="0" w:space="0" w:color="auto"/>
        <w:right w:val="none" w:sz="0" w:space="0" w:color="auto"/>
      </w:divBdr>
    </w:div>
    <w:div w:id="1007367413">
      <w:bodyDiv w:val="1"/>
      <w:marLeft w:val="0"/>
      <w:marRight w:val="0"/>
      <w:marTop w:val="0"/>
      <w:marBottom w:val="0"/>
      <w:divBdr>
        <w:top w:val="none" w:sz="0" w:space="0" w:color="auto"/>
        <w:left w:val="none" w:sz="0" w:space="0" w:color="auto"/>
        <w:bottom w:val="none" w:sz="0" w:space="0" w:color="auto"/>
        <w:right w:val="none" w:sz="0" w:space="0" w:color="auto"/>
      </w:divBdr>
    </w:div>
    <w:div w:id="1008290458">
      <w:bodyDiv w:val="1"/>
      <w:marLeft w:val="0"/>
      <w:marRight w:val="0"/>
      <w:marTop w:val="0"/>
      <w:marBottom w:val="0"/>
      <w:divBdr>
        <w:top w:val="none" w:sz="0" w:space="0" w:color="auto"/>
        <w:left w:val="none" w:sz="0" w:space="0" w:color="auto"/>
        <w:bottom w:val="none" w:sz="0" w:space="0" w:color="auto"/>
        <w:right w:val="none" w:sz="0" w:space="0" w:color="auto"/>
      </w:divBdr>
    </w:div>
    <w:div w:id="1440755775">
      <w:bodyDiv w:val="1"/>
      <w:marLeft w:val="0"/>
      <w:marRight w:val="0"/>
      <w:marTop w:val="0"/>
      <w:marBottom w:val="0"/>
      <w:divBdr>
        <w:top w:val="none" w:sz="0" w:space="0" w:color="auto"/>
        <w:left w:val="none" w:sz="0" w:space="0" w:color="auto"/>
        <w:bottom w:val="none" w:sz="0" w:space="0" w:color="auto"/>
        <w:right w:val="none" w:sz="0" w:space="0" w:color="auto"/>
      </w:divBdr>
    </w:div>
    <w:div w:id="1556552387">
      <w:bodyDiv w:val="1"/>
      <w:marLeft w:val="0"/>
      <w:marRight w:val="0"/>
      <w:marTop w:val="0"/>
      <w:marBottom w:val="0"/>
      <w:divBdr>
        <w:top w:val="none" w:sz="0" w:space="0" w:color="auto"/>
        <w:left w:val="none" w:sz="0" w:space="0" w:color="auto"/>
        <w:bottom w:val="none" w:sz="0" w:space="0" w:color="auto"/>
        <w:right w:val="none" w:sz="0" w:space="0" w:color="auto"/>
      </w:divBdr>
    </w:div>
    <w:div w:id="1572958367">
      <w:bodyDiv w:val="1"/>
      <w:marLeft w:val="0"/>
      <w:marRight w:val="0"/>
      <w:marTop w:val="0"/>
      <w:marBottom w:val="0"/>
      <w:divBdr>
        <w:top w:val="none" w:sz="0" w:space="0" w:color="auto"/>
        <w:left w:val="none" w:sz="0" w:space="0" w:color="auto"/>
        <w:bottom w:val="none" w:sz="0" w:space="0" w:color="auto"/>
        <w:right w:val="none" w:sz="0" w:space="0" w:color="auto"/>
      </w:divBdr>
    </w:div>
    <w:div w:id="1638682137">
      <w:bodyDiv w:val="1"/>
      <w:marLeft w:val="0"/>
      <w:marRight w:val="0"/>
      <w:marTop w:val="0"/>
      <w:marBottom w:val="0"/>
      <w:divBdr>
        <w:top w:val="none" w:sz="0" w:space="0" w:color="auto"/>
        <w:left w:val="none" w:sz="0" w:space="0" w:color="auto"/>
        <w:bottom w:val="none" w:sz="0" w:space="0" w:color="auto"/>
        <w:right w:val="none" w:sz="0" w:space="0" w:color="auto"/>
      </w:divBdr>
    </w:div>
    <w:div w:id="1709256532">
      <w:bodyDiv w:val="1"/>
      <w:marLeft w:val="0"/>
      <w:marRight w:val="0"/>
      <w:marTop w:val="0"/>
      <w:marBottom w:val="0"/>
      <w:divBdr>
        <w:top w:val="none" w:sz="0" w:space="0" w:color="auto"/>
        <w:left w:val="none" w:sz="0" w:space="0" w:color="auto"/>
        <w:bottom w:val="none" w:sz="0" w:space="0" w:color="auto"/>
        <w:right w:val="none" w:sz="0" w:space="0" w:color="auto"/>
      </w:divBdr>
    </w:div>
    <w:div w:id="1763836443">
      <w:bodyDiv w:val="1"/>
      <w:marLeft w:val="0"/>
      <w:marRight w:val="0"/>
      <w:marTop w:val="0"/>
      <w:marBottom w:val="0"/>
      <w:divBdr>
        <w:top w:val="none" w:sz="0" w:space="0" w:color="auto"/>
        <w:left w:val="none" w:sz="0" w:space="0" w:color="auto"/>
        <w:bottom w:val="none" w:sz="0" w:space="0" w:color="auto"/>
        <w:right w:val="none" w:sz="0" w:space="0" w:color="auto"/>
      </w:divBdr>
    </w:div>
    <w:div w:id="2021197607">
      <w:bodyDiv w:val="1"/>
      <w:marLeft w:val="0"/>
      <w:marRight w:val="0"/>
      <w:marTop w:val="0"/>
      <w:marBottom w:val="0"/>
      <w:divBdr>
        <w:top w:val="none" w:sz="0" w:space="0" w:color="auto"/>
        <w:left w:val="none" w:sz="0" w:space="0" w:color="auto"/>
        <w:bottom w:val="none" w:sz="0" w:space="0" w:color="auto"/>
        <w:right w:val="none" w:sz="0" w:space="0" w:color="auto"/>
      </w:divBdr>
    </w:div>
    <w:div w:id="212831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doi.org/10.22219/jes.v7i1.199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12</Pages>
  <Words>5719</Words>
  <Characters>32602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Onumoh A</dc:creator>
  <cp:keywords/>
  <dc:description/>
  <cp:lastModifiedBy>Microsoft account</cp:lastModifiedBy>
  <cp:revision>4</cp:revision>
  <cp:lastPrinted>2025-01-05T23:05:00Z</cp:lastPrinted>
  <dcterms:created xsi:type="dcterms:W3CDTF">2025-01-21T13:09:00Z</dcterms:created>
  <dcterms:modified xsi:type="dcterms:W3CDTF">2025-01-21T15:58:00Z</dcterms:modified>
</cp:coreProperties>
</file>