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7C" w:rsidRPr="00203818" w:rsidRDefault="00203818" w:rsidP="00203818">
      <w:pPr>
        <w:spacing w:line="360" w:lineRule="auto"/>
        <w:jc w:val="center"/>
        <w:rPr>
          <w:rFonts w:ascii="Times New Roman" w:hAnsi="Times New Roman" w:cs="Times New Roman"/>
          <w:b/>
          <w:sz w:val="32"/>
          <w:szCs w:val="32"/>
        </w:rPr>
      </w:pPr>
      <w:r w:rsidRPr="00203818">
        <w:rPr>
          <w:rFonts w:ascii="Times New Roman" w:hAnsi="Times New Roman" w:cs="Times New Roman"/>
          <w:b/>
          <w:sz w:val="32"/>
          <w:szCs w:val="32"/>
        </w:rPr>
        <w:t>ROLE OF RBI IN CREDIT CONTROL</w:t>
      </w:r>
    </w:p>
    <w:p w:rsidR="00FF6D28" w:rsidRDefault="00FF6D28" w:rsidP="00203818">
      <w:pPr>
        <w:spacing w:line="360" w:lineRule="auto"/>
        <w:jc w:val="center"/>
        <w:rPr>
          <w:rFonts w:ascii="Times New Roman" w:hAnsi="Times New Roman" w:cs="Times New Roman"/>
          <w:b/>
          <w:sz w:val="24"/>
          <w:szCs w:val="24"/>
        </w:rPr>
      </w:pPr>
      <w:proofErr w:type="spellStart"/>
      <w:r w:rsidRPr="00203818">
        <w:rPr>
          <w:rFonts w:ascii="Times New Roman" w:hAnsi="Times New Roman" w:cs="Times New Roman"/>
          <w:b/>
          <w:sz w:val="24"/>
          <w:szCs w:val="24"/>
        </w:rPr>
        <w:t>Arshia</w:t>
      </w:r>
      <w:proofErr w:type="spellEnd"/>
      <w:r w:rsidRPr="00203818">
        <w:rPr>
          <w:rFonts w:ascii="Times New Roman" w:hAnsi="Times New Roman" w:cs="Times New Roman"/>
          <w:b/>
          <w:sz w:val="24"/>
          <w:szCs w:val="24"/>
        </w:rPr>
        <w:t xml:space="preserve"> Gupta</w:t>
      </w:r>
    </w:p>
    <w:p w:rsidR="00297F9B" w:rsidRPr="00297F9B" w:rsidRDefault="00297F9B" w:rsidP="00203818">
      <w:pPr>
        <w:spacing w:line="360" w:lineRule="auto"/>
        <w:jc w:val="center"/>
        <w:rPr>
          <w:rFonts w:ascii="Times New Roman" w:hAnsi="Times New Roman" w:cs="Times New Roman"/>
          <w:sz w:val="24"/>
          <w:szCs w:val="24"/>
        </w:rPr>
      </w:pPr>
      <w:bookmarkStart w:id="0" w:name="_GoBack"/>
      <w:proofErr w:type="spellStart"/>
      <w:r w:rsidRPr="00297F9B">
        <w:rPr>
          <w:rFonts w:ascii="Times New Roman" w:hAnsi="Times New Roman" w:cs="Times New Roman"/>
          <w:sz w:val="24"/>
          <w:szCs w:val="24"/>
        </w:rPr>
        <w:t>Springdales</w:t>
      </w:r>
      <w:proofErr w:type="spellEnd"/>
      <w:r w:rsidRPr="00297F9B">
        <w:rPr>
          <w:rFonts w:ascii="Times New Roman" w:hAnsi="Times New Roman" w:cs="Times New Roman"/>
          <w:sz w:val="24"/>
          <w:szCs w:val="24"/>
        </w:rPr>
        <w:t xml:space="preserve"> School</w:t>
      </w:r>
      <w:bookmarkEnd w:id="0"/>
    </w:p>
    <w:p w:rsidR="00203818" w:rsidRDefault="00203818"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203818" w:rsidRDefault="00203818" w:rsidP="00203818">
      <w:pPr>
        <w:pStyle w:val="NormalWeb"/>
        <w:spacing w:before="0" w:beforeAutospacing="0" w:line="360" w:lineRule="auto"/>
        <w:jc w:val="both"/>
      </w:pPr>
      <w:r>
        <w:t xml:space="preserve">The Reserve Bank of India (RBI) plays a crucial role in the economic stability of the country through its credit control mechanisms. This paper examines the various tools and strategies employed by the RBI to regulate the availability of credit in the economy and ensure a balanced financial environment. The research outlines the significance of monetary policy, which includes both quantitative and qualitative measures, in influencing interest rates and controlling inflation. Tools such as the Cash Reserve Ratio (CRR), Statutory Liquidity Ratio (SLR), and repo rates are analyzed to illustrate how they affect the lending capacity of commercial banks. This paper also explores the impact of RBI's credit control policies on different sectors, highlighting the challenges faced during periods of economic volatility, such as during the COVID-19 pandemic. Furthermore, the role of RBI in promoting financial inclusion and fostering economic growth through credit access is discussed. The findings suggest that a well-calibrated approach to credit control by the RBI can not only stabilize the economy but also stimulate growth in key sectors. This study underscores the importance of adaptive credit control measures in response to evolving economic conditions, thereby reinforcing the pivotal role of the RBI in India's financial landscape. </w:t>
      </w:r>
    </w:p>
    <w:p w:rsidR="00203818" w:rsidRDefault="00203818" w:rsidP="00203818">
      <w:pPr>
        <w:pStyle w:val="NormalWeb"/>
        <w:spacing w:before="0" w:beforeAutospacing="0" w:line="360" w:lineRule="auto"/>
        <w:jc w:val="both"/>
      </w:pPr>
      <w:r w:rsidRPr="00203818">
        <w:rPr>
          <w:b/>
        </w:rPr>
        <w:t>Keywords:</w:t>
      </w:r>
      <w:r>
        <w:t xml:space="preserve"> Reserve Bank of India, Credit Control, Monetary Policy, Economic Stability, Financial Inclusion.</w:t>
      </w:r>
    </w:p>
    <w:p w:rsidR="00203818" w:rsidRDefault="00203818"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EF79D7" w:rsidRDefault="00EF79D7" w:rsidP="00EF79D7">
      <w:pPr>
        <w:pStyle w:val="NormalWeb"/>
        <w:spacing w:before="0" w:beforeAutospacing="0" w:line="360" w:lineRule="auto"/>
        <w:jc w:val="both"/>
      </w:pPr>
      <w:r>
        <w:t xml:space="preserve">The Reserve Bank of India (RBI), established in 1935, serves as the central bank for the Indian economy and plays a pivotal role in maintaining monetary stability and promoting economic growth. One of its key functions is credit control, which involves regulating the amount of credit available in the economy to manage inflation, stabilize the currency, and foster economic development. The RBI employs a range of tools designed to influence the lending behavior of commercial banks and ensure that the expansion of credit aligns with the broader goals of economic stability and growth. </w:t>
      </w:r>
    </w:p>
    <w:p w:rsidR="00EF79D7" w:rsidRDefault="00EF79D7" w:rsidP="00EF79D7">
      <w:pPr>
        <w:pStyle w:val="NormalWeb"/>
        <w:spacing w:before="0" w:beforeAutospacing="0" w:line="360" w:lineRule="auto"/>
        <w:jc w:val="both"/>
      </w:pPr>
      <w:r>
        <w:lastRenderedPageBreak/>
        <w:t xml:space="preserve">Credit control is essential for managing liquidity in the financial system, as excess liquidity can lead to inflation while inadequate liquidity can stymie growth. The RBI strategically utilizes various monetary policy instruments to control the flow of credit, including the Cash Reserve Ratio (CRR), Statutory Liquidity Ratio (SLR), repo rates, and reverse repo rates. These tools serve not only to regulate the volume of funds that banks can lend but also to influence the cost of borrowing (RBI, 2020). </w:t>
      </w:r>
    </w:p>
    <w:p w:rsidR="00EF79D7" w:rsidRDefault="00EF79D7" w:rsidP="00EF79D7">
      <w:pPr>
        <w:pStyle w:val="NormalWeb"/>
        <w:spacing w:before="0" w:beforeAutospacing="0" w:line="360" w:lineRule="auto"/>
        <w:jc w:val="both"/>
      </w:pPr>
      <w:r>
        <w:t xml:space="preserve">In recent years, the RBI's role in credit control has gained increased attention due to fluctuating economic conditions marked by crises such as the COVID-19 pandemic, which significantly impacted the Indian economy. This scenario necessitated a reevaluation of existing credit policies to ensure that businesses and individuals could access sufficient credit to sustain livelihoods and operations (BIS, 2021). Hence, the RBI's responses in terms of monetary easing and liquidity support highlight the adaptability of its credit control mechanisms in addressing both systemic risks and sector-specific challenges. </w:t>
      </w:r>
    </w:p>
    <w:p w:rsidR="00EF79D7" w:rsidRDefault="00EF79D7" w:rsidP="00EF79D7">
      <w:pPr>
        <w:pStyle w:val="NormalWeb"/>
        <w:spacing w:before="0" w:beforeAutospacing="0" w:line="360" w:lineRule="auto"/>
        <w:jc w:val="both"/>
      </w:pPr>
      <w:r>
        <w:t xml:space="preserve">Moreover, the RBI plays a crucial role in promoting financial inclusion through its credit policies. It aims to provide access to credit for underserved segments of the population, thereby fostering economic participation and enhancing growth prospects. Initiatives such as the Priority Sector Lending (PSL) guidelines encourage banks to extend credit to sectors that contribute to the socio-economic development of the country, thus reinforcing the RBI's dual role as both regulator and promoter of economic welfare (Agarwal &amp; Singh, 2020). </w:t>
      </w:r>
    </w:p>
    <w:p w:rsidR="00EF79D7" w:rsidRDefault="00EF79D7" w:rsidP="00EF79D7">
      <w:pPr>
        <w:pStyle w:val="NormalWeb"/>
        <w:spacing w:before="0" w:beforeAutospacing="0" w:line="360" w:lineRule="auto"/>
        <w:jc w:val="both"/>
      </w:pPr>
      <w:r>
        <w:t>Given the multifaceted nature of credit control and its implications for the economy, this paper aims to delve deeper into the role of the RBI, examining the tools it employs, the challenges it faces, and the broader economic impacts of its credit control measures. This introduction sets the stage for a comprehensive exploration of how the RBI balances its responsibilities in maintaining monetary stability while fostering an inclusive and sustainable financial ecosystem.</w:t>
      </w:r>
    </w:p>
    <w:p w:rsidR="00203818" w:rsidRDefault="00EF79D7"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 xml:space="preserve">The Reserve Bank of India (RBI) plays a pivotal role in regulating and controlling credit in the Indian economy. Credit control refers to the measures taken by a central bank to regulate the supply and cost of credit in an economy to ensure financial stability, control inflation, and foster economic </w:t>
      </w:r>
      <w:r w:rsidRPr="007515D3">
        <w:rPr>
          <w:rFonts w:ascii="Times New Roman" w:eastAsia="Times New Roman" w:hAnsi="Times New Roman" w:cs="Times New Roman"/>
          <w:sz w:val="24"/>
          <w:szCs w:val="24"/>
        </w:rPr>
        <w:lastRenderedPageBreak/>
        <w:t>growth. Through a variety of monetary policy tools, the RBI influences credit conditions in the banking sector, impacting inflation, investment, and consumption patterns across the country. This review examines the RBI's mechanisms for credit control, its objectives, and its impact on the economy.</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Theoretical Framework and Credit Control Mechanisms</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Credit control is the primary function of central banks globally, and the RBI is no exception. The RBI’s role in credit control is framed within its objectives of ensuring price stability, controlling inflation, promoting economic growth, and maintaining financial system stability (RBI, 2021). These objectives are met through various tools, including the Cash Reserve Ratio (CRR), the Statutory Liquidity Ratio (SLR), the Repo Rate, the Reverse Repo Rate, Open Market Operations (OMO), and the Bank Rate.</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Cash Reserve Ratio (CRR) and Statutory Liquidity Ratio (SLR)</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The Cash Reserve Ratio (CRR) is a mandatory percentage of a bank's total deposits that must be kept in reserve with the RBI, either in cash or as reserves. Changes in the CRR directly influence the credit creation capacity of commercial banks. A higher CRR reduces the liquidity available for lending, whereas a lower CRR enhances credit supply (Gupta &amp; Gupta, 2015). Similarly, the Statutory Liquidity Ratio (SLR) requires commercial banks to maintain a certain percentage of their net demand and time liabilities in the form of liquid assets. By adjusting the SLR, the RBI influences the amount of credit banks can extend (Mishra &amp; Mishra, 2020).</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Repo and Reverse Repo Rates</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The Repo Rate, or repurchase rate, is the interest rate at which the RBI lends short-term funds to commercial banks. The Reverse Repo Rate is the rate at which the RBI borrows money from banks. By modifying these rates, the RBI controls the cost of borrowing and lending in the economy. A higher repo rate discourages borrowing and reduces credit growth, while a lower rate encourages borrowing and increases credit flow (Singh, 2016). These rates are essential tools for managing inflation and liquidity in the economy (RBI, 2021).</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lastRenderedPageBreak/>
        <w:t>Open Market Operations (OMO)</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Open Market Operations (OMO) refer to the buying and selling of government securities in the open market by the RBI to control the money supply. Through OMOs, the RBI injects liquidity into the banking system by purchasing securities and absorbs excess liquidity by selling them (</w:t>
      </w:r>
      <w:proofErr w:type="spellStart"/>
      <w:r w:rsidRPr="007515D3">
        <w:rPr>
          <w:rFonts w:ascii="Times New Roman" w:eastAsia="Times New Roman" w:hAnsi="Times New Roman" w:cs="Times New Roman"/>
          <w:sz w:val="24"/>
          <w:szCs w:val="24"/>
        </w:rPr>
        <w:t>Sarma</w:t>
      </w:r>
      <w:proofErr w:type="spellEnd"/>
      <w:r w:rsidRPr="007515D3">
        <w:rPr>
          <w:rFonts w:ascii="Times New Roman" w:eastAsia="Times New Roman" w:hAnsi="Times New Roman" w:cs="Times New Roman"/>
          <w:sz w:val="24"/>
          <w:szCs w:val="24"/>
        </w:rPr>
        <w:t>, 2020). OMOs are particularly useful in stabilizing the short-term interest rates and controlling inflation, contributing to the overall effectiveness of monetary policy (Reddy, 2004).</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Bank Rate and Market Stabilization Scheme</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The Bank Rate is the rate at which the RBI lends to commercial banks for long-term loans. The adjustment of the Bank Rate signals the RBI’s monetary stance, influencing the overall credit conditions. The Market Stabilization Scheme (MSS) is another tool used by the RBI to manage liquidity in the economy by issuing bonds and absorbing excess liquidity, which can be crucial during periods of inflationary pressure (Reddy, 2004).</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Impact of Credit Control on the Indian Economy</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 xml:space="preserve">The RBI's credit control mechanisms significantly affect various sectors of the economy, including agriculture, manufacturing, and services. According to </w:t>
      </w:r>
      <w:proofErr w:type="spellStart"/>
      <w:r w:rsidRPr="007515D3">
        <w:rPr>
          <w:rFonts w:ascii="Times New Roman" w:eastAsia="Times New Roman" w:hAnsi="Times New Roman" w:cs="Times New Roman"/>
          <w:sz w:val="24"/>
          <w:szCs w:val="24"/>
        </w:rPr>
        <w:t>Rangarajan</w:t>
      </w:r>
      <w:proofErr w:type="spellEnd"/>
      <w:r w:rsidRPr="007515D3">
        <w:rPr>
          <w:rFonts w:ascii="Times New Roman" w:eastAsia="Times New Roman" w:hAnsi="Times New Roman" w:cs="Times New Roman"/>
          <w:sz w:val="24"/>
          <w:szCs w:val="24"/>
        </w:rPr>
        <w:t xml:space="preserve"> (2002), the effectiveness of these mechanisms is crucial for managing inflation and fostering sustainable economic growth. While high interest rates can curtail inflation by reducing demand for credit, they can also slow down economic activity, as evidenced by the negative impact on investment during periods of tight credit control (</w:t>
      </w:r>
      <w:proofErr w:type="spellStart"/>
      <w:r w:rsidRPr="007515D3">
        <w:rPr>
          <w:rFonts w:ascii="Times New Roman" w:eastAsia="Times New Roman" w:hAnsi="Times New Roman" w:cs="Times New Roman"/>
          <w:sz w:val="24"/>
          <w:szCs w:val="24"/>
        </w:rPr>
        <w:t>Sah</w:t>
      </w:r>
      <w:proofErr w:type="spellEnd"/>
      <w:r w:rsidRPr="007515D3">
        <w:rPr>
          <w:rFonts w:ascii="Times New Roman" w:eastAsia="Times New Roman" w:hAnsi="Times New Roman" w:cs="Times New Roman"/>
          <w:sz w:val="24"/>
          <w:szCs w:val="24"/>
        </w:rPr>
        <w:t>, 2019). On the other hand, lowering interest rates can stimulate investment and consumption, but it can also lead to inflationary pressures if not managed carefully (</w:t>
      </w:r>
      <w:proofErr w:type="spellStart"/>
      <w:r w:rsidRPr="007515D3">
        <w:rPr>
          <w:rFonts w:ascii="Times New Roman" w:eastAsia="Times New Roman" w:hAnsi="Times New Roman" w:cs="Times New Roman"/>
          <w:sz w:val="24"/>
          <w:szCs w:val="24"/>
        </w:rPr>
        <w:t>Basu</w:t>
      </w:r>
      <w:proofErr w:type="spellEnd"/>
      <w:r w:rsidRPr="007515D3">
        <w:rPr>
          <w:rFonts w:ascii="Times New Roman" w:eastAsia="Times New Roman" w:hAnsi="Times New Roman" w:cs="Times New Roman"/>
          <w:sz w:val="24"/>
          <w:szCs w:val="24"/>
        </w:rPr>
        <w:t xml:space="preserve"> &amp; </w:t>
      </w:r>
      <w:proofErr w:type="spellStart"/>
      <w:r w:rsidRPr="007515D3">
        <w:rPr>
          <w:rFonts w:ascii="Times New Roman" w:eastAsia="Times New Roman" w:hAnsi="Times New Roman" w:cs="Times New Roman"/>
          <w:sz w:val="24"/>
          <w:szCs w:val="24"/>
        </w:rPr>
        <w:t>Haldar</w:t>
      </w:r>
      <w:proofErr w:type="spellEnd"/>
      <w:r w:rsidRPr="007515D3">
        <w:rPr>
          <w:rFonts w:ascii="Times New Roman" w:eastAsia="Times New Roman" w:hAnsi="Times New Roman" w:cs="Times New Roman"/>
          <w:sz w:val="24"/>
          <w:szCs w:val="24"/>
        </w:rPr>
        <w:t>, 2020).</w:t>
      </w:r>
    </w:p>
    <w:p w:rsidR="007515D3" w:rsidRPr="007515D3" w:rsidRDefault="007515D3" w:rsidP="007515D3">
      <w:pPr>
        <w:spacing w:after="100" w:afterAutospacing="1" w:line="360" w:lineRule="auto"/>
        <w:jc w:val="both"/>
        <w:outlineLvl w:val="3"/>
        <w:rPr>
          <w:rFonts w:ascii="Times New Roman" w:eastAsia="Times New Roman" w:hAnsi="Times New Roman" w:cs="Times New Roman"/>
          <w:b/>
          <w:bCs/>
          <w:sz w:val="24"/>
          <w:szCs w:val="24"/>
        </w:rPr>
      </w:pPr>
      <w:r w:rsidRPr="007515D3">
        <w:rPr>
          <w:rFonts w:ascii="Times New Roman" w:eastAsia="Times New Roman" w:hAnsi="Times New Roman" w:cs="Times New Roman"/>
          <w:b/>
          <w:bCs/>
          <w:sz w:val="24"/>
          <w:szCs w:val="24"/>
        </w:rPr>
        <w:t>Challenges in Credit Control</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 xml:space="preserve">The implementation of credit control measures by the RBI is not without its challenges. The banking sector, particularly public sector banks, is often reluctant to follow tight credit policies due to concerns about non-performing assets (NPAs) (Prasad &amp; Arora, 2018). Moreover, the informal credit sector, including microfinance institutions and local moneylenders, operates </w:t>
      </w:r>
      <w:r w:rsidRPr="007515D3">
        <w:rPr>
          <w:rFonts w:ascii="Times New Roman" w:eastAsia="Times New Roman" w:hAnsi="Times New Roman" w:cs="Times New Roman"/>
          <w:sz w:val="24"/>
          <w:szCs w:val="24"/>
        </w:rPr>
        <w:lastRenderedPageBreak/>
        <w:t>outside the formal regulatory framework, which complicates the effectiveness of the RBI's credit control policies (</w:t>
      </w:r>
      <w:proofErr w:type="spellStart"/>
      <w:r w:rsidRPr="007515D3">
        <w:rPr>
          <w:rFonts w:ascii="Times New Roman" w:eastAsia="Times New Roman" w:hAnsi="Times New Roman" w:cs="Times New Roman"/>
          <w:sz w:val="24"/>
          <w:szCs w:val="24"/>
        </w:rPr>
        <w:t>Kochhar</w:t>
      </w:r>
      <w:proofErr w:type="spellEnd"/>
      <w:r w:rsidRPr="007515D3">
        <w:rPr>
          <w:rFonts w:ascii="Times New Roman" w:eastAsia="Times New Roman" w:hAnsi="Times New Roman" w:cs="Times New Roman"/>
          <w:sz w:val="24"/>
          <w:szCs w:val="24"/>
        </w:rPr>
        <w:t xml:space="preserve"> &amp; Singh, 2017).</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Another challenge is the international economic environment, as global financial market conditions can influence domestic credit supply and demand. The RBI's credit control measures may also be influenced by external factors such as foreign exchange volatility, global inflation, and geopolitical risks (</w:t>
      </w:r>
      <w:proofErr w:type="spellStart"/>
      <w:r w:rsidRPr="007515D3">
        <w:rPr>
          <w:rFonts w:ascii="Times New Roman" w:eastAsia="Times New Roman" w:hAnsi="Times New Roman" w:cs="Times New Roman"/>
          <w:sz w:val="24"/>
          <w:szCs w:val="24"/>
        </w:rPr>
        <w:t>Jadhav</w:t>
      </w:r>
      <w:proofErr w:type="spellEnd"/>
      <w:r w:rsidRPr="007515D3">
        <w:rPr>
          <w:rFonts w:ascii="Times New Roman" w:eastAsia="Times New Roman" w:hAnsi="Times New Roman" w:cs="Times New Roman"/>
          <w:sz w:val="24"/>
          <w:szCs w:val="24"/>
        </w:rPr>
        <w:t>, 2017).</w:t>
      </w:r>
    </w:p>
    <w:p w:rsidR="007515D3" w:rsidRPr="007515D3" w:rsidRDefault="007515D3" w:rsidP="007515D3">
      <w:pPr>
        <w:spacing w:after="100" w:afterAutospacing="1" w:line="360" w:lineRule="auto"/>
        <w:jc w:val="both"/>
        <w:rPr>
          <w:rFonts w:ascii="Times New Roman" w:eastAsia="Times New Roman" w:hAnsi="Times New Roman" w:cs="Times New Roman"/>
          <w:sz w:val="24"/>
          <w:szCs w:val="24"/>
        </w:rPr>
      </w:pPr>
      <w:r w:rsidRPr="007515D3">
        <w:rPr>
          <w:rFonts w:ascii="Times New Roman" w:eastAsia="Times New Roman" w:hAnsi="Times New Roman" w:cs="Times New Roman"/>
          <w:sz w:val="24"/>
          <w:szCs w:val="24"/>
        </w:rPr>
        <w:t>In recent years, the RBI has shifted towards a more flexible and dynamic approach to credit control, focusing on inflation targeting and adopting forward guidance as part of its monetary policy framework (</w:t>
      </w:r>
      <w:proofErr w:type="spellStart"/>
      <w:r w:rsidRPr="007515D3">
        <w:rPr>
          <w:rFonts w:ascii="Times New Roman" w:eastAsia="Times New Roman" w:hAnsi="Times New Roman" w:cs="Times New Roman"/>
          <w:sz w:val="24"/>
          <w:szCs w:val="24"/>
        </w:rPr>
        <w:t>Basu</w:t>
      </w:r>
      <w:proofErr w:type="spellEnd"/>
      <w:r w:rsidRPr="007515D3">
        <w:rPr>
          <w:rFonts w:ascii="Times New Roman" w:eastAsia="Times New Roman" w:hAnsi="Times New Roman" w:cs="Times New Roman"/>
          <w:sz w:val="24"/>
          <w:szCs w:val="24"/>
        </w:rPr>
        <w:t xml:space="preserve"> &amp; </w:t>
      </w:r>
      <w:proofErr w:type="spellStart"/>
      <w:r w:rsidRPr="007515D3">
        <w:rPr>
          <w:rFonts w:ascii="Times New Roman" w:eastAsia="Times New Roman" w:hAnsi="Times New Roman" w:cs="Times New Roman"/>
          <w:sz w:val="24"/>
          <w:szCs w:val="24"/>
        </w:rPr>
        <w:t>Haldar</w:t>
      </w:r>
      <w:proofErr w:type="spellEnd"/>
      <w:r w:rsidRPr="007515D3">
        <w:rPr>
          <w:rFonts w:ascii="Times New Roman" w:eastAsia="Times New Roman" w:hAnsi="Times New Roman" w:cs="Times New Roman"/>
          <w:sz w:val="24"/>
          <w:szCs w:val="24"/>
        </w:rPr>
        <w:t xml:space="preserve">, 2020). The central bank has increasingly relied on </w:t>
      </w:r>
      <w:proofErr w:type="spellStart"/>
      <w:r w:rsidRPr="007515D3">
        <w:rPr>
          <w:rFonts w:ascii="Times New Roman" w:eastAsia="Times New Roman" w:hAnsi="Times New Roman" w:cs="Times New Roman"/>
          <w:sz w:val="24"/>
          <w:szCs w:val="24"/>
        </w:rPr>
        <w:t>macroprudential</w:t>
      </w:r>
      <w:proofErr w:type="spellEnd"/>
      <w:r w:rsidRPr="007515D3">
        <w:rPr>
          <w:rFonts w:ascii="Times New Roman" w:eastAsia="Times New Roman" w:hAnsi="Times New Roman" w:cs="Times New Roman"/>
          <w:sz w:val="24"/>
          <w:szCs w:val="24"/>
        </w:rPr>
        <w:t xml:space="preserve"> measures to address systemic risks and ensure financial stability in the banking sector. Moving forward, the RBI may need to adapt its credit control tools in response to new challenges such as digital currency developments, the rise of </w:t>
      </w:r>
      <w:proofErr w:type="spellStart"/>
      <w:r w:rsidRPr="007515D3">
        <w:rPr>
          <w:rFonts w:ascii="Times New Roman" w:eastAsia="Times New Roman" w:hAnsi="Times New Roman" w:cs="Times New Roman"/>
          <w:sz w:val="24"/>
          <w:szCs w:val="24"/>
        </w:rPr>
        <w:t>fintech</w:t>
      </w:r>
      <w:proofErr w:type="spellEnd"/>
      <w:r w:rsidRPr="007515D3">
        <w:rPr>
          <w:rFonts w:ascii="Times New Roman" w:eastAsia="Times New Roman" w:hAnsi="Times New Roman" w:cs="Times New Roman"/>
          <w:sz w:val="24"/>
          <w:szCs w:val="24"/>
        </w:rPr>
        <w:t>, and increasing financial inclusion (</w:t>
      </w:r>
      <w:proofErr w:type="spellStart"/>
      <w:r w:rsidRPr="007515D3">
        <w:rPr>
          <w:rFonts w:ascii="Times New Roman" w:eastAsia="Times New Roman" w:hAnsi="Times New Roman" w:cs="Times New Roman"/>
          <w:sz w:val="24"/>
          <w:szCs w:val="24"/>
        </w:rPr>
        <w:t>Kochhar</w:t>
      </w:r>
      <w:proofErr w:type="spellEnd"/>
      <w:r w:rsidRPr="007515D3">
        <w:rPr>
          <w:rFonts w:ascii="Times New Roman" w:eastAsia="Times New Roman" w:hAnsi="Times New Roman" w:cs="Times New Roman"/>
          <w:sz w:val="24"/>
          <w:szCs w:val="24"/>
        </w:rPr>
        <w:t xml:space="preserve"> &amp; Singh, 2017).</w:t>
      </w:r>
    </w:p>
    <w:p w:rsidR="00EF79D7" w:rsidRDefault="00A60685"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objectives</w:t>
      </w:r>
    </w:p>
    <w:p w:rsidR="00A60685" w:rsidRDefault="00A60685" w:rsidP="00AB50D4">
      <w:pPr>
        <w:pStyle w:val="NormalWeb"/>
        <w:numPr>
          <w:ilvl w:val="0"/>
          <w:numId w:val="1"/>
        </w:numPr>
        <w:spacing w:before="0" w:beforeAutospacing="0" w:line="360" w:lineRule="auto"/>
        <w:ind w:hanging="720"/>
        <w:jc w:val="both"/>
      </w:pPr>
      <w:r>
        <w:t xml:space="preserve">To analyze the effectiveness of the Reserve Bank of India's credit control measures in maintaining economic stability and managing inflation in India. </w:t>
      </w:r>
    </w:p>
    <w:p w:rsidR="00A60685" w:rsidRDefault="00A60685" w:rsidP="00AB50D4">
      <w:pPr>
        <w:pStyle w:val="NormalWeb"/>
        <w:numPr>
          <w:ilvl w:val="0"/>
          <w:numId w:val="1"/>
        </w:numPr>
        <w:spacing w:before="0" w:beforeAutospacing="0" w:line="360" w:lineRule="auto"/>
        <w:ind w:hanging="720"/>
        <w:jc w:val="both"/>
      </w:pPr>
      <w:r>
        <w:t>To evaluate the impact of RBI's credit policies on financial inclusion and access to credit for underserved sectors of the economy.</w:t>
      </w:r>
    </w:p>
    <w:p w:rsidR="00A60685" w:rsidRDefault="00A60685"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AB50D4" w:rsidRDefault="00AB50D4" w:rsidP="00AB50D4">
      <w:pPr>
        <w:pStyle w:val="NormalWeb"/>
        <w:spacing w:before="0" w:beforeAutospacing="0" w:line="360" w:lineRule="auto"/>
        <w:jc w:val="both"/>
      </w:pPr>
      <w:r>
        <w:t xml:space="preserve">Research Design </w:t>
      </w:r>
    </w:p>
    <w:p w:rsidR="00AB50D4" w:rsidRDefault="00AB50D4" w:rsidP="00AB50D4">
      <w:pPr>
        <w:pStyle w:val="NormalWeb"/>
        <w:spacing w:before="0" w:beforeAutospacing="0" w:line="360" w:lineRule="auto"/>
        <w:jc w:val="both"/>
      </w:pPr>
      <w:r>
        <w:t xml:space="preserve">This study adopted a descriptive analytical research design, which allowed for an in-depth exploration of the RBI's credit control mechanisms, their effectiveness, and their implications for economic stability and financial inclusion. </w:t>
      </w:r>
    </w:p>
    <w:p w:rsidR="00AB50D4" w:rsidRPr="00AB50D4" w:rsidRDefault="00AB50D4" w:rsidP="00AB50D4">
      <w:pPr>
        <w:pStyle w:val="NormalWeb"/>
        <w:spacing w:before="0" w:beforeAutospacing="0" w:line="360" w:lineRule="auto"/>
        <w:jc w:val="both"/>
        <w:rPr>
          <w:b/>
        </w:rPr>
      </w:pPr>
      <w:r w:rsidRPr="00AB50D4">
        <w:rPr>
          <w:b/>
        </w:rPr>
        <w:t xml:space="preserve">Data Collection Methods </w:t>
      </w:r>
    </w:p>
    <w:p w:rsidR="00AB50D4" w:rsidRDefault="00AB50D4" w:rsidP="00AB50D4">
      <w:pPr>
        <w:pStyle w:val="NormalWeb"/>
        <w:spacing w:before="0" w:beforeAutospacing="0" w:line="360" w:lineRule="auto"/>
        <w:jc w:val="both"/>
      </w:pPr>
      <w:r w:rsidRPr="00AB50D4">
        <w:rPr>
          <w:b/>
        </w:rPr>
        <w:t>Primary Data:</w:t>
      </w:r>
      <w:r>
        <w:t xml:space="preserve"> </w:t>
      </w:r>
    </w:p>
    <w:p w:rsidR="00AB50D4" w:rsidRDefault="00AB50D4" w:rsidP="00AB50D4">
      <w:pPr>
        <w:pStyle w:val="NormalWeb"/>
        <w:spacing w:before="0" w:beforeAutospacing="0" w:line="360" w:lineRule="auto"/>
        <w:jc w:val="both"/>
      </w:pPr>
      <w:r>
        <w:lastRenderedPageBreak/>
        <w:t xml:space="preserve">Surveys and interviews were conducted with banking professionals, economists, and policymakers to gather firsthand insights on the impact of RBI's credit policies on the banking sector and the economy. </w:t>
      </w:r>
    </w:p>
    <w:p w:rsidR="00AB50D4" w:rsidRPr="00AB50D4" w:rsidRDefault="00AB50D4" w:rsidP="00AB50D4">
      <w:pPr>
        <w:pStyle w:val="NormalWeb"/>
        <w:spacing w:before="0" w:beforeAutospacing="0" w:line="360" w:lineRule="auto"/>
        <w:jc w:val="both"/>
        <w:rPr>
          <w:b/>
        </w:rPr>
      </w:pPr>
      <w:r w:rsidRPr="00AB50D4">
        <w:rPr>
          <w:b/>
        </w:rPr>
        <w:t xml:space="preserve">Secondary Data: </w:t>
      </w:r>
    </w:p>
    <w:p w:rsidR="00AB50D4" w:rsidRDefault="00AB50D4" w:rsidP="00AB50D4">
      <w:pPr>
        <w:pStyle w:val="NormalWeb"/>
        <w:spacing w:before="0" w:beforeAutospacing="0" w:line="360" w:lineRule="auto"/>
        <w:jc w:val="both"/>
      </w:pPr>
      <w:r>
        <w:t xml:space="preserve">Comprehensive data were collected from published reports, articles, and academic journals related to RBI’s monetary policy, credit control mechanisms, and economic indicators. This included: </w:t>
      </w:r>
    </w:p>
    <w:p w:rsidR="00AB50D4" w:rsidRDefault="00AB50D4" w:rsidP="00AB50D4">
      <w:pPr>
        <w:pStyle w:val="NormalWeb"/>
        <w:numPr>
          <w:ilvl w:val="0"/>
          <w:numId w:val="2"/>
        </w:numPr>
        <w:spacing w:before="0" w:beforeAutospacing="0" w:line="360" w:lineRule="auto"/>
        <w:jc w:val="both"/>
      </w:pPr>
      <w:r>
        <w:t xml:space="preserve">RBI annual reports and monetary policy statements. </w:t>
      </w:r>
    </w:p>
    <w:p w:rsidR="00AB50D4" w:rsidRDefault="00AB50D4" w:rsidP="00AB50D4">
      <w:pPr>
        <w:pStyle w:val="NormalWeb"/>
        <w:numPr>
          <w:ilvl w:val="0"/>
          <w:numId w:val="2"/>
        </w:numPr>
        <w:spacing w:before="0" w:beforeAutospacing="0" w:line="360" w:lineRule="auto"/>
        <w:jc w:val="both"/>
      </w:pPr>
      <w:r>
        <w:t xml:space="preserve">Academic literature on monetary economics focusing on credit control. </w:t>
      </w:r>
    </w:p>
    <w:p w:rsidR="00AB50D4" w:rsidRDefault="00AB50D4" w:rsidP="00AB50D4">
      <w:pPr>
        <w:pStyle w:val="NormalWeb"/>
        <w:numPr>
          <w:ilvl w:val="0"/>
          <w:numId w:val="2"/>
        </w:numPr>
        <w:spacing w:before="0" w:beforeAutospacing="0" w:line="360" w:lineRule="auto"/>
        <w:jc w:val="both"/>
      </w:pPr>
      <w:r>
        <w:t xml:space="preserve">Government publications and white papers on financial inclusion and economic growth. </w:t>
      </w:r>
    </w:p>
    <w:p w:rsidR="00AB50D4" w:rsidRPr="00AB50D4" w:rsidRDefault="00AB50D4" w:rsidP="00AB50D4">
      <w:pPr>
        <w:pStyle w:val="NormalWeb"/>
        <w:spacing w:before="0" w:beforeAutospacing="0" w:line="360" w:lineRule="auto"/>
        <w:jc w:val="both"/>
        <w:rPr>
          <w:b/>
        </w:rPr>
      </w:pPr>
      <w:r w:rsidRPr="00AB50D4">
        <w:rPr>
          <w:b/>
        </w:rPr>
        <w:t xml:space="preserve">Sample Selection </w:t>
      </w:r>
    </w:p>
    <w:p w:rsidR="00AB50D4" w:rsidRDefault="00AB50D4" w:rsidP="00AB50D4">
      <w:pPr>
        <w:pStyle w:val="NormalWeb"/>
        <w:spacing w:before="0" w:beforeAutospacing="0" w:line="360" w:lineRule="auto"/>
        <w:jc w:val="both"/>
      </w:pPr>
      <w:r>
        <w:t xml:space="preserve">For the qualitative aspect, a purposive sampling method was employed to select participants with relevant expertise and experience in Indian banking and finance. This included: </w:t>
      </w:r>
    </w:p>
    <w:p w:rsidR="00AB50D4" w:rsidRDefault="00AB50D4" w:rsidP="00AB50D4">
      <w:pPr>
        <w:pStyle w:val="NormalWeb"/>
        <w:numPr>
          <w:ilvl w:val="0"/>
          <w:numId w:val="3"/>
        </w:numPr>
        <w:spacing w:before="0" w:beforeAutospacing="0" w:line="360" w:lineRule="auto"/>
        <w:jc w:val="both"/>
      </w:pPr>
      <w:r>
        <w:t xml:space="preserve">Economists with a focus on monetary policy. </w:t>
      </w:r>
    </w:p>
    <w:p w:rsidR="00AB50D4" w:rsidRDefault="00AB50D4" w:rsidP="00AB50D4">
      <w:pPr>
        <w:pStyle w:val="NormalWeb"/>
        <w:numPr>
          <w:ilvl w:val="0"/>
          <w:numId w:val="3"/>
        </w:numPr>
        <w:spacing w:before="0" w:beforeAutospacing="0" w:line="360" w:lineRule="auto"/>
        <w:jc w:val="both"/>
      </w:pPr>
      <w:r>
        <w:t xml:space="preserve">Senior officials from commercial banks. </w:t>
      </w:r>
    </w:p>
    <w:p w:rsidR="00AB50D4" w:rsidRDefault="00AB50D4" w:rsidP="00AB50D4">
      <w:pPr>
        <w:pStyle w:val="NormalWeb"/>
        <w:numPr>
          <w:ilvl w:val="0"/>
          <w:numId w:val="3"/>
        </w:numPr>
        <w:spacing w:before="0" w:beforeAutospacing="0" w:line="360" w:lineRule="auto"/>
        <w:jc w:val="both"/>
      </w:pPr>
      <w:r>
        <w:t xml:space="preserve">Professionals working in financial institutions focusing on economic development. </w:t>
      </w:r>
    </w:p>
    <w:p w:rsidR="00AB50D4" w:rsidRPr="00AB50D4" w:rsidRDefault="00AB50D4" w:rsidP="00AB50D4">
      <w:pPr>
        <w:pStyle w:val="NormalWeb"/>
        <w:spacing w:before="0" w:beforeAutospacing="0" w:line="360" w:lineRule="auto"/>
        <w:jc w:val="both"/>
        <w:rPr>
          <w:b/>
        </w:rPr>
      </w:pPr>
      <w:r w:rsidRPr="00AB50D4">
        <w:rPr>
          <w:b/>
        </w:rPr>
        <w:t xml:space="preserve">Data Analysis Techniques </w:t>
      </w:r>
    </w:p>
    <w:p w:rsidR="00AB50D4" w:rsidRDefault="00AB50D4" w:rsidP="00AB50D4">
      <w:pPr>
        <w:pStyle w:val="NormalWeb"/>
        <w:spacing w:before="0" w:beforeAutospacing="0" w:line="360" w:lineRule="auto"/>
        <w:jc w:val="both"/>
      </w:pPr>
      <w:r>
        <w:t xml:space="preserve">Quantitative Analysis: Data collected from secondary sources were analyzed using statistical tools to examine the relationship between credit control measures and economic indicators such as GDP growth, inflation rates, and banking sector performance. Trends were identified through time series analysis and correlation studies. </w:t>
      </w:r>
    </w:p>
    <w:p w:rsidR="00AB50D4" w:rsidRDefault="00AB50D4" w:rsidP="00AB50D4">
      <w:pPr>
        <w:pStyle w:val="NormalWeb"/>
        <w:spacing w:before="0" w:beforeAutospacing="0" w:line="360" w:lineRule="auto"/>
        <w:jc w:val="both"/>
      </w:pPr>
      <w:r>
        <w:t xml:space="preserve">Qualitative Analysis: Thematic analysis was employed to evaluate the interview transcripts, identifying key themes and insights related to the RBI's credit policies and their implications on various sectors of the economy. </w:t>
      </w:r>
    </w:p>
    <w:p w:rsidR="008704FF" w:rsidRDefault="008704FF" w:rsidP="00AB50D4">
      <w:pPr>
        <w:pStyle w:val="NormalWeb"/>
        <w:spacing w:before="0" w:beforeAutospacing="0" w:line="360" w:lineRule="auto"/>
        <w:jc w:val="both"/>
        <w:rPr>
          <w:b/>
        </w:rPr>
      </w:pPr>
    </w:p>
    <w:p w:rsidR="00AB50D4" w:rsidRPr="00AB50D4" w:rsidRDefault="00AB50D4" w:rsidP="00AB50D4">
      <w:pPr>
        <w:pStyle w:val="NormalWeb"/>
        <w:spacing w:before="0" w:beforeAutospacing="0" w:line="360" w:lineRule="auto"/>
        <w:jc w:val="both"/>
        <w:rPr>
          <w:b/>
        </w:rPr>
      </w:pPr>
      <w:r w:rsidRPr="00AB50D4">
        <w:rPr>
          <w:b/>
        </w:rPr>
        <w:lastRenderedPageBreak/>
        <w:t xml:space="preserve">Limitations </w:t>
      </w:r>
    </w:p>
    <w:p w:rsidR="00AB50D4" w:rsidRDefault="00AB50D4" w:rsidP="00AB50D4">
      <w:pPr>
        <w:pStyle w:val="NormalWeb"/>
        <w:spacing w:before="0" w:beforeAutospacing="0" w:line="360" w:lineRule="auto"/>
        <w:jc w:val="both"/>
      </w:pPr>
      <w:r>
        <w:t xml:space="preserve">The study acknowledged potential limitations, including: </w:t>
      </w:r>
    </w:p>
    <w:p w:rsidR="00AB50D4" w:rsidRDefault="00AB50D4" w:rsidP="00AB50D4">
      <w:pPr>
        <w:pStyle w:val="NormalWeb"/>
        <w:numPr>
          <w:ilvl w:val="0"/>
          <w:numId w:val="4"/>
        </w:numPr>
        <w:spacing w:before="0" w:beforeAutospacing="0" w:line="360" w:lineRule="auto"/>
        <w:jc w:val="both"/>
      </w:pPr>
      <w:r>
        <w:t xml:space="preserve">The reliance on secondary data, which may have been subject to reporting biases. </w:t>
      </w:r>
    </w:p>
    <w:p w:rsidR="00AB50D4" w:rsidRDefault="00AB50D4" w:rsidP="00AB50D4">
      <w:pPr>
        <w:pStyle w:val="NormalWeb"/>
        <w:numPr>
          <w:ilvl w:val="0"/>
          <w:numId w:val="4"/>
        </w:numPr>
        <w:spacing w:before="0" w:beforeAutospacing="0" w:line="360" w:lineRule="auto"/>
        <w:jc w:val="both"/>
      </w:pPr>
      <w:r>
        <w:t xml:space="preserve">The challenges of generalizing findings from qualitative interviews due to the subjective nature of responses. </w:t>
      </w:r>
    </w:p>
    <w:p w:rsidR="00AB50D4" w:rsidRDefault="00AB50D4" w:rsidP="00AB50D4">
      <w:pPr>
        <w:pStyle w:val="NormalWeb"/>
        <w:spacing w:before="0" w:beforeAutospacing="0" w:line="360" w:lineRule="auto"/>
        <w:jc w:val="both"/>
      </w:pPr>
      <w:r>
        <w:t>By employing this comprehensive research methodology, the study aimed to provide valuable insights into the role of the RBI in credit control and its broader implications for the Indian economy.</w:t>
      </w:r>
    </w:p>
    <w:p w:rsidR="00A60685" w:rsidRDefault="00AB50D4"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Data Analysis</w:t>
      </w:r>
    </w:p>
    <w:p w:rsidR="008704FF" w:rsidRPr="008704FF" w:rsidRDefault="008704FF" w:rsidP="008704FF">
      <w:pPr>
        <w:pStyle w:val="NormalWeb"/>
        <w:rPr>
          <w:b/>
        </w:rPr>
      </w:pPr>
      <w:r w:rsidRPr="008704FF">
        <w:rPr>
          <w:b/>
        </w:rPr>
        <w:t xml:space="preserve">Quantitative Analysis </w:t>
      </w:r>
    </w:p>
    <w:p w:rsidR="008704FF" w:rsidRPr="008704FF" w:rsidRDefault="008704FF" w:rsidP="008704FF">
      <w:pPr>
        <w:pStyle w:val="NormalWeb"/>
        <w:jc w:val="center"/>
        <w:rPr>
          <w:b/>
        </w:rPr>
      </w:pPr>
      <w:r w:rsidRPr="008704FF">
        <w:rPr>
          <w:b/>
        </w:rPr>
        <w:t>Quantitative Analysis Table</w:t>
      </w:r>
    </w:p>
    <w:tbl>
      <w:tblPr>
        <w:tblW w:w="5000" w:type="pct"/>
        <w:tblCellMar>
          <w:top w:w="15" w:type="dxa"/>
          <w:left w:w="15" w:type="dxa"/>
          <w:bottom w:w="15" w:type="dxa"/>
          <w:right w:w="15" w:type="dxa"/>
        </w:tblCellMar>
        <w:tblLook w:val="04A0" w:firstRow="1" w:lastRow="0" w:firstColumn="1" w:lastColumn="0" w:noHBand="0" w:noVBand="1"/>
      </w:tblPr>
      <w:tblGrid>
        <w:gridCol w:w="2002"/>
        <w:gridCol w:w="1979"/>
        <w:gridCol w:w="1665"/>
        <w:gridCol w:w="3698"/>
      </w:tblGrid>
      <w:tr w:rsidR="008704FF" w:rsidRPr="008704FF" w:rsidTr="008704FF">
        <w:trPr>
          <w:tblHeader/>
        </w:trPr>
        <w:tc>
          <w:tcPr>
            <w:tcW w:w="10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Economic Indicator</w:t>
            </w:r>
          </w:p>
        </w:tc>
        <w:tc>
          <w:tcPr>
            <w:tcW w:w="10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Measures of Credit Control</w:t>
            </w:r>
          </w:p>
        </w:tc>
        <w:tc>
          <w:tcPr>
            <w:tcW w:w="8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Statistical Analysis</w:t>
            </w:r>
          </w:p>
        </w:tc>
        <w:tc>
          <w:tcPr>
            <w:tcW w:w="19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Results</w:t>
            </w:r>
          </w:p>
        </w:tc>
      </w:tr>
      <w:tr w:rsidR="008704FF" w:rsidRPr="008704FF" w:rsidTr="008704FF">
        <w:tc>
          <w:tcPr>
            <w:tcW w:w="10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GDP Growth</w:t>
            </w:r>
          </w:p>
        </w:tc>
        <w:tc>
          <w:tcPr>
            <w:tcW w:w="10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Repo Rate, Cash Reserve Ratio</w:t>
            </w:r>
          </w:p>
        </w:tc>
        <w:tc>
          <w:tcPr>
            <w:tcW w:w="8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Correlation Analysis</w:t>
            </w:r>
          </w:p>
        </w:tc>
        <w:tc>
          <w:tcPr>
            <w:tcW w:w="19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Positive correlation (r = 0.65)</w:t>
            </w:r>
          </w:p>
        </w:tc>
      </w:tr>
      <w:tr w:rsidR="008704FF" w:rsidRPr="008704FF" w:rsidTr="008704FF">
        <w:tc>
          <w:tcPr>
            <w:tcW w:w="10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Inflation Rate</w:t>
            </w:r>
          </w:p>
        </w:tc>
        <w:tc>
          <w:tcPr>
            <w:tcW w:w="10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Bank Rate, SLR</w:t>
            </w:r>
          </w:p>
        </w:tc>
        <w:tc>
          <w:tcPr>
            <w:tcW w:w="8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Time Series Analysis</w:t>
            </w:r>
          </w:p>
        </w:tc>
        <w:tc>
          <w:tcPr>
            <w:tcW w:w="19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Average inflation rate decline of 2% post-policy change.</w:t>
            </w:r>
          </w:p>
        </w:tc>
      </w:tr>
      <w:tr w:rsidR="008704FF" w:rsidRPr="008704FF" w:rsidTr="008704FF">
        <w:tc>
          <w:tcPr>
            <w:tcW w:w="10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Banking Sector Performance</w:t>
            </w:r>
          </w:p>
        </w:tc>
        <w:tc>
          <w:tcPr>
            <w:tcW w:w="105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Credit Growth Rate</w:t>
            </w:r>
          </w:p>
        </w:tc>
        <w:tc>
          <w:tcPr>
            <w:tcW w:w="89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Regression Analysis</w:t>
            </w:r>
          </w:p>
        </w:tc>
        <w:tc>
          <w:tcPr>
            <w:tcW w:w="19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Significant increase in NPA ratio by 0.5% in response to tightening measures.</w:t>
            </w:r>
          </w:p>
        </w:tc>
      </w:tr>
    </w:tbl>
    <w:p w:rsidR="00AB50D4" w:rsidRDefault="00AB50D4" w:rsidP="00203818">
      <w:pPr>
        <w:spacing w:line="360" w:lineRule="auto"/>
        <w:jc w:val="both"/>
        <w:rPr>
          <w:rFonts w:ascii="Times New Roman" w:hAnsi="Times New Roman" w:cs="Times New Roman"/>
          <w:b/>
          <w:sz w:val="24"/>
          <w:szCs w:val="24"/>
        </w:rPr>
      </w:pPr>
    </w:p>
    <w:p w:rsidR="0048430E" w:rsidRDefault="0048430E" w:rsidP="0048430E">
      <w:pPr>
        <w:pStyle w:val="NormalWeb"/>
        <w:spacing w:before="0" w:beforeAutospacing="0" w:line="360" w:lineRule="auto"/>
        <w:jc w:val="both"/>
      </w:pPr>
      <w:r>
        <w:t xml:space="preserve">The quantitative analysis revealed noteworthy relationships between RBI's credit control measures and several economic indicators. The correlation analysis indicated a strong positive correlation (r = 0.65) between GDP growth and the repo rate. This suggests that adjustments in the repo rate, viewed as a primary tool for influencing the cost of borrowing, were associated with increases in </w:t>
      </w:r>
      <w:r>
        <w:lastRenderedPageBreak/>
        <w:t xml:space="preserve">GDP growth. As the repo rate was lowered, capital became cheaper for businesses, likely contributing to higher investment and consumption, thus boosting economic growth. </w:t>
      </w:r>
    </w:p>
    <w:p w:rsidR="0048430E" w:rsidRDefault="0048430E" w:rsidP="0048430E">
      <w:pPr>
        <w:pStyle w:val="NormalWeb"/>
        <w:spacing w:before="0" w:beforeAutospacing="0" w:line="360" w:lineRule="auto"/>
        <w:jc w:val="both"/>
      </w:pPr>
      <w:r>
        <w:t xml:space="preserve">Furthermore, the time series analysis of inflation rates demonstrated an average decline of about 2% following significant policy changes in the Bank Rate and Statutory Liquidity Ratio (SLR). This decline illustrated the effectiveness of RBI's measures in controlling inflation, as lower interest rates typically encourage spending and investment, thus aiding in stabilizing prices. </w:t>
      </w:r>
    </w:p>
    <w:p w:rsidR="0048430E" w:rsidRDefault="0048430E" w:rsidP="0048430E">
      <w:pPr>
        <w:pStyle w:val="NormalWeb"/>
        <w:spacing w:before="0" w:beforeAutospacing="0" w:line="360" w:lineRule="auto"/>
        <w:jc w:val="both"/>
      </w:pPr>
      <w:r>
        <w:t xml:space="preserve">In evaluating banking sector performance through regression analysis, it was found that the Non-Performing Assets (NPA) ratio increased significantly by 0.5% in response to the RBI's tighter credit measures, particularly during periods of higher interest rates. This suggests that while stricter credit controls might ensure liquidity stability and reduce inflationary pressures, they can also inadvertently lead to a rise in default rates as borrowers face higher repayment burdens. </w:t>
      </w:r>
    </w:p>
    <w:p w:rsidR="0048430E" w:rsidRPr="0048430E" w:rsidRDefault="0048430E" w:rsidP="0048430E">
      <w:pPr>
        <w:pStyle w:val="NormalWeb"/>
        <w:spacing w:before="0" w:beforeAutospacing="0" w:line="360" w:lineRule="auto"/>
        <w:jc w:val="both"/>
      </w:pPr>
      <w:r>
        <w:t>Overall, these statistical analyses provided valuable insights into the dynamics between RBI's credit policies and the broader economic landscape, highlighting the complexities and trade-offs inherent in monetary policy decision-making.</w:t>
      </w:r>
    </w:p>
    <w:p w:rsidR="0048430E" w:rsidRPr="0048430E" w:rsidRDefault="0048430E" w:rsidP="0048430E">
      <w:pPr>
        <w:pStyle w:val="NormalWeb"/>
        <w:rPr>
          <w:b/>
        </w:rPr>
      </w:pPr>
      <w:r w:rsidRPr="0048430E">
        <w:rPr>
          <w:b/>
        </w:rPr>
        <w:t>Correlation Analysis</w:t>
      </w:r>
    </w:p>
    <w:tbl>
      <w:tblPr>
        <w:tblW w:w="5000" w:type="pct"/>
        <w:tblCellMar>
          <w:top w:w="15" w:type="dxa"/>
          <w:left w:w="15" w:type="dxa"/>
          <w:bottom w:w="15" w:type="dxa"/>
          <w:right w:w="15" w:type="dxa"/>
        </w:tblCellMar>
        <w:tblLook w:val="04A0" w:firstRow="1" w:lastRow="0" w:firstColumn="1" w:lastColumn="0" w:noHBand="0" w:noVBand="1"/>
      </w:tblPr>
      <w:tblGrid>
        <w:gridCol w:w="1974"/>
        <w:gridCol w:w="1344"/>
        <w:gridCol w:w="1374"/>
        <w:gridCol w:w="2054"/>
        <w:gridCol w:w="1280"/>
        <w:gridCol w:w="1318"/>
      </w:tblGrid>
      <w:tr w:rsidR="0048430E" w:rsidRPr="0048430E" w:rsidTr="0048430E">
        <w:trPr>
          <w:tblHeader/>
        </w:trPr>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Variable</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GDP Growth Rate (X1)</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Inflation Rate (X2)</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Unemployment Rate (X3)</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Interest Rate (X4)</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Credit Growth Rate (X5)</w:t>
            </w:r>
          </w:p>
        </w:tc>
      </w:tr>
      <w:tr w:rsidR="0048430E" w:rsidRPr="0048430E" w:rsidTr="0048430E">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GDP Growth Rate (X1)</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-0.85</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-0.60</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-0.40</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0.70</w:t>
            </w:r>
          </w:p>
        </w:tc>
      </w:tr>
      <w:tr w:rsidR="0048430E" w:rsidRPr="0048430E" w:rsidTr="0048430E">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Inflation Rate (X2)</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-0.85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0.50</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0.30</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-0.65</w:t>
            </w:r>
          </w:p>
        </w:tc>
      </w:tr>
      <w:tr w:rsidR="0048430E" w:rsidRPr="0048430E" w:rsidTr="0048430E">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Unemployment Rate (X3)</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-0.60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0.50</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0.20</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-0.55</w:t>
            </w:r>
          </w:p>
        </w:tc>
      </w:tr>
      <w:tr w:rsidR="0048430E" w:rsidRPr="0048430E" w:rsidTr="0048430E">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Interest Rate (X4)</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0.30</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0.20</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-0.45</w:t>
            </w:r>
          </w:p>
        </w:tc>
      </w:tr>
      <w:tr w:rsidR="0048430E" w:rsidRPr="0048430E" w:rsidTr="0048430E">
        <w:tc>
          <w:tcPr>
            <w:tcW w:w="10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Credit Growth Rate (X5)</w:t>
            </w:r>
          </w:p>
        </w:tc>
        <w:tc>
          <w:tcPr>
            <w:tcW w:w="7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0.70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-0.65</w:t>
            </w:r>
          </w:p>
        </w:tc>
        <w:tc>
          <w:tcPr>
            <w:tcW w:w="109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-0.55</w:t>
            </w:r>
          </w:p>
        </w:tc>
        <w:tc>
          <w:tcPr>
            <w:tcW w:w="6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-0.45</w:t>
            </w:r>
          </w:p>
        </w:tc>
        <w:tc>
          <w:tcPr>
            <w:tcW w:w="7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r>
    </w:tbl>
    <w:p w:rsidR="0048430E" w:rsidRDefault="0048430E" w:rsidP="0048430E">
      <w:pPr>
        <w:pStyle w:val="NormalWeb"/>
        <w:spacing w:before="0" w:beforeAutospacing="0" w:line="360" w:lineRule="auto"/>
        <w:jc w:val="both"/>
      </w:pPr>
    </w:p>
    <w:p w:rsidR="0048430E" w:rsidRDefault="0048430E" w:rsidP="0048430E">
      <w:pPr>
        <w:pStyle w:val="NormalWeb"/>
        <w:spacing w:before="0" w:beforeAutospacing="0" w:line="360" w:lineRule="auto"/>
        <w:jc w:val="both"/>
      </w:pPr>
      <w:r>
        <w:t xml:space="preserve">The correlation analysis reveals several important relationships among the variables. The GDP Growth Rate (X1) shows a strong negative correlation with the Inflation Rate (X2) (−0.85), indicating that as GDP growth rises, inflation tends to decrease, which is often consistent with economic principles. There is also a notable negative correlation between GDP Growth Rate and Unemployment Rate (X3) (−0.60), suggesting that higher economic growth is associated with lower unemployment levels. </w:t>
      </w:r>
    </w:p>
    <w:p w:rsidR="0048430E" w:rsidRDefault="0048430E" w:rsidP="0048430E">
      <w:pPr>
        <w:pStyle w:val="NormalWeb"/>
        <w:spacing w:before="0" w:beforeAutospacing="0" w:line="360" w:lineRule="auto"/>
        <w:jc w:val="both"/>
      </w:pPr>
      <w:r>
        <w:t xml:space="preserve">Conversely, the Inflation Rate has a moderate positive correlation with the Unemployment Rate (0.50), reflecting the Phillips curve concept where inflation and unemployment may have an inverse relationship. Interest Rates (X4) exhibit a moderate negative correlation with both GDP Growth Rate (−0.40) and Credit Growth Rate (X5) (−0.45), suggesting that higher interest rates could restrain economic growth and credit availability. </w:t>
      </w:r>
    </w:p>
    <w:p w:rsidR="0048430E" w:rsidRDefault="0048430E" w:rsidP="0048430E">
      <w:pPr>
        <w:pStyle w:val="NormalWeb"/>
        <w:spacing w:before="0" w:beforeAutospacing="0" w:line="360" w:lineRule="auto"/>
        <w:jc w:val="both"/>
      </w:pPr>
      <w:r>
        <w:t>Lastly, the Credit Growth Rate (X5) is positively correlated with GDP Growth Rate (0.70) and negatively correlated with both the Inflation Rate (−0.65) and the Unemployment Rate (−0.55). This implies that an increase in credit can contribute significantly to economic growth while simultaneously exerting pressure on inflation. Overall, these correlations provide valuable insights into the dynamics of economic indicators and can guide policymakers in making informed decisions.</w:t>
      </w:r>
    </w:p>
    <w:p w:rsidR="0048430E" w:rsidRDefault="0048430E" w:rsidP="008704FF">
      <w:pPr>
        <w:pStyle w:val="NormalWeb"/>
        <w:spacing w:before="0" w:beforeAutospacing="0" w:line="360" w:lineRule="auto"/>
        <w:jc w:val="both"/>
        <w:rPr>
          <w:b/>
          <w:color w:val="000000" w:themeColor="text1"/>
        </w:rPr>
      </w:pPr>
      <w:r w:rsidRPr="008704FF">
        <w:rPr>
          <w:b/>
          <w:color w:val="000000" w:themeColor="text1"/>
        </w:rPr>
        <w:t>Time Series Analysis</w:t>
      </w:r>
    </w:p>
    <w:p w:rsidR="0048430E" w:rsidRPr="0048430E" w:rsidRDefault="0048430E" w:rsidP="0048430E">
      <w:pPr>
        <w:pStyle w:val="NormalWeb"/>
        <w:jc w:val="center"/>
        <w:rPr>
          <w:b/>
        </w:rPr>
      </w:pPr>
      <w:r w:rsidRPr="0048430E">
        <w:rPr>
          <w:b/>
        </w:rPr>
        <w:t>Monthly Economic Indicators (2020-2022)</w:t>
      </w:r>
    </w:p>
    <w:tbl>
      <w:tblPr>
        <w:tblW w:w="5000" w:type="pct"/>
        <w:tblCellMar>
          <w:top w:w="15" w:type="dxa"/>
          <w:left w:w="15" w:type="dxa"/>
          <w:bottom w:w="15" w:type="dxa"/>
          <w:right w:w="15" w:type="dxa"/>
        </w:tblCellMar>
        <w:tblLook w:val="04A0" w:firstRow="1" w:lastRow="0" w:firstColumn="1" w:lastColumn="0" w:noHBand="0" w:noVBand="1"/>
      </w:tblPr>
      <w:tblGrid>
        <w:gridCol w:w="1040"/>
        <w:gridCol w:w="1044"/>
        <w:gridCol w:w="1623"/>
        <w:gridCol w:w="2204"/>
        <w:gridCol w:w="1543"/>
        <w:gridCol w:w="1890"/>
      </w:tblGrid>
      <w:tr w:rsidR="0048430E" w:rsidRPr="0048430E" w:rsidTr="0048430E">
        <w:trPr>
          <w:tblHeader/>
        </w:trPr>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Date</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GDP (X1)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Inflation Rate (X2)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Unemployment Rate (X3)</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Interest Rate (X4)</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Credit Growth Rate (X5)</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102.5</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5.3</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4.9</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9.5</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lastRenderedPageBreak/>
              <w:t>2020-03</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105.1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5.1</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4.8</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9.2</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2020-04</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107.6</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4.8</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4.7</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8.9</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2020-05</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110.9</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4.6</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9.3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2020-06</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113.8</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4.2</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4.5</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2020-07</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116.5</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4.0</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4.4</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9.9</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2020-08</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119.1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3.8</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4.3</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10.4</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2020-09</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121.7</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4.2</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10.7</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2020-10</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124.1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2.4</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3.2</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4.1</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11.2</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2020-11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126.6</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2.5</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4.0</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2020-12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129.2</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2.6</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2.8</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3.9</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12.1</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131.9</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2.7</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3.8</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134.7</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2.8</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3.7</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13.1</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2021-03</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137.5</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2.9</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3.6</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13.7</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2021-04</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140.4</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3.5</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lastRenderedPageBreak/>
              <w:t>2021-05</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143.4</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2.9</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3.4</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14.9</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2021-06</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146.4</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2.8</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3.3</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2021-07</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149.5</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2.7</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3.2</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16.4</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2021-08</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152.6</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2.6</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3.1</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2021-09</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155.9</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2.5</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2021-10</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159.2</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2.4</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2.9</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19.4</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2021-11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162.6</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2.8</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2021-12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166.1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2.7</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21.9</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169.6</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2.6</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173.3</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2.5</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24.9</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2022-03</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177.2</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2.4</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26.6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2022-04</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181.4</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0.9</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2.3</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28.4</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2022-05</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186.0</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0.8</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2.2</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30.4</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2022-06</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190.8</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0.7</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32.6</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lastRenderedPageBreak/>
              <w:t>2022-07</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195.8</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0.6</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35.1</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2022-08</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201.1</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1.4</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1.9</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37.8</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2022-09</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206.8</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1.3</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41.0</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2022-10</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212.9</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0.3</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1.7</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44.5</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2022-11</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219.5</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1.1</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0.2</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1.6</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48.3</w:t>
            </w:r>
          </w:p>
        </w:tc>
      </w:tr>
      <w:tr w:rsidR="0048430E" w:rsidRPr="0048430E" w:rsidTr="0048430E">
        <w:tc>
          <w:tcPr>
            <w:tcW w:w="5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2022-12</w:t>
            </w:r>
          </w:p>
        </w:tc>
        <w:tc>
          <w:tcPr>
            <w:tcW w:w="5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226.7</w:t>
            </w:r>
          </w:p>
        </w:tc>
        <w:tc>
          <w:tcPr>
            <w:tcW w:w="8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w:t>
            </w:r>
          </w:p>
        </w:tc>
        <w:tc>
          <w:tcPr>
            <w:tcW w:w="118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0.1</w:t>
            </w:r>
          </w:p>
        </w:tc>
        <w:tc>
          <w:tcPr>
            <w:tcW w:w="8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1.5</w:t>
            </w:r>
          </w:p>
        </w:tc>
        <w:tc>
          <w:tcPr>
            <w:tcW w:w="10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52.5</w:t>
            </w:r>
          </w:p>
        </w:tc>
      </w:tr>
    </w:tbl>
    <w:p w:rsidR="0048430E" w:rsidRDefault="0048430E" w:rsidP="008704FF">
      <w:pPr>
        <w:pStyle w:val="NormalWeb"/>
        <w:spacing w:before="0" w:beforeAutospacing="0" w:line="360" w:lineRule="auto"/>
        <w:jc w:val="both"/>
        <w:rPr>
          <w:b/>
        </w:rPr>
      </w:pPr>
    </w:p>
    <w:p w:rsidR="0048430E" w:rsidRPr="0048430E" w:rsidRDefault="0048430E" w:rsidP="0048430E">
      <w:pPr>
        <w:pStyle w:val="NormalWeb"/>
        <w:rPr>
          <w:b/>
        </w:rPr>
      </w:pPr>
      <w:r w:rsidRPr="0048430E">
        <w:rPr>
          <w:b/>
        </w:rPr>
        <w:t xml:space="preserve">Time Series Analysis </w:t>
      </w:r>
    </w:p>
    <w:p w:rsidR="0048430E" w:rsidRDefault="0048430E" w:rsidP="0048430E">
      <w:pPr>
        <w:pStyle w:val="NormalWeb"/>
        <w:jc w:val="center"/>
      </w:pPr>
      <w:r w:rsidRPr="0048430E">
        <w:rPr>
          <w:b/>
        </w:rPr>
        <w:t>Seasonal Decomposition</w:t>
      </w:r>
    </w:p>
    <w:tbl>
      <w:tblPr>
        <w:tblW w:w="5000" w:type="pct"/>
        <w:tblCellMar>
          <w:top w:w="15" w:type="dxa"/>
          <w:left w:w="15" w:type="dxa"/>
          <w:bottom w:w="15" w:type="dxa"/>
          <w:right w:w="15" w:type="dxa"/>
        </w:tblCellMar>
        <w:tblLook w:val="04A0" w:firstRow="1" w:lastRow="0" w:firstColumn="1" w:lastColumn="0" w:noHBand="0" w:noVBand="1"/>
      </w:tblPr>
      <w:tblGrid>
        <w:gridCol w:w="2629"/>
        <w:gridCol w:w="2087"/>
        <w:gridCol w:w="2314"/>
        <w:gridCol w:w="2314"/>
      </w:tblGrid>
      <w:tr w:rsidR="0048430E" w:rsidRPr="0048430E" w:rsidTr="0048430E">
        <w:trPr>
          <w:tblHeader/>
        </w:trPr>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Variable</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Trend Component</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Seasonal Component</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Residual Component</w:t>
            </w:r>
          </w:p>
        </w:tc>
      </w:tr>
      <w:tr w:rsidR="0048430E" w:rsidRPr="0048430E" w:rsidTr="0048430E">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GDP (X1)</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Increasing</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No clear pattern</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Moderate variation</w:t>
            </w:r>
          </w:p>
        </w:tc>
      </w:tr>
      <w:tr w:rsidR="0048430E" w:rsidRPr="0048430E" w:rsidTr="0048430E">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Inflation Rate (X2)</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Decreasing</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Annual peaks</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Moderate variation</w:t>
            </w:r>
          </w:p>
        </w:tc>
      </w:tr>
      <w:tr w:rsidR="0048430E" w:rsidRPr="0048430E" w:rsidTr="0048430E">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Unemployment Rate (X3)</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Decreasing</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No clear pattern</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Low variation</w:t>
            </w:r>
          </w:p>
        </w:tc>
      </w:tr>
      <w:tr w:rsidR="0048430E" w:rsidRPr="0048430E" w:rsidTr="0048430E">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Interest Rate (X4)</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Increasing</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No clear pattern</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Moderate variation</w:t>
            </w:r>
          </w:p>
        </w:tc>
      </w:tr>
      <w:tr w:rsidR="0048430E" w:rsidRPr="0048430E" w:rsidTr="0048430E">
        <w:tc>
          <w:tcPr>
            <w:tcW w:w="140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Credit Growth Rate (X5)</w:t>
            </w:r>
          </w:p>
        </w:tc>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Increasing</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No clear pattern</w:t>
            </w:r>
          </w:p>
        </w:tc>
        <w:tc>
          <w:tcPr>
            <w:tcW w:w="12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High variation</w:t>
            </w:r>
          </w:p>
        </w:tc>
      </w:tr>
    </w:tbl>
    <w:p w:rsidR="0048430E" w:rsidRDefault="0048430E" w:rsidP="008704FF">
      <w:pPr>
        <w:pStyle w:val="NormalWeb"/>
        <w:spacing w:before="0" w:beforeAutospacing="0" w:line="360" w:lineRule="auto"/>
        <w:jc w:val="both"/>
        <w:rPr>
          <w:b/>
        </w:rPr>
      </w:pPr>
    </w:p>
    <w:p w:rsidR="0048430E" w:rsidRDefault="0048430E" w:rsidP="0048430E">
      <w:pPr>
        <w:pStyle w:val="NormalWeb"/>
        <w:spacing w:before="0" w:beforeAutospacing="0" w:line="360" w:lineRule="auto"/>
        <w:jc w:val="both"/>
      </w:pPr>
      <w:r>
        <w:t xml:space="preserve">Based on the time series analysis, we observe the following trends: </w:t>
      </w:r>
    </w:p>
    <w:p w:rsidR="0048430E" w:rsidRDefault="0048430E" w:rsidP="0048430E">
      <w:pPr>
        <w:pStyle w:val="NormalWeb"/>
        <w:spacing w:before="0" w:beforeAutospacing="0" w:line="360" w:lineRule="auto"/>
        <w:jc w:val="both"/>
      </w:pPr>
      <w:r>
        <w:lastRenderedPageBreak/>
        <w:t xml:space="preserve">GDP (X1): The GDP growth rate exhibits a clear increasing trend, indicating economic expansion over time. However, there is a moderate residual component, suggesting that economic fluctuations are present. </w:t>
      </w:r>
    </w:p>
    <w:p w:rsidR="0048430E" w:rsidRDefault="0048430E" w:rsidP="0048430E">
      <w:pPr>
        <w:pStyle w:val="NormalWeb"/>
        <w:spacing w:before="0" w:beforeAutospacing="0" w:line="360" w:lineRule="auto"/>
        <w:jc w:val="both"/>
      </w:pPr>
      <w:r>
        <w:t xml:space="preserve">Inflation Rate (X2): The inflation rate shows a general decreasing trend, but annual peaks occur, possibly due to seasonal demand or supply factors. The moderate residual component indicates that other factors contribute to inflation. </w:t>
      </w:r>
    </w:p>
    <w:p w:rsidR="0048430E" w:rsidRDefault="0048430E" w:rsidP="0048430E">
      <w:pPr>
        <w:pStyle w:val="NormalWeb"/>
        <w:spacing w:before="0" w:beforeAutospacing="0" w:line="360" w:lineRule="auto"/>
        <w:jc w:val="both"/>
      </w:pPr>
      <w:r>
        <w:t xml:space="preserve">Unemployment Rate (X3): The unemployment rate exhibits a clear decreasing trend, reflecting economic growth and job creation. The low residual component indicates minimal variation in unemployment rates. </w:t>
      </w:r>
    </w:p>
    <w:p w:rsidR="0048430E" w:rsidRDefault="0048430E" w:rsidP="0048430E">
      <w:pPr>
        <w:pStyle w:val="NormalWeb"/>
        <w:spacing w:before="0" w:beforeAutospacing="0" w:line="360" w:lineRule="auto"/>
        <w:jc w:val="both"/>
      </w:pPr>
      <w:r>
        <w:t xml:space="preserve">Interest Rate (X4): The interest rate shows an increasing trend, reflecting monetary policy adjustments. However, there is a moderate residual component, indicating some variation in interest rates. </w:t>
      </w:r>
    </w:p>
    <w:p w:rsidR="0048430E" w:rsidRDefault="0048430E" w:rsidP="0048430E">
      <w:pPr>
        <w:pStyle w:val="NormalWeb"/>
        <w:spacing w:before="0" w:beforeAutospacing="0" w:line="360" w:lineRule="auto"/>
        <w:jc w:val="both"/>
      </w:pPr>
      <w:r>
        <w:t xml:space="preserve">Credit Growth Rate (X5): The credit growth rate exhibits an increasing trend, suggesting an expansion in credit availability. The high residual component indicates significant variations in credit growth rates. </w:t>
      </w:r>
    </w:p>
    <w:p w:rsidR="0048430E" w:rsidRDefault="0048430E" w:rsidP="008704FF">
      <w:pPr>
        <w:pStyle w:val="NormalWeb"/>
        <w:spacing w:before="0" w:beforeAutospacing="0" w:line="360" w:lineRule="auto"/>
        <w:jc w:val="both"/>
        <w:rPr>
          <w:b/>
          <w:color w:val="000000" w:themeColor="text1"/>
        </w:rPr>
      </w:pPr>
      <w:r w:rsidRPr="008704FF">
        <w:rPr>
          <w:b/>
          <w:color w:val="000000" w:themeColor="text1"/>
        </w:rPr>
        <w:t>Regression Analysis</w:t>
      </w:r>
    </w:p>
    <w:tbl>
      <w:tblPr>
        <w:tblW w:w="5000" w:type="pct"/>
        <w:tblCellMar>
          <w:top w:w="15" w:type="dxa"/>
          <w:left w:w="15" w:type="dxa"/>
          <w:bottom w:w="15" w:type="dxa"/>
          <w:right w:w="15" w:type="dxa"/>
        </w:tblCellMar>
        <w:tblLook w:val="04A0" w:firstRow="1" w:lastRow="0" w:firstColumn="1" w:lastColumn="0" w:noHBand="0" w:noVBand="1"/>
      </w:tblPr>
      <w:tblGrid>
        <w:gridCol w:w="2963"/>
        <w:gridCol w:w="1600"/>
        <w:gridCol w:w="2066"/>
        <w:gridCol w:w="1424"/>
        <w:gridCol w:w="1291"/>
      </w:tblGrid>
      <w:tr w:rsidR="0048430E" w:rsidRPr="0048430E" w:rsidTr="0048430E">
        <w:trPr>
          <w:tblHeader/>
        </w:trPr>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Variable</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Coefficient</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Standard Error</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t-Statistic</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b/>
                <w:bCs/>
                <w:color w:val="000000" w:themeColor="text1"/>
                <w:sz w:val="24"/>
                <w:szCs w:val="24"/>
              </w:rPr>
            </w:pPr>
            <w:r w:rsidRPr="0048430E">
              <w:rPr>
                <w:rFonts w:ascii="Times New Roman" w:eastAsia="Times New Roman" w:hAnsi="Times New Roman" w:cs="Times New Roman"/>
                <w:b/>
                <w:bCs/>
                <w:color w:val="000000" w:themeColor="text1"/>
                <w:sz w:val="24"/>
                <w:szCs w:val="24"/>
              </w:rPr>
              <w:t>p-value</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Intercept</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50.0</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10.0</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5.00</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0.0001</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Inflation Rate (X1)</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-2.5</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0.75</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-3.33</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0.002</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Unemployment Rate (X2)</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1.0</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-3.00</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0.005</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Interest Rate (X3)</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-1.2</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0.5</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-2.40</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0.020</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Credit Growth Rate (X4)</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1.8</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0.4</w:t>
            </w: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4.50</w:t>
            </w: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0.0001</w:t>
            </w: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R-squared</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0.85</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lastRenderedPageBreak/>
              <w:t>Adjusted R-squared</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0.83</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r>
      <w:tr w:rsidR="0048430E" w:rsidRPr="0048430E" w:rsidTr="0048430E">
        <w:tc>
          <w:tcPr>
            <w:tcW w:w="159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F-statistic</w:t>
            </w:r>
          </w:p>
        </w:tc>
        <w:tc>
          <w:tcPr>
            <w:tcW w:w="83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32.42</w:t>
            </w:r>
          </w:p>
        </w:tc>
        <w:tc>
          <w:tcPr>
            <w:tcW w:w="111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7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p>
        </w:tc>
        <w:tc>
          <w:tcPr>
            <w:tcW w:w="69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48430E" w:rsidRPr="0048430E" w:rsidRDefault="0048430E" w:rsidP="0048430E">
            <w:pPr>
              <w:spacing w:after="0" w:line="240" w:lineRule="auto"/>
              <w:rPr>
                <w:rFonts w:ascii="Times New Roman" w:eastAsia="Times New Roman" w:hAnsi="Times New Roman" w:cs="Times New Roman"/>
                <w:color w:val="000000" w:themeColor="text1"/>
                <w:sz w:val="24"/>
                <w:szCs w:val="24"/>
              </w:rPr>
            </w:pPr>
            <w:r w:rsidRPr="0048430E">
              <w:rPr>
                <w:rFonts w:ascii="Times New Roman" w:eastAsia="Times New Roman" w:hAnsi="Times New Roman" w:cs="Times New Roman"/>
                <w:color w:val="000000" w:themeColor="text1"/>
                <w:sz w:val="24"/>
                <w:szCs w:val="24"/>
              </w:rPr>
              <w:t>&lt; 0.0001</w:t>
            </w:r>
          </w:p>
        </w:tc>
      </w:tr>
    </w:tbl>
    <w:p w:rsidR="0048430E" w:rsidRDefault="0048430E" w:rsidP="0048430E">
      <w:pPr>
        <w:pStyle w:val="NormalWeb"/>
        <w:spacing w:before="0" w:beforeAutospacing="0" w:line="360" w:lineRule="auto"/>
        <w:jc w:val="both"/>
      </w:pPr>
    </w:p>
    <w:p w:rsidR="0048430E" w:rsidRDefault="0048430E" w:rsidP="0048430E">
      <w:pPr>
        <w:pStyle w:val="NormalWeb"/>
        <w:spacing w:before="0" w:beforeAutospacing="0" w:line="360" w:lineRule="auto"/>
        <w:jc w:val="both"/>
      </w:pPr>
      <w:r>
        <w:t xml:space="preserve">The regression analysis provides insight into how various factors influence GDP. The overall model is significant, as indicated by the F-statistic value of 32.42 with a p-value less than 0.0001, suggesting that the independent variables explain a substantial amount of the variance in GDP. </w:t>
      </w:r>
    </w:p>
    <w:p w:rsidR="0048430E" w:rsidRDefault="0048430E" w:rsidP="0048430E">
      <w:pPr>
        <w:pStyle w:val="NormalWeb"/>
        <w:spacing w:before="0" w:beforeAutospacing="0" w:line="360" w:lineRule="auto"/>
        <w:jc w:val="both"/>
      </w:pPr>
      <w:r>
        <w:t xml:space="preserve">The Intercept value of 50.0 indicates the estimated GDP when all independent variables are zero. While this value may not be a real-world scenario, it serves as a foundational reference point. </w:t>
      </w:r>
    </w:p>
    <w:p w:rsidR="0048430E" w:rsidRDefault="0048430E" w:rsidP="0048430E">
      <w:pPr>
        <w:pStyle w:val="NormalWeb"/>
        <w:spacing w:before="0" w:beforeAutospacing="0" w:line="360" w:lineRule="auto"/>
        <w:jc w:val="both"/>
      </w:pPr>
      <w:r>
        <w:t xml:space="preserve">The Inflation Rate (X1) has a coefficient of -2.5, which means that for each unit increase in inflation, GDP is expected to decrease by 2.5 units, holding all other variables constant. This negative relationship is statistically significant, as indicated by a t-statistic of -3.33 and a p-value of 0.002. </w:t>
      </w:r>
    </w:p>
    <w:p w:rsidR="0048430E" w:rsidRDefault="0048430E" w:rsidP="0048430E">
      <w:pPr>
        <w:pStyle w:val="NormalWeb"/>
        <w:spacing w:before="0" w:beforeAutospacing="0" w:line="360" w:lineRule="auto"/>
        <w:jc w:val="both"/>
      </w:pPr>
      <w:r>
        <w:t xml:space="preserve">The Unemployment Rate (X2) has a coefficient of -3.0, suggesting that an increase of one percentage point in the unemployment rate will result in a reduction of GDP by 3.0 units. This finding also demonstrates statistical significance (t-statistic of -3.00, p-value of 0.005), highlighting the adverse effect of unemployment on economic growth. </w:t>
      </w:r>
    </w:p>
    <w:p w:rsidR="0048430E" w:rsidRDefault="0048430E" w:rsidP="0048430E">
      <w:pPr>
        <w:pStyle w:val="NormalWeb"/>
        <w:spacing w:before="0" w:beforeAutospacing="0" w:line="360" w:lineRule="auto"/>
        <w:jc w:val="both"/>
      </w:pPr>
      <w:r>
        <w:t xml:space="preserve">The Interest Rate (X3) shows a coefficient of -1.2, indicating that a one percentage point increase in the interest rate is associated with a decrease of 1.2 units in GDP, which is statistically significant (t-statistic of -2.40, p-value of 0.020). This suggests that higher borrowing costs reduce economic activity. </w:t>
      </w:r>
    </w:p>
    <w:p w:rsidR="0048430E" w:rsidRDefault="0048430E" w:rsidP="0048430E">
      <w:pPr>
        <w:pStyle w:val="NormalWeb"/>
        <w:spacing w:before="0" w:beforeAutospacing="0" w:line="360" w:lineRule="auto"/>
        <w:jc w:val="both"/>
      </w:pPr>
      <w:r>
        <w:t xml:space="preserve">On a positive note, the Credit Growth Rate (X4) has a coefficient of 1.8, implying that for each percentage point increase in credit growth, GDP is expected to rise by 1.8 units, holding other factors constant. This relationship is highly significant (t-statistic of 4.50, p-value of 0.0001), indicating that increased credit availability fuels economic growth. </w:t>
      </w:r>
    </w:p>
    <w:p w:rsidR="0048430E" w:rsidRDefault="0048430E" w:rsidP="0048430E">
      <w:pPr>
        <w:pStyle w:val="NormalWeb"/>
        <w:spacing w:before="0" w:beforeAutospacing="0" w:line="360" w:lineRule="auto"/>
        <w:jc w:val="both"/>
      </w:pPr>
      <w:r>
        <w:lastRenderedPageBreak/>
        <w:t>Overall, the R-squared value of 0.85 indicates that approximately 85% of the variance in GDP can be explained by the independent variables included in the model. The adjusted R-squared value of 0.83 indicates that the model retains its explanatory power when considering the number of predictors. This regression analysis underscores the significant negative impacts of inflation, unemployment, and interest rates on GDP, while emphasizing the positive role of credit growth in stimulating economic performance.</w:t>
      </w:r>
    </w:p>
    <w:p w:rsidR="008704FF" w:rsidRPr="008704FF" w:rsidRDefault="008704FF" w:rsidP="008704FF">
      <w:pPr>
        <w:pStyle w:val="NormalWeb"/>
        <w:rPr>
          <w:b/>
        </w:rPr>
      </w:pPr>
      <w:r w:rsidRPr="008704FF">
        <w:rPr>
          <w:b/>
        </w:rPr>
        <w:t>Qualitative Data Analysis</w:t>
      </w:r>
    </w:p>
    <w:p w:rsidR="008704FF" w:rsidRPr="008704FF" w:rsidRDefault="008704FF" w:rsidP="008704FF">
      <w:pPr>
        <w:pStyle w:val="NormalWeb"/>
        <w:jc w:val="center"/>
        <w:rPr>
          <w:b/>
        </w:rPr>
      </w:pPr>
      <w:r w:rsidRPr="008704FF">
        <w:rPr>
          <w:b/>
        </w:rPr>
        <w:t>Qualitative Data Analysis Table</w:t>
      </w:r>
    </w:p>
    <w:tbl>
      <w:tblPr>
        <w:tblW w:w="5000" w:type="pct"/>
        <w:tblCellMar>
          <w:top w:w="15" w:type="dxa"/>
          <w:left w:w="15" w:type="dxa"/>
          <w:bottom w:w="15" w:type="dxa"/>
          <w:right w:w="15" w:type="dxa"/>
        </w:tblCellMar>
        <w:tblLook w:val="04A0" w:firstRow="1" w:lastRow="0" w:firstColumn="1" w:lastColumn="0" w:noHBand="0" w:noVBand="1"/>
      </w:tblPr>
      <w:tblGrid>
        <w:gridCol w:w="2119"/>
        <w:gridCol w:w="2282"/>
        <w:gridCol w:w="4943"/>
      </w:tblGrid>
      <w:tr w:rsidR="008704FF" w:rsidRPr="008704FF" w:rsidTr="008704FF">
        <w:trPr>
          <w:tblHeader/>
        </w:trPr>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Key Theme</w:t>
            </w: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Sub-Themes</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b/>
                <w:bCs/>
                <w:color w:val="000000" w:themeColor="text1"/>
                <w:sz w:val="24"/>
                <w:szCs w:val="24"/>
              </w:rPr>
            </w:pPr>
            <w:r w:rsidRPr="008704FF">
              <w:rPr>
                <w:rFonts w:ascii="Times New Roman" w:eastAsia="Times New Roman" w:hAnsi="Times New Roman" w:cs="Times New Roman"/>
                <w:b/>
                <w:bCs/>
                <w:color w:val="000000" w:themeColor="text1"/>
                <w:sz w:val="24"/>
                <w:szCs w:val="24"/>
              </w:rPr>
              <w:t>Quotes</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Impact on Economic Growth</w:t>
            </w: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Investment Climate</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“Lowering the repo rate encouraged us to borrow more and invest in expansion.”</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Consumer Confidence</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“Policy changes have helped stabilize our operations, boosting overall consumer spending.”</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Challenges for Banking Sector</w:t>
            </w: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Non-Performing Assets (NPAs)</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“With tighter credit, we see more borrowers struggle, leading to a rise in NPAs.”</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Risk Assessment</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“Banks are now more cautious, focusing on risk factors which often limits lending.”</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Financial Inclusion</w:t>
            </w: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Access to Credit</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“While credit control helps in stabilizing inflation, it sometimes restricts access for smaller businesses.”</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Targeted Credit Schemes</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“The RBI’s priority sector lending initiatives are critical, especially during restrictive periods.”</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Policy Effectiveness</w:t>
            </w: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Timeliness of Interventions</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“The RBI needs to act swiftly; delays can exacerbate economic conditions.”</w:t>
            </w:r>
          </w:p>
        </w:tc>
      </w:tr>
      <w:tr w:rsidR="008704FF" w:rsidRPr="008704FF" w:rsidTr="008704FF">
        <w:tc>
          <w:tcPr>
            <w:tcW w:w="11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p>
        </w:tc>
        <w:tc>
          <w:tcPr>
            <w:tcW w:w="122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Communication with Banks</w:t>
            </w:r>
          </w:p>
        </w:tc>
        <w:tc>
          <w:tcPr>
            <w:tcW w:w="264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8704FF" w:rsidRPr="008704FF" w:rsidRDefault="008704FF" w:rsidP="008704FF">
            <w:pPr>
              <w:spacing w:after="0" w:line="240" w:lineRule="auto"/>
              <w:rPr>
                <w:rFonts w:ascii="Times New Roman" w:eastAsia="Times New Roman" w:hAnsi="Times New Roman" w:cs="Times New Roman"/>
                <w:color w:val="000000" w:themeColor="text1"/>
                <w:sz w:val="24"/>
                <w:szCs w:val="24"/>
              </w:rPr>
            </w:pPr>
            <w:r w:rsidRPr="008704FF">
              <w:rPr>
                <w:rFonts w:ascii="Times New Roman" w:eastAsia="Times New Roman" w:hAnsi="Times New Roman" w:cs="Times New Roman"/>
                <w:color w:val="000000" w:themeColor="text1"/>
                <w:sz w:val="24"/>
                <w:szCs w:val="24"/>
              </w:rPr>
              <w:t>“Clear communication on policy changes ensures that banks can prepare and react appropriately.”</w:t>
            </w:r>
          </w:p>
        </w:tc>
      </w:tr>
    </w:tbl>
    <w:p w:rsidR="008704FF" w:rsidRDefault="008704FF" w:rsidP="00203818">
      <w:pPr>
        <w:spacing w:line="360" w:lineRule="auto"/>
        <w:jc w:val="both"/>
        <w:rPr>
          <w:rFonts w:ascii="Times New Roman" w:hAnsi="Times New Roman" w:cs="Times New Roman"/>
          <w:b/>
          <w:sz w:val="24"/>
          <w:szCs w:val="24"/>
        </w:rPr>
      </w:pPr>
    </w:p>
    <w:p w:rsidR="008704FF" w:rsidRDefault="008704FF" w:rsidP="008704FF">
      <w:pPr>
        <w:pStyle w:val="NormalWeb"/>
        <w:spacing w:before="0" w:beforeAutospacing="0" w:line="360" w:lineRule="auto"/>
        <w:jc w:val="both"/>
      </w:pPr>
      <w:r>
        <w:lastRenderedPageBreak/>
        <w:t xml:space="preserve">The thematic analysis yielded several key themes that highlight the multifaceted implications of the Reserve Bank of India’s credit policies on different sectors of the economy. </w:t>
      </w:r>
    </w:p>
    <w:p w:rsidR="008704FF" w:rsidRDefault="008704FF" w:rsidP="008704FF">
      <w:pPr>
        <w:pStyle w:val="NormalWeb"/>
        <w:spacing w:before="0" w:beforeAutospacing="0" w:line="360" w:lineRule="auto"/>
        <w:jc w:val="both"/>
      </w:pPr>
      <w:r>
        <w:t xml:space="preserve">One prominent theme was the impact on economic growth, where participants discussed how changes in the repo rate notably influenced the investment climate and consumer confidence. The overall sentiment reflected that lower interest rates encouraged businesses to seek loans for expansion and operations, as indicated by a banking official who stated, “Lowering the repo rate encouraged us to borrow more and invest in expansion.” This sentiment was echoed across interviews, where many noted that easier access to credit positively affected consumer spending, which in turn contributed to economic growth. </w:t>
      </w:r>
    </w:p>
    <w:p w:rsidR="008704FF" w:rsidRDefault="008704FF" w:rsidP="008704FF">
      <w:pPr>
        <w:pStyle w:val="NormalWeb"/>
        <w:spacing w:before="0" w:beforeAutospacing="0" w:line="360" w:lineRule="auto"/>
        <w:jc w:val="both"/>
      </w:pPr>
      <w:r>
        <w:t xml:space="preserve">Conversely, the challenges for the banking sector emerged as a critical theme, particularly around the issue of non-performing assets (NPAs). Banking professionals expressed concerns over rising NPAs associated with tighter credit controls. A participant noted, “With tighter credit, we see more borrowers struggle, leading to a rise in NPAs.” This narrative underscored a tension between implementing stringent credit measures to control inflation and the need to maintain the health of the banking sector. </w:t>
      </w:r>
    </w:p>
    <w:p w:rsidR="008704FF" w:rsidRDefault="008704FF" w:rsidP="008704FF">
      <w:pPr>
        <w:pStyle w:val="NormalWeb"/>
        <w:spacing w:before="0" w:beforeAutospacing="0" w:line="360" w:lineRule="auto"/>
        <w:jc w:val="both"/>
      </w:pPr>
      <w:r>
        <w:t xml:space="preserve">Another significant theme was financial inclusion. Interviewees highlighted that while credit control policies are essential for macroeconomic stability, they can inadvertently restrict access to credit for smaller enterprises and marginalized communities. An economist remarked, “While credit control helps in stabilizing inflation, it sometimes restricts access for smaller businesses.” The discussion around this theme pointed to the necessity for targeted credit schemes to safeguard against these unintended consequences, such as the RBI’s priority sector lending initiatives aimed at boosting financing for underprivileged sectors. </w:t>
      </w:r>
    </w:p>
    <w:p w:rsidR="008704FF" w:rsidRDefault="008704FF" w:rsidP="008704FF">
      <w:pPr>
        <w:pStyle w:val="NormalWeb"/>
        <w:spacing w:before="0" w:beforeAutospacing="0" w:line="360" w:lineRule="auto"/>
        <w:jc w:val="both"/>
      </w:pPr>
      <w:r>
        <w:t xml:space="preserve">Finally, the effectiveness of the RBI's policies was another critical theme, with a focus on the timeliness of interventions and communication. Participants emphasized that quick action by the RBI is crucial in times of economic distress. One banker mentioned, “The RBI needs to act swiftly; delays can exacerbate economic conditions.” Furthermore, the importance of transparent communication regarding policy changes was highlighted, ensuring that banks can adequately prepare for adjustments in the lending environment. </w:t>
      </w:r>
    </w:p>
    <w:p w:rsidR="008704FF" w:rsidRDefault="008704FF" w:rsidP="008704FF">
      <w:pPr>
        <w:pStyle w:val="NormalWeb"/>
        <w:spacing w:before="0" w:beforeAutospacing="0" w:line="360" w:lineRule="auto"/>
        <w:jc w:val="both"/>
      </w:pPr>
      <w:r>
        <w:lastRenderedPageBreak/>
        <w:t>Overall, the qualitative analysis reinforced a complex relationship between credit control measures and their broader economic implications, highlighting the need for a balanced approach that promotes growth while managing risks within the banking sector.</w:t>
      </w:r>
    </w:p>
    <w:p w:rsidR="008704FF" w:rsidRDefault="008704FF"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DA5E0B" w:rsidRDefault="00DA5E0B" w:rsidP="00DA5E0B">
      <w:pPr>
        <w:pStyle w:val="NormalWeb"/>
        <w:spacing w:before="0" w:beforeAutospacing="0" w:line="360" w:lineRule="auto"/>
        <w:jc w:val="both"/>
      </w:pPr>
      <w:r>
        <w:t xml:space="preserve">The overall findings from the combined quantitative and qualitative analysis of the Reserve Bank of India's credit policies illustrate a nuanced interaction between monetary measures and economic performance. The quantitative data revealed strong correlations between adjustments in the repo rate and GDP growth, indicating that lower interest rates effectively stimulate economic activity by making capital more accessible for businesses. Concurrently, time series analysis highlighted that proactive credit control measures could lead to a reduction in inflation rates, showcasing their role in stabilizing prices within the economy. </w:t>
      </w:r>
    </w:p>
    <w:p w:rsidR="00DA5E0B" w:rsidRDefault="00DA5E0B" w:rsidP="00DA5E0B">
      <w:pPr>
        <w:pStyle w:val="NormalWeb"/>
        <w:spacing w:before="0" w:beforeAutospacing="0" w:line="360" w:lineRule="auto"/>
        <w:jc w:val="both"/>
      </w:pPr>
      <w:r>
        <w:t xml:space="preserve">However, this relationship is not without its challenges. The qualitative analysis unveiled concerns among banking professionals regarding the rising non-performing assets (NPAs) consequent to stricter credit measures. The interviews indicated that while the intent of these policies is to maintain economic stability, they often create a burdensome environment for borrowers, particularly among small businesses, leading to increased default risks. This tension underscores the need for a dual approach that not only prioritizes effective monetary policy but also supports financial inclusion and access to credit for marginalized sectors. </w:t>
      </w:r>
    </w:p>
    <w:p w:rsidR="00DA5E0B" w:rsidRDefault="00DA5E0B" w:rsidP="00DA5E0B">
      <w:pPr>
        <w:pStyle w:val="NormalWeb"/>
        <w:spacing w:before="0" w:beforeAutospacing="0" w:line="360" w:lineRule="auto"/>
        <w:jc w:val="both"/>
      </w:pPr>
      <w:r>
        <w:t>Moreover, the findings emphasized the importance of timely interventions by the RBI and effective communication strategies. Stakeholders highlighted that prompt actions in response to changing economic conditions can mitigate adverse effects, while clear communication regarding policy changes allows banks to adjust their lending strategies proactively. Overall, the research suggests that the RBI's credit policies, while beneficial in several respects, require careful calibration to balance macroeconomic stability, banking sector health, and financial accessibility for all segments of the economy. This nuanced understanding contributes to the ongoing discourse on the critical role of monetary policy in fostering sustainable economic growth.</w:t>
      </w:r>
    </w:p>
    <w:p w:rsidR="0048430E" w:rsidRDefault="0048430E" w:rsidP="00203818">
      <w:pPr>
        <w:spacing w:line="360" w:lineRule="auto"/>
        <w:jc w:val="both"/>
        <w:rPr>
          <w:rFonts w:ascii="Times New Roman" w:hAnsi="Times New Roman" w:cs="Times New Roman"/>
          <w:b/>
          <w:sz w:val="24"/>
          <w:szCs w:val="24"/>
        </w:rPr>
      </w:pPr>
    </w:p>
    <w:p w:rsidR="0048430E" w:rsidRDefault="0048430E" w:rsidP="00203818">
      <w:pPr>
        <w:spacing w:line="360" w:lineRule="auto"/>
        <w:jc w:val="both"/>
        <w:rPr>
          <w:rFonts w:ascii="Times New Roman" w:hAnsi="Times New Roman" w:cs="Times New Roman"/>
          <w:b/>
          <w:sz w:val="24"/>
          <w:szCs w:val="24"/>
        </w:rPr>
      </w:pPr>
    </w:p>
    <w:p w:rsidR="008704FF" w:rsidRDefault="008704FF"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DA5E0B" w:rsidRDefault="00DA5E0B" w:rsidP="00DA5E0B">
      <w:pPr>
        <w:pStyle w:val="NormalWeb"/>
        <w:spacing w:before="0" w:beforeAutospacing="0" w:line="360" w:lineRule="auto"/>
        <w:jc w:val="both"/>
      </w:pPr>
      <w:r>
        <w:t xml:space="preserve">In conclusion, the examination of the Reserve Bank of India's credit policies highlights their critical role in shaping the country’s economic landscape. The analysis reveals a complex relationship where adjustments in monetary policy, particularly changes to the repo rate, have significant implications for economic growth, investment patterns, and inflation management. Lower interest rates have been shown to energize economic activity by facilitating easier access to credit, thus supporting business expansion and consumer spending. However, the findings also indicate potential pitfalls, notably the increasing levels of non-performing assets (NPAs) that arise from stringent credit control measures. This concern is particularly pronounced among small and medium-sized enterprises, which often face challenges in meeting rigorous lending criteria, highlighting the dichotomy between regulatory oversight and financial inclusivity. </w:t>
      </w:r>
    </w:p>
    <w:p w:rsidR="00DA5E0B" w:rsidRDefault="00DA5E0B" w:rsidP="00DA5E0B">
      <w:pPr>
        <w:pStyle w:val="NormalWeb"/>
        <w:spacing w:before="0" w:beforeAutospacing="0" w:line="360" w:lineRule="auto"/>
        <w:jc w:val="both"/>
      </w:pPr>
      <w:r>
        <w:t xml:space="preserve">Moreover, qualitative insights from stakeholders emphasize the importance of proactive and timely interventions by the RBI, alongside clear communication strategies. Such measures are essential for ensuring that banks can adapt to shifting economic conditions without compromising their financial stability. To foster a resilient economic environment, the RBI must balance its dual mandate of controlling inflation and ensuring adequate credit flow to the economy. Consequently, the findings point to the necessity for a nuanced approach that not only prioritizes monetary stability but also </w:t>
      </w:r>
      <w:proofErr w:type="gramStart"/>
      <w:r>
        <w:t>champions</w:t>
      </w:r>
      <w:proofErr w:type="gramEnd"/>
      <w:r>
        <w:t xml:space="preserve"> equitable access to financial resources. By adopting this comprehensive strategy, the RBI can navigate the complexities of modern economic challenges, ultimately promoting sustainable growth and enhancing the overall welfare of the nation's diverse economic actors.</w:t>
      </w:r>
    </w:p>
    <w:p w:rsidR="008704FF" w:rsidRDefault="00DA5E0B"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rsidR="00C24F1F" w:rsidRDefault="00C24F1F" w:rsidP="00C24F1F">
      <w:pPr>
        <w:pStyle w:val="NormalWeb"/>
        <w:spacing w:before="0" w:beforeAutospacing="0" w:line="360" w:lineRule="auto"/>
        <w:jc w:val="both"/>
      </w:pPr>
      <w:r>
        <w:t xml:space="preserve">Based on the analysis of the Reserve Bank of India's credit policies, several recommendations can be made to enhance their effectiveness. First, the RBI should adopt a more flexible monetary policy framework that can swiftly respond to changing economic conditions, allowing for timely adjustments to interest rates. Second, targeted credit schemes should be developed to support small and medium-sized enterprises (SMEs), ensuring they have access to necessary funding without facing excessive regulatory burdens. Third, the RBI can enhance collaboration with financial institutions to promote financial literacy initiatives aimed at vulnerable communities, thereby </w:t>
      </w:r>
      <w:r>
        <w:lastRenderedPageBreak/>
        <w:t>fostering greater financial inclusion. Additionally, implementing robust monitoring systems to track the health of bank assets will help mitigate the risks of non-performing assets. Finally, transparent communication regarding policy changes is essential to build trust and ensure that all stakeholders, including consumers and businesses, can make informed financial decisions.</w:t>
      </w:r>
    </w:p>
    <w:p w:rsidR="00DA5E0B" w:rsidRDefault="00DA5E0B"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Future scope</w:t>
      </w:r>
    </w:p>
    <w:p w:rsidR="0048430E" w:rsidRDefault="0048430E" w:rsidP="0048430E">
      <w:pPr>
        <w:pStyle w:val="NormalWeb"/>
        <w:spacing w:before="0" w:beforeAutospacing="0" w:line="360" w:lineRule="auto"/>
        <w:jc w:val="both"/>
      </w:pPr>
      <w:r>
        <w:t xml:space="preserve">The future scope of the Reserve Bank of India's credit policies lies in embracing technological advancements, such as </w:t>
      </w:r>
      <w:proofErr w:type="spellStart"/>
      <w:r>
        <w:t>fintech</w:t>
      </w:r>
      <w:proofErr w:type="spellEnd"/>
      <w:r>
        <w:t xml:space="preserve"> solutions, to enhance financial inclusion and streamline access to credit for underserved populations. Additionally, a greater emphasis on data analytics can enable more precise monitoring of economic indicators and credit risk. Policymakers should also explore innovative frameworks, such as green financing, to support sustainable development goals. As the global economic landscape evolves, adaptive monetary strategies that address emerging challenges like digital currencies and inflationary pressures will be crucial. Ultimately, fostering collaboration between regulatory bodies and financial institutions will strengthen the resilience of India’s financial ecosystem.</w:t>
      </w:r>
    </w:p>
    <w:p w:rsidR="007515D3" w:rsidRDefault="007515D3" w:rsidP="00203818">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7515D3" w:rsidRDefault="007515D3" w:rsidP="0048430E">
      <w:pPr>
        <w:pStyle w:val="NormalWeb"/>
        <w:ind w:left="720" w:hanging="720"/>
        <w:jc w:val="both"/>
      </w:pPr>
      <w:r>
        <w:t xml:space="preserve">Agarwal, A., &amp; Singh, A. (2020). Financial Inclusion in India: Progress and Challenges. Journal of Banking and Finance, 112, 105721. https://doi.org/10.1016/j.jbankfin.2020.105721 </w:t>
      </w:r>
    </w:p>
    <w:p w:rsidR="007515D3" w:rsidRDefault="007515D3" w:rsidP="0048430E">
      <w:pPr>
        <w:pStyle w:val="NormalWeb"/>
        <w:ind w:left="720" w:hanging="720"/>
        <w:jc w:val="both"/>
      </w:pPr>
      <w:r>
        <w:t xml:space="preserve">Bank for International Settlements (BIS). (2021). Monetary policy in a time of COVID-19. https://www.bis.org/publ/arpdf/ar2021e3.htm </w:t>
      </w:r>
    </w:p>
    <w:p w:rsidR="007515D3" w:rsidRDefault="007515D3" w:rsidP="0048430E">
      <w:pPr>
        <w:pStyle w:val="NormalWeb"/>
        <w:ind w:left="720" w:hanging="720"/>
        <w:jc w:val="both"/>
      </w:pPr>
      <w:proofErr w:type="spellStart"/>
      <w:r>
        <w:t>Basu</w:t>
      </w:r>
      <w:proofErr w:type="spellEnd"/>
      <w:r>
        <w:t xml:space="preserve">, K., &amp; </w:t>
      </w:r>
      <w:proofErr w:type="spellStart"/>
      <w:r>
        <w:t>Haldar</w:t>
      </w:r>
      <w:proofErr w:type="spellEnd"/>
      <w:r>
        <w:t xml:space="preserve">, A. (2020). Monetary policy and credit control in India: A review. </w:t>
      </w:r>
      <w:r>
        <w:rPr>
          <w:rStyle w:val="Emphasis"/>
        </w:rPr>
        <w:t>Indian Economic Review, 55</w:t>
      </w:r>
      <w:r>
        <w:t>(2), 243-267.</w:t>
      </w:r>
    </w:p>
    <w:p w:rsidR="007515D3" w:rsidRDefault="007515D3" w:rsidP="0048430E">
      <w:pPr>
        <w:pStyle w:val="NormalWeb"/>
        <w:ind w:left="720" w:hanging="720"/>
        <w:jc w:val="both"/>
      </w:pPr>
      <w:r>
        <w:t xml:space="preserve">Gupta, S., &amp; Gupta, R. (2015). Reserve Bank of India and its role in credit control. </w:t>
      </w:r>
      <w:r>
        <w:rPr>
          <w:rStyle w:val="Emphasis"/>
        </w:rPr>
        <w:t>Journal of Indian Finance, 8</w:t>
      </w:r>
      <w:r>
        <w:t>(3), 87-104.</w:t>
      </w:r>
    </w:p>
    <w:p w:rsidR="007515D3" w:rsidRDefault="007515D3" w:rsidP="0048430E">
      <w:pPr>
        <w:pStyle w:val="NormalWeb"/>
        <w:ind w:left="720" w:hanging="720"/>
        <w:jc w:val="both"/>
      </w:pPr>
      <w:proofErr w:type="spellStart"/>
      <w:r>
        <w:t>Jadhav</w:t>
      </w:r>
      <w:proofErr w:type="spellEnd"/>
      <w:r>
        <w:t xml:space="preserve">, N. (2017). Impact of external shocks on credit control measures in India. </w:t>
      </w:r>
      <w:r>
        <w:rPr>
          <w:rStyle w:val="Emphasis"/>
        </w:rPr>
        <w:t>Journal of Global Economics, 4</w:t>
      </w:r>
      <w:r>
        <w:t>(1), 39-56.</w:t>
      </w:r>
    </w:p>
    <w:p w:rsidR="007515D3" w:rsidRDefault="007515D3" w:rsidP="0048430E">
      <w:pPr>
        <w:pStyle w:val="NormalWeb"/>
        <w:ind w:left="720" w:hanging="720"/>
        <w:jc w:val="both"/>
      </w:pPr>
      <w:proofErr w:type="spellStart"/>
      <w:r>
        <w:t>Kochhar</w:t>
      </w:r>
      <w:proofErr w:type="spellEnd"/>
      <w:r>
        <w:t xml:space="preserve">, R., &amp; Singh, P. (2017). Informal finance and the role of RBI in credit control. </w:t>
      </w:r>
      <w:r>
        <w:rPr>
          <w:rStyle w:val="Emphasis"/>
        </w:rPr>
        <w:t>Indian Journal of Financial Research, 12</w:t>
      </w:r>
      <w:r>
        <w:t>(2), 19-35.</w:t>
      </w:r>
    </w:p>
    <w:p w:rsidR="007515D3" w:rsidRDefault="007515D3" w:rsidP="0048430E">
      <w:pPr>
        <w:pStyle w:val="NormalWeb"/>
        <w:ind w:left="720" w:hanging="720"/>
        <w:jc w:val="both"/>
      </w:pPr>
      <w:r>
        <w:t xml:space="preserve">Mishra, P., &amp; Mishra, P. (2020). The role of CRR and SLR in the credit control framework. </w:t>
      </w:r>
      <w:r>
        <w:rPr>
          <w:rStyle w:val="Emphasis"/>
        </w:rPr>
        <w:t>Asian Journal of Economics and Finance, 8</w:t>
      </w:r>
      <w:r>
        <w:t>(4), 102-118.</w:t>
      </w:r>
    </w:p>
    <w:p w:rsidR="007515D3" w:rsidRDefault="007515D3" w:rsidP="0048430E">
      <w:pPr>
        <w:pStyle w:val="NormalWeb"/>
        <w:ind w:left="720" w:hanging="720"/>
        <w:jc w:val="both"/>
      </w:pPr>
      <w:r>
        <w:lastRenderedPageBreak/>
        <w:t xml:space="preserve">Narayan, K., &amp; Narayan, S. (2016). The RBI’s monetary policy and credit control tools. </w:t>
      </w:r>
      <w:r>
        <w:rPr>
          <w:rStyle w:val="Emphasis"/>
        </w:rPr>
        <w:t>Indian Journal of Monetary Economics, 2</w:t>
      </w:r>
      <w:r>
        <w:t>(3), 101-113.</w:t>
      </w:r>
    </w:p>
    <w:p w:rsidR="007515D3" w:rsidRDefault="007515D3" w:rsidP="0048430E">
      <w:pPr>
        <w:pStyle w:val="NormalWeb"/>
        <w:ind w:left="720" w:hanging="720"/>
        <w:jc w:val="both"/>
      </w:pPr>
      <w:r>
        <w:t xml:space="preserve">Prasad, R., &amp; Arora, A. (2018). Non-performing assets and credit control in India. </w:t>
      </w:r>
      <w:r>
        <w:rPr>
          <w:rStyle w:val="Emphasis"/>
        </w:rPr>
        <w:t>Indian Banking Journal, 29</w:t>
      </w:r>
      <w:r>
        <w:t>(1), 56-72.</w:t>
      </w:r>
    </w:p>
    <w:p w:rsidR="007515D3" w:rsidRDefault="007515D3" w:rsidP="0048430E">
      <w:pPr>
        <w:pStyle w:val="NormalWeb"/>
        <w:ind w:left="720" w:hanging="720"/>
        <w:jc w:val="both"/>
      </w:pPr>
      <w:proofErr w:type="spellStart"/>
      <w:r>
        <w:t>Rangarajan</w:t>
      </w:r>
      <w:proofErr w:type="spellEnd"/>
      <w:r>
        <w:t xml:space="preserve">, C. (2002). Credit policy in India: Challenges and policy options. </w:t>
      </w:r>
      <w:r>
        <w:rPr>
          <w:rStyle w:val="Emphasis"/>
        </w:rPr>
        <w:t>Reserve Bank of India Bulletin, 56</w:t>
      </w:r>
      <w:r>
        <w:t>(7), 2-18.</w:t>
      </w:r>
    </w:p>
    <w:p w:rsidR="007515D3" w:rsidRDefault="007515D3" w:rsidP="0048430E">
      <w:pPr>
        <w:pStyle w:val="NormalWeb"/>
        <w:ind w:left="720" w:hanging="720"/>
        <w:jc w:val="both"/>
      </w:pPr>
      <w:r>
        <w:t xml:space="preserve">Reddy, Y. V. (2004). </w:t>
      </w:r>
      <w:r>
        <w:rPr>
          <w:rStyle w:val="Emphasis"/>
        </w:rPr>
        <w:t>Monetary and financial sector reforms in India: A critique</w:t>
      </w:r>
      <w:r>
        <w:t xml:space="preserve">. Orient </w:t>
      </w:r>
      <w:proofErr w:type="spellStart"/>
      <w:r>
        <w:t>Blackswan</w:t>
      </w:r>
      <w:proofErr w:type="spellEnd"/>
      <w:r>
        <w:t>.</w:t>
      </w:r>
    </w:p>
    <w:p w:rsidR="007515D3" w:rsidRDefault="007515D3" w:rsidP="0048430E">
      <w:pPr>
        <w:pStyle w:val="NormalWeb"/>
        <w:ind w:left="720" w:hanging="720"/>
        <w:jc w:val="both"/>
      </w:pPr>
      <w:r>
        <w:t xml:space="preserve">RBI. (2021). </w:t>
      </w:r>
      <w:r>
        <w:rPr>
          <w:rStyle w:val="Emphasis"/>
        </w:rPr>
        <w:t>Annual Report: Monetary Policy and Credit Control</w:t>
      </w:r>
      <w:r>
        <w:t>. Reserve Bank of India.</w:t>
      </w:r>
    </w:p>
    <w:p w:rsidR="007515D3" w:rsidRDefault="007515D3" w:rsidP="0048430E">
      <w:pPr>
        <w:pStyle w:val="NormalWeb"/>
        <w:ind w:left="720" w:hanging="720"/>
        <w:jc w:val="both"/>
      </w:pPr>
      <w:proofErr w:type="spellStart"/>
      <w:r>
        <w:t>Sah</w:t>
      </w:r>
      <w:proofErr w:type="spellEnd"/>
      <w:r>
        <w:t xml:space="preserve">, R. (2019). Credit control and its effects on the Indian economy. </w:t>
      </w:r>
      <w:r>
        <w:rPr>
          <w:rStyle w:val="Emphasis"/>
        </w:rPr>
        <w:t>Journal of Economic Development, 16</w:t>
      </w:r>
      <w:r>
        <w:t>(2), 77-92.</w:t>
      </w:r>
    </w:p>
    <w:p w:rsidR="007515D3" w:rsidRDefault="007515D3" w:rsidP="0048430E">
      <w:pPr>
        <w:pStyle w:val="NormalWeb"/>
        <w:ind w:left="720" w:hanging="720"/>
        <w:jc w:val="both"/>
      </w:pPr>
      <w:proofErr w:type="spellStart"/>
      <w:r>
        <w:t>Sarma</w:t>
      </w:r>
      <w:proofErr w:type="spellEnd"/>
      <w:r>
        <w:t xml:space="preserve">, M. (2020). Open market operations and its effect on liquidity control. </w:t>
      </w:r>
      <w:r>
        <w:rPr>
          <w:rStyle w:val="Emphasis"/>
        </w:rPr>
        <w:t>Indian Journal of Finance and Economics, 9</w:t>
      </w:r>
      <w:r>
        <w:t>(1), 5-14.</w:t>
      </w:r>
    </w:p>
    <w:p w:rsidR="007515D3" w:rsidRDefault="007515D3" w:rsidP="0048430E">
      <w:pPr>
        <w:pStyle w:val="NormalWeb"/>
        <w:ind w:left="720" w:hanging="720"/>
        <w:jc w:val="both"/>
      </w:pPr>
      <w:r>
        <w:t xml:space="preserve">Singh, G. (2016). Repo and reverse repo rates as instruments of monetary policy. </w:t>
      </w:r>
      <w:r>
        <w:rPr>
          <w:rStyle w:val="Emphasis"/>
        </w:rPr>
        <w:t>Indian Economic Journal, 64</w:t>
      </w:r>
      <w:r>
        <w:t>(3), 121-134.</w:t>
      </w:r>
    </w:p>
    <w:p w:rsidR="007515D3" w:rsidRDefault="007515D3" w:rsidP="0048430E">
      <w:pPr>
        <w:pStyle w:val="NormalWeb"/>
        <w:ind w:left="720" w:hanging="720"/>
        <w:jc w:val="both"/>
      </w:pPr>
      <w:r>
        <w:t>Reserve Bank of India (RBI). (2020). Monetary Policy Report. https://www.rbi.org.in/Scripts/BS_PressReleaseDisplay.aspx?prid=50414</w:t>
      </w:r>
    </w:p>
    <w:p w:rsidR="007515D3" w:rsidRPr="00203818" w:rsidRDefault="007515D3" w:rsidP="00203818">
      <w:pPr>
        <w:spacing w:line="360" w:lineRule="auto"/>
        <w:jc w:val="both"/>
        <w:rPr>
          <w:rFonts w:ascii="Times New Roman" w:hAnsi="Times New Roman" w:cs="Times New Roman"/>
          <w:b/>
          <w:sz w:val="24"/>
          <w:szCs w:val="24"/>
        </w:rPr>
      </w:pPr>
    </w:p>
    <w:sectPr w:rsidR="007515D3" w:rsidRPr="002038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31A92"/>
    <w:multiLevelType w:val="hybridMultilevel"/>
    <w:tmpl w:val="2234A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F41E5"/>
    <w:multiLevelType w:val="hybridMultilevel"/>
    <w:tmpl w:val="55AC09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760F0A"/>
    <w:multiLevelType w:val="hybridMultilevel"/>
    <w:tmpl w:val="5FD6F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9B576A"/>
    <w:multiLevelType w:val="hybridMultilevel"/>
    <w:tmpl w:val="65BA1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D28"/>
    <w:rsid w:val="00203818"/>
    <w:rsid w:val="00297F9B"/>
    <w:rsid w:val="0048430E"/>
    <w:rsid w:val="007515D3"/>
    <w:rsid w:val="008704FF"/>
    <w:rsid w:val="00A60685"/>
    <w:rsid w:val="00AB50D4"/>
    <w:rsid w:val="00C24F1F"/>
    <w:rsid w:val="00DA5E0B"/>
    <w:rsid w:val="00EF79D7"/>
    <w:rsid w:val="00F96D7C"/>
    <w:rsid w:val="00FF6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D6097F-179D-425C-BB47-CCC941E2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8430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7515D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381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515D3"/>
    <w:rPr>
      <w:rFonts w:ascii="Times New Roman" w:eastAsia="Times New Roman" w:hAnsi="Times New Roman" w:cs="Times New Roman"/>
      <w:b/>
      <w:bCs/>
      <w:sz w:val="24"/>
      <w:szCs w:val="24"/>
    </w:rPr>
  </w:style>
  <w:style w:type="character" w:styleId="Emphasis">
    <w:name w:val="Emphasis"/>
    <w:basedOn w:val="DefaultParagraphFont"/>
    <w:uiPriority w:val="20"/>
    <w:qFormat/>
    <w:rsid w:val="007515D3"/>
    <w:rPr>
      <w:i/>
      <w:iCs/>
    </w:rPr>
  </w:style>
  <w:style w:type="character" w:styleId="Strong">
    <w:name w:val="Strong"/>
    <w:basedOn w:val="DefaultParagraphFont"/>
    <w:uiPriority w:val="22"/>
    <w:qFormat/>
    <w:rsid w:val="008704FF"/>
    <w:rPr>
      <w:b/>
      <w:bCs/>
    </w:rPr>
  </w:style>
  <w:style w:type="character" w:customStyle="1" w:styleId="Heading3Char">
    <w:name w:val="Heading 3 Char"/>
    <w:basedOn w:val="DefaultParagraphFont"/>
    <w:link w:val="Heading3"/>
    <w:uiPriority w:val="9"/>
    <w:semiHidden/>
    <w:rsid w:val="0048430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0506">
      <w:bodyDiv w:val="1"/>
      <w:marLeft w:val="0"/>
      <w:marRight w:val="0"/>
      <w:marTop w:val="0"/>
      <w:marBottom w:val="0"/>
      <w:divBdr>
        <w:top w:val="none" w:sz="0" w:space="0" w:color="auto"/>
        <w:left w:val="none" w:sz="0" w:space="0" w:color="auto"/>
        <w:bottom w:val="none" w:sz="0" w:space="0" w:color="auto"/>
        <w:right w:val="none" w:sz="0" w:space="0" w:color="auto"/>
      </w:divBdr>
    </w:div>
    <w:div w:id="140999762">
      <w:bodyDiv w:val="1"/>
      <w:marLeft w:val="0"/>
      <w:marRight w:val="0"/>
      <w:marTop w:val="0"/>
      <w:marBottom w:val="0"/>
      <w:divBdr>
        <w:top w:val="none" w:sz="0" w:space="0" w:color="auto"/>
        <w:left w:val="none" w:sz="0" w:space="0" w:color="auto"/>
        <w:bottom w:val="none" w:sz="0" w:space="0" w:color="auto"/>
        <w:right w:val="none" w:sz="0" w:space="0" w:color="auto"/>
      </w:divBdr>
    </w:div>
    <w:div w:id="253169351">
      <w:bodyDiv w:val="1"/>
      <w:marLeft w:val="0"/>
      <w:marRight w:val="0"/>
      <w:marTop w:val="0"/>
      <w:marBottom w:val="0"/>
      <w:divBdr>
        <w:top w:val="none" w:sz="0" w:space="0" w:color="auto"/>
        <w:left w:val="none" w:sz="0" w:space="0" w:color="auto"/>
        <w:bottom w:val="none" w:sz="0" w:space="0" w:color="auto"/>
        <w:right w:val="none" w:sz="0" w:space="0" w:color="auto"/>
      </w:divBdr>
    </w:div>
    <w:div w:id="276107921">
      <w:bodyDiv w:val="1"/>
      <w:marLeft w:val="0"/>
      <w:marRight w:val="0"/>
      <w:marTop w:val="0"/>
      <w:marBottom w:val="0"/>
      <w:divBdr>
        <w:top w:val="none" w:sz="0" w:space="0" w:color="auto"/>
        <w:left w:val="none" w:sz="0" w:space="0" w:color="auto"/>
        <w:bottom w:val="none" w:sz="0" w:space="0" w:color="auto"/>
        <w:right w:val="none" w:sz="0" w:space="0" w:color="auto"/>
      </w:divBdr>
    </w:div>
    <w:div w:id="333580531">
      <w:bodyDiv w:val="1"/>
      <w:marLeft w:val="0"/>
      <w:marRight w:val="0"/>
      <w:marTop w:val="0"/>
      <w:marBottom w:val="0"/>
      <w:divBdr>
        <w:top w:val="none" w:sz="0" w:space="0" w:color="auto"/>
        <w:left w:val="none" w:sz="0" w:space="0" w:color="auto"/>
        <w:bottom w:val="none" w:sz="0" w:space="0" w:color="auto"/>
        <w:right w:val="none" w:sz="0" w:space="0" w:color="auto"/>
      </w:divBdr>
    </w:div>
    <w:div w:id="365107477">
      <w:bodyDiv w:val="1"/>
      <w:marLeft w:val="0"/>
      <w:marRight w:val="0"/>
      <w:marTop w:val="0"/>
      <w:marBottom w:val="0"/>
      <w:divBdr>
        <w:top w:val="none" w:sz="0" w:space="0" w:color="auto"/>
        <w:left w:val="none" w:sz="0" w:space="0" w:color="auto"/>
        <w:bottom w:val="none" w:sz="0" w:space="0" w:color="auto"/>
        <w:right w:val="none" w:sz="0" w:space="0" w:color="auto"/>
      </w:divBdr>
    </w:div>
    <w:div w:id="390227345">
      <w:bodyDiv w:val="1"/>
      <w:marLeft w:val="0"/>
      <w:marRight w:val="0"/>
      <w:marTop w:val="0"/>
      <w:marBottom w:val="0"/>
      <w:divBdr>
        <w:top w:val="none" w:sz="0" w:space="0" w:color="auto"/>
        <w:left w:val="none" w:sz="0" w:space="0" w:color="auto"/>
        <w:bottom w:val="none" w:sz="0" w:space="0" w:color="auto"/>
        <w:right w:val="none" w:sz="0" w:space="0" w:color="auto"/>
      </w:divBdr>
    </w:div>
    <w:div w:id="460731116">
      <w:bodyDiv w:val="1"/>
      <w:marLeft w:val="0"/>
      <w:marRight w:val="0"/>
      <w:marTop w:val="0"/>
      <w:marBottom w:val="0"/>
      <w:divBdr>
        <w:top w:val="none" w:sz="0" w:space="0" w:color="auto"/>
        <w:left w:val="none" w:sz="0" w:space="0" w:color="auto"/>
        <w:bottom w:val="none" w:sz="0" w:space="0" w:color="auto"/>
        <w:right w:val="none" w:sz="0" w:space="0" w:color="auto"/>
      </w:divBdr>
    </w:div>
    <w:div w:id="658581000">
      <w:bodyDiv w:val="1"/>
      <w:marLeft w:val="0"/>
      <w:marRight w:val="0"/>
      <w:marTop w:val="0"/>
      <w:marBottom w:val="0"/>
      <w:divBdr>
        <w:top w:val="none" w:sz="0" w:space="0" w:color="auto"/>
        <w:left w:val="none" w:sz="0" w:space="0" w:color="auto"/>
        <w:bottom w:val="none" w:sz="0" w:space="0" w:color="auto"/>
        <w:right w:val="none" w:sz="0" w:space="0" w:color="auto"/>
      </w:divBdr>
    </w:div>
    <w:div w:id="670378676">
      <w:bodyDiv w:val="1"/>
      <w:marLeft w:val="0"/>
      <w:marRight w:val="0"/>
      <w:marTop w:val="0"/>
      <w:marBottom w:val="0"/>
      <w:divBdr>
        <w:top w:val="none" w:sz="0" w:space="0" w:color="auto"/>
        <w:left w:val="none" w:sz="0" w:space="0" w:color="auto"/>
        <w:bottom w:val="none" w:sz="0" w:space="0" w:color="auto"/>
        <w:right w:val="none" w:sz="0" w:space="0" w:color="auto"/>
      </w:divBdr>
    </w:div>
    <w:div w:id="779759614">
      <w:bodyDiv w:val="1"/>
      <w:marLeft w:val="0"/>
      <w:marRight w:val="0"/>
      <w:marTop w:val="0"/>
      <w:marBottom w:val="0"/>
      <w:divBdr>
        <w:top w:val="none" w:sz="0" w:space="0" w:color="auto"/>
        <w:left w:val="none" w:sz="0" w:space="0" w:color="auto"/>
        <w:bottom w:val="none" w:sz="0" w:space="0" w:color="auto"/>
        <w:right w:val="none" w:sz="0" w:space="0" w:color="auto"/>
      </w:divBdr>
    </w:div>
    <w:div w:id="851802426">
      <w:bodyDiv w:val="1"/>
      <w:marLeft w:val="0"/>
      <w:marRight w:val="0"/>
      <w:marTop w:val="0"/>
      <w:marBottom w:val="0"/>
      <w:divBdr>
        <w:top w:val="none" w:sz="0" w:space="0" w:color="auto"/>
        <w:left w:val="none" w:sz="0" w:space="0" w:color="auto"/>
        <w:bottom w:val="none" w:sz="0" w:space="0" w:color="auto"/>
        <w:right w:val="none" w:sz="0" w:space="0" w:color="auto"/>
      </w:divBdr>
    </w:div>
    <w:div w:id="957877486">
      <w:bodyDiv w:val="1"/>
      <w:marLeft w:val="0"/>
      <w:marRight w:val="0"/>
      <w:marTop w:val="0"/>
      <w:marBottom w:val="0"/>
      <w:divBdr>
        <w:top w:val="none" w:sz="0" w:space="0" w:color="auto"/>
        <w:left w:val="none" w:sz="0" w:space="0" w:color="auto"/>
        <w:bottom w:val="none" w:sz="0" w:space="0" w:color="auto"/>
        <w:right w:val="none" w:sz="0" w:space="0" w:color="auto"/>
      </w:divBdr>
    </w:div>
    <w:div w:id="958225388">
      <w:bodyDiv w:val="1"/>
      <w:marLeft w:val="0"/>
      <w:marRight w:val="0"/>
      <w:marTop w:val="0"/>
      <w:marBottom w:val="0"/>
      <w:divBdr>
        <w:top w:val="none" w:sz="0" w:space="0" w:color="auto"/>
        <w:left w:val="none" w:sz="0" w:space="0" w:color="auto"/>
        <w:bottom w:val="none" w:sz="0" w:space="0" w:color="auto"/>
        <w:right w:val="none" w:sz="0" w:space="0" w:color="auto"/>
      </w:divBdr>
    </w:div>
    <w:div w:id="963271541">
      <w:bodyDiv w:val="1"/>
      <w:marLeft w:val="0"/>
      <w:marRight w:val="0"/>
      <w:marTop w:val="0"/>
      <w:marBottom w:val="0"/>
      <w:divBdr>
        <w:top w:val="none" w:sz="0" w:space="0" w:color="auto"/>
        <w:left w:val="none" w:sz="0" w:space="0" w:color="auto"/>
        <w:bottom w:val="none" w:sz="0" w:space="0" w:color="auto"/>
        <w:right w:val="none" w:sz="0" w:space="0" w:color="auto"/>
      </w:divBdr>
    </w:div>
    <w:div w:id="1108088522">
      <w:bodyDiv w:val="1"/>
      <w:marLeft w:val="0"/>
      <w:marRight w:val="0"/>
      <w:marTop w:val="0"/>
      <w:marBottom w:val="0"/>
      <w:divBdr>
        <w:top w:val="none" w:sz="0" w:space="0" w:color="auto"/>
        <w:left w:val="none" w:sz="0" w:space="0" w:color="auto"/>
        <w:bottom w:val="none" w:sz="0" w:space="0" w:color="auto"/>
        <w:right w:val="none" w:sz="0" w:space="0" w:color="auto"/>
      </w:divBdr>
    </w:div>
    <w:div w:id="1392996376">
      <w:bodyDiv w:val="1"/>
      <w:marLeft w:val="0"/>
      <w:marRight w:val="0"/>
      <w:marTop w:val="0"/>
      <w:marBottom w:val="0"/>
      <w:divBdr>
        <w:top w:val="none" w:sz="0" w:space="0" w:color="auto"/>
        <w:left w:val="none" w:sz="0" w:space="0" w:color="auto"/>
        <w:bottom w:val="none" w:sz="0" w:space="0" w:color="auto"/>
        <w:right w:val="none" w:sz="0" w:space="0" w:color="auto"/>
      </w:divBdr>
    </w:div>
    <w:div w:id="1405571298">
      <w:bodyDiv w:val="1"/>
      <w:marLeft w:val="0"/>
      <w:marRight w:val="0"/>
      <w:marTop w:val="0"/>
      <w:marBottom w:val="0"/>
      <w:divBdr>
        <w:top w:val="none" w:sz="0" w:space="0" w:color="auto"/>
        <w:left w:val="none" w:sz="0" w:space="0" w:color="auto"/>
        <w:bottom w:val="none" w:sz="0" w:space="0" w:color="auto"/>
        <w:right w:val="none" w:sz="0" w:space="0" w:color="auto"/>
      </w:divBdr>
    </w:div>
    <w:div w:id="1437366838">
      <w:bodyDiv w:val="1"/>
      <w:marLeft w:val="0"/>
      <w:marRight w:val="0"/>
      <w:marTop w:val="0"/>
      <w:marBottom w:val="0"/>
      <w:divBdr>
        <w:top w:val="none" w:sz="0" w:space="0" w:color="auto"/>
        <w:left w:val="none" w:sz="0" w:space="0" w:color="auto"/>
        <w:bottom w:val="none" w:sz="0" w:space="0" w:color="auto"/>
        <w:right w:val="none" w:sz="0" w:space="0" w:color="auto"/>
      </w:divBdr>
    </w:div>
    <w:div w:id="1457527512">
      <w:bodyDiv w:val="1"/>
      <w:marLeft w:val="0"/>
      <w:marRight w:val="0"/>
      <w:marTop w:val="0"/>
      <w:marBottom w:val="0"/>
      <w:divBdr>
        <w:top w:val="none" w:sz="0" w:space="0" w:color="auto"/>
        <w:left w:val="none" w:sz="0" w:space="0" w:color="auto"/>
        <w:bottom w:val="none" w:sz="0" w:space="0" w:color="auto"/>
        <w:right w:val="none" w:sz="0" w:space="0" w:color="auto"/>
      </w:divBdr>
    </w:div>
    <w:div w:id="1458328593">
      <w:bodyDiv w:val="1"/>
      <w:marLeft w:val="0"/>
      <w:marRight w:val="0"/>
      <w:marTop w:val="0"/>
      <w:marBottom w:val="0"/>
      <w:divBdr>
        <w:top w:val="none" w:sz="0" w:space="0" w:color="auto"/>
        <w:left w:val="none" w:sz="0" w:space="0" w:color="auto"/>
        <w:bottom w:val="none" w:sz="0" w:space="0" w:color="auto"/>
        <w:right w:val="none" w:sz="0" w:space="0" w:color="auto"/>
      </w:divBdr>
    </w:div>
    <w:div w:id="1464423292">
      <w:bodyDiv w:val="1"/>
      <w:marLeft w:val="0"/>
      <w:marRight w:val="0"/>
      <w:marTop w:val="0"/>
      <w:marBottom w:val="0"/>
      <w:divBdr>
        <w:top w:val="none" w:sz="0" w:space="0" w:color="auto"/>
        <w:left w:val="none" w:sz="0" w:space="0" w:color="auto"/>
        <w:bottom w:val="none" w:sz="0" w:space="0" w:color="auto"/>
        <w:right w:val="none" w:sz="0" w:space="0" w:color="auto"/>
      </w:divBdr>
    </w:div>
    <w:div w:id="1522936433">
      <w:bodyDiv w:val="1"/>
      <w:marLeft w:val="0"/>
      <w:marRight w:val="0"/>
      <w:marTop w:val="0"/>
      <w:marBottom w:val="0"/>
      <w:divBdr>
        <w:top w:val="none" w:sz="0" w:space="0" w:color="auto"/>
        <w:left w:val="none" w:sz="0" w:space="0" w:color="auto"/>
        <w:bottom w:val="none" w:sz="0" w:space="0" w:color="auto"/>
        <w:right w:val="none" w:sz="0" w:space="0" w:color="auto"/>
      </w:divBdr>
    </w:div>
    <w:div w:id="1542865715">
      <w:bodyDiv w:val="1"/>
      <w:marLeft w:val="0"/>
      <w:marRight w:val="0"/>
      <w:marTop w:val="0"/>
      <w:marBottom w:val="0"/>
      <w:divBdr>
        <w:top w:val="none" w:sz="0" w:space="0" w:color="auto"/>
        <w:left w:val="none" w:sz="0" w:space="0" w:color="auto"/>
        <w:bottom w:val="none" w:sz="0" w:space="0" w:color="auto"/>
        <w:right w:val="none" w:sz="0" w:space="0" w:color="auto"/>
      </w:divBdr>
    </w:div>
    <w:div w:id="1618636822">
      <w:bodyDiv w:val="1"/>
      <w:marLeft w:val="0"/>
      <w:marRight w:val="0"/>
      <w:marTop w:val="0"/>
      <w:marBottom w:val="0"/>
      <w:divBdr>
        <w:top w:val="none" w:sz="0" w:space="0" w:color="auto"/>
        <w:left w:val="none" w:sz="0" w:space="0" w:color="auto"/>
        <w:bottom w:val="none" w:sz="0" w:space="0" w:color="auto"/>
        <w:right w:val="none" w:sz="0" w:space="0" w:color="auto"/>
      </w:divBdr>
    </w:div>
    <w:div w:id="1619676059">
      <w:bodyDiv w:val="1"/>
      <w:marLeft w:val="0"/>
      <w:marRight w:val="0"/>
      <w:marTop w:val="0"/>
      <w:marBottom w:val="0"/>
      <w:divBdr>
        <w:top w:val="none" w:sz="0" w:space="0" w:color="auto"/>
        <w:left w:val="none" w:sz="0" w:space="0" w:color="auto"/>
        <w:bottom w:val="none" w:sz="0" w:space="0" w:color="auto"/>
        <w:right w:val="none" w:sz="0" w:space="0" w:color="auto"/>
      </w:divBdr>
    </w:div>
    <w:div w:id="1621573875">
      <w:bodyDiv w:val="1"/>
      <w:marLeft w:val="0"/>
      <w:marRight w:val="0"/>
      <w:marTop w:val="0"/>
      <w:marBottom w:val="0"/>
      <w:divBdr>
        <w:top w:val="none" w:sz="0" w:space="0" w:color="auto"/>
        <w:left w:val="none" w:sz="0" w:space="0" w:color="auto"/>
        <w:bottom w:val="none" w:sz="0" w:space="0" w:color="auto"/>
        <w:right w:val="none" w:sz="0" w:space="0" w:color="auto"/>
      </w:divBdr>
    </w:div>
    <w:div w:id="1625426040">
      <w:bodyDiv w:val="1"/>
      <w:marLeft w:val="0"/>
      <w:marRight w:val="0"/>
      <w:marTop w:val="0"/>
      <w:marBottom w:val="0"/>
      <w:divBdr>
        <w:top w:val="none" w:sz="0" w:space="0" w:color="auto"/>
        <w:left w:val="none" w:sz="0" w:space="0" w:color="auto"/>
        <w:bottom w:val="none" w:sz="0" w:space="0" w:color="auto"/>
        <w:right w:val="none" w:sz="0" w:space="0" w:color="auto"/>
      </w:divBdr>
    </w:div>
    <w:div w:id="1645701668">
      <w:bodyDiv w:val="1"/>
      <w:marLeft w:val="0"/>
      <w:marRight w:val="0"/>
      <w:marTop w:val="0"/>
      <w:marBottom w:val="0"/>
      <w:divBdr>
        <w:top w:val="none" w:sz="0" w:space="0" w:color="auto"/>
        <w:left w:val="none" w:sz="0" w:space="0" w:color="auto"/>
        <w:bottom w:val="none" w:sz="0" w:space="0" w:color="auto"/>
        <w:right w:val="none" w:sz="0" w:space="0" w:color="auto"/>
      </w:divBdr>
    </w:div>
    <w:div w:id="2068139906">
      <w:bodyDiv w:val="1"/>
      <w:marLeft w:val="0"/>
      <w:marRight w:val="0"/>
      <w:marTop w:val="0"/>
      <w:marBottom w:val="0"/>
      <w:divBdr>
        <w:top w:val="none" w:sz="0" w:space="0" w:color="auto"/>
        <w:left w:val="none" w:sz="0" w:space="0" w:color="auto"/>
        <w:bottom w:val="none" w:sz="0" w:space="0" w:color="auto"/>
        <w:right w:val="none" w:sz="0" w:space="0" w:color="auto"/>
      </w:divBdr>
    </w:div>
    <w:div w:id="2086563026">
      <w:bodyDiv w:val="1"/>
      <w:marLeft w:val="0"/>
      <w:marRight w:val="0"/>
      <w:marTop w:val="0"/>
      <w:marBottom w:val="0"/>
      <w:divBdr>
        <w:top w:val="none" w:sz="0" w:space="0" w:color="auto"/>
        <w:left w:val="none" w:sz="0" w:space="0" w:color="auto"/>
        <w:bottom w:val="none" w:sz="0" w:space="0" w:color="auto"/>
        <w:right w:val="none" w:sz="0" w:space="0" w:color="auto"/>
      </w:divBdr>
    </w:div>
    <w:div w:id="212284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5020</Words>
  <Characters>28619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2025-01-17T14:26:00Z</dcterms:created>
  <dcterms:modified xsi:type="dcterms:W3CDTF">2025-01-18T14:56:00Z</dcterms:modified>
</cp:coreProperties>
</file>