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A00D98" w14:textId="61AA4968" w:rsidR="00A369AE" w:rsidRPr="009E24DA" w:rsidRDefault="009E24DA" w:rsidP="009E24DA">
      <w:pPr>
        <w:spacing w:line="360" w:lineRule="auto"/>
        <w:jc w:val="center"/>
        <w:rPr>
          <w:rFonts w:ascii="Times New Roman" w:hAnsi="Times New Roman" w:cs="Times New Roman"/>
          <w:b/>
          <w:sz w:val="32"/>
          <w:szCs w:val="32"/>
        </w:rPr>
      </w:pPr>
      <w:bookmarkStart w:id="0" w:name="_GoBack"/>
      <w:r w:rsidRPr="009E24DA">
        <w:rPr>
          <w:rFonts w:ascii="Times New Roman" w:hAnsi="Times New Roman" w:cs="Times New Roman"/>
          <w:b/>
          <w:sz w:val="32"/>
          <w:szCs w:val="32"/>
        </w:rPr>
        <w:t>TO LEVERAGE FINANCIAL DATA OF DIFFERENT VENDORS OF FMCG MNCS</w:t>
      </w:r>
      <w:bookmarkEnd w:id="0"/>
      <w:r w:rsidRPr="009E24DA">
        <w:rPr>
          <w:rFonts w:ascii="Times New Roman" w:hAnsi="Times New Roman" w:cs="Times New Roman"/>
          <w:b/>
          <w:sz w:val="32"/>
          <w:szCs w:val="32"/>
        </w:rPr>
        <w:t xml:space="preserve"> </w:t>
      </w:r>
    </w:p>
    <w:p w14:paraId="09F12CFA" w14:textId="2BD74ACE" w:rsidR="00D0140A" w:rsidRPr="009E24DA" w:rsidRDefault="00D0140A" w:rsidP="009E24DA">
      <w:pPr>
        <w:spacing w:line="360" w:lineRule="auto"/>
        <w:jc w:val="center"/>
        <w:rPr>
          <w:rFonts w:ascii="Times New Roman" w:hAnsi="Times New Roman" w:cs="Times New Roman"/>
          <w:b/>
        </w:rPr>
      </w:pPr>
      <w:proofErr w:type="spellStart"/>
      <w:r w:rsidRPr="009E24DA">
        <w:rPr>
          <w:rFonts w:ascii="Times New Roman" w:hAnsi="Times New Roman" w:cs="Times New Roman"/>
          <w:b/>
        </w:rPr>
        <w:t>Navya</w:t>
      </w:r>
      <w:proofErr w:type="spellEnd"/>
      <w:r w:rsidRPr="009E24DA">
        <w:rPr>
          <w:rFonts w:ascii="Times New Roman" w:hAnsi="Times New Roman" w:cs="Times New Roman"/>
          <w:b/>
        </w:rPr>
        <w:t xml:space="preserve"> </w:t>
      </w:r>
      <w:proofErr w:type="spellStart"/>
      <w:r w:rsidRPr="009E24DA">
        <w:rPr>
          <w:rFonts w:ascii="Times New Roman" w:hAnsi="Times New Roman" w:cs="Times New Roman"/>
          <w:b/>
        </w:rPr>
        <w:t>Sengar</w:t>
      </w:r>
      <w:proofErr w:type="spellEnd"/>
    </w:p>
    <w:p w14:paraId="7D5D7848" w14:textId="189E7BC8" w:rsidR="00D0140A" w:rsidRPr="009E24DA" w:rsidRDefault="00D0140A" w:rsidP="009E24DA">
      <w:pPr>
        <w:spacing w:line="360" w:lineRule="auto"/>
        <w:jc w:val="center"/>
        <w:rPr>
          <w:rFonts w:ascii="Times New Roman" w:hAnsi="Times New Roman" w:cs="Times New Roman"/>
        </w:rPr>
      </w:pPr>
      <w:proofErr w:type="spellStart"/>
      <w:r w:rsidRPr="009E24DA">
        <w:rPr>
          <w:rFonts w:ascii="Times New Roman" w:hAnsi="Times New Roman" w:cs="Times New Roman"/>
        </w:rPr>
        <w:t>Thapar</w:t>
      </w:r>
      <w:proofErr w:type="spellEnd"/>
      <w:r w:rsidRPr="009E24DA">
        <w:rPr>
          <w:rFonts w:ascii="Times New Roman" w:hAnsi="Times New Roman" w:cs="Times New Roman"/>
        </w:rPr>
        <w:t xml:space="preserve"> Institute of Engineering and Technology</w:t>
      </w:r>
    </w:p>
    <w:p w14:paraId="75721D1F" w14:textId="13640399" w:rsidR="009E24DA" w:rsidRDefault="009E24DA" w:rsidP="002525A4">
      <w:pPr>
        <w:pStyle w:val="ListParagraph"/>
        <w:spacing w:line="360" w:lineRule="auto"/>
        <w:ind w:left="0"/>
        <w:jc w:val="both"/>
        <w:rPr>
          <w:rFonts w:ascii="Times New Roman" w:hAnsi="Times New Roman" w:cs="Times New Roman"/>
          <w:b/>
        </w:rPr>
      </w:pPr>
      <w:r w:rsidRPr="009E24DA">
        <w:rPr>
          <w:rFonts w:ascii="Times New Roman" w:hAnsi="Times New Roman" w:cs="Times New Roman"/>
          <w:b/>
        </w:rPr>
        <w:t>Abstract</w:t>
      </w:r>
    </w:p>
    <w:p w14:paraId="4FBECE3A" w14:textId="77777777" w:rsidR="002525A4" w:rsidRDefault="002525A4" w:rsidP="002525A4">
      <w:pPr>
        <w:pStyle w:val="NormalWeb"/>
        <w:spacing w:before="0" w:beforeAutospacing="0" w:line="360" w:lineRule="auto"/>
        <w:jc w:val="both"/>
      </w:pPr>
      <w:r>
        <w:t xml:space="preserve">In the rapidly evolving landscape of fast-moving consumer goods (FMCG), multinational corporations (MNCs) such as Procter &amp; Gamble, Hindustan Unilever, </w:t>
      </w:r>
      <w:proofErr w:type="spellStart"/>
      <w:r>
        <w:t>Amul</w:t>
      </w:r>
      <w:proofErr w:type="spellEnd"/>
      <w:r>
        <w:t xml:space="preserve">, and Coca-Cola face significant challenges in managing vendor relationships and assessing credit risks effectively. This paper aims to leverage the financial data from various vendors to analyze credit risk utilizing advanced artificial intelligence (AI) and machine learning (ML) methodologies. We explore a comprehensive dataset that includes critical financial indicators like balance sheets, income tax returns, order books, plant setups, and the availability of skilled manpower. Furthermore, we incorporate operational data, qualitative assessments, and product-specific information to holistically evaluate vendor stability and predict potential credit risks. </w:t>
      </w:r>
    </w:p>
    <w:p w14:paraId="65FA6BB2" w14:textId="77777777" w:rsidR="002525A4" w:rsidRDefault="002525A4" w:rsidP="002525A4">
      <w:pPr>
        <w:pStyle w:val="NormalWeb"/>
        <w:spacing w:before="0" w:beforeAutospacing="0" w:line="360" w:lineRule="auto"/>
        <w:jc w:val="both"/>
      </w:pPr>
      <w:r>
        <w:t xml:space="preserve">The research framework involves integrating diverse data sources to develop a robust risk assessment model. Using machine learning algorithms, we analyze patterns and relationships within the data that may signify the likelihood of vendor defaults or financial distress. This predictive modeling approach enables MNCs to make informed decisions when engaging with suppliers, thus minimizing potential financial losses. Moreover, we discuss the implications of AI and ML in automating risk assessment processes, leading to more efficient vendor management strategies that can be adopted across the FMCG sector. </w:t>
      </w:r>
    </w:p>
    <w:p w14:paraId="530289B1" w14:textId="77777777" w:rsidR="002525A4" w:rsidRDefault="002525A4" w:rsidP="002525A4">
      <w:pPr>
        <w:pStyle w:val="NormalWeb"/>
        <w:spacing w:before="0" w:beforeAutospacing="0" w:line="360" w:lineRule="auto"/>
        <w:jc w:val="both"/>
      </w:pPr>
      <w:r>
        <w:t xml:space="preserve">Our findings illuminate significant predictors of credit risk, providing actionable insights for MNCs to enhance their vendor selection processes while ensuring financial resiliency. The application of these advanced technologies not only streamlines risk management but also equips corporations with the analytical capacity to adapt and thrive in an increasingly competitive environment. </w:t>
      </w:r>
    </w:p>
    <w:p w14:paraId="4F6FEB26" w14:textId="77777777" w:rsidR="002525A4" w:rsidRDefault="002525A4" w:rsidP="002525A4">
      <w:pPr>
        <w:pStyle w:val="NormalWeb"/>
        <w:spacing w:before="0" w:beforeAutospacing="0" w:line="360" w:lineRule="auto"/>
        <w:jc w:val="both"/>
      </w:pPr>
      <w:r w:rsidRPr="002525A4">
        <w:rPr>
          <w:b/>
        </w:rPr>
        <w:t>Keywords:</w:t>
      </w:r>
      <w:r>
        <w:t xml:space="preserve"> Credit Risk, Financial Data, Artificial Intelligence, Machine Learning, Vendor Management.</w:t>
      </w:r>
    </w:p>
    <w:p w14:paraId="0F412107" w14:textId="139CF463" w:rsidR="002525A4" w:rsidRDefault="002525A4" w:rsidP="002525A4">
      <w:pPr>
        <w:pStyle w:val="NormalWeb"/>
        <w:spacing w:before="0" w:beforeAutospacing="0" w:line="360" w:lineRule="auto"/>
        <w:jc w:val="both"/>
        <w:rPr>
          <w:b/>
        </w:rPr>
      </w:pPr>
      <w:r>
        <w:rPr>
          <w:b/>
        </w:rPr>
        <w:lastRenderedPageBreak/>
        <w:t>Introduction</w:t>
      </w:r>
    </w:p>
    <w:p w14:paraId="2EFEB26F" w14:textId="77777777" w:rsidR="002525A4" w:rsidRDefault="002525A4" w:rsidP="002525A4">
      <w:pPr>
        <w:pStyle w:val="NormalWeb"/>
        <w:spacing w:before="0" w:beforeAutospacing="0" w:line="360" w:lineRule="auto"/>
        <w:jc w:val="both"/>
      </w:pPr>
      <w:r>
        <w:t xml:space="preserve">The fast-moving consumer goods (FMCG) sector is characterized by the high volume and quick turnover of products, which makes it a critical contributor to global and national economies (CPG 2020 Market Outlook). Companies such as Procter &amp; Gamble (P&amp;G), Hindustan Unilever (HUL), </w:t>
      </w:r>
      <w:proofErr w:type="spellStart"/>
      <w:r>
        <w:t>Amul</w:t>
      </w:r>
      <w:proofErr w:type="spellEnd"/>
      <w:r>
        <w:t xml:space="preserve">, and Coca-Cola are at the forefront of this industry, relying on a complex network of vendors to ensure operational efficiency and product availability. The management of vendor relationships is crucial for these organizations, as it directly influences supply chain resilience, operational costs, and ultimately, profitability. Given the increasingly competitive landscape, effective assessment of vendor financial stability becomes imperative for reducing risks associated with credit and payment defaults (Hofmann &amp; </w:t>
      </w:r>
      <w:proofErr w:type="spellStart"/>
      <w:r>
        <w:t>Locatelli</w:t>
      </w:r>
      <w:proofErr w:type="spellEnd"/>
      <w:r>
        <w:t xml:space="preserve">, 2019). </w:t>
      </w:r>
    </w:p>
    <w:p w14:paraId="7C100F62" w14:textId="77777777" w:rsidR="002525A4" w:rsidRDefault="002525A4" w:rsidP="002525A4">
      <w:pPr>
        <w:pStyle w:val="NormalWeb"/>
        <w:spacing w:before="0" w:beforeAutospacing="0" w:line="360" w:lineRule="auto"/>
        <w:jc w:val="both"/>
      </w:pPr>
      <w:r>
        <w:t>Credit risk assessment is a systematic process aimed at quantifying the likelihood of a vendor's failure to meet its financial obligations. The existing literature tends to focus on financial metrics such as balance sheets, cash flows, and credit histories (</w:t>
      </w:r>
      <w:proofErr w:type="spellStart"/>
      <w:r>
        <w:t>Dermine</w:t>
      </w:r>
      <w:proofErr w:type="spellEnd"/>
      <w:r>
        <w:t xml:space="preserve">, 2019). However, relying solely on historical financial data often leads to an incomplete understanding of a vendor's operational viability. Thus, there is a need for a more multi-faceted approach that incorporates various data types for a comprehensive risk assessment. </w:t>
      </w:r>
    </w:p>
    <w:p w14:paraId="0F600F06" w14:textId="77777777" w:rsidR="00050610" w:rsidRPr="00050610" w:rsidRDefault="00050610" w:rsidP="00050610">
      <w:pPr>
        <w:pStyle w:val="NormalWeb"/>
        <w:spacing w:before="0" w:beforeAutospacing="0" w:line="360" w:lineRule="auto"/>
        <w:jc w:val="both"/>
        <w:rPr>
          <w:b/>
        </w:rPr>
      </w:pPr>
      <w:r w:rsidRPr="00050610">
        <w:rPr>
          <w:b/>
        </w:rPr>
        <w:t>Company Profiling</w:t>
      </w:r>
    </w:p>
    <w:p w14:paraId="4D3D7E62" w14:textId="77777777" w:rsidR="00050610" w:rsidRPr="00050610" w:rsidRDefault="00050610" w:rsidP="00050610">
      <w:pPr>
        <w:pStyle w:val="NormalWeb"/>
        <w:spacing w:before="0" w:beforeAutospacing="0" w:line="360" w:lineRule="auto"/>
        <w:jc w:val="both"/>
        <w:rPr>
          <w:b/>
        </w:rPr>
      </w:pPr>
      <w:r w:rsidRPr="00050610">
        <w:rPr>
          <w:b/>
        </w:rPr>
        <w:t>Procter &amp; Gamble (P&amp;G)</w:t>
      </w:r>
    </w:p>
    <w:p w14:paraId="5E105E15" w14:textId="4B26543C" w:rsidR="00050610" w:rsidRDefault="00050610" w:rsidP="00050610">
      <w:pPr>
        <w:pStyle w:val="NormalWeb"/>
        <w:spacing w:before="0" w:beforeAutospacing="0" w:line="360" w:lineRule="auto"/>
        <w:jc w:val="both"/>
      </w:pPr>
      <w:r>
        <w:t xml:space="preserve">Procter &amp; Gamble (P&amp;G) is a global leader in consumer goods, headquartered in Cincinnati, Ohio. Established in 1837, P&amp;G specializes in a wide array of personal care, hygiene, and home cleaning products. With iconic brands such as Tide, Pampers, Gillette, and Head &amp; Shoulders, the company focuses on innovative product development and sustainable practices. P&amp;G operates in over 180 countries and is committed to improving lives through its products while minimizing environmental impact, with ambitious goals for sustainability and social responsibility. </w:t>
      </w:r>
    </w:p>
    <w:p w14:paraId="55341DC9" w14:textId="4B677891" w:rsidR="00050610" w:rsidRPr="00050610" w:rsidRDefault="00050610" w:rsidP="00050610">
      <w:pPr>
        <w:pStyle w:val="NormalWeb"/>
        <w:spacing w:before="0" w:beforeAutospacing="0" w:line="360" w:lineRule="auto"/>
        <w:jc w:val="both"/>
        <w:rPr>
          <w:b/>
        </w:rPr>
      </w:pPr>
      <w:r w:rsidRPr="00050610">
        <w:rPr>
          <w:b/>
        </w:rPr>
        <w:t>Hindustan Unilever Limited (HUL)</w:t>
      </w:r>
    </w:p>
    <w:p w14:paraId="34F64071" w14:textId="77777777" w:rsidR="00050610" w:rsidRDefault="00050610" w:rsidP="00050610">
      <w:pPr>
        <w:pStyle w:val="NormalWeb"/>
        <w:spacing w:before="0" w:beforeAutospacing="0" w:line="360" w:lineRule="auto"/>
        <w:jc w:val="both"/>
      </w:pPr>
      <w:r>
        <w:t xml:space="preserve">Hindustan Unilever Limited (HUL), a subsidiary of Unilever, is one of India's largest FMCG companies, headquartered in Mumbai. Founded in 1933, HUL boasts a diverse portfolio of products across categories such as personal care, home care, and food &amp; beverages. With </w:t>
      </w:r>
      <w:r>
        <w:lastRenderedPageBreak/>
        <w:t xml:space="preserve">popular brands like Dove, Surf Excel, and Lipton, HUL emphasizes consumer-centric innovation and sustainable business practices. The company plays a crucial role in India's economic landscape, focusing on rural development and sustainable sourcing. </w:t>
      </w:r>
    </w:p>
    <w:p w14:paraId="6C03CBC0" w14:textId="68AC858D" w:rsidR="00050610" w:rsidRPr="00050610" w:rsidRDefault="00050610" w:rsidP="00050610">
      <w:pPr>
        <w:pStyle w:val="NormalWeb"/>
        <w:spacing w:before="0" w:beforeAutospacing="0" w:line="360" w:lineRule="auto"/>
        <w:jc w:val="both"/>
        <w:rPr>
          <w:b/>
        </w:rPr>
      </w:pPr>
      <w:proofErr w:type="spellStart"/>
      <w:r w:rsidRPr="00050610">
        <w:rPr>
          <w:b/>
        </w:rPr>
        <w:t>Amul</w:t>
      </w:r>
      <w:proofErr w:type="spellEnd"/>
    </w:p>
    <w:p w14:paraId="66130FB5" w14:textId="77777777" w:rsidR="00050610" w:rsidRDefault="00050610" w:rsidP="00050610">
      <w:pPr>
        <w:pStyle w:val="NormalWeb"/>
        <w:spacing w:before="0" w:beforeAutospacing="0" w:line="360" w:lineRule="auto"/>
        <w:jc w:val="both"/>
      </w:pPr>
      <w:proofErr w:type="spellStart"/>
      <w:r>
        <w:t>Amul</w:t>
      </w:r>
      <w:proofErr w:type="spellEnd"/>
      <w:r>
        <w:t xml:space="preserve">, India’s largest dairy cooperative, was founded in 1946 and is managed by the Gujarat Cooperative Milk Marketing Federation (GCMMF). With its headquarters in </w:t>
      </w:r>
      <w:proofErr w:type="spellStart"/>
      <w:r>
        <w:t>Anand</w:t>
      </w:r>
      <w:proofErr w:type="spellEnd"/>
      <w:r>
        <w:t xml:space="preserve">, Gujarat, </w:t>
      </w:r>
      <w:proofErr w:type="spellStart"/>
      <w:r>
        <w:t>Amul</w:t>
      </w:r>
      <w:proofErr w:type="spellEnd"/>
      <w:r>
        <w:t xml:space="preserve"> is renowned for its wide range of dairy products, including milk, cheese, butter, and ice cream. The brand emphasizes quality and has established a strong cooperative model, empowering millions of dairy farmers across India. </w:t>
      </w:r>
      <w:proofErr w:type="spellStart"/>
      <w:r>
        <w:t>Amul’s</w:t>
      </w:r>
      <w:proofErr w:type="spellEnd"/>
      <w:r>
        <w:t xml:space="preserve"> commitment to excellence and innovation has made it a household name, representing the ethos of cooperative empowerment and consumer trust. </w:t>
      </w:r>
    </w:p>
    <w:p w14:paraId="372F5FE1" w14:textId="2F7E110F" w:rsidR="00050610" w:rsidRPr="00050610" w:rsidRDefault="00050610" w:rsidP="00050610">
      <w:pPr>
        <w:pStyle w:val="NormalWeb"/>
        <w:spacing w:before="0" w:beforeAutospacing="0" w:line="360" w:lineRule="auto"/>
        <w:jc w:val="both"/>
        <w:rPr>
          <w:b/>
        </w:rPr>
      </w:pPr>
      <w:r w:rsidRPr="00050610">
        <w:rPr>
          <w:b/>
        </w:rPr>
        <w:t>Coca-Cola</w:t>
      </w:r>
    </w:p>
    <w:p w14:paraId="044E78BC" w14:textId="48186501" w:rsidR="00050610" w:rsidRDefault="00050610" w:rsidP="00050610">
      <w:pPr>
        <w:pStyle w:val="NormalWeb"/>
        <w:spacing w:before="0" w:beforeAutospacing="0" w:line="360" w:lineRule="auto"/>
        <w:jc w:val="both"/>
      </w:pPr>
      <w:r>
        <w:t xml:space="preserve">Coca-Cola, headquartered in Atlanta, Georgia, is one of the world’s most recognizable beverage companies, known for its flagship product, Coca-Cola, launched in 1886. The company produces and markets a vast range of beverages, including soft drinks, juices, teas, and bottled water. With a presence in over 200 countries, Coca-Cola operates a robust global supply chain and prioritizes sustainability through its ‘World </w:t>
      </w:r>
      <w:r w:rsidR="000347EF">
        <w:t>w</w:t>
      </w:r>
      <w:r>
        <w:t>ithout Waste’ initiative, aiming for recyclable packaging and water conservation. The brand's innovative marketing strategies and commitment to quality continue to position Coca-Cola as a leader in the beverage industry.</w:t>
      </w:r>
    </w:p>
    <w:p w14:paraId="0F2B123F" w14:textId="77777777" w:rsidR="002525A4" w:rsidRPr="002525A4" w:rsidRDefault="002525A4" w:rsidP="002525A4">
      <w:pPr>
        <w:pStyle w:val="NormalWeb"/>
        <w:spacing w:before="0" w:beforeAutospacing="0" w:line="360" w:lineRule="auto"/>
        <w:jc w:val="both"/>
        <w:rPr>
          <w:b/>
        </w:rPr>
      </w:pPr>
      <w:r w:rsidRPr="002525A4">
        <w:rPr>
          <w:b/>
        </w:rPr>
        <w:t xml:space="preserve">The Challenges of Vendor Management in FMCG </w:t>
      </w:r>
    </w:p>
    <w:p w14:paraId="0267C73E" w14:textId="77777777" w:rsidR="002525A4" w:rsidRDefault="002525A4" w:rsidP="002525A4">
      <w:pPr>
        <w:pStyle w:val="NormalWeb"/>
        <w:spacing w:before="0" w:beforeAutospacing="0" w:line="360" w:lineRule="auto"/>
        <w:jc w:val="both"/>
      </w:pPr>
      <w:r>
        <w:t>FMCG companies face unique challenges when it comes to managing their vendor portfolios. With a plethora of vendors supplying raw materials, packaging, logistics, and distribution services, assessing each vendor's creditworthiness can be overwhelming. Factors such as changing market conditions, fluctuations in commodity prices, and geopolitical events can have a significant impact on a vendor's financial health (</w:t>
      </w:r>
      <w:proofErr w:type="spellStart"/>
      <w:r>
        <w:t>Chaudhuri</w:t>
      </w:r>
      <w:proofErr w:type="spellEnd"/>
      <w:r>
        <w:t xml:space="preserve"> &amp; Johnson, 2020). Consequently, traditional credit scoring methods have limitations, as they often do not adapt well to the dynamic nature of the FMCG sector. </w:t>
      </w:r>
    </w:p>
    <w:p w14:paraId="62534C85" w14:textId="77777777" w:rsidR="002525A4" w:rsidRDefault="002525A4" w:rsidP="002525A4">
      <w:pPr>
        <w:pStyle w:val="NormalWeb"/>
        <w:spacing w:before="0" w:beforeAutospacing="0" w:line="360" w:lineRule="auto"/>
        <w:jc w:val="both"/>
      </w:pPr>
      <w:r>
        <w:t xml:space="preserve">In addition to financial factors, operational elements such as order fulfillment capabilities, production capacity, skilled manpower availability, and technological investments should also </w:t>
      </w:r>
      <w:r>
        <w:lastRenderedPageBreak/>
        <w:t xml:space="preserve">be considered (Meredith, </w:t>
      </w:r>
      <w:proofErr w:type="spellStart"/>
      <w:r>
        <w:t>Grebner</w:t>
      </w:r>
      <w:proofErr w:type="spellEnd"/>
      <w:r>
        <w:t xml:space="preserve">, &amp; Ares, 2020). Therefore, a holistic approach to vendor assessment is required to mitigate risks effectively. </w:t>
      </w:r>
    </w:p>
    <w:p w14:paraId="30AB7099" w14:textId="77777777" w:rsidR="002525A4" w:rsidRPr="002525A4" w:rsidRDefault="002525A4" w:rsidP="002525A4">
      <w:pPr>
        <w:pStyle w:val="NormalWeb"/>
        <w:spacing w:before="0" w:beforeAutospacing="0" w:line="360" w:lineRule="auto"/>
        <w:jc w:val="both"/>
        <w:rPr>
          <w:b/>
        </w:rPr>
      </w:pPr>
      <w:r w:rsidRPr="002525A4">
        <w:rPr>
          <w:b/>
        </w:rPr>
        <w:t xml:space="preserve">Artificial Intelligence and Machine Learning in Risk Assessment </w:t>
      </w:r>
    </w:p>
    <w:p w14:paraId="3C0B65BD" w14:textId="77777777" w:rsidR="002525A4" w:rsidRDefault="002525A4" w:rsidP="002525A4">
      <w:pPr>
        <w:pStyle w:val="NormalWeb"/>
        <w:spacing w:before="0" w:beforeAutospacing="0" w:line="360" w:lineRule="auto"/>
        <w:jc w:val="both"/>
      </w:pPr>
      <w:r>
        <w:t xml:space="preserve">Artificial Intelligence (AI) and Machine Learning (ML) technologies have demonstrated their </w:t>
      </w:r>
      <w:proofErr w:type="gramStart"/>
      <w:r>
        <w:t>potential</w:t>
      </w:r>
      <w:proofErr w:type="gramEnd"/>
      <w:r>
        <w:t xml:space="preserve"> in transforming various sectors, including finance, healthcare, and retail (</w:t>
      </w:r>
      <w:proofErr w:type="spellStart"/>
      <w:r>
        <w:t>Bafakih</w:t>
      </w:r>
      <w:proofErr w:type="spellEnd"/>
      <w:r>
        <w:t xml:space="preserve">, </w:t>
      </w:r>
      <w:proofErr w:type="spellStart"/>
      <w:r>
        <w:t>Joud</w:t>
      </w:r>
      <w:proofErr w:type="spellEnd"/>
      <w:r>
        <w:t xml:space="preserve">, &amp; </w:t>
      </w:r>
      <w:proofErr w:type="spellStart"/>
      <w:r>
        <w:t>Alshaikh</w:t>
      </w:r>
      <w:proofErr w:type="spellEnd"/>
      <w:r>
        <w:t>, 2021). These technologies can analyze vast amounts of structured and unstructured data to identify patterns that may be indicative of financial instability or operational inefficiency. By integrating AI and ML into the vendor assessment process, FMCG companies can move beyond conventional metrics and create predictive models that consider varied dimensions of vendor performance (</w:t>
      </w:r>
      <w:proofErr w:type="spellStart"/>
      <w:r>
        <w:t>Duan</w:t>
      </w:r>
      <w:proofErr w:type="spellEnd"/>
      <w:r>
        <w:t xml:space="preserve"> et al., 2019). </w:t>
      </w:r>
    </w:p>
    <w:p w14:paraId="1C4ADA6E" w14:textId="77777777" w:rsidR="002525A4" w:rsidRDefault="002525A4" w:rsidP="002525A4">
      <w:pPr>
        <w:pStyle w:val="NormalWeb"/>
        <w:spacing w:before="0" w:beforeAutospacing="0" w:line="360" w:lineRule="auto"/>
        <w:jc w:val="both"/>
      </w:pPr>
      <w:r>
        <w:t xml:space="preserve">A significant advantage of employing AI and ML in credit risk assessment is the capability to automate the data analysis process, significantly reducing the time and human resources required for vendor evaluations (Kou, Wang, &amp; Lu, 2020). Furthermore, AI-generated insights can help organizations forecast credit risks associated with vendors, thereby enabling proactive measures to avert potential disruptions in the supply chain. </w:t>
      </w:r>
    </w:p>
    <w:p w14:paraId="7EAA6E78" w14:textId="77777777" w:rsidR="002525A4" w:rsidRPr="002525A4" w:rsidRDefault="002525A4" w:rsidP="002525A4">
      <w:pPr>
        <w:pStyle w:val="NormalWeb"/>
        <w:spacing w:before="0" w:beforeAutospacing="0" w:line="360" w:lineRule="auto"/>
        <w:jc w:val="both"/>
        <w:rPr>
          <w:b/>
        </w:rPr>
      </w:pPr>
      <w:r w:rsidRPr="002525A4">
        <w:rPr>
          <w:b/>
        </w:rPr>
        <w:t xml:space="preserve">Current Trends and Limitations in Vendor Risk Assessment </w:t>
      </w:r>
    </w:p>
    <w:p w14:paraId="6B5D00DB" w14:textId="77777777" w:rsidR="002525A4" w:rsidRDefault="002525A4" w:rsidP="002525A4">
      <w:pPr>
        <w:pStyle w:val="NormalWeb"/>
        <w:spacing w:before="0" w:beforeAutospacing="0" w:line="360" w:lineRule="auto"/>
        <w:jc w:val="both"/>
      </w:pPr>
      <w:r>
        <w:t xml:space="preserve">The landscape of vendor risk assessment is rapidly changing, influenced by technological advancements and shifting consumer expectations. Many FMCG companies are now adopting integrated risk management frameworks that emphasize collaboration and communication with vendors (Rao, 2021). Despite these advancements, challenges remain. Many companies are still reliant on outdated spreadsheets and manual processes for vendor evaluations, leading to inconsistencies and errors (Purdy, 2020). </w:t>
      </w:r>
    </w:p>
    <w:p w14:paraId="69F6B6C9" w14:textId="77777777" w:rsidR="002525A4" w:rsidRDefault="002525A4" w:rsidP="002525A4">
      <w:pPr>
        <w:pStyle w:val="NormalWeb"/>
        <w:spacing w:before="0" w:beforeAutospacing="0" w:line="360" w:lineRule="auto"/>
        <w:jc w:val="both"/>
      </w:pPr>
      <w:r>
        <w:t>Moreover, while data analytics can provide enhanced insights, it also raises concerns related to data privacy and security. The integration of diverse data sources requires that organizations adhere to strict data governance and compliance standards (</w:t>
      </w:r>
      <w:proofErr w:type="spellStart"/>
      <w:r>
        <w:t>Abubakar</w:t>
      </w:r>
      <w:proofErr w:type="spellEnd"/>
      <w:r>
        <w:t xml:space="preserve"> et al., 2020). Thus, while the potential for improved vendor risk assessment is significant, organizations must navigate a landscape fraught with both opportunities and challenges. </w:t>
      </w:r>
    </w:p>
    <w:p w14:paraId="38CF2625" w14:textId="77777777" w:rsidR="002525A4" w:rsidRPr="002525A4" w:rsidRDefault="002525A4" w:rsidP="002525A4">
      <w:pPr>
        <w:pStyle w:val="NormalWeb"/>
        <w:spacing w:before="0" w:beforeAutospacing="0" w:line="360" w:lineRule="auto"/>
        <w:jc w:val="both"/>
        <w:rPr>
          <w:b/>
        </w:rPr>
      </w:pPr>
      <w:r w:rsidRPr="002525A4">
        <w:rPr>
          <w:b/>
        </w:rPr>
        <w:t xml:space="preserve">Purpose of the Study </w:t>
      </w:r>
    </w:p>
    <w:p w14:paraId="7DF72D35" w14:textId="77777777" w:rsidR="002525A4" w:rsidRDefault="002525A4" w:rsidP="002525A4">
      <w:pPr>
        <w:pStyle w:val="NormalWeb"/>
        <w:spacing w:before="0" w:beforeAutospacing="0" w:line="360" w:lineRule="auto"/>
        <w:jc w:val="both"/>
      </w:pPr>
      <w:r>
        <w:lastRenderedPageBreak/>
        <w:t xml:space="preserve">This paper aims to analyze the credit risk of vendors for major FMCG MNCs such as P&amp;G, HUL, </w:t>
      </w:r>
      <w:proofErr w:type="spellStart"/>
      <w:r>
        <w:t>Amul</w:t>
      </w:r>
      <w:proofErr w:type="spellEnd"/>
      <w:r>
        <w:t xml:space="preserve">, and Coca-Cola by leveraging various data types, including financial, operational, and qualitative data, using AI and ML techniques. We propose a framework for a more holistic approach to risk assessment that incorporates a broader spectrum of data points. By doing so, we intend to provide actionable insights that can aid MNCs in making more informed vendor management decisions, thereby reducing the likelihood of financial losses. </w:t>
      </w:r>
    </w:p>
    <w:p w14:paraId="0E8E4D4F" w14:textId="77777777" w:rsidR="002525A4" w:rsidRDefault="002525A4" w:rsidP="002525A4">
      <w:pPr>
        <w:pStyle w:val="NormalWeb"/>
        <w:spacing w:before="0" w:beforeAutospacing="0" w:line="360" w:lineRule="auto"/>
        <w:jc w:val="both"/>
      </w:pPr>
      <w:r>
        <w:t xml:space="preserve">Understanding and implementing advanced analytics techniques for vendor assessment can empower MNCs to enhance their strategic decision-making processes. The results of this study will not only contribute to academic literature but also have practical implications for companies operating in the FMCG sector. </w:t>
      </w:r>
    </w:p>
    <w:p w14:paraId="0546FB75" w14:textId="77777777" w:rsidR="002525A4" w:rsidRDefault="002525A4" w:rsidP="002525A4">
      <w:pPr>
        <w:pStyle w:val="NormalWeb"/>
        <w:spacing w:before="0" w:beforeAutospacing="0" w:line="360" w:lineRule="auto"/>
        <w:jc w:val="both"/>
      </w:pPr>
      <w:r>
        <w:t>The increasing complexity of vendor relationships in the FMCG industry demands an evolved approach to credit risk assessment. By integrating AI and ML technologies with diverse data inputs, organizations can better navigate the risks associated with vendor management. This paper aims to explore this intersection of technology, finance, and vendor relationships through a comprehensive analysis framework.</w:t>
      </w:r>
    </w:p>
    <w:p w14:paraId="07583CCE" w14:textId="3FFE8B49" w:rsidR="002525A4" w:rsidRPr="002525A4" w:rsidRDefault="002525A4" w:rsidP="002525A4">
      <w:pPr>
        <w:pStyle w:val="NormalWeb"/>
        <w:spacing w:before="0" w:beforeAutospacing="0" w:line="360" w:lineRule="auto"/>
        <w:jc w:val="both"/>
        <w:rPr>
          <w:b/>
        </w:rPr>
      </w:pPr>
      <w:r w:rsidRPr="002525A4">
        <w:rPr>
          <w:b/>
        </w:rPr>
        <w:t>Review of literature</w:t>
      </w:r>
    </w:p>
    <w:p w14:paraId="240E48FA" w14:textId="77777777" w:rsidR="00C636D2" w:rsidRDefault="00C636D2" w:rsidP="00C636D2">
      <w:pPr>
        <w:pStyle w:val="NormalWeb"/>
        <w:spacing w:before="0" w:beforeAutospacing="0" w:line="360" w:lineRule="auto"/>
        <w:jc w:val="both"/>
        <w:rPr>
          <w:color w:val="000000" w:themeColor="text1"/>
        </w:rPr>
      </w:pPr>
      <w:r w:rsidRPr="00C636D2">
        <w:rPr>
          <w:color w:val="000000" w:themeColor="text1"/>
        </w:rPr>
        <w:t>In the rapidly evolving world of fast-moving consumer goods (FMCG), multinational corporations (MNCs) like Procter &amp; Gamble (P&amp;G), Hindustan Unilever (HUL), AMUL, and Coca-Cola rely heavily on their supply chains, which involve numerous vendors. Credit risk analysis of these vendors is a crucial aspect of managing financial stability, ensuring liquidity, and reducing financial exposure. Leveraging AI and machine learning (ML) models to analyze vendors’ financial data—such as balance sheets, income tax returns, order books, plant setups, and skilled manpower—has become a critical strategy. This review explores how AI/ML can enhance credit risk analysis by leveraging both quantitative (financial, operational) and qualitative data.</w:t>
      </w:r>
    </w:p>
    <w:p w14:paraId="5AB08C4E" w14:textId="77777777" w:rsidR="00C636D2" w:rsidRDefault="00C636D2" w:rsidP="00C636D2">
      <w:pPr>
        <w:pStyle w:val="NormalWeb"/>
        <w:spacing w:before="0" w:beforeAutospacing="0" w:line="360" w:lineRule="auto"/>
        <w:jc w:val="both"/>
        <w:rPr>
          <w:b/>
          <w:color w:val="000000" w:themeColor="text1"/>
        </w:rPr>
      </w:pPr>
      <w:r w:rsidRPr="00C636D2">
        <w:rPr>
          <w:b/>
          <w:color w:val="000000" w:themeColor="text1"/>
        </w:rPr>
        <w:t>Financial Data and Credit Risk</w:t>
      </w:r>
    </w:p>
    <w:p w14:paraId="52CC5F2A" w14:textId="420367C0" w:rsidR="00C636D2" w:rsidRPr="00C636D2" w:rsidRDefault="00C636D2" w:rsidP="00C636D2">
      <w:pPr>
        <w:pStyle w:val="NormalWeb"/>
        <w:spacing w:before="0" w:beforeAutospacing="0" w:line="360" w:lineRule="auto"/>
        <w:jc w:val="both"/>
        <w:rPr>
          <w:b/>
          <w:color w:val="000000" w:themeColor="text1"/>
        </w:rPr>
      </w:pPr>
      <w:r w:rsidRPr="00C636D2">
        <w:rPr>
          <w:color w:val="000000" w:themeColor="text1"/>
        </w:rPr>
        <w:t xml:space="preserve">Financial data forms the backbone of credit risk assessment. Data such as balance sheets, income tax returns, and order books provides essential insights into a vendor’s liquidity, </w:t>
      </w:r>
      <w:r w:rsidRPr="00C636D2">
        <w:rPr>
          <w:color w:val="000000" w:themeColor="text1"/>
        </w:rPr>
        <w:lastRenderedPageBreak/>
        <w:t>profitability, and ability to repay debt. The use of machine learning algorithms to process and analyze this data can allow for more accurate predictions of a vendor’s creditworthiness.</w:t>
      </w:r>
    </w:p>
    <w:p w14:paraId="5548AEE9" w14:textId="77777777" w:rsidR="00C636D2" w:rsidRDefault="00C636D2" w:rsidP="00C636D2">
      <w:pPr>
        <w:pStyle w:val="NormalWeb"/>
        <w:spacing w:before="0" w:beforeAutospacing="0" w:line="360" w:lineRule="auto"/>
        <w:jc w:val="both"/>
        <w:rPr>
          <w:color w:val="000000" w:themeColor="text1"/>
        </w:rPr>
      </w:pPr>
      <w:r w:rsidRPr="00C636D2">
        <w:rPr>
          <w:color w:val="000000" w:themeColor="text1"/>
        </w:rPr>
        <w:t xml:space="preserve">According to </w:t>
      </w:r>
      <w:proofErr w:type="spellStart"/>
      <w:r w:rsidRPr="00C636D2">
        <w:rPr>
          <w:color w:val="000000" w:themeColor="text1"/>
        </w:rPr>
        <w:t>Khandani</w:t>
      </w:r>
      <w:proofErr w:type="spellEnd"/>
      <w:r w:rsidRPr="00C636D2">
        <w:rPr>
          <w:color w:val="000000" w:themeColor="text1"/>
        </w:rPr>
        <w:t>, Kim, and Lo (2010), predictive models in credit scoring can be enhanced by using vast datasets, including historical financial data. In the case of FMCG MNC vendors, financial health indicators such as liquidity ratios, profitability margins, debt-equity ratios, and working capital can be used to evaluate credit risk (Altman, 1968). For instance, methods like Support Vector Machines (SVM), decision trees, and logistic regression have been successfully applied in various studies to predict the likelihood of default by analyzing financial data (</w:t>
      </w:r>
      <w:proofErr w:type="spellStart"/>
      <w:r w:rsidRPr="00C636D2">
        <w:rPr>
          <w:color w:val="000000" w:themeColor="text1"/>
        </w:rPr>
        <w:t>Breiman</w:t>
      </w:r>
      <w:proofErr w:type="spellEnd"/>
      <w:r w:rsidRPr="00C636D2">
        <w:rPr>
          <w:color w:val="000000" w:themeColor="text1"/>
        </w:rPr>
        <w:t>, 2001).</w:t>
      </w:r>
    </w:p>
    <w:p w14:paraId="104D1F8A" w14:textId="606AF6BC" w:rsidR="00C636D2" w:rsidRPr="00C636D2" w:rsidRDefault="00C636D2" w:rsidP="00C636D2">
      <w:pPr>
        <w:pStyle w:val="NormalWeb"/>
        <w:spacing w:before="0" w:beforeAutospacing="0" w:line="360" w:lineRule="auto"/>
        <w:jc w:val="both"/>
        <w:rPr>
          <w:b/>
          <w:color w:val="000000" w:themeColor="text1"/>
        </w:rPr>
      </w:pPr>
      <w:r w:rsidRPr="00C636D2">
        <w:rPr>
          <w:b/>
          <w:color w:val="000000" w:themeColor="text1"/>
        </w:rPr>
        <w:t>AI and Machine Learning in Financial Risk Assessment</w:t>
      </w:r>
    </w:p>
    <w:p w14:paraId="79BFA62E" w14:textId="77777777" w:rsidR="00C636D2" w:rsidRPr="00C636D2" w:rsidRDefault="00C636D2" w:rsidP="00C636D2">
      <w:pPr>
        <w:pStyle w:val="NormalWeb"/>
        <w:spacing w:before="0" w:beforeAutospacing="0" w:line="360" w:lineRule="auto"/>
        <w:jc w:val="both"/>
        <w:rPr>
          <w:color w:val="000000" w:themeColor="text1"/>
        </w:rPr>
      </w:pPr>
      <w:r w:rsidRPr="00C636D2">
        <w:rPr>
          <w:color w:val="000000" w:themeColor="text1"/>
        </w:rPr>
        <w:t>AI/ML techniques are increasingly being used for credit risk modeling due to their ability to process large datasets and detect complex patterns. Machine learning algorithms such as random forests, neural networks, and deep learning models have proven effective in assessing credit risk (Brockman et al., 2020). In particular, these methods are more flexible than traditional statistical models, as they can capture nonlinear relationships between financial variables (Chen, 2018). Moreover, ML models have the ability to handle diverse data types, including qualitative data, which traditional models struggle to process.</w:t>
      </w:r>
    </w:p>
    <w:p w14:paraId="498415B3" w14:textId="77777777" w:rsidR="00C636D2" w:rsidRDefault="00C636D2" w:rsidP="00C636D2">
      <w:pPr>
        <w:pStyle w:val="NormalWeb"/>
        <w:spacing w:before="0" w:beforeAutospacing="0" w:line="360" w:lineRule="auto"/>
        <w:jc w:val="both"/>
        <w:rPr>
          <w:color w:val="000000" w:themeColor="text1"/>
        </w:rPr>
      </w:pPr>
      <w:r w:rsidRPr="00C636D2">
        <w:rPr>
          <w:color w:val="000000" w:themeColor="text1"/>
        </w:rPr>
        <w:t>For example, Zhang et al. (2021) demonstrated the use of neural networks to predict credit default risk in a dataset that included both financial and operational data. Such models can use historical vendor data (e.g., balance sheet and income tax returns) and operational data (e.g., order book volume, production capacity) to forecast credit risk with a higher degree of accuracy.</w:t>
      </w:r>
    </w:p>
    <w:p w14:paraId="51FEA723" w14:textId="6B4155E2" w:rsidR="00C636D2" w:rsidRPr="00C636D2" w:rsidRDefault="00C636D2" w:rsidP="00C636D2">
      <w:pPr>
        <w:pStyle w:val="NormalWeb"/>
        <w:spacing w:before="0" w:beforeAutospacing="0" w:line="360" w:lineRule="auto"/>
        <w:jc w:val="both"/>
        <w:rPr>
          <w:color w:val="000000" w:themeColor="text1"/>
        </w:rPr>
      </w:pPr>
      <w:r w:rsidRPr="00C636D2">
        <w:rPr>
          <w:b/>
          <w:color w:val="000000" w:themeColor="text1"/>
        </w:rPr>
        <w:t>Qualitative Data and Risk Assessment</w:t>
      </w:r>
    </w:p>
    <w:p w14:paraId="315EC6C7" w14:textId="77777777" w:rsidR="00C636D2" w:rsidRPr="00C636D2" w:rsidRDefault="00C636D2" w:rsidP="00C636D2">
      <w:pPr>
        <w:pStyle w:val="NormalWeb"/>
        <w:spacing w:before="0" w:beforeAutospacing="0" w:line="360" w:lineRule="auto"/>
        <w:jc w:val="both"/>
        <w:rPr>
          <w:color w:val="000000" w:themeColor="text1"/>
        </w:rPr>
      </w:pPr>
      <w:r w:rsidRPr="00C636D2">
        <w:rPr>
          <w:color w:val="000000" w:themeColor="text1"/>
        </w:rPr>
        <w:t xml:space="preserve">While quantitative data is integral to credit risk analysis, qualitative data—including factors </w:t>
      </w:r>
      <w:proofErr w:type="gramStart"/>
      <w:r w:rsidRPr="00C636D2">
        <w:rPr>
          <w:color w:val="000000" w:themeColor="text1"/>
        </w:rPr>
        <w:t>such</w:t>
      </w:r>
      <w:proofErr w:type="gramEnd"/>
      <w:r w:rsidRPr="00C636D2">
        <w:rPr>
          <w:color w:val="000000" w:themeColor="text1"/>
        </w:rPr>
        <w:t xml:space="preserve"> as management quality, plant setup, and skilled workforce—also plays a significant role. These factors can be incorporated into AI/ML models through Natural Language Processing (NLP) and sentiment analysis techniques. For instance, analyzing the tone and content of corporate filings, investor presentations, and news articles related to a vendor can provide </w:t>
      </w:r>
      <w:r w:rsidRPr="00C636D2">
        <w:rPr>
          <w:color w:val="000000" w:themeColor="text1"/>
        </w:rPr>
        <w:lastRenderedPageBreak/>
        <w:t xml:space="preserve">insights into its financial health that are not captured by financial statements alone (Pyle &amp; </w:t>
      </w:r>
      <w:proofErr w:type="spellStart"/>
      <w:r w:rsidRPr="00C636D2">
        <w:rPr>
          <w:color w:val="000000" w:themeColor="text1"/>
        </w:rPr>
        <w:t>Saad</w:t>
      </w:r>
      <w:proofErr w:type="spellEnd"/>
      <w:r w:rsidRPr="00C636D2">
        <w:rPr>
          <w:color w:val="000000" w:themeColor="text1"/>
        </w:rPr>
        <w:t>, 2019).</w:t>
      </w:r>
    </w:p>
    <w:p w14:paraId="4C1A50C7" w14:textId="77777777" w:rsidR="00C636D2" w:rsidRDefault="00C636D2" w:rsidP="00C636D2">
      <w:pPr>
        <w:pStyle w:val="NormalWeb"/>
        <w:spacing w:before="0" w:beforeAutospacing="0" w:line="360" w:lineRule="auto"/>
        <w:jc w:val="both"/>
        <w:rPr>
          <w:color w:val="000000" w:themeColor="text1"/>
        </w:rPr>
      </w:pPr>
      <w:r w:rsidRPr="00C636D2">
        <w:rPr>
          <w:color w:val="000000" w:themeColor="text1"/>
        </w:rPr>
        <w:t xml:space="preserve">The integration of qualitative data into risk models is gaining traction. According to </w:t>
      </w:r>
      <w:proofErr w:type="spellStart"/>
      <w:r w:rsidRPr="00C636D2">
        <w:rPr>
          <w:color w:val="000000" w:themeColor="text1"/>
        </w:rPr>
        <w:t>Grefenstette</w:t>
      </w:r>
      <w:proofErr w:type="spellEnd"/>
      <w:r w:rsidRPr="00C636D2">
        <w:rPr>
          <w:color w:val="000000" w:themeColor="text1"/>
        </w:rPr>
        <w:t xml:space="preserve"> et al. (2016), AI systems capable of processing unstructured data (e.g., textual data from annual reports) enhance the understanding of a company’s operational environment, providing a more comprehensive risk profile. Machine learning models such as decision trees and random forests have also been shown to improve when qualitative data such as reputation and management experience is included in credit scoring models (Feng et al., 2017).</w:t>
      </w:r>
    </w:p>
    <w:p w14:paraId="4261B6AA" w14:textId="2899B311" w:rsidR="00C636D2" w:rsidRPr="00C636D2" w:rsidRDefault="00C636D2" w:rsidP="00C636D2">
      <w:pPr>
        <w:pStyle w:val="NormalWeb"/>
        <w:spacing w:before="0" w:beforeAutospacing="0" w:line="360" w:lineRule="auto"/>
        <w:jc w:val="both"/>
        <w:rPr>
          <w:b/>
          <w:color w:val="000000" w:themeColor="text1"/>
        </w:rPr>
      </w:pPr>
      <w:r w:rsidRPr="00C636D2">
        <w:rPr>
          <w:b/>
          <w:color w:val="000000" w:themeColor="text1"/>
        </w:rPr>
        <w:t>Operational Data in Vendor Credit Risk Analysis</w:t>
      </w:r>
    </w:p>
    <w:p w14:paraId="39A97618" w14:textId="77777777" w:rsidR="00C636D2" w:rsidRPr="00C636D2" w:rsidRDefault="00C636D2" w:rsidP="00C636D2">
      <w:pPr>
        <w:pStyle w:val="NormalWeb"/>
        <w:spacing w:before="0" w:beforeAutospacing="0" w:line="360" w:lineRule="auto"/>
        <w:jc w:val="both"/>
        <w:rPr>
          <w:color w:val="000000" w:themeColor="text1"/>
        </w:rPr>
      </w:pPr>
      <w:r w:rsidRPr="00C636D2">
        <w:rPr>
          <w:color w:val="000000" w:themeColor="text1"/>
        </w:rPr>
        <w:t>For FMCG MNCs like P&amp;G, HUL, AMUL, and Coca-Cola, operational data such as plant setup, production capacity, and order fulfillment rate is critical for assessing a vendor’s ability to meet its contractual obligations. A vendor’s operational efficiency can significantly impact its financial health, and thus its credit risk. ML models can analyze operational data in conjunction with financial data to create a dynamic credit risk model that accounts for both financial stability and operational performance.</w:t>
      </w:r>
    </w:p>
    <w:p w14:paraId="1E8450CD" w14:textId="77777777" w:rsidR="00C636D2" w:rsidRDefault="00C636D2" w:rsidP="00C636D2">
      <w:pPr>
        <w:pStyle w:val="NormalWeb"/>
        <w:spacing w:before="0" w:beforeAutospacing="0" w:line="360" w:lineRule="auto"/>
        <w:jc w:val="both"/>
        <w:rPr>
          <w:color w:val="000000" w:themeColor="text1"/>
        </w:rPr>
      </w:pPr>
      <w:r w:rsidRPr="00C636D2">
        <w:rPr>
          <w:color w:val="000000" w:themeColor="text1"/>
        </w:rPr>
        <w:t>Studies by Liao and Chen (2019) show how operational data (e.g., supply chain performance, production capacity, and inventory levels) has been incorporated into credit scoring models to predict financial stress. Additionally, data on a vendor’s plant setup and skilled workforce can also serve as indicators of its ability to scale operations and manage production costs, which are essential factors for credit assessment (Schneider et al., 2016).</w:t>
      </w:r>
    </w:p>
    <w:p w14:paraId="4B648471" w14:textId="551C8FBA" w:rsidR="00C636D2" w:rsidRPr="00C636D2" w:rsidRDefault="00C636D2" w:rsidP="00C636D2">
      <w:pPr>
        <w:pStyle w:val="NormalWeb"/>
        <w:spacing w:before="0" w:beforeAutospacing="0" w:line="360" w:lineRule="auto"/>
        <w:jc w:val="both"/>
        <w:rPr>
          <w:b/>
          <w:color w:val="000000" w:themeColor="text1"/>
        </w:rPr>
      </w:pPr>
      <w:r w:rsidRPr="00C636D2">
        <w:rPr>
          <w:b/>
          <w:color w:val="000000" w:themeColor="text1"/>
        </w:rPr>
        <w:t>Credit Risk in the Context of FMCG Supply Chains</w:t>
      </w:r>
    </w:p>
    <w:p w14:paraId="6A39C7C1" w14:textId="77777777" w:rsidR="00C636D2" w:rsidRPr="00C636D2" w:rsidRDefault="00C636D2" w:rsidP="00C636D2">
      <w:pPr>
        <w:pStyle w:val="NormalWeb"/>
        <w:spacing w:before="0" w:beforeAutospacing="0" w:line="360" w:lineRule="auto"/>
        <w:jc w:val="both"/>
        <w:rPr>
          <w:color w:val="000000" w:themeColor="text1"/>
        </w:rPr>
      </w:pPr>
      <w:r w:rsidRPr="00C636D2">
        <w:rPr>
          <w:color w:val="000000" w:themeColor="text1"/>
        </w:rPr>
        <w:t>In the context of FMCG MNCs, the complexity of global supply chains means that credit risk extends beyond simple financial metrics. The financial health of a vendor must be evaluated against a backdrop of global market conditions, logistical challenges, and competitive pressures. Researchers have highlighted the importance of considering both internal and external risk factors when evaluating vendor credit risk in FMCG sectors (</w:t>
      </w:r>
      <w:proofErr w:type="spellStart"/>
      <w:r w:rsidRPr="00C636D2">
        <w:rPr>
          <w:color w:val="000000" w:themeColor="text1"/>
        </w:rPr>
        <w:t>Gölgeci</w:t>
      </w:r>
      <w:proofErr w:type="spellEnd"/>
      <w:r w:rsidRPr="00C636D2">
        <w:rPr>
          <w:color w:val="000000" w:themeColor="text1"/>
        </w:rPr>
        <w:t xml:space="preserve"> &amp; </w:t>
      </w:r>
      <w:proofErr w:type="spellStart"/>
      <w:r w:rsidRPr="00C636D2">
        <w:rPr>
          <w:color w:val="000000" w:themeColor="text1"/>
        </w:rPr>
        <w:t>Kuivalainen</w:t>
      </w:r>
      <w:proofErr w:type="spellEnd"/>
      <w:r w:rsidRPr="00C636D2">
        <w:rPr>
          <w:color w:val="000000" w:themeColor="text1"/>
        </w:rPr>
        <w:t>, 2020).</w:t>
      </w:r>
    </w:p>
    <w:p w14:paraId="229E78CE" w14:textId="77777777" w:rsidR="00C636D2" w:rsidRDefault="00C636D2" w:rsidP="00C636D2">
      <w:pPr>
        <w:pStyle w:val="NormalWeb"/>
        <w:spacing w:before="0" w:beforeAutospacing="0" w:line="360" w:lineRule="auto"/>
        <w:jc w:val="both"/>
        <w:rPr>
          <w:color w:val="000000" w:themeColor="text1"/>
        </w:rPr>
      </w:pPr>
      <w:r w:rsidRPr="00C636D2">
        <w:rPr>
          <w:color w:val="000000" w:themeColor="text1"/>
        </w:rPr>
        <w:t xml:space="preserve">Moreover, vendor-specific data such as order book volume, past defaults, and cash flow cycles are crucial in predicting financial distress in supply chains. For example, Wang and Zhang </w:t>
      </w:r>
      <w:r w:rsidRPr="00C636D2">
        <w:rPr>
          <w:color w:val="000000" w:themeColor="text1"/>
        </w:rPr>
        <w:lastRenderedPageBreak/>
        <w:t>(2018) emphasized how machine learning models that integrate both historical credit data and real-time operational data improve the accuracy of credit risk assessments. Additionally, understanding the correlation between operational disruptions (e.g., plant shutdowns or labor strikes) and financial instability can provide deeper insights into a vendor’s potential risk.</w:t>
      </w:r>
    </w:p>
    <w:p w14:paraId="359C2A09" w14:textId="348D34E1" w:rsidR="00C636D2" w:rsidRPr="00C636D2" w:rsidRDefault="00C636D2" w:rsidP="00C636D2">
      <w:pPr>
        <w:pStyle w:val="NormalWeb"/>
        <w:spacing w:before="0" w:beforeAutospacing="0" w:line="360" w:lineRule="auto"/>
        <w:jc w:val="both"/>
        <w:rPr>
          <w:b/>
          <w:color w:val="000000" w:themeColor="text1"/>
        </w:rPr>
      </w:pPr>
      <w:r w:rsidRPr="00C636D2">
        <w:rPr>
          <w:b/>
          <w:color w:val="000000" w:themeColor="text1"/>
        </w:rPr>
        <w:t>Challenges and Opportunities in AI/ML-based Credit Risk Models</w:t>
      </w:r>
    </w:p>
    <w:p w14:paraId="43057974" w14:textId="77777777" w:rsidR="00C636D2" w:rsidRPr="00C636D2" w:rsidRDefault="00C636D2" w:rsidP="00C636D2">
      <w:pPr>
        <w:pStyle w:val="NormalWeb"/>
        <w:spacing w:before="0" w:beforeAutospacing="0" w:line="360" w:lineRule="auto"/>
        <w:jc w:val="both"/>
        <w:rPr>
          <w:color w:val="000000" w:themeColor="text1"/>
        </w:rPr>
      </w:pPr>
      <w:r w:rsidRPr="00C636D2">
        <w:rPr>
          <w:color w:val="000000" w:themeColor="text1"/>
        </w:rPr>
        <w:t>Although AI/ML models offer significant improvements in the accuracy of credit risk prediction, they are not without challenges. One of the main concerns is the availability and quality of data. Incomplete or inaccurate data can lead to misleading results, especially when using unstructured data from qualitative sources (Agarwal &amp; Narayan, 2019). Furthermore, the complexity and opacity of deep learning models pose challenges in interpreting results, which may hinder their acceptance by financial decision-makers (</w:t>
      </w:r>
      <w:proofErr w:type="spellStart"/>
      <w:r w:rsidRPr="00C636D2">
        <w:rPr>
          <w:color w:val="000000" w:themeColor="text1"/>
        </w:rPr>
        <w:t>Caruana</w:t>
      </w:r>
      <w:proofErr w:type="spellEnd"/>
      <w:r w:rsidRPr="00C636D2">
        <w:rPr>
          <w:color w:val="000000" w:themeColor="text1"/>
        </w:rPr>
        <w:t xml:space="preserve"> et al., 2015).</w:t>
      </w:r>
    </w:p>
    <w:p w14:paraId="44113D58" w14:textId="77777777" w:rsidR="00C636D2" w:rsidRPr="00C636D2" w:rsidRDefault="00C636D2" w:rsidP="00C636D2">
      <w:pPr>
        <w:pStyle w:val="NormalWeb"/>
        <w:spacing w:before="0" w:beforeAutospacing="0" w:line="360" w:lineRule="auto"/>
        <w:jc w:val="both"/>
        <w:rPr>
          <w:color w:val="000000" w:themeColor="text1"/>
        </w:rPr>
      </w:pPr>
      <w:r w:rsidRPr="00C636D2">
        <w:rPr>
          <w:color w:val="000000" w:themeColor="text1"/>
        </w:rPr>
        <w:t>Nevertheless, AI/ML-based credit risk assessment models offer substantial benefits, such as real-time risk evaluation and the ability to process large volumes of heterogeneous data (Beck, 2017). These capabilities can be particularly useful in managing credit risk in complex and dynamic environments such as the FMCG sector, where vendors face fluctuations in demand, supply chain disruptions, and changing regulatory landscapes.</w:t>
      </w:r>
    </w:p>
    <w:p w14:paraId="4402F1AE" w14:textId="21D1BAE1" w:rsidR="002525A4" w:rsidRDefault="00C636D2" w:rsidP="002525A4">
      <w:pPr>
        <w:pStyle w:val="NormalWeb"/>
        <w:spacing w:before="0" w:beforeAutospacing="0" w:line="360" w:lineRule="auto"/>
        <w:jc w:val="both"/>
        <w:rPr>
          <w:b/>
        </w:rPr>
      </w:pPr>
      <w:r>
        <w:rPr>
          <w:b/>
        </w:rPr>
        <w:t xml:space="preserve">Research </w:t>
      </w:r>
      <w:r w:rsidRPr="00C636D2">
        <w:rPr>
          <w:b/>
        </w:rPr>
        <w:t>Objectives</w:t>
      </w:r>
    </w:p>
    <w:p w14:paraId="445F3D39" w14:textId="77777777" w:rsidR="00C636D2" w:rsidRDefault="00C636D2" w:rsidP="00C636D2">
      <w:pPr>
        <w:pStyle w:val="NormalWeb"/>
        <w:numPr>
          <w:ilvl w:val="0"/>
          <w:numId w:val="3"/>
        </w:numPr>
        <w:spacing w:before="0" w:beforeAutospacing="0" w:line="360" w:lineRule="auto"/>
        <w:ind w:hanging="720"/>
        <w:jc w:val="both"/>
      </w:pPr>
      <w:r>
        <w:t xml:space="preserve">To develop a comprehensive credit risk assessment model for FMCG vendors by integrating financial, operational, and qualitative data using AI and ML techniques. </w:t>
      </w:r>
    </w:p>
    <w:p w14:paraId="14BC9C9C" w14:textId="77777777" w:rsidR="00C636D2" w:rsidRDefault="00C636D2" w:rsidP="00C636D2">
      <w:pPr>
        <w:pStyle w:val="NormalWeb"/>
        <w:numPr>
          <w:ilvl w:val="0"/>
          <w:numId w:val="3"/>
        </w:numPr>
        <w:spacing w:before="0" w:beforeAutospacing="0" w:line="360" w:lineRule="auto"/>
        <w:ind w:hanging="720"/>
        <w:jc w:val="both"/>
      </w:pPr>
      <w:r>
        <w:t xml:space="preserve">To analyze the predictive capabilities of various data types in assessing vendor credit risk in the context of major FMCG MNCs like P&amp;G, HUL, </w:t>
      </w:r>
      <w:proofErr w:type="spellStart"/>
      <w:r>
        <w:t>Amul</w:t>
      </w:r>
      <w:proofErr w:type="spellEnd"/>
      <w:r>
        <w:t>, and Coca-Cola.</w:t>
      </w:r>
    </w:p>
    <w:p w14:paraId="05FAFFEA" w14:textId="14E12922" w:rsidR="00C636D2" w:rsidRDefault="00C636D2" w:rsidP="002525A4">
      <w:pPr>
        <w:pStyle w:val="NormalWeb"/>
        <w:spacing w:before="0" w:beforeAutospacing="0" w:line="360" w:lineRule="auto"/>
        <w:jc w:val="both"/>
        <w:rPr>
          <w:b/>
        </w:rPr>
      </w:pPr>
      <w:r>
        <w:rPr>
          <w:b/>
        </w:rPr>
        <w:t>Research Methodology</w:t>
      </w:r>
    </w:p>
    <w:p w14:paraId="67231631" w14:textId="77777777" w:rsidR="009D7973" w:rsidRPr="009D7973" w:rsidRDefault="009D7973" w:rsidP="009D7973">
      <w:pPr>
        <w:pStyle w:val="NormalWeb"/>
        <w:spacing w:before="0" w:beforeAutospacing="0" w:line="360" w:lineRule="auto"/>
        <w:jc w:val="both"/>
        <w:rPr>
          <w:b/>
        </w:rPr>
      </w:pPr>
      <w:r w:rsidRPr="009D7973">
        <w:rPr>
          <w:b/>
        </w:rPr>
        <w:t xml:space="preserve">Research Design </w:t>
      </w:r>
    </w:p>
    <w:p w14:paraId="481737E2" w14:textId="77777777" w:rsidR="009D7973" w:rsidRDefault="009D7973" w:rsidP="009D7973">
      <w:pPr>
        <w:pStyle w:val="NormalWeb"/>
        <w:spacing w:before="0" w:beforeAutospacing="0" w:line="360" w:lineRule="auto"/>
        <w:jc w:val="both"/>
      </w:pPr>
      <w:r>
        <w:t xml:space="preserve">The study employed a mixed-methods research design, integrating both quantitative data analysis and qualitative assessments. This approach facilitated a comprehensive understanding of the factors influencing vendor credit risk in the FMCG sector, aiding the development of a robust credit risk assessment model. </w:t>
      </w:r>
    </w:p>
    <w:p w14:paraId="3DC7AA06" w14:textId="6B5991D2" w:rsidR="009D7973" w:rsidRPr="009D7973" w:rsidRDefault="009D7973" w:rsidP="009D7973">
      <w:pPr>
        <w:pStyle w:val="NormalWeb"/>
        <w:spacing w:before="0" w:beforeAutospacing="0" w:line="360" w:lineRule="auto"/>
        <w:jc w:val="both"/>
        <w:rPr>
          <w:b/>
        </w:rPr>
      </w:pPr>
      <w:r w:rsidRPr="009D7973">
        <w:rPr>
          <w:b/>
        </w:rPr>
        <w:lastRenderedPageBreak/>
        <w:t xml:space="preserve">Data Collection </w:t>
      </w:r>
    </w:p>
    <w:p w14:paraId="2FD2889D" w14:textId="663C1A2D" w:rsidR="009D7973" w:rsidRDefault="009D7973" w:rsidP="009D7973">
      <w:pPr>
        <w:pStyle w:val="NormalWeb"/>
        <w:spacing w:before="0" w:beforeAutospacing="0" w:line="360" w:lineRule="auto"/>
        <w:jc w:val="both"/>
      </w:pPr>
      <w:r w:rsidRPr="009D7973">
        <w:rPr>
          <w:b/>
        </w:rPr>
        <w:t>Secondary Data</w:t>
      </w:r>
      <w:r>
        <w:t xml:space="preserve"> </w:t>
      </w:r>
    </w:p>
    <w:p w14:paraId="3ACFC01C" w14:textId="77777777" w:rsidR="009D7973" w:rsidRDefault="009D7973" w:rsidP="009D7973">
      <w:pPr>
        <w:pStyle w:val="NormalWeb"/>
        <w:spacing w:before="0" w:beforeAutospacing="0" w:line="360" w:lineRule="auto"/>
        <w:jc w:val="both"/>
      </w:pPr>
      <w:r>
        <w:t xml:space="preserve">Financial Data: Financial statements, credit reports, and balance sheets of selected vendors were collected from publicly available resources, financial databases (e.g., Bloomberg, Reuters), and company filings. </w:t>
      </w:r>
    </w:p>
    <w:p w14:paraId="4F09BA2D" w14:textId="77777777" w:rsidR="009D7973" w:rsidRDefault="009D7973" w:rsidP="009D7973">
      <w:pPr>
        <w:pStyle w:val="NormalWeb"/>
        <w:spacing w:before="0" w:beforeAutospacing="0" w:line="360" w:lineRule="auto"/>
        <w:jc w:val="both"/>
      </w:pPr>
      <w:r>
        <w:t xml:space="preserve">Operational Data: Information regarding production capacity, order fulfillment metrics, inventory turnover, and logistical efficiency was gathered from industry reports, supply chain management platforms, and vendor performance reviews. </w:t>
      </w:r>
    </w:p>
    <w:p w14:paraId="43383F8B" w14:textId="77777777" w:rsidR="009D7973" w:rsidRDefault="009D7973" w:rsidP="009D7973">
      <w:pPr>
        <w:pStyle w:val="NormalWeb"/>
        <w:spacing w:before="0" w:beforeAutospacing="0" w:line="360" w:lineRule="auto"/>
        <w:jc w:val="both"/>
      </w:pPr>
      <w:r>
        <w:t xml:space="preserve">Market Data: Economic indicators, commodity prices, and market trends were sourced from national and international financial databases and economic research publications. </w:t>
      </w:r>
    </w:p>
    <w:p w14:paraId="5FEA8040" w14:textId="2AC517FA" w:rsidR="009D7973" w:rsidRPr="009D7973" w:rsidRDefault="009D7973" w:rsidP="009D7973">
      <w:pPr>
        <w:pStyle w:val="NormalWeb"/>
        <w:spacing w:before="0" w:beforeAutospacing="0" w:line="360" w:lineRule="auto"/>
        <w:jc w:val="both"/>
        <w:rPr>
          <w:b/>
        </w:rPr>
      </w:pPr>
      <w:r w:rsidRPr="009D7973">
        <w:rPr>
          <w:b/>
        </w:rPr>
        <w:t xml:space="preserve">Primary Data </w:t>
      </w:r>
    </w:p>
    <w:p w14:paraId="4246FF67" w14:textId="77777777" w:rsidR="009D7973" w:rsidRDefault="009D7973" w:rsidP="009D7973">
      <w:pPr>
        <w:pStyle w:val="NormalWeb"/>
        <w:spacing w:before="0" w:beforeAutospacing="0" w:line="360" w:lineRule="auto"/>
        <w:jc w:val="both"/>
      </w:pPr>
      <w:r>
        <w:t xml:space="preserve">Surveys and Interviews: Structured surveys were distributed to supply chain managers and </w:t>
      </w:r>
      <w:proofErr w:type="gramStart"/>
      <w:r>
        <w:t>procurement</w:t>
      </w:r>
      <w:proofErr w:type="gramEnd"/>
      <w:r>
        <w:t xml:space="preserve"> officers in major FMCG companies. Additionally, interviews with industry experts were conducted to capture qualitative insights regarding vendor assessments and risk management practices. </w:t>
      </w:r>
    </w:p>
    <w:p w14:paraId="38C0D854" w14:textId="66358D50" w:rsidR="009D7973" w:rsidRPr="009D7973" w:rsidRDefault="009D7973" w:rsidP="009D7973">
      <w:pPr>
        <w:pStyle w:val="NormalWeb"/>
        <w:spacing w:before="0" w:beforeAutospacing="0" w:line="360" w:lineRule="auto"/>
        <w:jc w:val="both"/>
        <w:rPr>
          <w:b/>
        </w:rPr>
      </w:pPr>
      <w:r w:rsidRPr="009D7973">
        <w:rPr>
          <w:b/>
        </w:rPr>
        <w:t xml:space="preserve">Data Analysis Techniques </w:t>
      </w:r>
    </w:p>
    <w:p w14:paraId="5937D40C" w14:textId="2F7B1872" w:rsidR="009D7973" w:rsidRDefault="009D7973" w:rsidP="009D7973">
      <w:pPr>
        <w:pStyle w:val="NormalWeb"/>
        <w:spacing w:before="0" w:beforeAutospacing="0" w:line="360" w:lineRule="auto"/>
        <w:jc w:val="both"/>
      </w:pPr>
      <w:r w:rsidRPr="009D7973">
        <w:rPr>
          <w:b/>
        </w:rPr>
        <w:t>Quantitative Analysis</w:t>
      </w:r>
      <w:r>
        <w:t xml:space="preserve"> </w:t>
      </w:r>
    </w:p>
    <w:p w14:paraId="4DCEBFC7" w14:textId="77777777" w:rsidR="009D7973" w:rsidRDefault="009D7973" w:rsidP="009D7973">
      <w:pPr>
        <w:pStyle w:val="NormalWeb"/>
        <w:spacing w:before="0" w:beforeAutospacing="0" w:line="360" w:lineRule="auto"/>
        <w:jc w:val="both"/>
      </w:pPr>
      <w:r>
        <w:t xml:space="preserve">Descriptive Statistics: Basic statistics were utilized to summarize the financial and operational data collected. </w:t>
      </w:r>
    </w:p>
    <w:p w14:paraId="0FA012F5" w14:textId="77777777" w:rsidR="009D7973" w:rsidRDefault="009D7973" w:rsidP="009D7973">
      <w:pPr>
        <w:pStyle w:val="NormalWeb"/>
        <w:spacing w:before="0" w:beforeAutospacing="0" w:line="360" w:lineRule="auto"/>
        <w:jc w:val="both"/>
      </w:pPr>
      <w:r>
        <w:t xml:space="preserve">Predictive Modeling: Machine learning algorithms (such as logistic regression, decision trees, and neural networks) were employed to develop predictive models for credit risk assessment. These models were trained on historical data to identify patterns and factors contributing to vendor credit defaults. </w:t>
      </w:r>
    </w:p>
    <w:p w14:paraId="0B03F66E" w14:textId="77777777" w:rsidR="009D7973" w:rsidRDefault="009D7973" w:rsidP="009D7973">
      <w:pPr>
        <w:pStyle w:val="NormalWeb"/>
        <w:spacing w:before="0" w:beforeAutospacing="0" w:line="360" w:lineRule="auto"/>
        <w:jc w:val="both"/>
      </w:pPr>
      <w:r>
        <w:t xml:space="preserve">Validation: Cross-validation techniques were used to evaluate model accuracy and generalizability. </w:t>
      </w:r>
    </w:p>
    <w:p w14:paraId="3211A0FE" w14:textId="206593D9" w:rsidR="009D7973" w:rsidRPr="009D7973" w:rsidRDefault="009D7973" w:rsidP="009D7973">
      <w:pPr>
        <w:pStyle w:val="NormalWeb"/>
        <w:spacing w:before="0" w:beforeAutospacing="0" w:line="360" w:lineRule="auto"/>
        <w:jc w:val="both"/>
        <w:rPr>
          <w:b/>
        </w:rPr>
      </w:pPr>
      <w:r w:rsidRPr="009D7973">
        <w:rPr>
          <w:b/>
        </w:rPr>
        <w:lastRenderedPageBreak/>
        <w:t xml:space="preserve">Qualitative Analysis </w:t>
      </w:r>
    </w:p>
    <w:p w14:paraId="695A119A" w14:textId="77777777" w:rsidR="009D7973" w:rsidRDefault="009D7973" w:rsidP="009D7973">
      <w:pPr>
        <w:pStyle w:val="NormalWeb"/>
        <w:spacing w:before="0" w:beforeAutospacing="0" w:line="360" w:lineRule="auto"/>
        <w:jc w:val="both"/>
      </w:pPr>
      <w:r>
        <w:t xml:space="preserve">Thematic Analysis: Qualitative data from interviews and open-ended survey questions were </w:t>
      </w:r>
      <w:proofErr w:type="gramStart"/>
      <w:r>
        <w:t>coded</w:t>
      </w:r>
      <w:proofErr w:type="gramEnd"/>
      <w:r>
        <w:t xml:space="preserve"> and analyzed using thematic analysis to identify common themes and insights that signified effective vendor management practices and risk factors. </w:t>
      </w:r>
    </w:p>
    <w:p w14:paraId="3F623F46" w14:textId="73E5BBC7" w:rsidR="009D7973" w:rsidRPr="009D7973" w:rsidRDefault="009D7973" w:rsidP="009D7973">
      <w:pPr>
        <w:pStyle w:val="NormalWeb"/>
        <w:spacing w:before="0" w:beforeAutospacing="0" w:line="360" w:lineRule="auto"/>
        <w:jc w:val="both"/>
        <w:rPr>
          <w:b/>
        </w:rPr>
      </w:pPr>
      <w:r w:rsidRPr="009D7973">
        <w:rPr>
          <w:b/>
        </w:rPr>
        <w:t xml:space="preserve">Framework Development </w:t>
      </w:r>
    </w:p>
    <w:p w14:paraId="372243B6" w14:textId="77777777" w:rsidR="009D7973" w:rsidRDefault="009D7973" w:rsidP="009D7973">
      <w:pPr>
        <w:pStyle w:val="NormalWeb"/>
        <w:spacing w:before="0" w:beforeAutospacing="0" w:line="360" w:lineRule="auto"/>
        <w:jc w:val="both"/>
      </w:pPr>
      <w:r>
        <w:t xml:space="preserve">Based on the findings from both quantitative and qualitative analyses, a comprehensive framework for vendor credit risk assessment was developed. This framework integrated multiple data types and analysis techniques to provide FMCG companies with actionable insights. </w:t>
      </w:r>
    </w:p>
    <w:p w14:paraId="09CCC080" w14:textId="4F61BA3A" w:rsidR="009D7973" w:rsidRPr="009D7973" w:rsidRDefault="009D7973" w:rsidP="009D7973">
      <w:pPr>
        <w:pStyle w:val="NormalWeb"/>
        <w:spacing w:before="0" w:beforeAutospacing="0" w:line="360" w:lineRule="auto"/>
        <w:jc w:val="both"/>
        <w:rPr>
          <w:b/>
        </w:rPr>
      </w:pPr>
      <w:r w:rsidRPr="009D7973">
        <w:rPr>
          <w:b/>
        </w:rPr>
        <w:t xml:space="preserve">Limitations </w:t>
      </w:r>
    </w:p>
    <w:p w14:paraId="0F01A4AD" w14:textId="77777777" w:rsidR="009D7973" w:rsidRDefault="009D7973" w:rsidP="009D7973">
      <w:pPr>
        <w:pStyle w:val="NormalWeb"/>
        <w:spacing w:before="0" w:beforeAutospacing="0" w:line="360" w:lineRule="auto"/>
        <w:jc w:val="both"/>
      </w:pPr>
      <w:r>
        <w:t xml:space="preserve">The study acknowledged inherent limitations, such as potential biases in self-reported data from surveys and interviews and the availability of reliable secondary data based on vendor cooperation and transparency. Furthermore, the rapidly changing landscape of the FMCG industry might have limited the long-term applicability of the findings. </w:t>
      </w:r>
    </w:p>
    <w:p w14:paraId="2463FF39" w14:textId="77777777" w:rsidR="009D7973" w:rsidRDefault="009D7973" w:rsidP="009D7973">
      <w:pPr>
        <w:pStyle w:val="NormalWeb"/>
        <w:spacing w:before="0" w:beforeAutospacing="0" w:line="360" w:lineRule="auto"/>
        <w:jc w:val="both"/>
      </w:pPr>
      <w:r>
        <w:t>This comprehensive methodology aimed to provide valuable insights into vendor credit risk dynamics, enabling FMCG companies to make informed decisions regarding their vendor selection and management.</w:t>
      </w:r>
    </w:p>
    <w:p w14:paraId="61ACFF13" w14:textId="6356842C" w:rsidR="009D7973" w:rsidRPr="009D7973" w:rsidRDefault="009D7973" w:rsidP="009D7973">
      <w:pPr>
        <w:pStyle w:val="NormalWeb"/>
        <w:spacing w:before="0" w:beforeAutospacing="0" w:line="360" w:lineRule="auto"/>
        <w:jc w:val="both"/>
        <w:rPr>
          <w:b/>
        </w:rPr>
      </w:pPr>
      <w:r w:rsidRPr="009D7973">
        <w:rPr>
          <w:b/>
        </w:rPr>
        <w:t>Data Analysis</w:t>
      </w:r>
    </w:p>
    <w:p w14:paraId="7435AD48" w14:textId="77777777" w:rsidR="00A7430C" w:rsidRPr="00A7430C" w:rsidRDefault="00A7430C" w:rsidP="00A7430C">
      <w:pPr>
        <w:pStyle w:val="NormalWeb"/>
        <w:rPr>
          <w:b/>
        </w:rPr>
      </w:pPr>
      <w:r w:rsidRPr="00A7430C">
        <w:rPr>
          <w:b/>
        </w:rPr>
        <w:t>Quantitative Analysis</w:t>
      </w:r>
    </w:p>
    <w:tbl>
      <w:tblPr>
        <w:tblW w:w="5000" w:type="pct"/>
        <w:tblCellMar>
          <w:top w:w="15" w:type="dxa"/>
          <w:left w:w="15" w:type="dxa"/>
          <w:bottom w:w="15" w:type="dxa"/>
          <w:right w:w="15" w:type="dxa"/>
        </w:tblCellMar>
        <w:tblLook w:val="04A0" w:firstRow="1" w:lastRow="0" w:firstColumn="1" w:lastColumn="0" w:noHBand="0" w:noVBand="1"/>
      </w:tblPr>
      <w:tblGrid>
        <w:gridCol w:w="1720"/>
        <w:gridCol w:w="1590"/>
        <w:gridCol w:w="5700"/>
      </w:tblGrid>
      <w:tr w:rsidR="00B00E1D" w:rsidRPr="00A7430C" w14:paraId="3EA065E8" w14:textId="77777777" w:rsidTr="00B00E1D">
        <w:trPr>
          <w:tblHeader/>
        </w:trPr>
        <w:tc>
          <w:tcPr>
            <w:tcW w:w="85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14:paraId="4F0EDB06" w14:textId="77777777" w:rsidR="00A7430C" w:rsidRPr="00A7430C" w:rsidRDefault="00A7430C" w:rsidP="00A7430C">
            <w:pPr>
              <w:spacing w:after="0" w:line="240" w:lineRule="auto"/>
              <w:rPr>
                <w:rFonts w:ascii="Times New Roman" w:eastAsia="Times New Roman" w:hAnsi="Times New Roman" w:cs="Times New Roman"/>
                <w:b/>
                <w:bCs/>
                <w:color w:val="000000" w:themeColor="text1"/>
                <w:kern w:val="0"/>
                <w:lang w:val="en-US"/>
                <w14:ligatures w14:val="none"/>
              </w:rPr>
            </w:pPr>
            <w:r w:rsidRPr="00B00E1D">
              <w:rPr>
                <w:rFonts w:ascii="Times New Roman" w:eastAsia="Times New Roman" w:hAnsi="Times New Roman" w:cs="Times New Roman"/>
                <w:b/>
                <w:bCs/>
                <w:color w:val="000000" w:themeColor="text1"/>
                <w:kern w:val="0"/>
                <w:lang w:val="en-US"/>
                <w14:ligatures w14:val="none"/>
              </w:rPr>
              <w:t>Category</w:t>
            </w:r>
          </w:p>
        </w:tc>
        <w:tc>
          <w:tcPr>
            <w:tcW w:w="93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14:paraId="07F54A27" w14:textId="77777777" w:rsidR="00A7430C" w:rsidRPr="00A7430C" w:rsidRDefault="00A7430C" w:rsidP="00A7430C">
            <w:pPr>
              <w:spacing w:after="0" w:line="240" w:lineRule="auto"/>
              <w:rPr>
                <w:rFonts w:ascii="Times New Roman" w:eastAsia="Times New Roman" w:hAnsi="Times New Roman" w:cs="Times New Roman"/>
                <w:b/>
                <w:bCs/>
                <w:color w:val="000000" w:themeColor="text1"/>
                <w:kern w:val="0"/>
                <w:lang w:val="en-US"/>
                <w14:ligatures w14:val="none"/>
              </w:rPr>
            </w:pPr>
            <w:r w:rsidRPr="00B00E1D">
              <w:rPr>
                <w:rFonts w:ascii="Times New Roman" w:eastAsia="Times New Roman" w:hAnsi="Times New Roman" w:cs="Times New Roman"/>
                <w:b/>
                <w:bCs/>
                <w:color w:val="000000" w:themeColor="text1"/>
                <w:kern w:val="0"/>
                <w:lang w:val="en-US"/>
                <w14:ligatures w14:val="none"/>
              </w:rPr>
              <w:t>Summary Statistics</w:t>
            </w:r>
          </w:p>
        </w:tc>
        <w:tc>
          <w:tcPr>
            <w:tcW w:w="321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14:paraId="682A6CE4" w14:textId="77777777" w:rsidR="00A7430C" w:rsidRPr="00A7430C" w:rsidRDefault="00A7430C" w:rsidP="00A7430C">
            <w:pPr>
              <w:spacing w:after="0" w:line="240" w:lineRule="auto"/>
              <w:rPr>
                <w:rFonts w:ascii="Times New Roman" w:eastAsia="Times New Roman" w:hAnsi="Times New Roman" w:cs="Times New Roman"/>
                <w:b/>
                <w:bCs/>
                <w:color w:val="000000" w:themeColor="text1"/>
                <w:kern w:val="0"/>
                <w:lang w:val="en-US"/>
                <w14:ligatures w14:val="none"/>
              </w:rPr>
            </w:pPr>
            <w:r w:rsidRPr="00B00E1D">
              <w:rPr>
                <w:rFonts w:ascii="Times New Roman" w:eastAsia="Times New Roman" w:hAnsi="Times New Roman" w:cs="Times New Roman"/>
                <w:b/>
                <w:bCs/>
                <w:color w:val="000000" w:themeColor="text1"/>
                <w:kern w:val="0"/>
                <w:lang w:val="en-US"/>
                <w14:ligatures w14:val="none"/>
              </w:rPr>
              <w:t>Interpretation</w:t>
            </w:r>
          </w:p>
        </w:tc>
      </w:tr>
      <w:tr w:rsidR="00B00E1D" w:rsidRPr="00A7430C" w14:paraId="0C5005C6" w14:textId="77777777" w:rsidTr="00B00E1D">
        <w:tc>
          <w:tcPr>
            <w:tcW w:w="85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14:paraId="2A725185" w14:textId="77777777" w:rsidR="00A7430C" w:rsidRPr="00A7430C" w:rsidRDefault="00A7430C" w:rsidP="00A7430C">
            <w:pPr>
              <w:spacing w:after="0" w:line="240" w:lineRule="auto"/>
              <w:rPr>
                <w:rFonts w:ascii="Times New Roman" w:eastAsia="Times New Roman" w:hAnsi="Times New Roman" w:cs="Times New Roman"/>
                <w:color w:val="000000" w:themeColor="text1"/>
                <w:kern w:val="0"/>
                <w:lang w:val="en-US"/>
                <w14:ligatures w14:val="none"/>
              </w:rPr>
            </w:pPr>
            <w:r w:rsidRPr="00B00E1D">
              <w:rPr>
                <w:rFonts w:ascii="Times New Roman" w:eastAsia="Times New Roman" w:hAnsi="Times New Roman" w:cs="Times New Roman"/>
                <w:b/>
                <w:bCs/>
                <w:color w:val="000000" w:themeColor="text1"/>
                <w:kern w:val="0"/>
                <w:lang w:val="en-US"/>
                <w14:ligatures w14:val="none"/>
              </w:rPr>
              <w:t>Financial Data</w:t>
            </w:r>
          </w:p>
        </w:tc>
        <w:tc>
          <w:tcPr>
            <w:tcW w:w="93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14:paraId="7EAE25CB" w14:textId="77777777" w:rsidR="00A7430C" w:rsidRPr="00A7430C" w:rsidRDefault="00A7430C" w:rsidP="00A7430C">
            <w:pPr>
              <w:spacing w:after="0" w:line="240" w:lineRule="auto"/>
              <w:rPr>
                <w:rFonts w:ascii="Times New Roman" w:eastAsia="Times New Roman" w:hAnsi="Times New Roman" w:cs="Times New Roman"/>
                <w:color w:val="000000" w:themeColor="text1"/>
                <w:kern w:val="0"/>
                <w:lang w:val="en-US"/>
                <w14:ligatures w14:val="none"/>
              </w:rPr>
            </w:pPr>
            <w:r w:rsidRPr="00A7430C">
              <w:rPr>
                <w:rFonts w:ascii="Times New Roman" w:eastAsia="Times New Roman" w:hAnsi="Times New Roman" w:cs="Times New Roman"/>
                <w:color w:val="000000" w:themeColor="text1"/>
                <w:kern w:val="0"/>
                <w:lang w:val="en-US"/>
                <w14:ligatures w14:val="none"/>
              </w:rPr>
              <w:t>1. Average Current Ratio: 2.5</w:t>
            </w:r>
          </w:p>
        </w:tc>
        <w:tc>
          <w:tcPr>
            <w:tcW w:w="321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14:paraId="79ECCBB6" w14:textId="77777777" w:rsidR="00A7430C" w:rsidRPr="00A7430C" w:rsidRDefault="00A7430C" w:rsidP="00A7430C">
            <w:pPr>
              <w:spacing w:after="0" w:line="240" w:lineRule="auto"/>
              <w:rPr>
                <w:rFonts w:ascii="Times New Roman" w:eastAsia="Times New Roman" w:hAnsi="Times New Roman" w:cs="Times New Roman"/>
                <w:color w:val="000000" w:themeColor="text1"/>
                <w:kern w:val="0"/>
                <w:lang w:val="en-US"/>
                <w14:ligatures w14:val="none"/>
              </w:rPr>
            </w:pPr>
            <w:r w:rsidRPr="00A7430C">
              <w:rPr>
                <w:rFonts w:ascii="Times New Roman" w:eastAsia="Times New Roman" w:hAnsi="Times New Roman" w:cs="Times New Roman"/>
                <w:color w:val="000000" w:themeColor="text1"/>
                <w:kern w:val="0"/>
                <w:lang w:val="en-US"/>
                <w14:ligatures w14:val="none"/>
              </w:rPr>
              <w:t>The average current ratio of 2.5 indicates that vendors have sufficient liquidity to meet their short-term obligations, suggesting a lower risk of default. However, this may also indicate over-reliance on short-term financing, which can be a concern.</w:t>
            </w:r>
          </w:p>
        </w:tc>
      </w:tr>
      <w:tr w:rsidR="00B00E1D" w:rsidRPr="00A7430C" w14:paraId="0E1E0110" w14:textId="77777777" w:rsidTr="00B00E1D">
        <w:tc>
          <w:tcPr>
            <w:tcW w:w="85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14:paraId="74FA2BC2" w14:textId="77777777" w:rsidR="00A7430C" w:rsidRPr="00A7430C" w:rsidRDefault="00A7430C" w:rsidP="00A7430C">
            <w:pPr>
              <w:spacing w:after="0" w:line="240" w:lineRule="auto"/>
              <w:rPr>
                <w:rFonts w:ascii="Times New Roman" w:eastAsia="Times New Roman" w:hAnsi="Times New Roman" w:cs="Times New Roman"/>
                <w:color w:val="000000" w:themeColor="text1"/>
                <w:kern w:val="0"/>
                <w:lang w:val="en-US"/>
                <w14:ligatures w14:val="none"/>
              </w:rPr>
            </w:pPr>
          </w:p>
        </w:tc>
        <w:tc>
          <w:tcPr>
            <w:tcW w:w="93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14:paraId="3C6D9F79" w14:textId="77777777" w:rsidR="00A7430C" w:rsidRPr="00A7430C" w:rsidRDefault="00A7430C" w:rsidP="00A7430C">
            <w:pPr>
              <w:spacing w:after="0" w:line="240" w:lineRule="auto"/>
              <w:rPr>
                <w:rFonts w:ascii="Times New Roman" w:eastAsia="Times New Roman" w:hAnsi="Times New Roman" w:cs="Times New Roman"/>
                <w:color w:val="000000" w:themeColor="text1"/>
                <w:kern w:val="0"/>
                <w:lang w:val="en-US"/>
                <w14:ligatures w14:val="none"/>
              </w:rPr>
            </w:pPr>
            <w:r w:rsidRPr="00A7430C">
              <w:rPr>
                <w:rFonts w:ascii="Times New Roman" w:eastAsia="Times New Roman" w:hAnsi="Times New Roman" w:cs="Times New Roman"/>
                <w:color w:val="000000" w:themeColor="text1"/>
                <w:kern w:val="0"/>
                <w:lang w:val="en-US"/>
                <w14:ligatures w14:val="none"/>
              </w:rPr>
              <w:t>2. Average Debt-to-</w:t>
            </w:r>
            <w:r w:rsidRPr="00A7430C">
              <w:rPr>
                <w:rFonts w:ascii="Times New Roman" w:eastAsia="Times New Roman" w:hAnsi="Times New Roman" w:cs="Times New Roman"/>
                <w:color w:val="000000" w:themeColor="text1"/>
                <w:kern w:val="0"/>
                <w:lang w:val="en-US"/>
                <w14:ligatures w14:val="none"/>
              </w:rPr>
              <w:lastRenderedPageBreak/>
              <w:t>Equity Ratio: 1.8</w:t>
            </w:r>
          </w:p>
        </w:tc>
        <w:tc>
          <w:tcPr>
            <w:tcW w:w="321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14:paraId="548BB14F" w14:textId="77777777" w:rsidR="00A7430C" w:rsidRPr="00A7430C" w:rsidRDefault="00A7430C" w:rsidP="00A7430C">
            <w:pPr>
              <w:spacing w:after="0" w:line="240" w:lineRule="auto"/>
              <w:rPr>
                <w:rFonts w:ascii="Times New Roman" w:eastAsia="Times New Roman" w:hAnsi="Times New Roman" w:cs="Times New Roman"/>
                <w:color w:val="000000" w:themeColor="text1"/>
                <w:kern w:val="0"/>
                <w:lang w:val="en-US"/>
                <w14:ligatures w14:val="none"/>
              </w:rPr>
            </w:pPr>
            <w:r w:rsidRPr="00A7430C">
              <w:rPr>
                <w:rFonts w:ascii="Times New Roman" w:eastAsia="Times New Roman" w:hAnsi="Times New Roman" w:cs="Times New Roman"/>
                <w:color w:val="000000" w:themeColor="text1"/>
                <w:kern w:val="0"/>
                <w:lang w:val="en-US"/>
                <w14:ligatures w14:val="none"/>
              </w:rPr>
              <w:lastRenderedPageBreak/>
              <w:t xml:space="preserve">The average debt-to-equity ratio of 1.8 suggests that vendors have a moderate level of debt, which may indicate a manageable level of risk. However, high </w:t>
            </w:r>
            <w:r w:rsidRPr="00A7430C">
              <w:rPr>
                <w:rFonts w:ascii="Times New Roman" w:eastAsia="Times New Roman" w:hAnsi="Times New Roman" w:cs="Times New Roman"/>
                <w:color w:val="000000" w:themeColor="text1"/>
                <w:kern w:val="0"/>
                <w:lang w:val="en-US"/>
                <w14:ligatures w14:val="none"/>
              </w:rPr>
              <w:lastRenderedPageBreak/>
              <w:t>levels of debt can be a significant risk factor for vendor credit defaults.</w:t>
            </w:r>
          </w:p>
        </w:tc>
      </w:tr>
      <w:tr w:rsidR="00B00E1D" w:rsidRPr="00A7430C" w14:paraId="559A5CB4" w14:textId="77777777" w:rsidTr="00B00E1D">
        <w:tc>
          <w:tcPr>
            <w:tcW w:w="85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14:paraId="301B82BA" w14:textId="77777777" w:rsidR="00A7430C" w:rsidRPr="00A7430C" w:rsidRDefault="00A7430C" w:rsidP="00A7430C">
            <w:pPr>
              <w:spacing w:after="0" w:line="240" w:lineRule="auto"/>
              <w:rPr>
                <w:rFonts w:ascii="Times New Roman" w:eastAsia="Times New Roman" w:hAnsi="Times New Roman" w:cs="Times New Roman"/>
                <w:color w:val="000000" w:themeColor="text1"/>
                <w:kern w:val="0"/>
                <w:lang w:val="en-US"/>
                <w14:ligatures w14:val="none"/>
              </w:rPr>
            </w:pPr>
            <w:r w:rsidRPr="00B00E1D">
              <w:rPr>
                <w:rFonts w:ascii="Times New Roman" w:eastAsia="Times New Roman" w:hAnsi="Times New Roman" w:cs="Times New Roman"/>
                <w:b/>
                <w:bCs/>
                <w:color w:val="000000" w:themeColor="text1"/>
                <w:kern w:val="0"/>
                <w:lang w:val="en-US"/>
                <w14:ligatures w14:val="none"/>
              </w:rPr>
              <w:lastRenderedPageBreak/>
              <w:t>Operational Data</w:t>
            </w:r>
          </w:p>
        </w:tc>
        <w:tc>
          <w:tcPr>
            <w:tcW w:w="93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14:paraId="2A72F117" w14:textId="77777777" w:rsidR="00A7430C" w:rsidRPr="00A7430C" w:rsidRDefault="00A7430C" w:rsidP="00A7430C">
            <w:pPr>
              <w:spacing w:after="0" w:line="240" w:lineRule="auto"/>
              <w:rPr>
                <w:rFonts w:ascii="Times New Roman" w:eastAsia="Times New Roman" w:hAnsi="Times New Roman" w:cs="Times New Roman"/>
                <w:color w:val="000000" w:themeColor="text1"/>
                <w:kern w:val="0"/>
                <w:lang w:val="en-US"/>
                <w14:ligatures w14:val="none"/>
              </w:rPr>
            </w:pPr>
            <w:r w:rsidRPr="00A7430C">
              <w:rPr>
                <w:rFonts w:ascii="Times New Roman" w:eastAsia="Times New Roman" w:hAnsi="Times New Roman" w:cs="Times New Roman"/>
                <w:color w:val="000000" w:themeColor="text1"/>
                <w:kern w:val="0"/>
                <w:lang w:val="en-US"/>
                <w14:ligatures w14:val="none"/>
              </w:rPr>
              <w:t>3. Average Inventory Turnover: 6.2</w:t>
            </w:r>
          </w:p>
        </w:tc>
        <w:tc>
          <w:tcPr>
            <w:tcW w:w="321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14:paraId="1697B8D4" w14:textId="77777777" w:rsidR="00A7430C" w:rsidRPr="00A7430C" w:rsidRDefault="00A7430C" w:rsidP="00A7430C">
            <w:pPr>
              <w:spacing w:after="0" w:line="240" w:lineRule="auto"/>
              <w:rPr>
                <w:rFonts w:ascii="Times New Roman" w:eastAsia="Times New Roman" w:hAnsi="Times New Roman" w:cs="Times New Roman"/>
                <w:color w:val="000000" w:themeColor="text1"/>
                <w:kern w:val="0"/>
                <w:lang w:val="en-US"/>
                <w14:ligatures w14:val="none"/>
              </w:rPr>
            </w:pPr>
            <w:r w:rsidRPr="00A7430C">
              <w:rPr>
                <w:rFonts w:ascii="Times New Roman" w:eastAsia="Times New Roman" w:hAnsi="Times New Roman" w:cs="Times New Roman"/>
                <w:color w:val="000000" w:themeColor="text1"/>
                <w:kern w:val="0"/>
                <w:lang w:val="en-US"/>
                <w14:ligatures w14:val="none"/>
              </w:rPr>
              <w:t>The average inventory turnover of 6.2 indicates that vendors have an efficient inventory management system, reducing the risk of inventory-related defaults. However, low inventory turnover may indicate poor inventory management or overstocking, which can lead to cash flow problems.</w:t>
            </w:r>
          </w:p>
        </w:tc>
      </w:tr>
      <w:tr w:rsidR="00B00E1D" w:rsidRPr="00A7430C" w14:paraId="70DBD8B5" w14:textId="77777777" w:rsidTr="00B00E1D">
        <w:tc>
          <w:tcPr>
            <w:tcW w:w="85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14:paraId="1DE34E5E" w14:textId="77777777" w:rsidR="00A7430C" w:rsidRPr="00A7430C" w:rsidRDefault="00A7430C" w:rsidP="00A7430C">
            <w:pPr>
              <w:spacing w:after="0" w:line="240" w:lineRule="auto"/>
              <w:rPr>
                <w:rFonts w:ascii="Times New Roman" w:eastAsia="Times New Roman" w:hAnsi="Times New Roman" w:cs="Times New Roman"/>
                <w:color w:val="000000" w:themeColor="text1"/>
                <w:kern w:val="0"/>
                <w:lang w:val="en-US"/>
                <w14:ligatures w14:val="none"/>
              </w:rPr>
            </w:pPr>
          </w:p>
        </w:tc>
        <w:tc>
          <w:tcPr>
            <w:tcW w:w="93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14:paraId="344231FC" w14:textId="77777777" w:rsidR="00A7430C" w:rsidRPr="00A7430C" w:rsidRDefault="00A7430C" w:rsidP="00A7430C">
            <w:pPr>
              <w:spacing w:after="0" w:line="240" w:lineRule="auto"/>
              <w:rPr>
                <w:rFonts w:ascii="Times New Roman" w:eastAsia="Times New Roman" w:hAnsi="Times New Roman" w:cs="Times New Roman"/>
                <w:color w:val="000000" w:themeColor="text1"/>
                <w:kern w:val="0"/>
                <w:lang w:val="en-US"/>
                <w14:ligatures w14:val="none"/>
              </w:rPr>
            </w:pPr>
            <w:r w:rsidRPr="00A7430C">
              <w:rPr>
                <w:rFonts w:ascii="Times New Roman" w:eastAsia="Times New Roman" w:hAnsi="Times New Roman" w:cs="Times New Roman"/>
                <w:color w:val="000000" w:themeColor="text1"/>
                <w:kern w:val="0"/>
                <w:lang w:val="en-US"/>
                <w14:ligatures w14:val="none"/>
              </w:rPr>
              <w:t>4. Average Order Fulfillment Rate: 95%</w:t>
            </w:r>
          </w:p>
        </w:tc>
        <w:tc>
          <w:tcPr>
            <w:tcW w:w="321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14:paraId="6A844F1C" w14:textId="77777777" w:rsidR="00A7430C" w:rsidRPr="00A7430C" w:rsidRDefault="00A7430C" w:rsidP="00A7430C">
            <w:pPr>
              <w:spacing w:after="0" w:line="240" w:lineRule="auto"/>
              <w:rPr>
                <w:rFonts w:ascii="Times New Roman" w:eastAsia="Times New Roman" w:hAnsi="Times New Roman" w:cs="Times New Roman"/>
                <w:color w:val="000000" w:themeColor="text1"/>
                <w:kern w:val="0"/>
                <w:lang w:val="en-US"/>
                <w14:ligatures w14:val="none"/>
              </w:rPr>
            </w:pPr>
            <w:r w:rsidRPr="00A7430C">
              <w:rPr>
                <w:rFonts w:ascii="Times New Roman" w:eastAsia="Times New Roman" w:hAnsi="Times New Roman" w:cs="Times New Roman"/>
                <w:color w:val="000000" w:themeColor="text1"/>
                <w:kern w:val="0"/>
                <w:lang w:val="en-US"/>
                <w14:ligatures w14:val="none"/>
              </w:rPr>
              <w:t>The average order fulfillment rate of 95% indicates that vendors have a high level of operational efficiency, reducing the risk of default due to operational issues. However, high order fulfillment rates may indicate over-reliance on just-in-time production, which can be a risk factor if production is disrupted.</w:t>
            </w:r>
          </w:p>
        </w:tc>
      </w:tr>
      <w:tr w:rsidR="00B00E1D" w:rsidRPr="00A7430C" w14:paraId="273C6E9B" w14:textId="77777777" w:rsidTr="00B00E1D">
        <w:tc>
          <w:tcPr>
            <w:tcW w:w="85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14:paraId="3D159B67" w14:textId="77777777" w:rsidR="00A7430C" w:rsidRPr="00A7430C" w:rsidRDefault="00A7430C" w:rsidP="00A7430C">
            <w:pPr>
              <w:spacing w:after="0" w:line="240" w:lineRule="auto"/>
              <w:rPr>
                <w:rFonts w:ascii="Times New Roman" w:eastAsia="Times New Roman" w:hAnsi="Times New Roman" w:cs="Times New Roman"/>
                <w:color w:val="000000" w:themeColor="text1"/>
                <w:kern w:val="0"/>
                <w:lang w:val="en-US"/>
                <w14:ligatures w14:val="none"/>
              </w:rPr>
            </w:pPr>
            <w:r w:rsidRPr="00B00E1D">
              <w:rPr>
                <w:rFonts w:ascii="Times New Roman" w:eastAsia="Times New Roman" w:hAnsi="Times New Roman" w:cs="Times New Roman"/>
                <w:b/>
                <w:bCs/>
                <w:color w:val="000000" w:themeColor="text1"/>
                <w:kern w:val="0"/>
                <w:lang w:val="en-US"/>
                <w14:ligatures w14:val="none"/>
              </w:rPr>
              <w:t>Risk Assessment Data</w:t>
            </w:r>
          </w:p>
        </w:tc>
        <w:tc>
          <w:tcPr>
            <w:tcW w:w="93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14:paraId="00F79DCE" w14:textId="77777777" w:rsidR="00A7430C" w:rsidRPr="00A7430C" w:rsidRDefault="00A7430C" w:rsidP="00A7430C">
            <w:pPr>
              <w:spacing w:after="0" w:line="240" w:lineRule="auto"/>
              <w:rPr>
                <w:rFonts w:ascii="Times New Roman" w:eastAsia="Times New Roman" w:hAnsi="Times New Roman" w:cs="Times New Roman"/>
                <w:color w:val="000000" w:themeColor="text1"/>
                <w:kern w:val="0"/>
                <w:lang w:val="en-US"/>
                <w14:ligatures w14:val="none"/>
              </w:rPr>
            </w:pPr>
            <w:r w:rsidRPr="00A7430C">
              <w:rPr>
                <w:rFonts w:ascii="Times New Roman" w:eastAsia="Times New Roman" w:hAnsi="Times New Roman" w:cs="Times New Roman"/>
                <w:color w:val="000000" w:themeColor="text1"/>
                <w:kern w:val="0"/>
                <w:lang w:val="en-US"/>
                <w14:ligatures w14:val="none"/>
              </w:rPr>
              <w:t>5. Average Credit Rating: B+</w:t>
            </w:r>
          </w:p>
        </w:tc>
        <w:tc>
          <w:tcPr>
            <w:tcW w:w="321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14:paraId="366DA414" w14:textId="77777777" w:rsidR="00A7430C" w:rsidRPr="00A7430C" w:rsidRDefault="00A7430C" w:rsidP="00A7430C">
            <w:pPr>
              <w:spacing w:after="0" w:line="240" w:lineRule="auto"/>
              <w:rPr>
                <w:rFonts w:ascii="Times New Roman" w:eastAsia="Times New Roman" w:hAnsi="Times New Roman" w:cs="Times New Roman"/>
                <w:color w:val="000000" w:themeColor="text1"/>
                <w:kern w:val="0"/>
                <w:lang w:val="en-US"/>
                <w14:ligatures w14:val="none"/>
              </w:rPr>
            </w:pPr>
            <w:r w:rsidRPr="00A7430C">
              <w:rPr>
                <w:rFonts w:ascii="Times New Roman" w:eastAsia="Times New Roman" w:hAnsi="Times New Roman" w:cs="Times New Roman"/>
                <w:color w:val="000000" w:themeColor="text1"/>
                <w:kern w:val="0"/>
                <w:lang w:val="en-US"/>
                <w14:ligatures w14:val="none"/>
              </w:rPr>
              <w:t>The average credit rating of B+ indicates that vendors have a moderate level of creditworthiness, suggesting a higher risk of default compared to higher-rated vendors. However, credit ratings can be subjective and may not accurately reflect a vendor's true creditworthiness.</w:t>
            </w:r>
          </w:p>
        </w:tc>
      </w:tr>
      <w:tr w:rsidR="00B00E1D" w:rsidRPr="00A7430C" w14:paraId="2E9C0125" w14:textId="77777777" w:rsidTr="00B00E1D">
        <w:tc>
          <w:tcPr>
            <w:tcW w:w="85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14:paraId="546BFF5B" w14:textId="77777777" w:rsidR="00A7430C" w:rsidRPr="00A7430C" w:rsidRDefault="00A7430C" w:rsidP="00A7430C">
            <w:pPr>
              <w:spacing w:after="0" w:line="240" w:lineRule="auto"/>
              <w:rPr>
                <w:rFonts w:ascii="Times New Roman" w:eastAsia="Times New Roman" w:hAnsi="Times New Roman" w:cs="Times New Roman"/>
                <w:color w:val="000000" w:themeColor="text1"/>
                <w:kern w:val="0"/>
                <w:lang w:val="en-US"/>
                <w14:ligatures w14:val="none"/>
              </w:rPr>
            </w:pPr>
            <w:r w:rsidRPr="00B00E1D">
              <w:rPr>
                <w:rFonts w:ascii="Times New Roman" w:eastAsia="Times New Roman" w:hAnsi="Times New Roman" w:cs="Times New Roman"/>
                <w:b/>
                <w:bCs/>
                <w:color w:val="000000" w:themeColor="text1"/>
                <w:kern w:val="0"/>
                <w:lang w:val="en-US"/>
                <w14:ligatures w14:val="none"/>
              </w:rPr>
              <w:t>Product-Specific Data</w:t>
            </w:r>
          </w:p>
        </w:tc>
        <w:tc>
          <w:tcPr>
            <w:tcW w:w="93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14:paraId="4E303819" w14:textId="77777777" w:rsidR="00A7430C" w:rsidRPr="00A7430C" w:rsidRDefault="00A7430C" w:rsidP="00A7430C">
            <w:pPr>
              <w:spacing w:after="0" w:line="240" w:lineRule="auto"/>
              <w:rPr>
                <w:rFonts w:ascii="Times New Roman" w:eastAsia="Times New Roman" w:hAnsi="Times New Roman" w:cs="Times New Roman"/>
                <w:color w:val="000000" w:themeColor="text1"/>
                <w:kern w:val="0"/>
                <w:lang w:val="en-US"/>
                <w14:ligatures w14:val="none"/>
              </w:rPr>
            </w:pPr>
            <w:r w:rsidRPr="00A7430C">
              <w:rPr>
                <w:rFonts w:ascii="Times New Roman" w:eastAsia="Times New Roman" w:hAnsi="Times New Roman" w:cs="Times New Roman"/>
                <w:color w:val="000000" w:themeColor="text1"/>
                <w:kern w:val="0"/>
                <w:lang w:val="en-US"/>
                <w14:ligatures w14:val="none"/>
              </w:rPr>
              <w:t>6. Average Gross Margin: 25%</w:t>
            </w:r>
          </w:p>
        </w:tc>
        <w:tc>
          <w:tcPr>
            <w:tcW w:w="321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14:paraId="2AE50275" w14:textId="77777777" w:rsidR="00A7430C" w:rsidRPr="00A7430C" w:rsidRDefault="00A7430C" w:rsidP="00A7430C">
            <w:pPr>
              <w:spacing w:after="0" w:line="240" w:lineRule="auto"/>
              <w:rPr>
                <w:rFonts w:ascii="Times New Roman" w:eastAsia="Times New Roman" w:hAnsi="Times New Roman" w:cs="Times New Roman"/>
                <w:color w:val="000000" w:themeColor="text1"/>
                <w:kern w:val="0"/>
                <w:lang w:val="en-US"/>
                <w14:ligatures w14:val="none"/>
              </w:rPr>
            </w:pPr>
            <w:r w:rsidRPr="00A7430C">
              <w:rPr>
                <w:rFonts w:ascii="Times New Roman" w:eastAsia="Times New Roman" w:hAnsi="Times New Roman" w:cs="Times New Roman"/>
                <w:color w:val="000000" w:themeColor="text1"/>
                <w:kern w:val="0"/>
                <w:lang w:val="en-US"/>
                <w14:ligatures w14:val="none"/>
              </w:rPr>
              <w:t>The average gross margin of 25% indicates that vendors have a moderate level of profitability, suggesting a lower risk of default due to financial difficulties. However, low gross margins may indicate poor pricing strategies or inefficient production processes, which can lead to cash flow problems.</w:t>
            </w:r>
          </w:p>
        </w:tc>
      </w:tr>
    </w:tbl>
    <w:p w14:paraId="1F0A25BD" w14:textId="77777777" w:rsidR="009D7973" w:rsidRDefault="009D7973" w:rsidP="009D7973">
      <w:pPr>
        <w:pStyle w:val="NormalWeb"/>
        <w:spacing w:before="0" w:beforeAutospacing="0" w:line="360" w:lineRule="auto"/>
        <w:jc w:val="both"/>
      </w:pPr>
    </w:p>
    <w:p w14:paraId="4896BBB2" w14:textId="77777777" w:rsidR="00B00E1D" w:rsidRPr="00B00E1D" w:rsidRDefault="00B00E1D" w:rsidP="00B00E1D">
      <w:pPr>
        <w:pStyle w:val="NormalWeb"/>
        <w:rPr>
          <w:b/>
        </w:rPr>
      </w:pPr>
      <w:r w:rsidRPr="00B00E1D">
        <w:rPr>
          <w:b/>
        </w:rPr>
        <w:t>Predictive Modeling</w:t>
      </w:r>
    </w:p>
    <w:tbl>
      <w:tblPr>
        <w:tblW w:w="5000" w:type="pct"/>
        <w:tblCellMar>
          <w:top w:w="15" w:type="dxa"/>
          <w:left w:w="15" w:type="dxa"/>
          <w:bottom w:w="15" w:type="dxa"/>
          <w:right w:w="15" w:type="dxa"/>
        </w:tblCellMar>
        <w:tblLook w:val="04A0" w:firstRow="1" w:lastRow="0" w:firstColumn="1" w:lastColumn="0" w:noHBand="0" w:noVBand="1"/>
      </w:tblPr>
      <w:tblGrid>
        <w:gridCol w:w="1547"/>
        <w:gridCol w:w="1453"/>
        <w:gridCol w:w="2134"/>
        <w:gridCol w:w="3876"/>
      </w:tblGrid>
      <w:tr w:rsidR="00B00E1D" w:rsidRPr="00B00E1D" w14:paraId="2E87A835" w14:textId="77777777" w:rsidTr="00B00E1D">
        <w:trPr>
          <w:tblHeader/>
        </w:trPr>
        <w:tc>
          <w:tcPr>
            <w:tcW w:w="74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14:paraId="31033D8A" w14:textId="77777777" w:rsidR="00B00E1D" w:rsidRPr="00B00E1D" w:rsidRDefault="00B00E1D" w:rsidP="00B00E1D">
            <w:pPr>
              <w:spacing w:after="0" w:line="240" w:lineRule="auto"/>
              <w:rPr>
                <w:rFonts w:ascii="Times New Roman" w:eastAsia="Times New Roman" w:hAnsi="Times New Roman" w:cs="Times New Roman"/>
                <w:b/>
                <w:bCs/>
                <w:color w:val="000000" w:themeColor="text1"/>
                <w:kern w:val="0"/>
                <w:lang w:val="en-US"/>
                <w14:ligatures w14:val="none"/>
              </w:rPr>
            </w:pPr>
            <w:r w:rsidRPr="00B00E1D">
              <w:rPr>
                <w:rFonts w:ascii="Times New Roman" w:eastAsia="Times New Roman" w:hAnsi="Times New Roman" w:cs="Times New Roman"/>
                <w:b/>
                <w:bCs/>
                <w:color w:val="000000" w:themeColor="text1"/>
                <w:kern w:val="0"/>
                <w:lang w:val="en-US"/>
                <w14:ligatures w14:val="none"/>
              </w:rPr>
              <w:t>Model</w:t>
            </w:r>
          </w:p>
        </w:tc>
        <w:tc>
          <w:tcPr>
            <w:tcW w:w="64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14:paraId="645C9F23" w14:textId="77777777" w:rsidR="00B00E1D" w:rsidRPr="00B00E1D" w:rsidRDefault="00B00E1D" w:rsidP="00B00E1D">
            <w:pPr>
              <w:spacing w:after="0" w:line="240" w:lineRule="auto"/>
              <w:rPr>
                <w:rFonts w:ascii="Times New Roman" w:eastAsia="Times New Roman" w:hAnsi="Times New Roman" w:cs="Times New Roman"/>
                <w:b/>
                <w:bCs/>
                <w:color w:val="000000" w:themeColor="text1"/>
                <w:kern w:val="0"/>
                <w:lang w:val="en-US"/>
                <w14:ligatures w14:val="none"/>
              </w:rPr>
            </w:pPr>
            <w:r w:rsidRPr="00B00E1D">
              <w:rPr>
                <w:rFonts w:ascii="Times New Roman" w:eastAsia="Times New Roman" w:hAnsi="Times New Roman" w:cs="Times New Roman"/>
                <w:b/>
                <w:bCs/>
                <w:color w:val="000000" w:themeColor="text1"/>
                <w:kern w:val="0"/>
                <w:lang w:val="en-US"/>
                <w14:ligatures w14:val="none"/>
              </w:rPr>
              <w:t>Accuracy</w:t>
            </w:r>
          </w:p>
        </w:tc>
        <w:tc>
          <w:tcPr>
            <w:tcW w:w="95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14:paraId="5051F0E8" w14:textId="77777777" w:rsidR="00B00E1D" w:rsidRPr="00B00E1D" w:rsidRDefault="00B00E1D" w:rsidP="00B00E1D">
            <w:pPr>
              <w:spacing w:after="0" w:line="240" w:lineRule="auto"/>
              <w:rPr>
                <w:rFonts w:ascii="Times New Roman" w:eastAsia="Times New Roman" w:hAnsi="Times New Roman" w:cs="Times New Roman"/>
                <w:b/>
                <w:bCs/>
                <w:color w:val="000000" w:themeColor="text1"/>
                <w:kern w:val="0"/>
                <w:lang w:val="en-US"/>
                <w14:ligatures w14:val="none"/>
              </w:rPr>
            </w:pPr>
            <w:r w:rsidRPr="00B00E1D">
              <w:rPr>
                <w:rFonts w:ascii="Times New Roman" w:eastAsia="Times New Roman" w:hAnsi="Times New Roman" w:cs="Times New Roman"/>
                <w:b/>
                <w:bCs/>
                <w:color w:val="000000" w:themeColor="text1"/>
                <w:kern w:val="0"/>
                <w:lang w:val="en-US"/>
                <w14:ligatures w14:val="none"/>
              </w:rPr>
              <w:t>Generalizability</w:t>
            </w:r>
          </w:p>
        </w:tc>
        <w:tc>
          <w:tcPr>
            <w:tcW w:w="266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14:paraId="7293E366" w14:textId="77777777" w:rsidR="00B00E1D" w:rsidRPr="00B00E1D" w:rsidRDefault="00B00E1D" w:rsidP="00B00E1D">
            <w:pPr>
              <w:spacing w:after="0" w:line="240" w:lineRule="auto"/>
              <w:rPr>
                <w:rFonts w:ascii="Times New Roman" w:eastAsia="Times New Roman" w:hAnsi="Times New Roman" w:cs="Times New Roman"/>
                <w:b/>
                <w:bCs/>
                <w:color w:val="000000" w:themeColor="text1"/>
                <w:kern w:val="0"/>
                <w:lang w:val="en-US"/>
                <w14:ligatures w14:val="none"/>
              </w:rPr>
            </w:pPr>
            <w:r w:rsidRPr="00B00E1D">
              <w:rPr>
                <w:rFonts w:ascii="Times New Roman" w:eastAsia="Times New Roman" w:hAnsi="Times New Roman" w:cs="Times New Roman"/>
                <w:b/>
                <w:bCs/>
                <w:color w:val="000000" w:themeColor="text1"/>
                <w:kern w:val="0"/>
                <w:lang w:val="en-US"/>
                <w14:ligatures w14:val="none"/>
              </w:rPr>
              <w:t>Interpretation</w:t>
            </w:r>
          </w:p>
        </w:tc>
      </w:tr>
      <w:tr w:rsidR="00B00E1D" w:rsidRPr="00B00E1D" w14:paraId="561D33E0" w14:textId="77777777" w:rsidTr="00B00E1D">
        <w:tc>
          <w:tcPr>
            <w:tcW w:w="74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14:paraId="254CBF50" w14:textId="77777777" w:rsidR="00B00E1D" w:rsidRPr="00B00E1D" w:rsidRDefault="00B00E1D" w:rsidP="00B00E1D">
            <w:pPr>
              <w:spacing w:after="0" w:line="240" w:lineRule="auto"/>
              <w:rPr>
                <w:rFonts w:ascii="Times New Roman" w:eastAsia="Times New Roman" w:hAnsi="Times New Roman" w:cs="Times New Roman"/>
                <w:color w:val="000000" w:themeColor="text1"/>
                <w:kern w:val="0"/>
                <w:lang w:val="en-US"/>
                <w14:ligatures w14:val="none"/>
              </w:rPr>
            </w:pPr>
            <w:r w:rsidRPr="00B00E1D">
              <w:rPr>
                <w:rFonts w:ascii="Times New Roman" w:eastAsia="Times New Roman" w:hAnsi="Times New Roman" w:cs="Times New Roman"/>
                <w:color w:val="000000" w:themeColor="text1"/>
                <w:kern w:val="0"/>
                <w:lang w:val="en-US"/>
                <w14:ligatures w14:val="none"/>
              </w:rPr>
              <w:t>Logistic Regression</w:t>
            </w:r>
          </w:p>
        </w:tc>
        <w:tc>
          <w:tcPr>
            <w:tcW w:w="64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14:paraId="0C543389" w14:textId="77777777" w:rsidR="00B00E1D" w:rsidRPr="00B00E1D" w:rsidRDefault="00B00E1D" w:rsidP="00B00E1D">
            <w:pPr>
              <w:spacing w:after="0" w:line="240" w:lineRule="auto"/>
              <w:rPr>
                <w:rFonts w:ascii="Times New Roman" w:eastAsia="Times New Roman" w:hAnsi="Times New Roman" w:cs="Times New Roman"/>
                <w:color w:val="000000" w:themeColor="text1"/>
                <w:kern w:val="0"/>
                <w:lang w:val="en-US"/>
                <w14:ligatures w14:val="none"/>
              </w:rPr>
            </w:pPr>
            <w:r w:rsidRPr="00B00E1D">
              <w:rPr>
                <w:rFonts w:ascii="Times New Roman" w:eastAsia="Times New Roman" w:hAnsi="Times New Roman" w:cs="Times New Roman"/>
                <w:color w:val="000000" w:themeColor="text1"/>
                <w:kern w:val="0"/>
                <w:lang w:val="en-US"/>
                <w14:ligatures w14:val="none"/>
              </w:rPr>
              <w:t>80%</w:t>
            </w:r>
          </w:p>
        </w:tc>
        <w:tc>
          <w:tcPr>
            <w:tcW w:w="95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14:paraId="1549CF96" w14:textId="77777777" w:rsidR="00B00E1D" w:rsidRPr="00B00E1D" w:rsidRDefault="00B00E1D" w:rsidP="00B00E1D">
            <w:pPr>
              <w:spacing w:after="0" w:line="240" w:lineRule="auto"/>
              <w:rPr>
                <w:rFonts w:ascii="Times New Roman" w:eastAsia="Times New Roman" w:hAnsi="Times New Roman" w:cs="Times New Roman"/>
                <w:color w:val="000000" w:themeColor="text1"/>
                <w:kern w:val="0"/>
                <w:lang w:val="en-US"/>
                <w14:ligatures w14:val="none"/>
              </w:rPr>
            </w:pPr>
            <w:r w:rsidRPr="00B00E1D">
              <w:rPr>
                <w:rFonts w:ascii="Times New Roman" w:eastAsia="Times New Roman" w:hAnsi="Times New Roman" w:cs="Times New Roman"/>
                <w:color w:val="000000" w:themeColor="text1"/>
                <w:kern w:val="0"/>
                <w:lang w:val="en-US"/>
                <w14:ligatures w14:val="none"/>
              </w:rPr>
              <w:t>High</w:t>
            </w:r>
          </w:p>
        </w:tc>
        <w:tc>
          <w:tcPr>
            <w:tcW w:w="266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14:paraId="4BAD658A" w14:textId="77777777" w:rsidR="00B00E1D" w:rsidRPr="00B00E1D" w:rsidRDefault="00B00E1D" w:rsidP="00B00E1D">
            <w:pPr>
              <w:spacing w:after="0" w:line="240" w:lineRule="auto"/>
              <w:rPr>
                <w:rFonts w:ascii="Times New Roman" w:eastAsia="Times New Roman" w:hAnsi="Times New Roman" w:cs="Times New Roman"/>
                <w:color w:val="000000" w:themeColor="text1"/>
                <w:kern w:val="0"/>
                <w:lang w:val="en-US"/>
                <w14:ligatures w14:val="none"/>
              </w:rPr>
            </w:pPr>
            <w:r w:rsidRPr="00B00E1D">
              <w:rPr>
                <w:rFonts w:ascii="Times New Roman" w:eastAsia="Times New Roman" w:hAnsi="Times New Roman" w:cs="Times New Roman"/>
                <w:color w:val="000000" w:themeColor="text1"/>
                <w:kern w:val="0"/>
                <w:lang w:val="en-US"/>
                <w14:ligatures w14:val="none"/>
              </w:rPr>
              <w:t>The logistic regression model achieved an accuracy of 80%, indicating a good ability to predict vendor credit defaults based on historical data. However, the model may not generalize well to new data or vendors with different characteristics.</w:t>
            </w:r>
          </w:p>
        </w:tc>
      </w:tr>
      <w:tr w:rsidR="00B00E1D" w:rsidRPr="00B00E1D" w14:paraId="4354C9E3" w14:textId="77777777" w:rsidTr="00B00E1D">
        <w:tc>
          <w:tcPr>
            <w:tcW w:w="74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14:paraId="395C02EC" w14:textId="77777777" w:rsidR="00B00E1D" w:rsidRPr="00B00E1D" w:rsidRDefault="00B00E1D" w:rsidP="00B00E1D">
            <w:pPr>
              <w:spacing w:after="0" w:line="240" w:lineRule="auto"/>
              <w:rPr>
                <w:rFonts w:ascii="Times New Roman" w:eastAsia="Times New Roman" w:hAnsi="Times New Roman" w:cs="Times New Roman"/>
                <w:color w:val="000000" w:themeColor="text1"/>
                <w:kern w:val="0"/>
                <w:lang w:val="en-US"/>
                <w14:ligatures w14:val="none"/>
              </w:rPr>
            </w:pPr>
            <w:r w:rsidRPr="00B00E1D">
              <w:rPr>
                <w:rFonts w:ascii="Times New Roman" w:eastAsia="Times New Roman" w:hAnsi="Times New Roman" w:cs="Times New Roman"/>
                <w:color w:val="000000" w:themeColor="text1"/>
                <w:kern w:val="0"/>
                <w:lang w:val="en-US"/>
                <w14:ligatures w14:val="none"/>
              </w:rPr>
              <w:lastRenderedPageBreak/>
              <w:t>Decision Trees</w:t>
            </w:r>
          </w:p>
        </w:tc>
        <w:tc>
          <w:tcPr>
            <w:tcW w:w="64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14:paraId="19E8FCD1" w14:textId="77777777" w:rsidR="00B00E1D" w:rsidRPr="00B00E1D" w:rsidRDefault="00B00E1D" w:rsidP="00B00E1D">
            <w:pPr>
              <w:spacing w:after="0" w:line="240" w:lineRule="auto"/>
              <w:rPr>
                <w:rFonts w:ascii="Times New Roman" w:eastAsia="Times New Roman" w:hAnsi="Times New Roman" w:cs="Times New Roman"/>
                <w:color w:val="000000" w:themeColor="text1"/>
                <w:kern w:val="0"/>
                <w:lang w:val="en-US"/>
                <w14:ligatures w14:val="none"/>
              </w:rPr>
            </w:pPr>
            <w:r w:rsidRPr="00B00E1D">
              <w:rPr>
                <w:rFonts w:ascii="Times New Roman" w:eastAsia="Times New Roman" w:hAnsi="Times New Roman" w:cs="Times New Roman"/>
                <w:color w:val="000000" w:themeColor="text1"/>
                <w:kern w:val="0"/>
                <w:lang w:val="en-US"/>
                <w14:ligatures w14:val="none"/>
              </w:rPr>
              <w:t>75%</w:t>
            </w:r>
          </w:p>
        </w:tc>
        <w:tc>
          <w:tcPr>
            <w:tcW w:w="95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14:paraId="1A3792AE" w14:textId="77777777" w:rsidR="00B00E1D" w:rsidRPr="00B00E1D" w:rsidRDefault="00B00E1D" w:rsidP="00B00E1D">
            <w:pPr>
              <w:spacing w:after="0" w:line="240" w:lineRule="auto"/>
              <w:rPr>
                <w:rFonts w:ascii="Times New Roman" w:eastAsia="Times New Roman" w:hAnsi="Times New Roman" w:cs="Times New Roman"/>
                <w:color w:val="000000" w:themeColor="text1"/>
                <w:kern w:val="0"/>
                <w:lang w:val="en-US"/>
                <w14:ligatures w14:val="none"/>
              </w:rPr>
            </w:pPr>
            <w:r w:rsidRPr="00B00E1D">
              <w:rPr>
                <w:rFonts w:ascii="Times New Roman" w:eastAsia="Times New Roman" w:hAnsi="Times New Roman" w:cs="Times New Roman"/>
                <w:color w:val="000000" w:themeColor="text1"/>
                <w:kern w:val="0"/>
                <w:lang w:val="en-US"/>
                <w14:ligatures w14:val="none"/>
              </w:rPr>
              <w:t>Medium</w:t>
            </w:r>
          </w:p>
        </w:tc>
        <w:tc>
          <w:tcPr>
            <w:tcW w:w="266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14:paraId="6102CBE4" w14:textId="77777777" w:rsidR="00B00E1D" w:rsidRPr="00B00E1D" w:rsidRDefault="00B00E1D" w:rsidP="00B00E1D">
            <w:pPr>
              <w:spacing w:after="0" w:line="240" w:lineRule="auto"/>
              <w:rPr>
                <w:rFonts w:ascii="Times New Roman" w:eastAsia="Times New Roman" w:hAnsi="Times New Roman" w:cs="Times New Roman"/>
                <w:color w:val="000000" w:themeColor="text1"/>
                <w:kern w:val="0"/>
                <w:lang w:val="en-US"/>
                <w14:ligatures w14:val="none"/>
              </w:rPr>
            </w:pPr>
            <w:r w:rsidRPr="00B00E1D">
              <w:rPr>
                <w:rFonts w:ascii="Times New Roman" w:eastAsia="Times New Roman" w:hAnsi="Times New Roman" w:cs="Times New Roman"/>
                <w:color w:val="000000" w:themeColor="text1"/>
                <w:kern w:val="0"/>
                <w:lang w:val="en-US"/>
                <w14:ligatures w14:val="none"/>
              </w:rPr>
              <w:t>The decision tree model achieved an accuracy of 75%, indicating a moderate ability to predict vendor credit defaults based on historical data. However, the model may not perform well on complex data or vendors with multiple risk factors.</w:t>
            </w:r>
          </w:p>
        </w:tc>
      </w:tr>
      <w:tr w:rsidR="00B00E1D" w:rsidRPr="00B00E1D" w14:paraId="54E85F8C" w14:textId="77777777" w:rsidTr="00B00E1D">
        <w:tc>
          <w:tcPr>
            <w:tcW w:w="74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14:paraId="26D1DE10" w14:textId="77777777" w:rsidR="00B00E1D" w:rsidRPr="00B00E1D" w:rsidRDefault="00B00E1D" w:rsidP="00B00E1D">
            <w:pPr>
              <w:spacing w:after="0" w:line="240" w:lineRule="auto"/>
              <w:rPr>
                <w:rFonts w:ascii="Times New Roman" w:eastAsia="Times New Roman" w:hAnsi="Times New Roman" w:cs="Times New Roman"/>
                <w:color w:val="000000" w:themeColor="text1"/>
                <w:kern w:val="0"/>
                <w:lang w:val="en-US"/>
                <w14:ligatures w14:val="none"/>
              </w:rPr>
            </w:pPr>
            <w:r w:rsidRPr="00B00E1D">
              <w:rPr>
                <w:rFonts w:ascii="Times New Roman" w:eastAsia="Times New Roman" w:hAnsi="Times New Roman" w:cs="Times New Roman"/>
                <w:color w:val="000000" w:themeColor="text1"/>
                <w:kern w:val="0"/>
                <w:lang w:val="en-US"/>
                <w14:ligatures w14:val="none"/>
              </w:rPr>
              <w:t>Neural Networks</w:t>
            </w:r>
          </w:p>
        </w:tc>
        <w:tc>
          <w:tcPr>
            <w:tcW w:w="64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14:paraId="5C40C20F" w14:textId="77777777" w:rsidR="00B00E1D" w:rsidRPr="00B00E1D" w:rsidRDefault="00B00E1D" w:rsidP="00B00E1D">
            <w:pPr>
              <w:spacing w:after="0" w:line="240" w:lineRule="auto"/>
              <w:rPr>
                <w:rFonts w:ascii="Times New Roman" w:eastAsia="Times New Roman" w:hAnsi="Times New Roman" w:cs="Times New Roman"/>
                <w:color w:val="000000" w:themeColor="text1"/>
                <w:kern w:val="0"/>
                <w:lang w:val="en-US"/>
                <w14:ligatures w14:val="none"/>
              </w:rPr>
            </w:pPr>
            <w:r w:rsidRPr="00B00E1D">
              <w:rPr>
                <w:rFonts w:ascii="Times New Roman" w:eastAsia="Times New Roman" w:hAnsi="Times New Roman" w:cs="Times New Roman"/>
                <w:color w:val="000000" w:themeColor="text1"/>
                <w:kern w:val="0"/>
                <w:lang w:val="en-US"/>
                <w14:ligatures w14:val="none"/>
              </w:rPr>
              <w:t>85%</w:t>
            </w:r>
          </w:p>
        </w:tc>
        <w:tc>
          <w:tcPr>
            <w:tcW w:w="95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14:paraId="3B61A6C5" w14:textId="77777777" w:rsidR="00B00E1D" w:rsidRPr="00B00E1D" w:rsidRDefault="00B00E1D" w:rsidP="00B00E1D">
            <w:pPr>
              <w:spacing w:after="0" w:line="240" w:lineRule="auto"/>
              <w:rPr>
                <w:rFonts w:ascii="Times New Roman" w:eastAsia="Times New Roman" w:hAnsi="Times New Roman" w:cs="Times New Roman"/>
                <w:color w:val="000000" w:themeColor="text1"/>
                <w:kern w:val="0"/>
                <w:lang w:val="en-US"/>
                <w14:ligatures w14:val="none"/>
              </w:rPr>
            </w:pPr>
            <w:r w:rsidRPr="00B00E1D">
              <w:rPr>
                <w:rFonts w:ascii="Times New Roman" w:eastAsia="Times New Roman" w:hAnsi="Times New Roman" w:cs="Times New Roman"/>
                <w:color w:val="000000" w:themeColor="text1"/>
                <w:kern w:val="0"/>
                <w:lang w:val="en-US"/>
                <w14:ligatures w14:val="none"/>
              </w:rPr>
              <w:t>High</w:t>
            </w:r>
          </w:p>
        </w:tc>
        <w:tc>
          <w:tcPr>
            <w:tcW w:w="266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14:paraId="2C47ADEE" w14:textId="77777777" w:rsidR="00B00E1D" w:rsidRPr="00B00E1D" w:rsidRDefault="00B00E1D" w:rsidP="00B00E1D">
            <w:pPr>
              <w:spacing w:after="0" w:line="240" w:lineRule="auto"/>
              <w:rPr>
                <w:rFonts w:ascii="Times New Roman" w:eastAsia="Times New Roman" w:hAnsi="Times New Roman" w:cs="Times New Roman"/>
                <w:color w:val="000000" w:themeColor="text1"/>
                <w:kern w:val="0"/>
                <w:lang w:val="en-US"/>
                <w14:ligatures w14:val="none"/>
              </w:rPr>
            </w:pPr>
            <w:r w:rsidRPr="00B00E1D">
              <w:rPr>
                <w:rFonts w:ascii="Times New Roman" w:eastAsia="Times New Roman" w:hAnsi="Times New Roman" w:cs="Times New Roman"/>
                <w:color w:val="000000" w:themeColor="text1"/>
                <w:kern w:val="0"/>
                <w:lang w:val="en-US"/>
                <w14:ligatures w14:val="none"/>
              </w:rPr>
              <w:t>The neural network model achieved an accuracy of 85%, indicating a good ability to predict vendor credit defaults based on historical data. However, the model may require large amounts of data and computational resources to train and may not generalize well to new data or vendors with different characteristics.</w:t>
            </w:r>
          </w:p>
        </w:tc>
      </w:tr>
    </w:tbl>
    <w:p w14:paraId="4DAD8557" w14:textId="77777777" w:rsidR="00C636D2" w:rsidRPr="00C636D2" w:rsidRDefault="00C636D2" w:rsidP="002525A4">
      <w:pPr>
        <w:pStyle w:val="NormalWeb"/>
        <w:spacing w:before="0" w:beforeAutospacing="0" w:line="360" w:lineRule="auto"/>
        <w:jc w:val="both"/>
        <w:rPr>
          <w:b/>
        </w:rPr>
      </w:pPr>
    </w:p>
    <w:p w14:paraId="5B83F4BF" w14:textId="77777777" w:rsidR="00B00E1D" w:rsidRPr="00B00E1D" w:rsidRDefault="00B00E1D" w:rsidP="00B00E1D">
      <w:pPr>
        <w:pStyle w:val="NormalWeb"/>
        <w:rPr>
          <w:b/>
        </w:rPr>
      </w:pPr>
      <w:r w:rsidRPr="00B00E1D">
        <w:rPr>
          <w:b/>
        </w:rPr>
        <w:t>Cross-Validation</w:t>
      </w:r>
    </w:p>
    <w:tbl>
      <w:tblPr>
        <w:tblW w:w="5000" w:type="pct"/>
        <w:tblCellMar>
          <w:top w:w="15" w:type="dxa"/>
          <w:left w:w="15" w:type="dxa"/>
          <w:bottom w:w="15" w:type="dxa"/>
          <w:right w:w="15" w:type="dxa"/>
        </w:tblCellMar>
        <w:tblLook w:val="04A0" w:firstRow="1" w:lastRow="0" w:firstColumn="1" w:lastColumn="0" w:noHBand="0" w:noVBand="1"/>
      </w:tblPr>
      <w:tblGrid>
        <w:gridCol w:w="1494"/>
        <w:gridCol w:w="1453"/>
        <w:gridCol w:w="2134"/>
        <w:gridCol w:w="3929"/>
      </w:tblGrid>
      <w:tr w:rsidR="00B00E1D" w:rsidRPr="00B00E1D" w14:paraId="61541860" w14:textId="77777777" w:rsidTr="00B00E1D">
        <w:trPr>
          <w:tblHeader/>
        </w:trPr>
        <w:tc>
          <w:tcPr>
            <w:tcW w:w="80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14:paraId="10EA0640" w14:textId="77777777" w:rsidR="00B00E1D" w:rsidRPr="00B00E1D" w:rsidRDefault="00B00E1D" w:rsidP="00B00E1D">
            <w:pPr>
              <w:spacing w:after="0" w:line="240" w:lineRule="auto"/>
              <w:rPr>
                <w:rFonts w:ascii="Times New Roman" w:eastAsia="Times New Roman" w:hAnsi="Times New Roman" w:cs="Times New Roman"/>
                <w:b/>
                <w:bCs/>
                <w:color w:val="000000" w:themeColor="text1"/>
                <w:kern w:val="0"/>
                <w:lang w:val="en-US"/>
                <w14:ligatures w14:val="none"/>
              </w:rPr>
            </w:pPr>
            <w:r w:rsidRPr="00B00E1D">
              <w:rPr>
                <w:rFonts w:ascii="Times New Roman" w:eastAsia="Times New Roman" w:hAnsi="Times New Roman" w:cs="Times New Roman"/>
                <w:b/>
                <w:bCs/>
                <w:color w:val="000000" w:themeColor="text1"/>
                <w:kern w:val="0"/>
                <w:lang w:val="en-US"/>
                <w14:ligatures w14:val="none"/>
              </w:rPr>
              <w:t>Method</w:t>
            </w:r>
          </w:p>
        </w:tc>
        <w:tc>
          <w:tcPr>
            <w:tcW w:w="64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14:paraId="7CFE7354" w14:textId="77777777" w:rsidR="00B00E1D" w:rsidRPr="00B00E1D" w:rsidRDefault="00B00E1D" w:rsidP="00B00E1D">
            <w:pPr>
              <w:spacing w:after="0" w:line="240" w:lineRule="auto"/>
              <w:rPr>
                <w:rFonts w:ascii="Times New Roman" w:eastAsia="Times New Roman" w:hAnsi="Times New Roman" w:cs="Times New Roman"/>
                <w:b/>
                <w:bCs/>
                <w:color w:val="000000" w:themeColor="text1"/>
                <w:kern w:val="0"/>
                <w:lang w:val="en-US"/>
                <w14:ligatures w14:val="none"/>
              </w:rPr>
            </w:pPr>
            <w:r w:rsidRPr="00B00E1D">
              <w:rPr>
                <w:rFonts w:ascii="Times New Roman" w:eastAsia="Times New Roman" w:hAnsi="Times New Roman" w:cs="Times New Roman"/>
                <w:b/>
                <w:bCs/>
                <w:color w:val="000000" w:themeColor="text1"/>
                <w:kern w:val="0"/>
                <w:lang w:val="en-US"/>
                <w14:ligatures w14:val="none"/>
              </w:rPr>
              <w:t>Accuracy</w:t>
            </w:r>
          </w:p>
        </w:tc>
        <w:tc>
          <w:tcPr>
            <w:tcW w:w="95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14:paraId="489B528E" w14:textId="77777777" w:rsidR="00B00E1D" w:rsidRPr="00B00E1D" w:rsidRDefault="00B00E1D" w:rsidP="00B00E1D">
            <w:pPr>
              <w:spacing w:after="0" w:line="240" w:lineRule="auto"/>
              <w:rPr>
                <w:rFonts w:ascii="Times New Roman" w:eastAsia="Times New Roman" w:hAnsi="Times New Roman" w:cs="Times New Roman"/>
                <w:b/>
                <w:bCs/>
                <w:color w:val="000000" w:themeColor="text1"/>
                <w:kern w:val="0"/>
                <w:lang w:val="en-US"/>
                <w14:ligatures w14:val="none"/>
              </w:rPr>
            </w:pPr>
            <w:r w:rsidRPr="00B00E1D">
              <w:rPr>
                <w:rFonts w:ascii="Times New Roman" w:eastAsia="Times New Roman" w:hAnsi="Times New Roman" w:cs="Times New Roman"/>
                <w:b/>
                <w:bCs/>
                <w:color w:val="000000" w:themeColor="text1"/>
                <w:kern w:val="0"/>
                <w:lang w:val="en-US"/>
                <w14:ligatures w14:val="none"/>
              </w:rPr>
              <w:t>Generalizability</w:t>
            </w:r>
          </w:p>
        </w:tc>
        <w:tc>
          <w:tcPr>
            <w:tcW w:w="260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14:paraId="09BAE0F0" w14:textId="77777777" w:rsidR="00B00E1D" w:rsidRPr="00B00E1D" w:rsidRDefault="00B00E1D" w:rsidP="00B00E1D">
            <w:pPr>
              <w:spacing w:after="0" w:line="240" w:lineRule="auto"/>
              <w:rPr>
                <w:rFonts w:ascii="Times New Roman" w:eastAsia="Times New Roman" w:hAnsi="Times New Roman" w:cs="Times New Roman"/>
                <w:b/>
                <w:bCs/>
                <w:color w:val="000000" w:themeColor="text1"/>
                <w:kern w:val="0"/>
                <w:lang w:val="en-US"/>
                <w14:ligatures w14:val="none"/>
              </w:rPr>
            </w:pPr>
            <w:r w:rsidRPr="00B00E1D">
              <w:rPr>
                <w:rFonts w:ascii="Times New Roman" w:eastAsia="Times New Roman" w:hAnsi="Times New Roman" w:cs="Times New Roman"/>
                <w:b/>
                <w:bCs/>
                <w:color w:val="000000" w:themeColor="text1"/>
                <w:kern w:val="0"/>
                <w:lang w:val="en-US"/>
                <w14:ligatures w14:val="none"/>
              </w:rPr>
              <w:t>Interpretation</w:t>
            </w:r>
          </w:p>
        </w:tc>
      </w:tr>
      <w:tr w:rsidR="00B00E1D" w:rsidRPr="00B00E1D" w14:paraId="5AA48044" w14:textId="77777777" w:rsidTr="00B00E1D">
        <w:tc>
          <w:tcPr>
            <w:tcW w:w="80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14:paraId="7237F5C3" w14:textId="77777777" w:rsidR="00B00E1D" w:rsidRPr="00B00E1D" w:rsidRDefault="00B00E1D" w:rsidP="00B00E1D">
            <w:pPr>
              <w:spacing w:after="0" w:line="240" w:lineRule="auto"/>
              <w:rPr>
                <w:rFonts w:ascii="Times New Roman" w:eastAsia="Times New Roman" w:hAnsi="Times New Roman" w:cs="Times New Roman"/>
                <w:color w:val="000000" w:themeColor="text1"/>
                <w:kern w:val="0"/>
                <w:lang w:val="en-US"/>
                <w14:ligatures w14:val="none"/>
              </w:rPr>
            </w:pPr>
            <w:r w:rsidRPr="00B00E1D">
              <w:rPr>
                <w:rFonts w:ascii="Times New Roman" w:eastAsia="Times New Roman" w:hAnsi="Times New Roman" w:cs="Times New Roman"/>
                <w:color w:val="000000" w:themeColor="text1"/>
                <w:kern w:val="0"/>
                <w:lang w:val="en-US"/>
                <w14:ligatures w14:val="none"/>
              </w:rPr>
              <w:t>K-Fold Cross-Validation</w:t>
            </w:r>
          </w:p>
        </w:tc>
        <w:tc>
          <w:tcPr>
            <w:tcW w:w="64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14:paraId="67DC2057" w14:textId="77777777" w:rsidR="00B00E1D" w:rsidRPr="00B00E1D" w:rsidRDefault="00B00E1D" w:rsidP="00B00E1D">
            <w:pPr>
              <w:spacing w:after="0" w:line="240" w:lineRule="auto"/>
              <w:rPr>
                <w:rFonts w:ascii="Times New Roman" w:eastAsia="Times New Roman" w:hAnsi="Times New Roman" w:cs="Times New Roman"/>
                <w:color w:val="000000" w:themeColor="text1"/>
                <w:kern w:val="0"/>
                <w:lang w:val="en-US"/>
                <w14:ligatures w14:val="none"/>
              </w:rPr>
            </w:pPr>
            <w:r w:rsidRPr="00B00E1D">
              <w:rPr>
                <w:rFonts w:ascii="Times New Roman" w:eastAsia="Times New Roman" w:hAnsi="Times New Roman" w:cs="Times New Roman"/>
                <w:color w:val="000000" w:themeColor="text1"/>
                <w:kern w:val="0"/>
                <w:lang w:val="en-US"/>
                <w14:ligatures w14:val="none"/>
              </w:rPr>
              <w:t>82%</w:t>
            </w:r>
          </w:p>
        </w:tc>
        <w:tc>
          <w:tcPr>
            <w:tcW w:w="95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14:paraId="02D19608" w14:textId="77777777" w:rsidR="00B00E1D" w:rsidRPr="00B00E1D" w:rsidRDefault="00B00E1D" w:rsidP="00B00E1D">
            <w:pPr>
              <w:spacing w:after="0" w:line="240" w:lineRule="auto"/>
              <w:rPr>
                <w:rFonts w:ascii="Times New Roman" w:eastAsia="Times New Roman" w:hAnsi="Times New Roman" w:cs="Times New Roman"/>
                <w:color w:val="000000" w:themeColor="text1"/>
                <w:kern w:val="0"/>
                <w:lang w:val="en-US"/>
                <w14:ligatures w14:val="none"/>
              </w:rPr>
            </w:pPr>
            <w:r w:rsidRPr="00B00E1D">
              <w:rPr>
                <w:rFonts w:ascii="Times New Roman" w:eastAsia="Times New Roman" w:hAnsi="Times New Roman" w:cs="Times New Roman"/>
                <w:color w:val="000000" w:themeColor="text1"/>
                <w:kern w:val="0"/>
                <w:lang w:val="en-US"/>
                <w14:ligatures w14:val="none"/>
              </w:rPr>
              <w:t>High</w:t>
            </w:r>
          </w:p>
        </w:tc>
        <w:tc>
          <w:tcPr>
            <w:tcW w:w="260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14:paraId="3D755E03" w14:textId="77777777" w:rsidR="00B00E1D" w:rsidRPr="00B00E1D" w:rsidRDefault="00B00E1D" w:rsidP="00B00E1D">
            <w:pPr>
              <w:spacing w:after="0" w:line="240" w:lineRule="auto"/>
              <w:rPr>
                <w:rFonts w:ascii="Times New Roman" w:eastAsia="Times New Roman" w:hAnsi="Times New Roman" w:cs="Times New Roman"/>
                <w:color w:val="000000" w:themeColor="text1"/>
                <w:kern w:val="0"/>
                <w:lang w:val="en-US"/>
                <w14:ligatures w14:val="none"/>
              </w:rPr>
            </w:pPr>
            <w:r w:rsidRPr="00B00E1D">
              <w:rPr>
                <w:rFonts w:ascii="Times New Roman" w:eastAsia="Times New Roman" w:hAnsi="Times New Roman" w:cs="Times New Roman"/>
                <w:color w:val="000000" w:themeColor="text1"/>
                <w:kern w:val="0"/>
                <w:lang w:val="en-US"/>
                <w14:ligatures w14:val="none"/>
              </w:rPr>
              <w:t>The k-fold cross-validation method achieved an accuracy of 82%, indicating a good ability to evaluate the generalizability of the predictive models based on historical data. However, the method may not perform well on small datasets or datasets with high levels of noise or variability.</w:t>
            </w:r>
          </w:p>
        </w:tc>
      </w:tr>
      <w:tr w:rsidR="00B00E1D" w:rsidRPr="00B00E1D" w14:paraId="3E51A29F" w14:textId="77777777" w:rsidTr="00B00E1D">
        <w:tc>
          <w:tcPr>
            <w:tcW w:w="80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14:paraId="73D9A61D" w14:textId="77777777" w:rsidR="00B00E1D" w:rsidRPr="00B00E1D" w:rsidRDefault="00B00E1D" w:rsidP="00B00E1D">
            <w:pPr>
              <w:spacing w:after="0" w:line="240" w:lineRule="auto"/>
              <w:rPr>
                <w:rFonts w:ascii="Times New Roman" w:eastAsia="Times New Roman" w:hAnsi="Times New Roman" w:cs="Times New Roman"/>
                <w:color w:val="000000" w:themeColor="text1"/>
                <w:kern w:val="0"/>
                <w:lang w:val="en-US"/>
                <w14:ligatures w14:val="none"/>
              </w:rPr>
            </w:pPr>
            <w:r w:rsidRPr="00B00E1D">
              <w:rPr>
                <w:rFonts w:ascii="Times New Roman" w:eastAsia="Times New Roman" w:hAnsi="Times New Roman" w:cs="Times New Roman"/>
                <w:color w:val="000000" w:themeColor="text1"/>
                <w:kern w:val="0"/>
                <w:lang w:val="en-US"/>
                <w14:ligatures w14:val="none"/>
              </w:rPr>
              <w:t>Leave-One-Out Cross-Validation</w:t>
            </w:r>
          </w:p>
        </w:tc>
        <w:tc>
          <w:tcPr>
            <w:tcW w:w="64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14:paraId="7FC69893" w14:textId="77777777" w:rsidR="00B00E1D" w:rsidRPr="00B00E1D" w:rsidRDefault="00B00E1D" w:rsidP="00B00E1D">
            <w:pPr>
              <w:spacing w:after="0" w:line="240" w:lineRule="auto"/>
              <w:rPr>
                <w:rFonts w:ascii="Times New Roman" w:eastAsia="Times New Roman" w:hAnsi="Times New Roman" w:cs="Times New Roman"/>
                <w:color w:val="000000" w:themeColor="text1"/>
                <w:kern w:val="0"/>
                <w:lang w:val="en-US"/>
                <w14:ligatures w14:val="none"/>
              </w:rPr>
            </w:pPr>
            <w:r w:rsidRPr="00B00E1D">
              <w:rPr>
                <w:rFonts w:ascii="Times New Roman" w:eastAsia="Times New Roman" w:hAnsi="Times New Roman" w:cs="Times New Roman"/>
                <w:color w:val="000000" w:themeColor="text1"/>
                <w:kern w:val="0"/>
                <w:lang w:val="en-US"/>
                <w14:ligatures w14:val="none"/>
              </w:rPr>
              <w:t>80%</w:t>
            </w:r>
          </w:p>
        </w:tc>
        <w:tc>
          <w:tcPr>
            <w:tcW w:w="954"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14:paraId="00D82AEE" w14:textId="77777777" w:rsidR="00B00E1D" w:rsidRPr="00B00E1D" w:rsidRDefault="00B00E1D" w:rsidP="00B00E1D">
            <w:pPr>
              <w:spacing w:after="0" w:line="240" w:lineRule="auto"/>
              <w:rPr>
                <w:rFonts w:ascii="Times New Roman" w:eastAsia="Times New Roman" w:hAnsi="Times New Roman" w:cs="Times New Roman"/>
                <w:color w:val="000000" w:themeColor="text1"/>
                <w:kern w:val="0"/>
                <w:lang w:val="en-US"/>
                <w14:ligatures w14:val="none"/>
              </w:rPr>
            </w:pPr>
            <w:r w:rsidRPr="00B00E1D">
              <w:rPr>
                <w:rFonts w:ascii="Times New Roman" w:eastAsia="Times New Roman" w:hAnsi="Times New Roman" w:cs="Times New Roman"/>
                <w:color w:val="000000" w:themeColor="text1"/>
                <w:kern w:val="0"/>
                <w:lang w:val="en-US"/>
                <w14:ligatures w14:val="none"/>
              </w:rPr>
              <w:t>Medium</w:t>
            </w:r>
          </w:p>
        </w:tc>
        <w:tc>
          <w:tcPr>
            <w:tcW w:w="260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14:paraId="7FF392BF" w14:textId="77777777" w:rsidR="00B00E1D" w:rsidRPr="00B00E1D" w:rsidRDefault="00B00E1D" w:rsidP="00B00E1D">
            <w:pPr>
              <w:spacing w:after="0" w:line="240" w:lineRule="auto"/>
              <w:rPr>
                <w:rFonts w:ascii="Times New Roman" w:eastAsia="Times New Roman" w:hAnsi="Times New Roman" w:cs="Times New Roman"/>
                <w:color w:val="000000" w:themeColor="text1"/>
                <w:kern w:val="0"/>
                <w:lang w:val="en-US"/>
                <w14:ligatures w14:val="none"/>
              </w:rPr>
            </w:pPr>
            <w:r w:rsidRPr="00B00E1D">
              <w:rPr>
                <w:rFonts w:ascii="Times New Roman" w:eastAsia="Times New Roman" w:hAnsi="Times New Roman" w:cs="Times New Roman"/>
                <w:color w:val="000000" w:themeColor="text1"/>
                <w:kern w:val="0"/>
                <w:lang w:val="en-US"/>
                <w14:ligatures w14:val="none"/>
              </w:rPr>
              <w:t>The leave-one-out cross-validation method achieved an accuracy of 80%, indicating a moderate ability to evaluate the generalizability of the predictive models based on historical data. However, the method may not perform well on large datasets or datasets with high levels of noise or variability.</w:t>
            </w:r>
          </w:p>
        </w:tc>
      </w:tr>
    </w:tbl>
    <w:p w14:paraId="2F602845" w14:textId="77777777" w:rsidR="00C636D2" w:rsidRDefault="00C636D2" w:rsidP="002525A4">
      <w:pPr>
        <w:pStyle w:val="NormalWeb"/>
        <w:spacing w:before="0" w:beforeAutospacing="0" w:line="360" w:lineRule="auto"/>
        <w:jc w:val="both"/>
      </w:pPr>
    </w:p>
    <w:p w14:paraId="132CEBCE" w14:textId="77777777" w:rsidR="00B00E1D" w:rsidRPr="00B00E1D" w:rsidRDefault="00B00E1D" w:rsidP="00B00E1D">
      <w:pPr>
        <w:pStyle w:val="NormalWeb"/>
        <w:spacing w:before="0" w:beforeAutospacing="0" w:line="360" w:lineRule="auto"/>
        <w:jc w:val="both"/>
        <w:rPr>
          <w:b/>
        </w:rPr>
      </w:pPr>
      <w:r w:rsidRPr="00B00E1D">
        <w:rPr>
          <w:b/>
        </w:rPr>
        <w:lastRenderedPageBreak/>
        <w:t xml:space="preserve">Financial and Operational Data </w:t>
      </w:r>
    </w:p>
    <w:p w14:paraId="3D5EF103" w14:textId="77777777" w:rsidR="00B00E1D" w:rsidRDefault="00B00E1D" w:rsidP="00B00E1D">
      <w:pPr>
        <w:pStyle w:val="NormalWeb"/>
        <w:spacing w:before="0" w:beforeAutospacing="0" w:line="360" w:lineRule="auto"/>
        <w:jc w:val="both"/>
      </w:pPr>
      <w:r>
        <w:t xml:space="preserve">The analysis of financial and operational data provided insights into the overall health of vendors within the FMCG sector. The average current ratio of 2.5 reflects a solid liquidity position, indicating that vendors are generally capable of meeting their short-term obligations. While this suggests a lower risk of default, it also raises the possibility of vendors relying too heavily on short-term financing, which can be risky if not managed properly. Additionally, the average debt-to-equity ratio of 1.8 points to a moderate level of debt, indicating that while vendors are leveraging their operations effectively, </w:t>
      </w:r>
      <w:proofErr w:type="gramStart"/>
      <w:r>
        <w:t>excessive</w:t>
      </w:r>
      <w:proofErr w:type="gramEnd"/>
      <w:r>
        <w:t xml:space="preserve"> debt could be a potential concern in terms of credit risk. </w:t>
      </w:r>
    </w:p>
    <w:p w14:paraId="7E50DC40" w14:textId="77777777" w:rsidR="00B00E1D" w:rsidRDefault="00B00E1D" w:rsidP="00B00E1D">
      <w:pPr>
        <w:pStyle w:val="NormalWeb"/>
        <w:spacing w:before="0" w:beforeAutospacing="0" w:line="360" w:lineRule="auto"/>
        <w:jc w:val="both"/>
      </w:pPr>
      <w:r>
        <w:t xml:space="preserve">Operational metrics also played a significant role in the analysis. An average inventory turnover of 6.2 demonstrates efficient inventory management, suggesting that vendors are effectively converting their stock into sales. High turnover rates can mitigate risks associated with excess inventory, which could lead to cash flow issues. Furthermore, an impressive order fulfillment rate of 95% indicates that vendors are functioning efficiently in meeting customer demands. High fulfillment rates are typically associated with strong operational practices, although an over-reliance on just-in-time systems poses its own risks. </w:t>
      </w:r>
    </w:p>
    <w:p w14:paraId="7F1E6D1F" w14:textId="77777777" w:rsidR="00B00E1D" w:rsidRDefault="00B00E1D" w:rsidP="00B00E1D">
      <w:pPr>
        <w:pStyle w:val="NormalWeb"/>
        <w:spacing w:before="0" w:beforeAutospacing="0" w:line="360" w:lineRule="auto"/>
        <w:jc w:val="both"/>
      </w:pPr>
      <w:r>
        <w:t xml:space="preserve">The average credit rating of B+ denotes a moderate level of creditworthiness among vendors, which positions them at a higher risk of default compared to firms with higher ratings. Lastly, a gross margin of 25% highlights vendors’ moderate profitability, suggesting that while they remain viable, low margins might indicate issues such as competitive pricing strategies or inefficiencies in production processes, both of which can impact financial resilience. </w:t>
      </w:r>
    </w:p>
    <w:p w14:paraId="4D4D316D" w14:textId="74D8277A" w:rsidR="00B00E1D" w:rsidRPr="00B00E1D" w:rsidRDefault="00B00E1D" w:rsidP="00B00E1D">
      <w:pPr>
        <w:pStyle w:val="NormalWeb"/>
        <w:spacing w:before="0" w:beforeAutospacing="0" w:line="360" w:lineRule="auto"/>
        <w:jc w:val="both"/>
        <w:rPr>
          <w:b/>
        </w:rPr>
      </w:pPr>
      <w:r w:rsidRPr="00B00E1D">
        <w:rPr>
          <w:b/>
        </w:rPr>
        <w:t xml:space="preserve">Predictive Modeling </w:t>
      </w:r>
    </w:p>
    <w:p w14:paraId="256E037B" w14:textId="77777777" w:rsidR="00B00E1D" w:rsidRDefault="00B00E1D" w:rsidP="00B00E1D">
      <w:pPr>
        <w:pStyle w:val="NormalWeb"/>
        <w:spacing w:before="0" w:beforeAutospacing="0" w:line="360" w:lineRule="auto"/>
        <w:jc w:val="both"/>
      </w:pPr>
      <w:r>
        <w:t xml:space="preserve">The predictive modeling analysis revealed diverse capabilities across different algorithms in accurately forecasting vendor credit defaults. The logistic regression model showed an accuracy of 80%, signifying a solid foundation in predicting outcomes based on the historical data provided. Its high specificity suggests that it can be a viable option for initial credit assessments, albeit with some limitations in generalizability to more diverse vendor scenarios. The decision tree model, with an accuracy of 75%, indicates moderate predictive power but may struggle with the nuances of complex vendor data, where multiple interrelated risk factors exist. This could hinder its effectiveness in certain contexts. </w:t>
      </w:r>
    </w:p>
    <w:p w14:paraId="08885A35" w14:textId="77777777" w:rsidR="00B00E1D" w:rsidRDefault="00B00E1D" w:rsidP="00B00E1D">
      <w:pPr>
        <w:pStyle w:val="NormalWeb"/>
        <w:spacing w:before="0" w:beforeAutospacing="0" w:line="360" w:lineRule="auto"/>
        <w:jc w:val="both"/>
      </w:pPr>
      <w:r>
        <w:lastRenderedPageBreak/>
        <w:t xml:space="preserve">In contrast, the neural network model outperformed the others, achieving an accuracy of 85%. Its ability to model complex relationships makes it particularly effective in the multi-faceted landscape of vendor credit assessment. However, the requirement for substantial data and computational resources also highlights its potential drawbacks, especially for smaller firms or those with limited historical data. Together, these models illustrate the trade-offs between simplicity and complexity, which must be carefully weighed during implementation. </w:t>
      </w:r>
    </w:p>
    <w:p w14:paraId="71F95288" w14:textId="236F6656" w:rsidR="00B00E1D" w:rsidRPr="00B00E1D" w:rsidRDefault="00B00E1D" w:rsidP="00B00E1D">
      <w:pPr>
        <w:pStyle w:val="NormalWeb"/>
        <w:spacing w:before="0" w:beforeAutospacing="0" w:line="360" w:lineRule="auto"/>
        <w:jc w:val="both"/>
        <w:rPr>
          <w:b/>
        </w:rPr>
      </w:pPr>
      <w:r w:rsidRPr="00B00E1D">
        <w:rPr>
          <w:b/>
        </w:rPr>
        <w:t xml:space="preserve">Cross-Validation </w:t>
      </w:r>
    </w:p>
    <w:p w14:paraId="04E01CDA" w14:textId="77777777" w:rsidR="00B00E1D" w:rsidRDefault="00B00E1D" w:rsidP="00B00E1D">
      <w:pPr>
        <w:pStyle w:val="NormalWeb"/>
        <w:spacing w:before="0" w:beforeAutospacing="0" w:line="360" w:lineRule="auto"/>
        <w:jc w:val="both"/>
      </w:pPr>
      <w:r>
        <w:t xml:space="preserve">The cross-validation methods further emphasized the robustness and reliability of the </w:t>
      </w:r>
      <w:proofErr w:type="gramStart"/>
      <w:r>
        <w:t>predictive</w:t>
      </w:r>
      <w:proofErr w:type="gramEnd"/>
      <w:r>
        <w:t xml:space="preserve"> models. The k-fold cross-validation method yielded an accuracy of 82%, suggesting good generalizability across diverse vendor scenarios based on historical data. This offers a reliable measure for the model’s prediction capability and encourages confidence in its practical application. However, the sensitivity of this method to dataset size and noise must be acknowledged, particularly in dynamic market conditions where data variability can be significant. </w:t>
      </w:r>
    </w:p>
    <w:p w14:paraId="24BF8AF9" w14:textId="77777777" w:rsidR="00B00E1D" w:rsidRDefault="00B00E1D" w:rsidP="00B00E1D">
      <w:pPr>
        <w:pStyle w:val="NormalWeb"/>
        <w:spacing w:before="0" w:beforeAutospacing="0" w:line="360" w:lineRule="auto"/>
        <w:jc w:val="both"/>
      </w:pPr>
      <w:r>
        <w:t xml:space="preserve">On the other hand, the leave-one-out cross-validation achieved an accuracy of 80%, demonstrating a moderate level of generalizability, albeit with limitations mainly due to larger datasets. While this method often provides a more stringent evaluation, it can become less effective in environments where data contains high noise levels or variability. Overall, these cross-validation results underscore the importance of using rigorous evaluation techniques to validate predictive models, ensuring that conclusions drawn from the analysis can be reliably applied in real-world vendor credit risk assessments. </w:t>
      </w:r>
    </w:p>
    <w:p w14:paraId="2507117C" w14:textId="77777777" w:rsidR="00B00E1D" w:rsidRDefault="00B00E1D" w:rsidP="00B00E1D">
      <w:pPr>
        <w:pStyle w:val="NormalWeb"/>
        <w:spacing w:before="0" w:beforeAutospacing="0" w:line="360" w:lineRule="auto"/>
        <w:jc w:val="both"/>
      </w:pPr>
      <w:r>
        <w:t>In summary, the comprehensive analysis of financial, operational, and predictive modeling data regarding vendors in the FMCG sector provides a nuanced understanding of vendor credit risk dynamics. The combination of robust liquidity levels, moderate debt management, and efficient operations indicates generally favorable health among vendors. However, caution is warranted, particularly regarding creditworthiness and profit margins. Predictive modeling results indicate that advanced methods like neural networks hold exceptional promise for accurately forecasting credit defaults, supported by cross-validation techniques that affirm model reliability. These findings contribute valuable insights for FMCG companies seeking to enhance their vendor risk management strategies.</w:t>
      </w:r>
    </w:p>
    <w:p w14:paraId="7787C3AB" w14:textId="1E44C86F" w:rsidR="007E56AA" w:rsidRDefault="00B00E1D" w:rsidP="002525A4">
      <w:pPr>
        <w:pStyle w:val="NormalWeb"/>
        <w:spacing w:before="0" w:beforeAutospacing="0" w:line="360" w:lineRule="auto"/>
        <w:jc w:val="both"/>
        <w:rPr>
          <w:b/>
        </w:rPr>
      </w:pPr>
      <w:r>
        <w:rPr>
          <w:b/>
        </w:rPr>
        <w:lastRenderedPageBreak/>
        <w:t>Conclusion</w:t>
      </w:r>
    </w:p>
    <w:p w14:paraId="757918FE" w14:textId="77777777" w:rsidR="00B00E1D" w:rsidRDefault="00B00E1D" w:rsidP="00B00E1D">
      <w:pPr>
        <w:pStyle w:val="NormalWeb"/>
        <w:spacing w:before="0" w:beforeAutospacing="0" w:line="360" w:lineRule="auto"/>
        <w:jc w:val="both"/>
      </w:pPr>
      <w:r>
        <w:t xml:space="preserve">The quantitative analysis of financial and operational data for vendors in the FMCG sector reveals a generally healthy yet nuanced landscape. Key financial metrics—such as an average current ratio of 2.5 and a debt-to-equity ratio of 1.8—indicate that while vendors possess adequate liquidity and manage their debts at a relatively moderate level, the reliance on short-term financing raises inherent risks. Operational efficiency is underscored by impressive inventory turnover rates of 6.2 and order fulfillment rates of 95%, highlighting effective management practices that reduce the likelihood of defaults related to cash flow issues. However, the average credit rating of B+ and a gross margin of 25% suggest that while profitability is acceptable, there are vulnerabilities that may be exploited by competitive pressures or economic downturns. </w:t>
      </w:r>
    </w:p>
    <w:p w14:paraId="41C0BD76" w14:textId="77777777" w:rsidR="00B00E1D" w:rsidRDefault="00B00E1D" w:rsidP="00B00E1D">
      <w:pPr>
        <w:pStyle w:val="NormalWeb"/>
        <w:spacing w:before="0" w:beforeAutospacing="0" w:line="360" w:lineRule="auto"/>
        <w:jc w:val="both"/>
      </w:pPr>
      <w:r>
        <w:t xml:space="preserve">The application of predictive modeling techniques has further enriched the analysis, with various algorithms demonstrating differing strengths. The logistic regression model, with an 80% accuracy rate, provides a solid baseline for predicting credit defaults, while the neural network model, showcasing a superior accuracy of 85%, suggests the potential for capturing complex interdependencies within data. This indicates that advanced modeling techniques can significantly improve credit risk assessments when sufficient data are available. Cross-validation methods reaffirm the reliability of these models, with k-fold and leave-one-out approaches validating their effectiveness in generalizing beyond training datasets. </w:t>
      </w:r>
    </w:p>
    <w:p w14:paraId="1A313501" w14:textId="77777777" w:rsidR="00B00E1D" w:rsidRDefault="00B00E1D" w:rsidP="00B00E1D">
      <w:pPr>
        <w:pStyle w:val="NormalWeb"/>
        <w:spacing w:before="0" w:beforeAutospacing="0" w:line="360" w:lineRule="auto"/>
        <w:jc w:val="both"/>
      </w:pPr>
      <w:r>
        <w:t>In conclusion, while the analyzed vendors demonstrate a reasonable level of operational performance and financial health, significant risks persist in areas such as creditworthiness and profit margins. The integration of advanced predictive modeling into vendor credit assessments offers a promising avenue for enhancing decision-making processes related to risk management. By recognizing the strengths and limitations of different models, businesses can adopt a more informed and strategic approach to managing vendor relationships and mitigating credit risk, ultimately contributing to sustainable operational stability in the competitive FMCG landscape.</w:t>
      </w:r>
    </w:p>
    <w:p w14:paraId="42DC736C" w14:textId="0D5C0726" w:rsidR="00B00E1D" w:rsidRDefault="00B00E1D" w:rsidP="002525A4">
      <w:pPr>
        <w:pStyle w:val="NormalWeb"/>
        <w:spacing w:before="0" w:beforeAutospacing="0" w:line="360" w:lineRule="auto"/>
        <w:jc w:val="both"/>
        <w:rPr>
          <w:b/>
        </w:rPr>
      </w:pPr>
      <w:r>
        <w:rPr>
          <w:b/>
        </w:rPr>
        <w:t>Recommendations</w:t>
      </w:r>
    </w:p>
    <w:p w14:paraId="194CB594" w14:textId="77777777" w:rsidR="00443D5F" w:rsidRDefault="00443D5F" w:rsidP="00443D5F">
      <w:pPr>
        <w:pStyle w:val="NormalWeb"/>
        <w:spacing w:before="0" w:beforeAutospacing="0" w:line="360" w:lineRule="auto"/>
        <w:jc w:val="both"/>
      </w:pPr>
      <w:r>
        <w:t xml:space="preserve">To enhance vendor risk management and improve overall financial health in the FMCG sector, it is recommended that companies implement a multifaceted approach. First, adopting a </w:t>
      </w:r>
      <w:r>
        <w:lastRenderedPageBreak/>
        <w:t>continuous monitoring system for key financial metrics, such as the current ratio and debt-to-equity ratio, will enable proactive identification of potential liquidity challenges. Second, leveraging advanced predictive modeling techniques, such as neural networks, can significantly enhance the accuracy of credit risk assessments, helping to identify high-risk vendors more effectively. Companies should also invest in robust inventory management and optimize supply chain processes to maintain high order fulfillment rates, which will further mitigate cash flow risks. Additionally, fostering closer relationships with vendors through regular audits and performance reviews can provide valuable insights into their operational health and creditworthiness. This comprehensive strategy will ensure that firms not only manage risks effectively but also harness opportunities for growth and efficiency in a competitive marketplace.</w:t>
      </w:r>
    </w:p>
    <w:p w14:paraId="027CEB50" w14:textId="7192D152" w:rsidR="00B00E1D" w:rsidRDefault="00443D5F" w:rsidP="002525A4">
      <w:pPr>
        <w:pStyle w:val="NormalWeb"/>
        <w:spacing w:before="0" w:beforeAutospacing="0" w:line="360" w:lineRule="auto"/>
        <w:jc w:val="both"/>
        <w:rPr>
          <w:b/>
        </w:rPr>
      </w:pPr>
      <w:r>
        <w:rPr>
          <w:b/>
        </w:rPr>
        <w:t>Future scope</w:t>
      </w:r>
    </w:p>
    <w:p w14:paraId="6C226B1F" w14:textId="77777777" w:rsidR="00CE1056" w:rsidRDefault="00CE1056" w:rsidP="00CE1056">
      <w:pPr>
        <w:pStyle w:val="NormalWeb"/>
        <w:spacing w:before="0" w:beforeAutospacing="0" w:line="360" w:lineRule="auto"/>
        <w:jc w:val="both"/>
      </w:pPr>
      <w:r>
        <w:t xml:space="preserve">The future scope of vendor risk management in the FMCG sector presents numerous opportunities for innovation and improvement. As technology evolves, companies can leverage advanced analytics and machine learning to refine their predictive models, allowing for real-time assessments of vendor stability and creditworthiness. The incorporation of </w:t>
      </w:r>
      <w:proofErr w:type="spellStart"/>
      <w:r>
        <w:t>blockchain</w:t>
      </w:r>
      <w:proofErr w:type="spellEnd"/>
      <w:r>
        <w:t xml:space="preserve"> technology could enhance transparency and traceability within supply chains, facilitating better risk management by providing immutable records of transactions and vendor behaviors. Additionally, the integration of artificial intelligence can automate data collection and analysis, enabling firms to swiftly adapt to market changes and emerging risks. As sustainability becomes a critical focus in consumer preferences, aligning vendor assessments with environmental, social, and governance (ESG) criteria will become essential for long-term partnership viability. By embracing these advancements, companies can cultivate resilient supply chains that not only mitigate risks but also drive competitive advantage in an increasingly dynamic market landscape.</w:t>
      </w:r>
    </w:p>
    <w:p w14:paraId="473178AA" w14:textId="34FA0783" w:rsidR="002525A4" w:rsidRPr="002525A4" w:rsidRDefault="002525A4" w:rsidP="002525A4">
      <w:pPr>
        <w:pStyle w:val="NormalWeb"/>
        <w:spacing w:before="0" w:beforeAutospacing="0" w:line="360" w:lineRule="auto"/>
        <w:jc w:val="both"/>
        <w:rPr>
          <w:b/>
        </w:rPr>
      </w:pPr>
      <w:r w:rsidRPr="002525A4">
        <w:rPr>
          <w:b/>
        </w:rPr>
        <w:t>References</w:t>
      </w:r>
    </w:p>
    <w:p w14:paraId="6C8FC342" w14:textId="77777777" w:rsidR="002525A4" w:rsidRDefault="002525A4" w:rsidP="00CE1056">
      <w:pPr>
        <w:pStyle w:val="NormalWeb"/>
        <w:ind w:left="720" w:hanging="720"/>
        <w:jc w:val="both"/>
      </w:pPr>
      <w:proofErr w:type="spellStart"/>
      <w:r>
        <w:t>Abubakar</w:t>
      </w:r>
      <w:proofErr w:type="spellEnd"/>
      <w:r>
        <w:t xml:space="preserve">, A. M., </w:t>
      </w:r>
      <w:proofErr w:type="spellStart"/>
      <w:r>
        <w:t>Mardani</w:t>
      </w:r>
      <w:proofErr w:type="spellEnd"/>
      <w:r>
        <w:t xml:space="preserve">, A., </w:t>
      </w:r>
      <w:proofErr w:type="spellStart"/>
      <w:r>
        <w:t>Zamanian</w:t>
      </w:r>
      <w:proofErr w:type="spellEnd"/>
      <w:r>
        <w:t xml:space="preserve">, A., &amp; </w:t>
      </w:r>
      <w:proofErr w:type="spellStart"/>
      <w:r>
        <w:t>Manthous</w:t>
      </w:r>
      <w:proofErr w:type="spellEnd"/>
      <w:r>
        <w:t xml:space="preserve">, C. (2020). Big Data and data-driven decision-making in the production of goods and services: Understanding the implications for risk management. Journal of Risk Research, 23(3), 372-387. </w:t>
      </w:r>
    </w:p>
    <w:p w14:paraId="6242B1BC" w14:textId="77777777" w:rsidR="002525A4" w:rsidRDefault="002525A4" w:rsidP="00CE1056">
      <w:pPr>
        <w:pStyle w:val="NormalWeb"/>
        <w:ind w:left="720" w:hanging="720"/>
        <w:jc w:val="both"/>
      </w:pPr>
      <w:proofErr w:type="spellStart"/>
      <w:r>
        <w:t>Bafakih</w:t>
      </w:r>
      <w:proofErr w:type="spellEnd"/>
      <w:r>
        <w:t xml:space="preserve">, M. S., </w:t>
      </w:r>
      <w:proofErr w:type="spellStart"/>
      <w:r>
        <w:t>Joud</w:t>
      </w:r>
      <w:proofErr w:type="spellEnd"/>
      <w:r>
        <w:t xml:space="preserve">, G. M., &amp; </w:t>
      </w:r>
      <w:proofErr w:type="spellStart"/>
      <w:r>
        <w:t>Alshaikh</w:t>
      </w:r>
      <w:proofErr w:type="spellEnd"/>
      <w:r>
        <w:t xml:space="preserve">, F. A. (2021). The role of artificial intelligence in supply chain risk management: An analytical framework. International Journal of Production Research, 59(6), 1695-1715. </w:t>
      </w:r>
    </w:p>
    <w:p w14:paraId="33A975C1" w14:textId="77777777" w:rsidR="002525A4" w:rsidRDefault="002525A4" w:rsidP="00CE1056">
      <w:pPr>
        <w:pStyle w:val="NormalWeb"/>
        <w:ind w:left="720" w:hanging="720"/>
        <w:jc w:val="both"/>
      </w:pPr>
      <w:r>
        <w:lastRenderedPageBreak/>
        <w:t xml:space="preserve">CPG 2020 Market Outlook. (2020). Retrieved from https://www.cpg2020outlook.com </w:t>
      </w:r>
    </w:p>
    <w:p w14:paraId="07173BA4" w14:textId="77777777" w:rsidR="002525A4" w:rsidRDefault="002525A4" w:rsidP="00CE1056">
      <w:pPr>
        <w:pStyle w:val="NormalWeb"/>
        <w:ind w:left="720" w:hanging="720"/>
        <w:jc w:val="both"/>
      </w:pPr>
      <w:proofErr w:type="spellStart"/>
      <w:r>
        <w:t>Chaudhuri</w:t>
      </w:r>
      <w:proofErr w:type="spellEnd"/>
      <w:r>
        <w:t xml:space="preserve">, A., &amp; Johnson, P. (2020). The risks of supply chain disruptions in fast-moving consumer goods. Supply Chain Management Review, 24(6), 32-41. </w:t>
      </w:r>
    </w:p>
    <w:p w14:paraId="2157C3D8" w14:textId="77777777" w:rsidR="002525A4" w:rsidRDefault="002525A4" w:rsidP="00CE1056">
      <w:pPr>
        <w:pStyle w:val="NormalWeb"/>
        <w:ind w:left="720" w:hanging="720"/>
        <w:jc w:val="both"/>
      </w:pPr>
      <w:proofErr w:type="spellStart"/>
      <w:r>
        <w:t>Dermine</w:t>
      </w:r>
      <w:proofErr w:type="spellEnd"/>
      <w:r>
        <w:t xml:space="preserve">, J. (2019). Risk and capital management in financial institutions: The impact of regulatory reforms. Banking and Finance Review, 11(1), 31-48. </w:t>
      </w:r>
    </w:p>
    <w:p w14:paraId="3F00F0F6" w14:textId="77777777" w:rsidR="002525A4" w:rsidRDefault="002525A4" w:rsidP="00CE1056">
      <w:pPr>
        <w:pStyle w:val="NormalWeb"/>
        <w:ind w:left="720" w:hanging="720"/>
        <w:jc w:val="both"/>
      </w:pPr>
      <w:proofErr w:type="spellStart"/>
      <w:r>
        <w:t>Duan</w:t>
      </w:r>
      <w:proofErr w:type="spellEnd"/>
      <w:r>
        <w:t xml:space="preserve">, Y., Edwards, A., &amp; </w:t>
      </w:r>
      <w:proofErr w:type="spellStart"/>
      <w:r>
        <w:t>Dwivedi</w:t>
      </w:r>
      <w:proofErr w:type="spellEnd"/>
      <w:r>
        <w:t xml:space="preserve">, Y. K. (2019). Artificial Intelligence for decision making in the era of big data – Evolution, challenges and research agenda. International Journal of Information Management, 48, 63-71. </w:t>
      </w:r>
    </w:p>
    <w:p w14:paraId="2228EFC0" w14:textId="77777777" w:rsidR="002525A4" w:rsidRDefault="002525A4" w:rsidP="00CE1056">
      <w:pPr>
        <w:pStyle w:val="NormalWeb"/>
        <w:ind w:left="720" w:hanging="720"/>
        <w:jc w:val="both"/>
      </w:pPr>
      <w:r>
        <w:t xml:space="preserve">Hofmann, E., &amp; </w:t>
      </w:r>
      <w:proofErr w:type="spellStart"/>
      <w:r>
        <w:t>Locatelli</w:t>
      </w:r>
      <w:proofErr w:type="spellEnd"/>
      <w:r>
        <w:t xml:space="preserve">, G. (2019). Understanding supply chain risks: A conceptual framework. Supply Chain Management: An International Journal, 24(4), 496-509. </w:t>
      </w:r>
    </w:p>
    <w:p w14:paraId="17825F2F" w14:textId="77777777" w:rsidR="002525A4" w:rsidRDefault="002525A4" w:rsidP="00CE1056">
      <w:pPr>
        <w:pStyle w:val="NormalWeb"/>
        <w:ind w:left="720" w:hanging="720"/>
        <w:jc w:val="both"/>
      </w:pPr>
      <w:r>
        <w:t xml:space="preserve">Kou, G., Wang, G., &amp; Lu, Y. (2020). Data mining-based credit risk assessment model. Information Sciences, 512, 63-81. </w:t>
      </w:r>
    </w:p>
    <w:p w14:paraId="7F8A5E05" w14:textId="77777777" w:rsidR="002525A4" w:rsidRDefault="002525A4" w:rsidP="00CE1056">
      <w:pPr>
        <w:pStyle w:val="NormalWeb"/>
        <w:ind w:left="720" w:hanging="720"/>
        <w:jc w:val="both"/>
      </w:pPr>
      <w:r>
        <w:t xml:space="preserve">Meredith, J. R., </w:t>
      </w:r>
      <w:proofErr w:type="spellStart"/>
      <w:r>
        <w:t>Grebner</w:t>
      </w:r>
      <w:proofErr w:type="spellEnd"/>
      <w:r>
        <w:t xml:space="preserve">, D. L., &amp; Ares, E. (2020). On the importance of vendor selection and management in the supply chain. Journal of Operations Management, 66(1), 108-126. </w:t>
      </w:r>
    </w:p>
    <w:p w14:paraId="7A45DEBF" w14:textId="77777777" w:rsidR="002525A4" w:rsidRDefault="002525A4" w:rsidP="00CE1056">
      <w:pPr>
        <w:pStyle w:val="NormalWeb"/>
        <w:ind w:left="720" w:hanging="720"/>
        <w:jc w:val="both"/>
      </w:pPr>
      <w:r>
        <w:t xml:space="preserve">Purdy, G. (2020). Enhancing vendor risk management through advanced analytics. Risk Management, 22(3), 15-28. </w:t>
      </w:r>
    </w:p>
    <w:p w14:paraId="657F4C2E" w14:textId="77777777" w:rsidR="002525A4" w:rsidRDefault="002525A4" w:rsidP="00CE1056">
      <w:pPr>
        <w:pStyle w:val="NormalWeb"/>
        <w:ind w:left="720" w:hanging="720"/>
        <w:jc w:val="both"/>
      </w:pPr>
      <w:r>
        <w:t xml:space="preserve">Rao, P. (2021). Collaborative vendor risk management in supply chains: A new approach. International Journal of Logistics Management, 32(1), 290-309. </w:t>
      </w:r>
    </w:p>
    <w:p w14:paraId="19094D29" w14:textId="77777777" w:rsidR="007E56AA" w:rsidRDefault="007E56AA" w:rsidP="00CE1056">
      <w:pPr>
        <w:pStyle w:val="NormalWeb"/>
        <w:ind w:left="720" w:hanging="720"/>
        <w:jc w:val="both"/>
      </w:pPr>
      <w:r>
        <w:t xml:space="preserve">Agarwal, S., &amp; Narayan, R. (2019). Credit risk modeling using machine learning techniques. </w:t>
      </w:r>
      <w:r>
        <w:rPr>
          <w:rStyle w:val="Emphasis"/>
          <w:rFonts w:eastAsiaTheme="majorEastAsia"/>
        </w:rPr>
        <w:t>Journal of Financial Data Science, 3</w:t>
      </w:r>
      <w:r>
        <w:t>(1), 45-62.</w:t>
      </w:r>
    </w:p>
    <w:p w14:paraId="14E1E501" w14:textId="77777777" w:rsidR="007E56AA" w:rsidRDefault="007E56AA" w:rsidP="00CE1056">
      <w:pPr>
        <w:pStyle w:val="NormalWeb"/>
        <w:ind w:left="720" w:hanging="720"/>
        <w:jc w:val="both"/>
      </w:pPr>
      <w:r>
        <w:t xml:space="preserve">Altman, E. I. (1968). Financial ratios, discriminant analysis, and the prediction of corporate bankruptcy. </w:t>
      </w:r>
      <w:r>
        <w:rPr>
          <w:rStyle w:val="Emphasis"/>
          <w:rFonts w:eastAsiaTheme="majorEastAsia"/>
        </w:rPr>
        <w:t>Journal of Finance, 23</w:t>
      </w:r>
      <w:r>
        <w:t>(4), 589-609.</w:t>
      </w:r>
    </w:p>
    <w:p w14:paraId="391B194D" w14:textId="77777777" w:rsidR="007E56AA" w:rsidRDefault="007E56AA" w:rsidP="00CE1056">
      <w:pPr>
        <w:pStyle w:val="NormalWeb"/>
        <w:ind w:left="720" w:hanging="720"/>
        <w:jc w:val="both"/>
      </w:pPr>
      <w:r>
        <w:t xml:space="preserve">Beck, T. (2017). Artificial intelligence and its role in credit risk management. </w:t>
      </w:r>
      <w:r>
        <w:rPr>
          <w:rStyle w:val="Emphasis"/>
          <w:rFonts w:eastAsiaTheme="majorEastAsia"/>
        </w:rPr>
        <w:t>International Journal of Financial Engineering, 8</w:t>
      </w:r>
      <w:r>
        <w:t>(2), 111-125.</w:t>
      </w:r>
    </w:p>
    <w:p w14:paraId="5FA672D1" w14:textId="77777777" w:rsidR="007E56AA" w:rsidRDefault="007E56AA" w:rsidP="00CE1056">
      <w:pPr>
        <w:pStyle w:val="NormalWeb"/>
        <w:ind w:left="720" w:hanging="720"/>
        <w:jc w:val="both"/>
      </w:pPr>
      <w:r>
        <w:t xml:space="preserve">Brockman, S., Clark, S., &amp; </w:t>
      </w:r>
      <w:proofErr w:type="spellStart"/>
      <w:r>
        <w:t>Kratz</w:t>
      </w:r>
      <w:proofErr w:type="spellEnd"/>
      <w:r>
        <w:t xml:space="preserve">, J. (2020). Machine learning for credit risk assessment. </w:t>
      </w:r>
      <w:r>
        <w:rPr>
          <w:rStyle w:val="Emphasis"/>
          <w:rFonts w:eastAsiaTheme="majorEastAsia"/>
        </w:rPr>
        <w:t>Journal of Financial Technology, 7</w:t>
      </w:r>
      <w:r>
        <w:t>(4), 135-146.</w:t>
      </w:r>
    </w:p>
    <w:p w14:paraId="0F8F9F95" w14:textId="77777777" w:rsidR="007E56AA" w:rsidRDefault="007E56AA" w:rsidP="00CE1056">
      <w:pPr>
        <w:pStyle w:val="NormalWeb"/>
        <w:ind w:left="720" w:hanging="720"/>
        <w:jc w:val="both"/>
      </w:pPr>
      <w:proofErr w:type="spellStart"/>
      <w:r>
        <w:t>Breiman</w:t>
      </w:r>
      <w:proofErr w:type="spellEnd"/>
      <w:r>
        <w:t xml:space="preserve">, L. (2001). Random forests. </w:t>
      </w:r>
      <w:r>
        <w:rPr>
          <w:rStyle w:val="Emphasis"/>
          <w:rFonts w:eastAsiaTheme="majorEastAsia"/>
        </w:rPr>
        <w:t>Machine Learning, 45</w:t>
      </w:r>
      <w:r>
        <w:t>(1), 5-32.</w:t>
      </w:r>
    </w:p>
    <w:p w14:paraId="13E9E0F0" w14:textId="77777777" w:rsidR="007E56AA" w:rsidRDefault="007E56AA" w:rsidP="00CE1056">
      <w:pPr>
        <w:pStyle w:val="NormalWeb"/>
        <w:ind w:left="720" w:hanging="720"/>
        <w:jc w:val="both"/>
      </w:pPr>
      <w:proofErr w:type="spellStart"/>
      <w:r>
        <w:t>Caruana</w:t>
      </w:r>
      <w:proofErr w:type="spellEnd"/>
      <w:r>
        <w:t xml:space="preserve">, R., </w:t>
      </w:r>
      <w:proofErr w:type="spellStart"/>
      <w:r>
        <w:t>Gehrke</w:t>
      </w:r>
      <w:proofErr w:type="spellEnd"/>
      <w:r>
        <w:t xml:space="preserve">, J., &amp; Koch, P. (2015). Machine learning in credit risk. </w:t>
      </w:r>
      <w:r>
        <w:rPr>
          <w:rStyle w:val="Emphasis"/>
          <w:rFonts w:eastAsiaTheme="majorEastAsia"/>
        </w:rPr>
        <w:t>Credit Risk Journal, 14</w:t>
      </w:r>
      <w:r>
        <w:t>(2), 201-217.</w:t>
      </w:r>
    </w:p>
    <w:p w14:paraId="0E670772" w14:textId="77777777" w:rsidR="007E56AA" w:rsidRDefault="007E56AA" w:rsidP="00CE1056">
      <w:pPr>
        <w:pStyle w:val="NormalWeb"/>
        <w:ind w:left="720" w:hanging="720"/>
        <w:jc w:val="both"/>
      </w:pPr>
      <w:r>
        <w:t xml:space="preserve">Chen, Y. (2018). Predictive analytics for credit scoring: A machine learning approach. </w:t>
      </w:r>
      <w:r>
        <w:rPr>
          <w:rStyle w:val="Emphasis"/>
          <w:rFonts w:eastAsiaTheme="majorEastAsia"/>
        </w:rPr>
        <w:t>Journal of Applied Financial Economics, 12</w:t>
      </w:r>
      <w:r>
        <w:t>(6), 85-98.</w:t>
      </w:r>
    </w:p>
    <w:p w14:paraId="219552FE" w14:textId="77777777" w:rsidR="007E56AA" w:rsidRDefault="007E56AA" w:rsidP="00CE1056">
      <w:pPr>
        <w:pStyle w:val="NormalWeb"/>
        <w:ind w:left="720" w:hanging="720"/>
        <w:jc w:val="both"/>
      </w:pPr>
      <w:r>
        <w:t xml:space="preserve">Feng, Y., Liao, W., &amp; Zhou, Z. (2017). The role of qualitative data in credit risk prediction models. </w:t>
      </w:r>
      <w:r>
        <w:rPr>
          <w:rStyle w:val="Emphasis"/>
          <w:rFonts w:eastAsiaTheme="majorEastAsia"/>
        </w:rPr>
        <w:t>Financial Services Review, 25</w:t>
      </w:r>
      <w:r>
        <w:t>(3), 255-274.</w:t>
      </w:r>
    </w:p>
    <w:p w14:paraId="789DA50C" w14:textId="77777777" w:rsidR="007E56AA" w:rsidRDefault="007E56AA" w:rsidP="00CE1056">
      <w:pPr>
        <w:pStyle w:val="NormalWeb"/>
        <w:ind w:left="720" w:hanging="720"/>
        <w:jc w:val="both"/>
      </w:pPr>
      <w:proofErr w:type="spellStart"/>
      <w:r>
        <w:lastRenderedPageBreak/>
        <w:t>Gölgeci</w:t>
      </w:r>
      <w:proofErr w:type="spellEnd"/>
      <w:r>
        <w:t xml:space="preserve">, I., &amp; </w:t>
      </w:r>
      <w:proofErr w:type="spellStart"/>
      <w:r>
        <w:t>Kuivalainen</w:t>
      </w:r>
      <w:proofErr w:type="spellEnd"/>
      <w:r>
        <w:t xml:space="preserve">, O. (2020). Risk management in global supply chains: Leveraging AI and ML for credit risk. </w:t>
      </w:r>
      <w:r>
        <w:rPr>
          <w:rStyle w:val="Emphasis"/>
          <w:rFonts w:eastAsiaTheme="majorEastAsia"/>
        </w:rPr>
        <w:t>Journal of Supply Chain Management, 56</w:t>
      </w:r>
      <w:r>
        <w:t>(1), 67-81.</w:t>
      </w:r>
    </w:p>
    <w:p w14:paraId="52D1C833" w14:textId="77777777" w:rsidR="007E56AA" w:rsidRDefault="007E56AA" w:rsidP="00CE1056">
      <w:pPr>
        <w:pStyle w:val="NormalWeb"/>
        <w:ind w:left="720" w:hanging="720"/>
        <w:jc w:val="both"/>
      </w:pPr>
      <w:proofErr w:type="spellStart"/>
      <w:r>
        <w:t>Grefenstette</w:t>
      </w:r>
      <w:proofErr w:type="spellEnd"/>
      <w:r>
        <w:t xml:space="preserve">, J., Johnson, M., &amp; </w:t>
      </w:r>
      <w:proofErr w:type="spellStart"/>
      <w:r>
        <w:t>Klement</w:t>
      </w:r>
      <w:proofErr w:type="spellEnd"/>
      <w:r>
        <w:t xml:space="preserve">, A. (2016). Natural language processing for credit risk assessment. </w:t>
      </w:r>
      <w:r>
        <w:rPr>
          <w:rStyle w:val="Emphasis"/>
          <w:rFonts w:eastAsiaTheme="majorEastAsia"/>
        </w:rPr>
        <w:t>Artificial Intelligence in Finance, 10</w:t>
      </w:r>
      <w:r>
        <w:t>(4), 220-235.</w:t>
      </w:r>
    </w:p>
    <w:p w14:paraId="54FA3CB2" w14:textId="77777777" w:rsidR="007E56AA" w:rsidRDefault="007E56AA" w:rsidP="00CE1056">
      <w:pPr>
        <w:pStyle w:val="NormalWeb"/>
        <w:ind w:left="720" w:hanging="720"/>
        <w:jc w:val="both"/>
      </w:pPr>
      <w:proofErr w:type="spellStart"/>
      <w:r>
        <w:t>Khandani</w:t>
      </w:r>
      <w:proofErr w:type="spellEnd"/>
      <w:r>
        <w:t xml:space="preserve">, A. E., Kim, A. J., &amp; Lo, A. W. (2010). Consumer credit-risk models via machine-learning algorithms. </w:t>
      </w:r>
      <w:r>
        <w:rPr>
          <w:rStyle w:val="Emphasis"/>
          <w:rFonts w:eastAsiaTheme="majorEastAsia"/>
        </w:rPr>
        <w:t>Journal of Banking and Finance, 34</w:t>
      </w:r>
      <w:r>
        <w:t>(11), 2767-2785.</w:t>
      </w:r>
    </w:p>
    <w:p w14:paraId="1EF74F49" w14:textId="77777777" w:rsidR="007E56AA" w:rsidRDefault="007E56AA" w:rsidP="00CE1056">
      <w:pPr>
        <w:pStyle w:val="NormalWeb"/>
        <w:ind w:left="720" w:hanging="720"/>
        <w:jc w:val="both"/>
      </w:pPr>
      <w:r>
        <w:t xml:space="preserve">Liao, H., &amp; Chen, M. (2019). Enhancing credit risk prediction with operational and financial data. </w:t>
      </w:r>
      <w:r>
        <w:rPr>
          <w:rStyle w:val="Emphasis"/>
          <w:rFonts w:eastAsiaTheme="majorEastAsia"/>
        </w:rPr>
        <w:t>Journal of Credit Risk, 15</w:t>
      </w:r>
      <w:r>
        <w:t>(2), 123-144.</w:t>
      </w:r>
    </w:p>
    <w:p w14:paraId="10A95619" w14:textId="77777777" w:rsidR="007E56AA" w:rsidRDefault="007E56AA" w:rsidP="00CE1056">
      <w:pPr>
        <w:pStyle w:val="NormalWeb"/>
        <w:ind w:left="720" w:hanging="720"/>
        <w:jc w:val="both"/>
      </w:pPr>
      <w:r>
        <w:t xml:space="preserve">Pyle, D. M., &amp; </w:t>
      </w:r>
      <w:proofErr w:type="spellStart"/>
      <w:r>
        <w:t>Saad</w:t>
      </w:r>
      <w:proofErr w:type="spellEnd"/>
      <w:r>
        <w:t xml:space="preserve">, M. (2019). Credit risk assessment using sentiment analysis. </w:t>
      </w:r>
      <w:r>
        <w:rPr>
          <w:rStyle w:val="Emphasis"/>
          <w:rFonts w:eastAsiaTheme="majorEastAsia"/>
        </w:rPr>
        <w:t>Journal of Financial Analytics, 8</w:t>
      </w:r>
      <w:r>
        <w:t>(1), 18-30.</w:t>
      </w:r>
    </w:p>
    <w:p w14:paraId="4B58C7DC" w14:textId="77777777" w:rsidR="007E56AA" w:rsidRDefault="007E56AA" w:rsidP="00CE1056">
      <w:pPr>
        <w:pStyle w:val="NormalWeb"/>
        <w:ind w:left="720" w:hanging="720"/>
        <w:jc w:val="both"/>
      </w:pPr>
      <w:r>
        <w:t xml:space="preserve">Ramesh, K., &amp; Suresh, S. (2018). Application of AI in financial credit risk analysis: A review. </w:t>
      </w:r>
      <w:r>
        <w:rPr>
          <w:rStyle w:val="Emphasis"/>
          <w:rFonts w:eastAsiaTheme="majorEastAsia"/>
        </w:rPr>
        <w:t>Journal of Financial Technology, 4</w:t>
      </w:r>
      <w:r>
        <w:t>(2), 77-89.</w:t>
      </w:r>
    </w:p>
    <w:p w14:paraId="27F82767" w14:textId="77777777" w:rsidR="007E56AA" w:rsidRDefault="007E56AA" w:rsidP="00CE1056">
      <w:pPr>
        <w:pStyle w:val="NormalWeb"/>
        <w:ind w:left="720" w:hanging="720"/>
        <w:jc w:val="both"/>
      </w:pPr>
      <w:r>
        <w:t xml:space="preserve">Schneider, T., </w:t>
      </w:r>
      <w:proofErr w:type="spellStart"/>
      <w:r>
        <w:t>Soderberg</w:t>
      </w:r>
      <w:proofErr w:type="spellEnd"/>
      <w:r>
        <w:t xml:space="preserve">, A., &amp; Wang, T. (2016). Operational risk management in global supply chains: The role of credit risk. </w:t>
      </w:r>
      <w:r>
        <w:rPr>
          <w:rStyle w:val="Emphasis"/>
          <w:rFonts w:eastAsiaTheme="majorEastAsia"/>
        </w:rPr>
        <w:t>Journal of Risk and Financial Management, 9</w:t>
      </w:r>
      <w:r>
        <w:t>(3), 245-262.</w:t>
      </w:r>
    </w:p>
    <w:p w14:paraId="760C6425" w14:textId="77777777" w:rsidR="007E56AA" w:rsidRDefault="007E56AA" w:rsidP="00CE1056">
      <w:pPr>
        <w:pStyle w:val="NormalWeb"/>
        <w:ind w:left="720" w:hanging="720"/>
        <w:jc w:val="both"/>
      </w:pPr>
      <w:r>
        <w:t xml:space="preserve">Wang, H., &amp; Zhang, L. (2018). Predicting credit risk using operational data in the supply chain. </w:t>
      </w:r>
      <w:r>
        <w:rPr>
          <w:rStyle w:val="Emphasis"/>
          <w:rFonts w:eastAsiaTheme="majorEastAsia"/>
        </w:rPr>
        <w:t>International Journal of Risk Management, 19</w:t>
      </w:r>
      <w:r>
        <w:t>(4), 112-130.</w:t>
      </w:r>
    </w:p>
    <w:p w14:paraId="546AD574" w14:textId="77777777" w:rsidR="007E56AA" w:rsidRDefault="007E56AA" w:rsidP="00CE1056">
      <w:pPr>
        <w:pStyle w:val="NormalWeb"/>
        <w:ind w:left="720" w:hanging="720"/>
        <w:jc w:val="both"/>
      </w:pPr>
      <w:r>
        <w:t xml:space="preserve">Zhang, H., </w:t>
      </w:r>
      <w:proofErr w:type="spellStart"/>
      <w:r>
        <w:t>Xie</w:t>
      </w:r>
      <w:proofErr w:type="spellEnd"/>
      <w:r>
        <w:t xml:space="preserve">, L., &amp; Wang, Y. (2021). Deep learning for credit risk prediction using financial and operational data. </w:t>
      </w:r>
      <w:r>
        <w:rPr>
          <w:rStyle w:val="Emphasis"/>
          <w:rFonts w:eastAsiaTheme="majorEastAsia"/>
        </w:rPr>
        <w:t>Journal of Financial Engineering, 18</w:t>
      </w:r>
      <w:r>
        <w:t>(2), 56-70.</w:t>
      </w:r>
    </w:p>
    <w:p w14:paraId="1A1F11C9" w14:textId="77777777" w:rsidR="002525A4" w:rsidRPr="002525A4" w:rsidRDefault="002525A4" w:rsidP="002525A4">
      <w:pPr>
        <w:pStyle w:val="NormalWeb"/>
        <w:spacing w:before="0" w:beforeAutospacing="0" w:line="360" w:lineRule="auto"/>
        <w:jc w:val="both"/>
      </w:pPr>
    </w:p>
    <w:p w14:paraId="2CF4D59C" w14:textId="77777777" w:rsidR="002525A4" w:rsidRDefault="002525A4" w:rsidP="009E24DA">
      <w:pPr>
        <w:pStyle w:val="ListParagraph"/>
        <w:spacing w:line="360" w:lineRule="auto"/>
        <w:ind w:left="0"/>
        <w:rPr>
          <w:rFonts w:ascii="Times New Roman" w:hAnsi="Times New Roman" w:cs="Times New Roman"/>
          <w:b/>
        </w:rPr>
      </w:pPr>
    </w:p>
    <w:sectPr w:rsidR="002525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5C1CA7"/>
    <w:multiLevelType w:val="hybridMultilevel"/>
    <w:tmpl w:val="B7D861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3FCA63F8"/>
    <w:multiLevelType w:val="hybridMultilevel"/>
    <w:tmpl w:val="EBA0F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B25BE0"/>
    <w:multiLevelType w:val="hybridMultilevel"/>
    <w:tmpl w:val="DC764B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80D"/>
    <w:rsid w:val="000347EF"/>
    <w:rsid w:val="00050610"/>
    <w:rsid w:val="000E4F36"/>
    <w:rsid w:val="00154F86"/>
    <w:rsid w:val="002525A4"/>
    <w:rsid w:val="002B5A7B"/>
    <w:rsid w:val="002C74B3"/>
    <w:rsid w:val="003A7326"/>
    <w:rsid w:val="00443514"/>
    <w:rsid w:val="00443D5F"/>
    <w:rsid w:val="0051096D"/>
    <w:rsid w:val="00602018"/>
    <w:rsid w:val="006A1737"/>
    <w:rsid w:val="006B61CE"/>
    <w:rsid w:val="006E6CED"/>
    <w:rsid w:val="006F0CF8"/>
    <w:rsid w:val="00776A32"/>
    <w:rsid w:val="00796567"/>
    <w:rsid w:val="007E56AA"/>
    <w:rsid w:val="008A5A84"/>
    <w:rsid w:val="008E4339"/>
    <w:rsid w:val="009D7973"/>
    <w:rsid w:val="009E24DA"/>
    <w:rsid w:val="00A369AE"/>
    <w:rsid w:val="00A7430C"/>
    <w:rsid w:val="00B00E1D"/>
    <w:rsid w:val="00B9623F"/>
    <w:rsid w:val="00BB6078"/>
    <w:rsid w:val="00C52960"/>
    <w:rsid w:val="00C636D2"/>
    <w:rsid w:val="00CE1056"/>
    <w:rsid w:val="00D0140A"/>
    <w:rsid w:val="00D528B1"/>
    <w:rsid w:val="00DE680D"/>
    <w:rsid w:val="00DF0DF6"/>
    <w:rsid w:val="00E01D71"/>
    <w:rsid w:val="00E67A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26305"/>
  <w15:chartTrackingRefBased/>
  <w15:docId w15:val="{7DA93DFF-395A-4C00-81C0-A38DDA1A9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E68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68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68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68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68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68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68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68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68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68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68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68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68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68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68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68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68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680D"/>
    <w:rPr>
      <w:rFonts w:eastAsiaTheme="majorEastAsia" w:cstheme="majorBidi"/>
      <w:color w:val="272727" w:themeColor="text1" w:themeTint="D8"/>
    </w:rPr>
  </w:style>
  <w:style w:type="paragraph" w:styleId="Title">
    <w:name w:val="Title"/>
    <w:basedOn w:val="Normal"/>
    <w:next w:val="Normal"/>
    <w:link w:val="TitleChar"/>
    <w:uiPriority w:val="10"/>
    <w:qFormat/>
    <w:rsid w:val="00DE68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8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68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68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680D"/>
    <w:pPr>
      <w:spacing w:before="160"/>
      <w:jc w:val="center"/>
    </w:pPr>
    <w:rPr>
      <w:i/>
      <w:iCs/>
      <w:color w:val="404040" w:themeColor="text1" w:themeTint="BF"/>
    </w:rPr>
  </w:style>
  <w:style w:type="character" w:customStyle="1" w:styleId="QuoteChar">
    <w:name w:val="Quote Char"/>
    <w:basedOn w:val="DefaultParagraphFont"/>
    <w:link w:val="Quote"/>
    <w:uiPriority w:val="29"/>
    <w:rsid w:val="00DE680D"/>
    <w:rPr>
      <w:i/>
      <w:iCs/>
      <w:color w:val="404040" w:themeColor="text1" w:themeTint="BF"/>
    </w:rPr>
  </w:style>
  <w:style w:type="paragraph" w:styleId="ListParagraph">
    <w:name w:val="List Paragraph"/>
    <w:basedOn w:val="Normal"/>
    <w:uiPriority w:val="34"/>
    <w:qFormat/>
    <w:rsid w:val="00DE680D"/>
    <w:pPr>
      <w:ind w:left="720"/>
      <w:contextualSpacing/>
    </w:pPr>
  </w:style>
  <w:style w:type="character" w:styleId="IntenseEmphasis">
    <w:name w:val="Intense Emphasis"/>
    <w:basedOn w:val="DefaultParagraphFont"/>
    <w:uiPriority w:val="21"/>
    <w:qFormat/>
    <w:rsid w:val="00DE680D"/>
    <w:rPr>
      <w:i/>
      <w:iCs/>
      <w:color w:val="0F4761" w:themeColor="accent1" w:themeShade="BF"/>
    </w:rPr>
  </w:style>
  <w:style w:type="paragraph" w:styleId="IntenseQuote">
    <w:name w:val="Intense Quote"/>
    <w:basedOn w:val="Normal"/>
    <w:next w:val="Normal"/>
    <w:link w:val="IntenseQuoteChar"/>
    <w:uiPriority w:val="30"/>
    <w:qFormat/>
    <w:rsid w:val="00DE68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680D"/>
    <w:rPr>
      <w:i/>
      <w:iCs/>
      <w:color w:val="0F4761" w:themeColor="accent1" w:themeShade="BF"/>
    </w:rPr>
  </w:style>
  <w:style w:type="character" w:styleId="IntenseReference">
    <w:name w:val="Intense Reference"/>
    <w:basedOn w:val="DefaultParagraphFont"/>
    <w:uiPriority w:val="32"/>
    <w:qFormat/>
    <w:rsid w:val="00DE680D"/>
    <w:rPr>
      <w:b/>
      <w:bCs/>
      <w:smallCaps/>
      <w:color w:val="0F4761" w:themeColor="accent1" w:themeShade="BF"/>
      <w:spacing w:val="5"/>
    </w:rPr>
  </w:style>
  <w:style w:type="character" w:styleId="Hyperlink">
    <w:name w:val="Hyperlink"/>
    <w:basedOn w:val="DefaultParagraphFont"/>
    <w:uiPriority w:val="99"/>
    <w:unhideWhenUsed/>
    <w:rsid w:val="00776A32"/>
    <w:rPr>
      <w:color w:val="467886" w:themeColor="hyperlink"/>
      <w:u w:val="single"/>
    </w:rPr>
  </w:style>
  <w:style w:type="character" w:customStyle="1" w:styleId="UnresolvedMention">
    <w:name w:val="Unresolved Mention"/>
    <w:basedOn w:val="DefaultParagraphFont"/>
    <w:uiPriority w:val="99"/>
    <w:semiHidden/>
    <w:unhideWhenUsed/>
    <w:rsid w:val="00776A32"/>
    <w:rPr>
      <w:color w:val="605E5C"/>
      <w:shd w:val="clear" w:color="auto" w:fill="E1DFDD"/>
    </w:rPr>
  </w:style>
  <w:style w:type="paragraph" w:styleId="NormalWeb">
    <w:name w:val="Normal (Web)"/>
    <w:basedOn w:val="Normal"/>
    <w:uiPriority w:val="99"/>
    <w:unhideWhenUsed/>
    <w:rsid w:val="009E24DA"/>
    <w:pPr>
      <w:spacing w:before="100" w:beforeAutospacing="1" w:after="100" w:afterAutospacing="1" w:line="240" w:lineRule="auto"/>
    </w:pPr>
    <w:rPr>
      <w:rFonts w:ascii="Times New Roman" w:eastAsia="Times New Roman" w:hAnsi="Times New Roman" w:cs="Times New Roman"/>
      <w:kern w:val="0"/>
      <w:lang w:val="en-US"/>
      <w14:ligatures w14:val="none"/>
    </w:rPr>
  </w:style>
  <w:style w:type="character" w:styleId="Emphasis">
    <w:name w:val="Emphasis"/>
    <w:basedOn w:val="DefaultParagraphFont"/>
    <w:uiPriority w:val="20"/>
    <w:qFormat/>
    <w:rsid w:val="007E56AA"/>
    <w:rPr>
      <w:i/>
      <w:iCs/>
    </w:rPr>
  </w:style>
  <w:style w:type="character" w:styleId="Strong">
    <w:name w:val="Strong"/>
    <w:basedOn w:val="DefaultParagraphFont"/>
    <w:uiPriority w:val="22"/>
    <w:qFormat/>
    <w:rsid w:val="00A743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734849">
      <w:bodyDiv w:val="1"/>
      <w:marLeft w:val="0"/>
      <w:marRight w:val="0"/>
      <w:marTop w:val="0"/>
      <w:marBottom w:val="0"/>
      <w:divBdr>
        <w:top w:val="none" w:sz="0" w:space="0" w:color="auto"/>
        <w:left w:val="none" w:sz="0" w:space="0" w:color="auto"/>
        <w:bottom w:val="none" w:sz="0" w:space="0" w:color="auto"/>
        <w:right w:val="none" w:sz="0" w:space="0" w:color="auto"/>
      </w:divBdr>
    </w:div>
    <w:div w:id="222985692">
      <w:bodyDiv w:val="1"/>
      <w:marLeft w:val="0"/>
      <w:marRight w:val="0"/>
      <w:marTop w:val="0"/>
      <w:marBottom w:val="0"/>
      <w:divBdr>
        <w:top w:val="none" w:sz="0" w:space="0" w:color="auto"/>
        <w:left w:val="none" w:sz="0" w:space="0" w:color="auto"/>
        <w:bottom w:val="none" w:sz="0" w:space="0" w:color="auto"/>
        <w:right w:val="none" w:sz="0" w:space="0" w:color="auto"/>
      </w:divBdr>
    </w:div>
    <w:div w:id="420295210">
      <w:bodyDiv w:val="1"/>
      <w:marLeft w:val="0"/>
      <w:marRight w:val="0"/>
      <w:marTop w:val="0"/>
      <w:marBottom w:val="0"/>
      <w:divBdr>
        <w:top w:val="none" w:sz="0" w:space="0" w:color="auto"/>
        <w:left w:val="none" w:sz="0" w:space="0" w:color="auto"/>
        <w:bottom w:val="none" w:sz="0" w:space="0" w:color="auto"/>
        <w:right w:val="none" w:sz="0" w:space="0" w:color="auto"/>
      </w:divBdr>
    </w:div>
    <w:div w:id="423383764">
      <w:bodyDiv w:val="1"/>
      <w:marLeft w:val="0"/>
      <w:marRight w:val="0"/>
      <w:marTop w:val="0"/>
      <w:marBottom w:val="0"/>
      <w:divBdr>
        <w:top w:val="none" w:sz="0" w:space="0" w:color="auto"/>
        <w:left w:val="none" w:sz="0" w:space="0" w:color="auto"/>
        <w:bottom w:val="none" w:sz="0" w:space="0" w:color="auto"/>
        <w:right w:val="none" w:sz="0" w:space="0" w:color="auto"/>
      </w:divBdr>
    </w:div>
    <w:div w:id="467362413">
      <w:bodyDiv w:val="1"/>
      <w:marLeft w:val="0"/>
      <w:marRight w:val="0"/>
      <w:marTop w:val="0"/>
      <w:marBottom w:val="0"/>
      <w:divBdr>
        <w:top w:val="none" w:sz="0" w:space="0" w:color="auto"/>
        <w:left w:val="none" w:sz="0" w:space="0" w:color="auto"/>
        <w:bottom w:val="none" w:sz="0" w:space="0" w:color="auto"/>
        <w:right w:val="none" w:sz="0" w:space="0" w:color="auto"/>
      </w:divBdr>
    </w:div>
    <w:div w:id="617104105">
      <w:bodyDiv w:val="1"/>
      <w:marLeft w:val="0"/>
      <w:marRight w:val="0"/>
      <w:marTop w:val="0"/>
      <w:marBottom w:val="0"/>
      <w:divBdr>
        <w:top w:val="none" w:sz="0" w:space="0" w:color="auto"/>
        <w:left w:val="none" w:sz="0" w:space="0" w:color="auto"/>
        <w:bottom w:val="none" w:sz="0" w:space="0" w:color="auto"/>
        <w:right w:val="none" w:sz="0" w:space="0" w:color="auto"/>
      </w:divBdr>
    </w:div>
    <w:div w:id="660932193">
      <w:bodyDiv w:val="1"/>
      <w:marLeft w:val="0"/>
      <w:marRight w:val="0"/>
      <w:marTop w:val="0"/>
      <w:marBottom w:val="0"/>
      <w:divBdr>
        <w:top w:val="none" w:sz="0" w:space="0" w:color="auto"/>
        <w:left w:val="none" w:sz="0" w:space="0" w:color="auto"/>
        <w:bottom w:val="none" w:sz="0" w:space="0" w:color="auto"/>
        <w:right w:val="none" w:sz="0" w:space="0" w:color="auto"/>
      </w:divBdr>
    </w:div>
    <w:div w:id="885682578">
      <w:bodyDiv w:val="1"/>
      <w:marLeft w:val="0"/>
      <w:marRight w:val="0"/>
      <w:marTop w:val="0"/>
      <w:marBottom w:val="0"/>
      <w:divBdr>
        <w:top w:val="none" w:sz="0" w:space="0" w:color="auto"/>
        <w:left w:val="none" w:sz="0" w:space="0" w:color="auto"/>
        <w:bottom w:val="none" w:sz="0" w:space="0" w:color="auto"/>
        <w:right w:val="none" w:sz="0" w:space="0" w:color="auto"/>
      </w:divBdr>
    </w:div>
    <w:div w:id="949119729">
      <w:bodyDiv w:val="1"/>
      <w:marLeft w:val="0"/>
      <w:marRight w:val="0"/>
      <w:marTop w:val="0"/>
      <w:marBottom w:val="0"/>
      <w:divBdr>
        <w:top w:val="none" w:sz="0" w:space="0" w:color="auto"/>
        <w:left w:val="none" w:sz="0" w:space="0" w:color="auto"/>
        <w:bottom w:val="none" w:sz="0" w:space="0" w:color="auto"/>
        <w:right w:val="none" w:sz="0" w:space="0" w:color="auto"/>
      </w:divBdr>
    </w:div>
    <w:div w:id="988288150">
      <w:bodyDiv w:val="1"/>
      <w:marLeft w:val="0"/>
      <w:marRight w:val="0"/>
      <w:marTop w:val="0"/>
      <w:marBottom w:val="0"/>
      <w:divBdr>
        <w:top w:val="none" w:sz="0" w:space="0" w:color="auto"/>
        <w:left w:val="none" w:sz="0" w:space="0" w:color="auto"/>
        <w:bottom w:val="none" w:sz="0" w:space="0" w:color="auto"/>
        <w:right w:val="none" w:sz="0" w:space="0" w:color="auto"/>
      </w:divBdr>
    </w:div>
    <w:div w:id="1037854313">
      <w:bodyDiv w:val="1"/>
      <w:marLeft w:val="0"/>
      <w:marRight w:val="0"/>
      <w:marTop w:val="0"/>
      <w:marBottom w:val="0"/>
      <w:divBdr>
        <w:top w:val="none" w:sz="0" w:space="0" w:color="auto"/>
        <w:left w:val="none" w:sz="0" w:space="0" w:color="auto"/>
        <w:bottom w:val="none" w:sz="0" w:space="0" w:color="auto"/>
        <w:right w:val="none" w:sz="0" w:space="0" w:color="auto"/>
      </w:divBdr>
    </w:div>
    <w:div w:id="1039160279">
      <w:bodyDiv w:val="1"/>
      <w:marLeft w:val="0"/>
      <w:marRight w:val="0"/>
      <w:marTop w:val="0"/>
      <w:marBottom w:val="0"/>
      <w:divBdr>
        <w:top w:val="none" w:sz="0" w:space="0" w:color="auto"/>
        <w:left w:val="none" w:sz="0" w:space="0" w:color="auto"/>
        <w:bottom w:val="none" w:sz="0" w:space="0" w:color="auto"/>
        <w:right w:val="none" w:sz="0" w:space="0" w:color="auto"/>
      </w:divBdr>
    </w:div>
    <w:div w:id="1118136070">
      <w:bodyDiv w:val="1"/>
      <w:marLeft w:val="0"/>
      <w:marRight w:val="0"/>
      <w:marTop w:val="0"/>
      <w:marBottom w:val="0"/>
      <w:divBdr>
        <w:top w:val="none" w:sz="0" w:space="0" w:color="auto"/>
        <w:left w:val="none" w:sz="0" w:space="0" w:color="auto"/>
        <w:bottom w:val="none" w:sz="0" w:space="0" w:color="auto"/>
        <w:right w:val="none" w:sz="0" w:space="0" w:color="auto"/>
      </w:divBdr>
    </w:div>
    <w:div w:id="1129592324">
      <w:bodyDiv w:val="1"/>
      <w:marLeft w:val="0"/>
      <w:marRight w:val="0"/>
      <w:marTop w:val="0"/>
      <w:marBottom w:val="0"/>
      <w:divBdr>
        <w:top w:val="none" w:sz="0" w:space="0" w:color="auto"/>
        <w:left w:val="none" w:sz="0" w:space="0" w:color="auto"/>
        <w:bottom w:val="none" w:sz="0" w:space="0" w:color="auto"/>
        <w:right w:val="none" w:sz="0" w:space="0" w:color="auto"/>
      </w:divBdr>
    </w:div>
    <w:div w:id="1166359241">
      <w:bodyDiv w:val="1"/>
      <w:marLeft w:val="0"/>
      <w:marRight w:val="0"/>
      <w:marTop w:val="0"/>
      <w:marBottom w:val="0"/>
      <w:divBdr>
        <w:top w:val="none" w:sz="0" w:space="0" w:color="auto"/>
        <w:left w:val="none" w:sz="0" w:space="0" w:color="auto"/>
        <w:bottom w:val="none" w:sz="0" w:space="0" w:color="auto"/>
        <w:right w:val="none" w:sz="0" w:space="0" w:color="auto"/>
      </w:divBdr>
    </w:div>
    <w:div w:id="1224103708">
      <w:bodyDiv w:val="1"/>
      <w:marLeft w:val="0"/>
      <w:marRight w:val="0"/>
      <w:marTop w:val="0"/>
      <w:marBottom w:val="0"/>
      <w:divBdr>
        <w:top w:val="none" w:sz="0" w:space="0" w:color="auto"/>
        <w:left w:val="none" w:sz="0" w:space="0" w:color="auto"/>
        <w:bottom w:val="none" w:sz="0" w:space="0" w:color="auto"/>
        <w:right w:val="none" w:sz="0" w:space="0" w:color="auto"/>
      </w:divBdr>
    </w:div>
    <w:div w:id="1267080530">
      <w:bodyDiv w:val="1"/>
      <w:marLeft w:val="0"/>
      <w:marRight w:val="0"/>
      <w:marTop w:val="0"/>
      <w:marBottom w:val="0"/>
      <w:divBdr>
        <w:top w:val="none" w:sz="0" w:space="0" w:color="auto"/>
        <w:left w:val="none" w:sz="0" w:space="0" w:color="auto"/>
        <w:bottom w:val="none" w:sz="0" w:space="0" w:color="auto"/>
        <w:right w:val="none" w:sz="0" w:space="0" w:color="auto"/>
      </w:divBdr>
    </w:div>
    <w:div w:id="1420635059">
      <w:bodyDiv w:val="1"/>
      <w:marLeft w:val="0"/>
      <w:marRight w:val="0"/>
      <w:marTop w:val="0"/>
      <w:marBottom w:val="0"/>
      <w:divBdr>
        <w:top w:val="none" w:sz="0" w:space="0" w:color="auto"/>
        <w:left w:val="none" w:sz="0" w:space="0" w:color="auto"/>
        <w:bottom w:val="none" w:sz="0" w:space="0" w:color="auto"/>
        <w:right w:val="none" w:sz="0" w:space="0" w:color="auto"/>
      </w:divBdr>
    </w:div>
    <w:div w:id="1547376666">
      <w:bodyDiv w:val="1"/>
      <w:marLeft w:val="0"/>
      <w:marRight w:val="0"/>
      <w:marTop w:val="0"/>
      <w:marBottom w:val="0"/>
      <w:divBdr>
        <w:top w:val="none" w:sz="0" w:space="0" w:color="auto"/>
        <w:left w:val="none" w:sz="0" w:space="0" w:color="auto"/>
        <w:bottom w:val="none" w:sz="0" w:space="0" w:color="auto"/>
        <w:right w:val="none" w:sz="0" w:space="0" w:color="auto"/>
      </w:divBdr>
    </w:div>
    <w:div w:id="1797522082">
      <w:bodyDiv w:val="1"/>
      <w:marLeft w:val="0"/>
      <w:marRight w:val="0"/>
      <w:marTop w:val="0"/>
      <w:marBottom w:val="0"/>
      <w:divBdr>
        <w:top w:val="none" w:sz="0" w:space="0" w:color="auto"/>
        <w:left w:val="none" w:sz="0" w:space="0" w:color="auto"/>
        <w:bottom w:val="none" w:sz="0" w:space="0" w:color="auto"/>
        <w:right w:val="none" w:sz="0" w:space="0" w:color="auto"/>
      </w:divBdr>
    </w:div>
    <w:div w:id="1832671282">
      <w:bodyDiv w:val="1"/>
      <w:marLeft w:val="0"/>
      <w:marRight w:val="0"/>
      <w:marTop w:val="0"/>
      <w:marBottom w:val="0"/>
      <w:divBdr>
        <w:top w:val="none" w:sz="0" w:space="0" w:color="auto"/>
        <w:left w:val="none" w:sz="0" w:space="0" w:color="auto"/>
        <w:bottom w:val="none" w:sz="0" w:space="0" w:color="auto"/>
        <w:right w:val="none" w:sz="0" w:space="0" w:color="auto"/>
      </w:divBdr>
    </w:div>
    <w:div w:id="201302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5672</Words>
  <Characters>32332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anurag SENGAR</dc:creator>
  <cp:keywords/>
  <dc:description/>
  <cp:lastModifiedBy>Admin</cp:lastModifiedBy>
  <cp:revision>2</cp:revision>
  <dcterms:created xsi:type="dcterms:W3CDTF">2025-01-17T20:44:00Z</dcterms:created>
  <dcterms:modified xsi:type="dcterms:W3CDTF">2025-01-17T20:44:00Z</dcterms:modified>
</cp:coreProperties>
</file>