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57C" w:rsidRDefault="0032657C" w:rsidP="0032657C">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32657C">
        <w:rPr>
          <w:rFonts w:ascii="Times New Roman" w:eastAsia="Times New Roman" w:hAnsi="Times New Roman" w:cs="Times New Roman"/>
          <w:b/>
          <w:bCs/>
          <w:kern w:val="36"/>
          <w:sz w:val="48"/>
          <w:szCs w:val="48"/>
        </w:rPr>
        <w:t>Finite Element Analysis of Brick Masonry Structures with Openings</w:t>
      </w:r>
    </w:p>
    <w:p w:rsidR="00100D21" w:rsidRDefault="00100D21" w:rsidP="0032657C">
      <w:pPr>
        <w:spacing w:before="100" w:beforeAutospacing="1" w:after="100" w:afterAutospacing="1" w:line="240" w:lineRule="auto"/>
        <w:outlineLvl w:val="0"/>
        <w:rPr>
          <w:rStyle w:val="fontstyle21"/>
          <w:b/>
          <w:color w:val="000000" w:themeColor="text1"/>
          <w:sz w:val="24"/>
          <w:szCs w:val="24"/>
          <w:vertAlign w:val="superscript"/>
        </w:rPr>
      </w:pPr>
      <w:proofErr w:type="spellStart"/>
      <w:r w:rsidRPr="00100D21">
        <w:rPr>
          <w:rStyle w:val="fontstyle01"/>
          <w:color w:val="000000" w:themeColor="text1"/>
        </w:rPr>
        <w:t>Mohd</w:t>
      </w:r>
      <w:proofErr w:type="spellEnd"/>
      <w:r w:rsidRPr="00100D21">
        <w:rPr>
          <w:rStyle w:val="fontstyle01"/>
          <w:color w:val="000000" w:themeColor="text1"/>
        </w:rPr>
        <w:t xml:space="preserve"> </w:t>
      </w:r>
      <w:proofErr w:type="spellStart"/>
      <w:r w:rsidRPr="00100D21">
        <w:rPr>
          <w:rStyle w:val="fontstyle01"/>
          <w:color w:val="000000" w:themeColor="text1"/>
        </w:rPr>
        <w:t>Yasir</w:t>
      </w:r>
      <w:proofErr w:type="spellEnd"/>
      <w:r w:rsidRPr="00100D21">
        <w:rPr>
          <w:rStyle w:val="fontstyle01"/>
          <w:color w:val="000000" w:themeColor="text1"/>
        </w:rPr>
        <w:t xml:space="preserve"> khan</w:t>
      </w:r>
      <w:r w:rsidRPr="00100D21">
        <w:rPr>
          <w:rStyle w:val="fontstyle01"/>
          <w:color w:val="000000" w:themeColor="text1"/>
          <w:vertAlign w:val="superscript"/>
        </w:rPr>
        <w:t>1</w:t>
      </w:r>
      <w:r w:rsidR="00BC79E2">
        <w:rPr>
          <w:rStyle w:val="fontstyle01"/>
          <w:color w:val="000000" w:themeColor="text1"/>
        </w:rPr>
        <w:t>,</w:t>
      </w:r>
      <w:r w:rsidRPr="00100D21">
        <w:rPr>
          <w:rStyle w:val="fontstyle01"/>
          <w:b w:val="0"/>
          <w:color w:val="000000" w:themeColor="text1"/>
        </w:rPr>
        <w:t xml:space="preserve"> </w:t>
      </w:r>
      <w:proofErr w:type="spellStart"/>
      <w:r w:rsidRPr="00100D21">
        <w:rPr>
          <w:rStyle w:val="fontstyle21"/>
          <w:b/>
          <w:color w:val="000000" w:themeColor="text1"/>
          <w:sz w:val="24"/>
          <w:szCs w:val="24"/>
        </w:rPr>
        <w:t>Afzal</w:t>
      </w:r>
      <w:proofErr w:type="spellEnd"/>
      <w:r w:rsidRPr="00100D21">
        <w:rPr>
          <w:rStyle w:val="fontstyle21"/>
          <w:b/>
          <w:color w:val="000000" w:themeColor="text1"/>
          <w:sz w:val="24"/>
          <w:szCs w:val="24"/>
        </w:rPr>
        <w:t xml:space="preserve"> Khan</w:t>
      </w:r>
      <w:r w:rsidRPr="00100D21">
        <w:rPr>
          <w:rStyle w:val="fontstyle21"/>
          <w:b/>
          <w:color w:val="000000" w:themeColor="text1"/>
          <w:sz w:val="24"/>
          <w:szCs w:val="24"/>
          <w:vertAlign w:val="superscript"/>
        </w:rPr>
        <w:t>2</w:t>
      </w:r>
    </w:p>
    <w:p w:rsidR="00BC79E2" w:rsidRPr="00BC79E2" w:rsidRDefault="00BC79E2" w:rsidP="0032657C">
      <w:pPr>
        <w:spacing w:before="100" w:beforeAutospacing="1" w:after="100" w:afterAutospacing="1" w:line="240" w:lineRule="auto"/>
        <w:outlineLvl w:val="0"/>
        <w:rPr>
          <w:rStyle w:val="fontstyle21"/>
          <w:b/>
          <w:color w:val="000000" w:themeColor="text1"/>
          <w:sz w:val="24"/>
          <w:szCs w:val="24"/>
        </w:rPr>
      </w:pPr>
      <w:r w:rsidRPr="00BC79E2">
        <w:rPr>
          <w:rStyle w:val="fontstyle21"/>
          <w:b/>
          <w:color w:val="000000" w:themeColor="text1"/>
          <w:sz w:val="24"/>
          <w:szCs w:val="24"/>
        </w:rPr>
        <w:t>Research scholar</w:t>
      </w:r>
      <w:r w:rsidRPr="00BC79E2">
        <w:rPr>
          <w:rStyle w:val="fontstyle21"/>
          <w:b/>
          <w:color w:val="000000" w:themeColor="text1"/>
          <w:sz w:val="24"/>
          <w:szCs w:val="24"/>
          <w:vertAlign w:val="superscript"/>
        </w:rPr>
        <w:t xml:space="preserve"> 1</w:t>
      </w:r>
      <w:r>
        <w:rPr>
          <w:rStyle w:val="fontstyle21"/>
          <w:b/>
          <w:color w:val="000000" w:themeColor="text1"/>
          <w:sz w:val="24"/>
          <w:szCs w:val="24"/>
        </w:rPr>
        <w:t>,</w:t>
      </w:r>
      <w:r w:rsidR="00CA397B">
        <w:rPr>
          <w:rStyle w:val="fontstyle21"/>
          <w:b/>
          <w:color w:val="000000" w:themeColor="text1"/>
          <w:sz w:val="24"/>
          <w:szCs w:val="24"/>
        </w:rPr>
        <w:t xml:space="preserve"> Assistant Professor</w:t>
      </w:r>
      <w:r w:rsidR="00CA397B" w:rsidRPr="00CA397B">
        <w:rPr>
          <w:rStyle w:val="fontstyle21"/>
          <w:b/>
          <w:color w:val="000000" w:themeColor="text1"/>
          <w:sz w:val="24"/>
          <w:szCs w:val="24"/>
          <w:vertAlign w:val="superscript"/>
        </w:rPr>
        <w:t>2</w:t>
      </w:r>
      <w:r w:rsidR="00CA397B">
        <w:rPr>
          <w:rStyle w:val="fontstyle21"/>
          <w:b/>
          <w:color w:val="000000" w:themeColor="text1"/>
          <w:sz w:val="24"/>
          <w:szCs w:val="24"/>
        </w:rPr>
        <w:t xml:space="preserve"> </w:t>
      </w:r>
    </w:p>
    <w:p w:rsidR="00263EFE" w:rsidRDefault="00100D21" w:rsidP="0032657C">
      <w:pPr>
        <w:spacing w:before="100" w:beforeAutospacing="1" w:after="100" w:afterAutospacing="1" w:line="240" w:lineRule="auto"/>
        <w:outlineLvl w:val="0"/>
        <w:rPr>
          <w:rStyle w:val="fontstyle21"/>
          <w:color w:val="000000" w:themeColor="text1"/>
        </w:rPr>
      </w:pPr>
      <w:r w:rsidRPr="00100D21">
        <w:rPr>
          <w:rStyle w:val="fontstyle21"/>
          <w:color w:val="000000" w:themeColor="text1"/>
        </w:rPr>
        <w:t>Department of Civil Engineering</w:t>
      </w:r>
    </w:p>
    <w:p w:rsidR="00100D21" w:rsidRPr="0032657C" w:rsidRDefault="00100D21" w:rsidP="0032657C">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rPr>
      </w:pPr>
      <w:r w:rsidRPr="00100D21">
        <w:rPr>
          <w:rStyle w:val="fontstyle21"/>
          <w:color w:val="000000" w:themeColor="text1"/>
        </w:rPr>
        <w:t>MILLENNIUM INSTITUTE OF TECHNOLOGY &amp; SCIENCE BHOPAL (M.P</w:t>
      </w:r>
      <w:r w:rsidR="0000138C">
        <w:rPr>
          <w:rStyle w:val="fontstyle21"/>
          <w:color w:val="000000" w:themeColor="text1"/>
        </w:rPr>
        <w:t>.</w:t>
      </w:r>
      <w:r w:rsidRPr="00100D21">
        <w:rPr>
          <w:rStyle w:val="fontstyle21"/>
          <w:color w:val="000000" w:themeColor="text1"/>
        </w:rPr>
        <w:t>)</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25"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Abstract</w:t>
      </w:r>
    </w:p>
    <w:p w:rsidR="0032657C" w:rsidRPr="0032657C" w:rsidRDefault="0032657C" w:rsidP="0032657C">
      <w:p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This research investigates the influence of openings on the structural performance of brick masonry walls using finite element analysis (FEA) in ABAQUS software. Openings, often introduced for functionality and aesthetics, compromise the structural integrity of masonry walls by reducing load-carrying capacity and altering stress distributions. The study examined rectangular and circular openings under axial and lateral loads. Results indicate that openings significantly diminish the load-carrying capacity and compressive stress, with rectangular openings causing greater reductions compared to circular openings of equivalent areas. Practical insights for optimizing masonry design, retrofitting strategies, and future research directions are provided.</w:t>
      </w:r>
    </w:p>
    <w:p w:rsidR="0032657C" w:rsidRPr="0032657C" w:rsidRDefault="0032657C" w:rsidP="0032657C">
      <w:p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Keywords:</w:t>
      </w:r>
      <w:r w:rsidRPr="0032657C">
        <w:rPr>
          <w:rFonts w:ascii="Times New Roman" w:eastAsia="Times New Roman" w:hAnsi="Times New Roman" w:cs="Times New Roman"/>
          <w:sz w:val="24"/>
          <w:szCs w:val="24"/>
        </w:rPr>
        <w:t xml:space="preserve"> Finite Element Analysis, Brick Masonry, Openings, Structural Performance, Load Reduction, Stress Distribution.</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26"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Introduction</w:t>
      </w:r>
    </w:p>
    <w:p w:rsidR="0032657C" w:rsidRPr="0032657C" w:rsidRDefault="0032657C" w:rsidP="0032657C">
      <w:p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Brick masonry has been a cornerstone of architectural design due to its durability, cost-effectiveness, and thermal properties. Openings such as windows and doors are essential but compromise structural stability. Understanding how openings affect load-carrying capacity and stress distribution is crucial for designing resilient masonry structures.</w:t>
      </w:r>
    </w:p>
    <w:p w:rsidR="0032657C" w:rsidRPr="0032657C" w:rsidRDefault="0032657C" w:rsidP="0032657C">
      <w:p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Objectives of the study:</w:t>
      </w:r>
    </w:p>
    <w:p w:rsidR="0032657C" w:rsidRPr="0032657C" w:rsidRDefault="0032657C" w:rsidP="00326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Develop an FEA model of masonry structures with openings.</w:t>
      </w:r>
    </w:p>
    <w:p w:rsidR="0032657C" w:rsidRPr="0032657C" w:rsidRDefault="0032657C" w:rsidP="00326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Investigate the impact of opening size, shape, and location on structural performance.</w:t>
      </w:r>
    </w:p>
    <w:p w:rsidR="0032657C" w:rsidRPr="0032657C" w:rsidRDefault="0032657C" w:rsidP="0032657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Provide guidelines for optimizing masonry design with openings.</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lastRenderedPageBreak/>
        <w:pict>
          <v:rect id="_x0000_i1027"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Methodology</w:t>
      </w:r>
    </w:p>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Material Properties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975"/>
        <w:gridCol w:w="1209"/>
      </w:tblGrid>
      <w:tr w:rsidR="0032657C" w:rsidRPr="0032657C" w:rsidTr="00624F53">
        <w:trPr>
          <w:tblCellSpacing w:w="15" w:type="dxa"/>
        </w:trPr>
        <w:tc>
          <w:tcPr>
            <w:tcW w:w="0" w:type="auto"/>
            <w:vAlign w:val="center"/>
            <w:hideMark/>
          </w:tcPr>
          <w:p w:rsidR="0032657C" w:rsidRPr="0032657C" w:rsidRDefault="0032657C" w:rsidP="0032657C">
            <w:pPr>
              <w:spacing w:after="0" w:line="240" w:lineRule="auto"/>
              <w:jc w:val="center"/>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Property</w:t>
            </w:r>
          </w:p>
        </w:tc>
        <w:tc>
          <w:tcPr>
            <w:tcW w:w="0" w:type="auto"/>
            <w:vAlign w:val="center"/>
            <w:hideMark/>
          </w:tcPr>
          <w:p w:rsidR="0032657C" w:rsidRPr="0032657C" w:rsidRDefault="0032657C" w:rsidP="0032657C">
            <w:pPr>
              <w:spacing w:after="0" w:line="240" w:lineRule="auto"/>
              <w:jc w:val="center"/>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Value</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Compressive Strength (Brick)</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20 </w:t>
            </w:r>
            <w:proofErr w:type="spellStart"/>
            <w:r w:rsidRPr="0032657C">
              <w:rPr>
                <w:rFonts w:ascii="Times New Roman" w:eastAsia="Times New Roman" w:hAnsi="Times New Roman" w:cs="Times New Roman"/>
                <w:sz w:val="24"/>
                <w:szCs w:val="24"/>
              </w:rPr>
              <w:t>MPa</w:t>
            </w:r>
            <w:proofErr w:type="spellEnd"/>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Tensile Strength (Brick)</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2 </w:t>
            </w:r>
            <w:proofErr w:type="spellStart"/>
            <w:r w:rsidRPr="0032657C">
              <w:rPr>
                <w:rFonts w:ascii="Times New Roman" w:eastAsia="Times New Roman" w:hAnsi="Times New Roman" w:cs="Times New Roman"/>
                <w:sz w:val="24"/>
                <w:szCs w:val="24"/>
              </w:rPr>
              <w:t>MPa</w:t>
            </w:r>
            <w:proofErr w:type="spellEnd"/>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Young's Modulus</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21600 </w:t>
            </w:r>
            <w:proofErr w:type="spellStart"/>
            <w:r w:rsidRPr="0032657C">
              <w:rPr>
                <w:rFonts w:ascii="Times New Roman" w:eastAsia="Times New Roman" w:hAnsi="Times New Roman" w:cs="Times New Roman"/>
                <w:sz w:val="24"/>
                <w:szCs w:val="24"/>
              </w:rPr>
              <w:t>MPa</w:t>
            </w:r>
            <w:proofErr w:type="spellEnd"/>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Poisson's Ratio</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0.15</w:t>
            </w:r>
          </w:p>
        </w:tc>
      </w:tr>
    </w:tbl>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Finite Element Modeling</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Software Used:</w:t>
      </w:r>
      <w:r w:rsidRPr="0032657C">
        <w:rPr>
          <w:rFonts w:ascii="Times New Roman" w:eastAsia="Times New Roman" w:hAnsi="Times New Roman" w:cs="Times New Roman"/>
          <w:sz w:val="24"/>
          <w:szCs w:val="24"/>
        </w:rPr>
        <w:t xml:space="preserve"> ABAQUS 6.14</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Wall Dimensions:</w:t>
      </w:r>
      <w:r w:rsidRPr="0032657C">
        <w:rPr>
          <w:rFonts w:ascii="Times New Roman" w:eastAsia="Times New Roman" w:hAnsi="Times New Roman" w:cs="Times New Roman"/>
          <w:sz w:val="24"/>
          <w:szCs w:val="24"/>
        </w:rPr>
        <w:t xml:space="preserve"> Standard brick masonry wall</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Opening Configurations:</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400×300 mm, 600×400 mm</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Circular: Diameter 100 mm, 200 mm</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Mesh Setup:</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Fine mesh near openings</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Coarser mesh elsewhere for computational efficiency</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Boundary Conditions:</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Fixed supports at the bottom</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Roller supports along lateral edges</w:t>
      </w:r>
    </w:p>
    <w:p w:rsidR="0032657C" w:rsidRPr="0032657C" w:rsidRDefault="0032657C" w:rsidP="0032657C">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Loading:</w:t>
      </w:r>
    </w:p>
    <w:p w:rsidR="0032657C" w:rsidRPr="0032657C" w:rsidRDefault="0032657C" w:rsidP="0032657C">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Uniform axial load applied at the wall top</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28"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Results and Discussion</w:t>
      </w:r>
    </w:p>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1. Load-Carrying Capacity</w:t>
      </w:r>
    </w:p>
    <w:p w:rsidR="0032657C" w:rsidRPr="0032657C" w:rsidRDefault="0032657C" w:rsidP="0032657C">
      <w:pPr>
        <w:spacing w:before="100" w:beforeAutospacing="1" w:after="100" w:afterAutospacing="1" w:line="240" w:lineRule="auto"/>
        <w:outlineLvl w:val="3"/>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Results Summary</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335"/>
        <w:gridCol w:w="1097"/>
        <w:gridCol w:w="2147"/>
      </w:tblGrid>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Type of Masonry</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Load (</w:t>
            </w:r>
            <w:proofErr w:type="spellStart"/>
            <w:r w:rsidRPr="0032657C">
              <w:rPr>
                <w:rFonts w:ascii="Times New Roman" w:eastAsia="Times New Roman" w:hAnsi="Times New Roman" w:cs="Times New Roman"/>
                <w:sz w:val="24"/>
                <w:szCs w:val="24"/>
              </w:rPr>
              <w:t>kN</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Reduction in Load</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Solid Brick Masonry</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341.57</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(400×300)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13.36</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96.09</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(600×400)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2.40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99.30</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Circular (100 mm </w:t>
            </w:r>
            <w:proofErr w:type="spellStart"/>
            <w:r w:rsidRPr="0032657C">
              <w:rPr>
                <w:rFonts w:ascii="Times New Roman" w:eastAsia="Times New Roman" w:hAnsi="Times New Roman" w:cs="Times New Roman"/>
                <w:sz w:val="24"/>
                <w:szCs w:val="24"/>
              </w:rPr>
              <w:t>dia</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212.68</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37.73</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lastRenderedPageBreak/>
              <w:t xml:space="preserve">Circular (200 mm </w:t>
            </w:r>
            <w:proofErr w:type="spellStart"/>
            <w:r w:rsidRPr="0032657C">
              <w:rPr>
                <w:rFonts w:ascii="Times New Roman" w:eastAsia="Times New Roman" w:hAnsi="Times New Roman" w:cs="Times New Roman"/>
                <w:sz w:val="24"/>
                <w:szCs w:val="24"/>
              </w:rPr>
              <w:t>dia</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13.82</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95.95</w:t>
            </w:r>
          </w:p>
        </w:tc>
      </w:tr>
    </w:tbl>
    <w:p w:rsidR="00624F53" w:rsidRDefault="005F07C9" w:rsidP="0032657C">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5F07C9" w:rsidRDefault="005F07C9" w:rsidP="00624F53">
      <w:pPr>
        <w:spacing w:before="100" w:beforeAutospacing="1" w:after="100" w:afterAutospacing="1" w:line="240" w:lineRule="auto"/>
        <w:jc w:val="center"/>
        <w:rPr>
          <w:rFonts w:ascii="Times New Roman" w:eastAsia="Times New Roman" w:hAnsi="Times New Roman" w:cs="Times New Roman"/>
          <w:b/>
          <w:bCs/>
          <w:sz w:val="24"/>
          <w:szCs w:val="24"/>
        </w:rPr>
      </w:pPr>
    </w:p>
    <w:p w:rsidR="0032657C" w:rsidRPr="0032657C" w:rsidRDefault="0032657C" w:rsidP="00624F53">
      <w:pPr>
        <w:spacing w:before="100" w:beforeAutospacing="1" w:after="100" w:afterAutospacing="1" w:line="240" w:lineRule="auto"/>
        <w:jc w:val="center"/>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Figure 1:</w:t>
      </w:r>
      <w:r w:rsidR="005F07C9">
        <w:rPr>
          <w:rFonts w:ascii="Times New Roman" w:eastAsia="Times New Roman" w:hAnsi="Times New Roman" w:cs="Times New Roman"/>
          <w:sz w:val="24"/>
          <w:szCs w:val="24"/>
        </w:rPr>
        <w:t xml:space="preserve"> Load reduction for R</w:t>
      </w:r>
      <w:r w:rsidRPr="0032657C">
        <w:rPr>
          <w:rFonts w:ascii="Times New Roman" w:eastAsia="Times New Roman" w:hAnsi="Times New Roman" w:cs="Times New Roman"/>
          <w:sz w:val="24"/>
          <w:szCs w:val="24"/>
        </w:rPr>
        <w:t>ectangular openings</w:t>
      </w:r>
    </w:p>
    <w:p w:rsidR="005F07C9" w:rsidRDefault="005F07C9" w:rsidP="0032657C">
      <w:pPr>
        <w:spacing w:before="100" w:beforeAutospacing="1" w:after="100" w:afterAutospacing="1" w:line="240" w:lineRule="auto"/>
        <w:rPr>
          <w:rFonts w:ascii="Times New Roman" w:eastAsia="Times New Roman" w:hAnsi="Times New Roman" w:cs="Times New Roman"/>
          <w:b/>
          <w:bCs/>
          <w:sz w:val="24"/>
          <w:szCs w:val="24"/>
        </w:rPr>
      </w:pPr>
      <w:r w:rsidRPr="005F07C9">
        <w:rPr>
          <w:rFonts w:ascii="Times New Roman" w:eastAsia="Times New Roman" w:hAnsi="Times New Roman" w:cs="Times New Roman"/>
          <w:b/>
          <w:bCs/>
          <w:sz w:val="24"/>
          <w:szCs w:val="24"/>
        </w:rPr>
        <w:drawing>
          <wp:inline distT="0" distB="0" distL="0" distR="0">
            <wp:extent cx="548640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2657C" w:rsidRPr="0032657C" w:rsidRDefault="0032657C" w:rsidP="00205DDD">
      <w:pPr>
        <w:spacing w:before="100" w:beforeAutospacing="1" w:after="100" w:afterAutospacing="1" w:line="240" w:lineRule="auto"/>
        <w:jc w:val="center"/>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Figure 2:</w:t>
      </w:r>
      <w:r w:rsidRPr="0032657C">
        <w:rPr>
          <w:rFonts w:ascii="Times New Roman" w:eastAsia="Times New Roman" w:hAnsi="Times New Roman" w:cs="Times New Roman"/>
          <w:sz w:val="24"/>
          <w:szCs w:val="24"/>
        </w:rPr>
        <w:t xml:space="preserve"> Load reduction for circular openings</w:t>
      </w:r>
    </w:p>
    <w:p w:rsidR="005F07C9" w:rsidRDefault="005F07C9" w:rsidP="0032657C">
      <w:pPr>
        <w:spacing w:before="100" w:beforeAutospacing="1" w:after="100" w:afterAutospacing="1" w:line="240" w:lineRule="auto"/>
        <w:outlineLvl w:val="3"/>
        <w:rPr>
          <w:rFonts w:ascii="Times New Roman" w:eastAsia="Times New Roman" w:hAnsi="Times New Roman" w:cs="Times New Roman"/>
          <w:b/>
          <w:bCs/>
          <w:sz w:val="24"/>
          <w:szCs w:val="24"/>
        </w:rPr>
      </w:pPr>
    </w:p>
    <w:p w:rsidR="0032657C" w:rsidRPr="0032657C" w:rsidRDefault="0032657C" w:rsidP="0032657C">
      <w:pPr>
        <w:spacing w:before="100" w:beforeAutospacing="1" w:after="100" w:afterAutospacing="1" w:line="240" w:lineRule="auto"/>
        <w:outlineLvl w:val="3"/>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Observations</w:t>
      </w:r>
    </w:p>
    <w:p w:rsidR="0032657C" w:rsidRPr="0032657C" w:rsidRDefault="0032657C" w:rsidP="003265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openings cause more load reduction compared to circular openings.</w:t>
      </w:r>
    </w:p>
    <w:p w:rsidR="0032657C" w:rsidRPr="0032657C" w:rsidRDefault="0032657C" w:rsidP="0032657C">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Larger openings lead to a dramatic decrease in load-carrying capacity.</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29" style="width:0;height:1.5pt" o:hralign="center" o:hrstd="t" o:hr="t" fillcolor="#a0a0a0" stroked="f"/>
        </w:pict>
      </w:r>
    </w:p>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2. Stress Analysis</w:t>
      </w:r>
    </w:p>
    <w:p w:rsidR="0032657C" w:rsidRPr="0032657C" w:rsidRDefault="0032657C" w:rsidP="0032657C">
      <w:pPr>
        <w:spacing w:before="100" w:beforeAutospacing="1" w:after="100" w:afterAutospacing="1" w:line="240" w:lineRule="auto"/>
        <w:outlineLvl w:val="3"/>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Maximum Compressive Stress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330"/>
        <w:gridCol w:w="1327"/>
        <w:gridCol w:w="2222"/>
      </w:tblGrid>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Type of Masonry</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Stress (</w:t>
            </w:r>
            <w:proofErr w:type="spellStart"/>
            <w:r w:rsidRPr="0032657C">
              <w:rPr>
                <w:rFonts w:ascii="Times New Roman" w:eastAsia="Times New Roman" w:hAnsi="Times New Roman" w:cs="Times New Roman"/>
                <w:sz w:val="24"/>
                <w:szCs w:val="24"/>
              </w:rPr>
              <w:t>MPa</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Reduction in Stress</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Solid Brick Masonry</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68.37</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(400×300)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30.43</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55.49</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(600×400)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16.00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76.60</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Circular (100 mm </w:t>
            </w:r>
            <w:proofErr w:type="spellStart"/>
            <w:r w:rsidRPr="0032657C">
              <w:rPr>
                <w:rFonts w:ascii="Times New Roman" w:eastAsia="Times New Roman" w:hAnsi="Times New Roman" w:cs="Times New Roman"/>
                <w:sz w:val="24"/>
                <w:szCs w:val="24"/>
              </w:rPr>
              <w:t>dia</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41.00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40.03</w:t>
            </w:r>
          </w:p>
        </w:tc>
      </w:tr>
      <w:tr w:rsidR="0032657C" w:rsidRPr="0032657C" w:rsidTr="00624F53">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xml:space="preserve">Circular (200 mm </w:t>
            </w:r>
            <w:proofErr w:type="spellStart"/>
            <w:r w:rsidRPr="0032657C">
              <w:rPr>
                <w:rFonts w:ascii="Times New Roman" w:eastAsia="Times New Roman" w:hAnsi="Times New Roman" w:cs="Times New Roman"/>
                <w:sz w:val="24"/>
                <w:szCs w:val="24"/>
              </w:rPr>
              <w:t>dia</w:t>
            </w:r>
            <w:proofErr w:type="spellEnd"/>
            <w:r w:rsidRPr="0032657C">
              <w:rPr>
                <w:rFonts w:ascii="Times New Roman" w:eastAsia="Times New Roman" w:hAnsi="Times New Roman" w:cs="Times New Roman"/>
                <w:sz w:val="24"/>
                <w:szCs w:val="24"/>
              </w:rPr>
              <w:t>)</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24.00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64.90</w:t>
            </w:r>
          </w:p>
        </w:tc>
      </w:tr>
    </w:tbl>
    <w:p w:rsidR="00205DDD" w:rsidRDefault="00205DDD" w:rsidP="0032657C">
      <w:pPr>
        <w:spacing w:before="100" w:beforeAutospacing="1" w:after="100" w:afterAutospacing="1" w:line="240" w:lineRule="auto"/>
        <w:rPr>
          <w:rFonts w:ascii="Times New Roman" w:eastAsia="Times New Roman" w:hAnsi="Times New Roman" w:cs="Times New Roman"/>
          <w:b/>
          <w:bCs/>
          <w:sz w:val="24"/>
          <w:szCs w:val="24"/>
        </w:rPr>
      </w:pPr>
    </w:p>
    <w:p w:rsidR="00205DDD" w:rsidRDefault="00205DDD" w:rsidP="0032657C">
      <w:pPr>
        <w:spacing w:before="100" w:beforeAutospacing="1" w:after="100" w:afterAutospacing="1" w:line="240" w:lineRule="auto"/>
        <w:rPr>
          <w:rFonts w:ascii="Times New Roman" w:eastAsia="Times New Roman" w:hAnsi="Times New Roman" w:cs="Times New Roman"/>
          <w:b/>
          <w:bCs/>
          <w:sz w:val="24"/>
          <w:szCs w:val="24"/>
        </w:rPr>
      </w:pPr>
      <w:r w:rsidRPr="00205DDD">
        <w:rPr>
          <w:rFonts w:ascii="Times New Roman" w:eastAsia="Times New Roman" w:hAnsi="Times New Roman" w:cs="Times New Roman"/>
          <w:b/>
          <w:bCs/>
          <w:sz w:val="24"/>
          <w:szCs w:val="24"/>
        </w:rPr>
        <w:drawing>
          <wp:inline distT="0" distB="0" distL="0" distR="0">
            <wp:extent cx="5486400" cy="3200400"/>
            <wp:effectExtent l="19050" t="0" r="1905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2657C" w:rsidRPr="0032657C" w:rsidRDefault="0032657C" w:rsidP="000E3C32">
      <w:pPr>
        <w:spacing w:before="100" w:beforeAutospacing="1" w:after="100" w:afterAutospacing="1" w:line="240" w:lineRule="auto"/>
        <w:jc w:val="center"/>
        <w:rPr>
          <w:rFonts w:ascii="Times New Roman" w:eastAsia="Times New Roman" w:hAnsi="Times New Roman" w:cs="Times New Roman"/>
          <w:sz w:val="24"/>
          <w:szCs w:val="24"/>
        </w:rPr>
      </w:pPr>
      <w:r w:rsidRPr="0032657C">
        <w:rPr>
          <w:rFonts w:ascii="Times New Roman" w:eastAsia="Times New Roman" w:hAnsi="Times New Roman" w:cs="Times New Roman"/>
          <w:b/>
          <w:bCs/>
          <w:sz w:val="24"/>
          <w:szCs w:val="24"/>
        </w:rPr>
        <w:t>Figure 3:</w:t>
      </w:r>
      <w:r w:rsidRPr="0032657C">
        <w:rPr>
          <w:rFonts w:ascii="Times New Roman" w:eastAsia="Times New Roman" w:hAnsi="Times New Roman" w:cs="Times New Roman"/>
          <w:sz w:val="24"/>
          <w:szCs w:val="24"/>
        </w:rPr>
        <w:t xml:space="preserve"> Stress reduction for rectangular openings</w:t>
      </w:r>
    </w:p>
    <w:p w:rsidR="00205DDD" w:rsidRDefault="00205DDD" w:rsidP="0032657C">
      <w:pPr>
        <w:spacing w:before="100" w:beforeAutospacing="1" w:after="100" w:afterAutospacing="1" w:line="240" w:lineRule="auto"/>
        <w:rPr>
          <w:rFonts w:ascii="Times New Roman" w:eastAsia="Times New Roman" w:hAnsi="Times New Roman" w:cs="Times New Roman"/>
          <w:b/>
          <w:bCs/>
          <w:sz w:val="24"/>
          <w:szCs w:val="24"/>
        </w:rPr>
      </w:pPr>
    </w:p>
    <w:p w:rsidR="00205DDD" w:rsidRDefault="00205DDD" w:rsidP="0032657C">
      <w:pPr>
        <w:spacing w:before="100" w:beforeAutospacing="1" w:after="100" w:afterAutospacing="1" w:line="240" w:lineRule="auto"/>
        <w:rPr>
          <w:rFonts w:ascii="Times New Roman" w:eastAsia="Times New Roman" w:hAnsi="Times New Roman" w:cs="Times New Roman"/>
          <w:b/>
          <w:bCs/>
          <w:sz w:val="24"/>
          <w:szCs w:val="24"/>
        </w:rPr>
      </w:pPr>
    </w:p>
    <w:p w:rsidR="0032657C" w:rsidRPr="0032657C" w:rsidRDefault="00205DDD" w:rsidP="00F964E3">
      <w:pPr>
        <w:spacing w:before="100" w:beforeAutospacing="1" w:after="100" w:afterAutospacing="1" w:line="240" w:lineRule="auto"/>
        <w:jc w:val="center"/>
        <w:rPr>
          <w:rFonts w:ascii="Times New Roman" w:eastAsia="Times New Roman" w:hAnsi="Times New Roman" w:cs="Times New Roman"/>
          <w:sz w:val="24"/>
          <w:szCs w:val="24"/>
        </w:rPr>
      </w:pPr>
      <w:r w:rsidRPr="00205DDD">
        <w:rPr>
          <w:rFonts w:ascii="Times New Roman" w:eastAsia="Times New Roman" w:hAnsi="Times New Roman" w:cs="Times New Roman"/>
          <w:b/>
          <w:bCs/>
          <w:sz w:val="24"/>
          <w:szCs w:val="24"/>
        </w:rPr>
        <w:drawing>
          <wp:inline distT="0" distB="0" distL="0" distR="0">
            <wp:extent cx="5486400" cy="3200400"/>
            <wp:effectExtent l="19050" t="0" r="19050" b="0"/>
            <wp:docPr id="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32657C" w:rsidRPr="0032657C">
        <w:rPr>
          <w:rFonts w:ascii="Times New Roman" w:eastAsia="Times New Roman" w:hAnsi="Times New Roman" w:cs="Times New Roman"/>
          <w:b/>
          <w:bCs/>
          <w:sz w:val="24"/>
          <w:szCs w:val="24"/>
        </w:rPr>
        <w:t>Figure 4:</w:t>
      </w:r>
      <w:r w:rsidR="0032657C" w:rsidRPr="0032657C">
        <w:rPr>
          <w:rFonts w:ascii="Times New Roman" w:eastAsia="Times New Roman" w:hAnsi="Times New Roman" w:cs="Times New Roman"/>
          <w:sz w:val="24"/>
          <w:szCs w:val="24"/>
        </w:rPr>
        <w:t xml:space="preserve"> Stress reduction for circular openings</w:t>
      </w:r>
    </w:p>
    <w:p w:rsidR="0032657C" w:rsidRPr="0032657C" w:rsidRDefault="0032657C" w:rsidP="0032657C">
      <w:pPr>
        <w:spacing w:before="100" w:beforeAutospacing="1" w:after="100" w:afterAutospacing="1" w:line="240" w:lineRule="auto"/>
        <w:outlineLvl w:val="3"/>
        <w:rPr>
          <w:rFonts w:ascii="Times New Roman" w:eastAsia="Times New Roman" w:hAnsi="Times New Roman" w:cs="Times New Roman"/>
          <w:b/>
          <w:bCs/>
          <w:sz w:val="24"/>
          <w:szCs w:val="24"/>
        </w:rPr>
      </w:pPr>
      <w:r w:rsidRPr="0032657C">
        <w:rPr>
          <w:rFonts w:ascii="Times New Roman" w:eastAsia="Times New Roman" w:hAnsi="Times New Roman" w:cs="Times New Roman"/>
          <w:b/>
          <w:bCs/>
          <w:sz w:val="24"/>
          <w:szCs w:val="24"/>
        </w:rPr>
        <w:t>Observations</w:t>
      </w:r>
    </w:p>
    <w:p w:rsidR="0032657C" w:rsidRPr="0032657C" w:rsidRDefault="0032657C" w:rsidP="00326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Stress concentration occurs around the corners of openings.</w:t>
      </w:r>
    </w:p>
    <w:p w:rsidR="0032657C" w:rsidRPr="0032657C" w:rsidRDefault="0032657C" w:rsidP="0032657C">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openings exhibit more significant stress reductions compared to circular ones.</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30"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 xml:space="preserve">Relation </w:t>
      </w:r>
      <w:proofErr w:type="gramStart"/>
      <w:r w:rsidRPr="0032657C">
        <w:rPr>
          <w:rFonts w:ascii="Times New Roman" w:eastAsia="Times New Roman" w:hAnsi="Times New Roman" w:cs="Times New Roman"/>
          <w:b/>
          <w:bCs/>
          <w:sz w:val="36"/>
          <w:szCs w:val="36"/>
        </w:rPr>
        <w:t>Between</w:t>
      </w:r>
      <w:proofErr w:type="gramEnd"/>
      <w:r w:rsidRPr="0032657C">
        <w:rPr>
          <w:rFonts w:ascii="Times New Roman" w:eastAsia="Times New Roman" w:hAnsi="Times New Roman" w:cs="Times New Roman"/>
          <w:b/>
          <w:bCs/>
          <w:sz w:val="36"/>
          <w:szCs w:val="36"/>
        </w:rPr>
        <w:t xml:space="preserve"> Opening Area and Load Reduction</w:t>
      </w:r>
    </w:p>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Rectangular Openings</w:t>
      </w:r>
    </w:p>
    <w:tbl>
      <w:tblPr>
        <w:tblW w:w="4633" w:type="dxa"/>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2300"/>
        <w:gridCol w:w="2333"/>
      </w:tblGrid>
      <w:tr w:rsidR="0032657C" w:rsidRPr="0032657C" w:rsidTr="00205DDD">
        <w:trPr>
          <w:trHeight w:val="259"/>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Area Reduction</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Load Reduction</w:t>
            </w:r>
          </w:p>
        </w:tc>
      </w:tr>
      <w:tr w:rsidR="0032657C" w:rsidRPr="0032657C" w:rsidTr="00205DDD">
        <w:trPr>
          <w:trHeight w:val="259"/>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r>
      <w:tr w:rsidR="0032657C" w:rsidRPr="0032657C" w:rsidTr="00205DDD">
        <w:trPr>
          <w:trHeight w:val="274"/>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5.55</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96.09</w:t>
            </w:r>
          </w:p>
        </w:tc>
      </w:tr>
      <w:tr w:rsidR="0032657C" w:rsidRPr="0032657C" w:rsidTr="00205DDD">
        <w:trPr>
          <w:trHeight w:val="274"/>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11.11</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99.30</w:t>
            </w:r>
          </w:p>
        </w:tc>
      </w:tr>
    </w:tbl>
    <w:p w:rsidR="00624F53" w:rsidRDefault="00624F53" w:rsidP="0032657C">
      <w:pPr>
        <w:spacing w:before="100" w:beforeAutospacing="1" w:after="100" w:afterAutospacing="1" w:line="240" w:lineRule="auto"/>
        <w:rPr>
          <w:rFonts w:ascii="Times New Roman" w:eastAsia="Times New Roman" w:hAnsi="Times New Roman" w:cs="Times New Roman"/>
          <w:b/>
          <w:bCs/>
          <w:sz w:val="24"/>
          <w:szCs w:val="24"/>
        </w:rPr>
      </w:pPr>
    </w:p>
    <w:p w:rsidR="0032657C" w:rsidRPr="0032657C" w:rsidRDefault="0032657C" w:rsidP="0032657C">
      <w:pPr>
        <w:spacing w:before="100" w:beforeAutospacing="1" w:after="100" w:afterAutospacing="1" w:line="240" w:lineRule="auto"/>
        <w:outlineLvl w:val="2"/>
        <w:rPr>
          <w:rFonts w:ascii="Times New Roman" w:eastAsia="Times New Roman" w:hAnsi="Times New Roman" w:cs="Times New Roman"/>
          <w:b/>
          <w:bCs/>
          <w:sz w:val="27"/>
          <w:szCs w:val="27"/>
        </w:rPr>
      </w:pPr>
      <w:r w:rsidRPr="0032657C">
        <w:rPr>
          <w:rFonts w:ascii="Times New Roman" w:eastAsia="Times New Roman" w:hAnsi="Times New Roman" w:cs="Times New Roman"/>
          <w:b/>
          <w:bCs/>
          <w:sz w:val="27"/>
          <w:szCs w:val="27"/>
        </w:rPr>
        <w:t>Circular Openings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868"/>
        <w:gridCol w:w="1895"/>
      </w:tblGrid>
      <w:tr w:rsidR="0032657C" w:rsidRPr="0032657C" w:rsidTr="0032657C">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lastRenderedPageBreak/>
              <w:t>% Area Reduction</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 Load Reduction</w:t>
            </w:r>
          </w:p>
        </w:tc>
      </w:tr>
      <w:tr w:rsidR="0032657C" w:rsidRPr="0032657C" w:rsidTr="0032657C">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0.00</w:t>
            </w:r>
          </w:p>
        </w:tc>
      </w:tr>
      <w:tr w:rsidR="0032657C" w:rsidRPr="0032657C" w:rsidTr="0032657C">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0.36</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37.73</w:t>
            </w:r>
          </w:p>
        </w:tc>
      </w:tr>
      <w:tr w:rsidR="0032657C" w:rsidRPr="0032657C" w:rsidTr="0032657C">
        <w:trPr>
          <w:tblCellSpacing w:w="15" w:type="dxa"/>
        </w:trPr>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1.45</w:t>
            </w:r>
          </w:p>
        </w:tc>
        <w:tc>
          <w:tcPr>
            <w:tcW w:w="0" w:type="auto"/>
            <w:vAlign w:val="center"/>
            <w:hideMark/>
          </w:tcPr>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95.95</w:t>
            </w:r>
          </w:p>
        </w:tc>
      </w:tr>
    </w:tbl>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31"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Conclusion</w:t>
      </w:r>
    </w:p>
    <w:p w:rsidR="0032657C" w:rsidRPr="0032657C" w:rsidRDefault="0032657C" w:rsidP="0032657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Openings significantly reduce the load-carrying capacity and stress resistance of brick masonry.</w:t>
      </w:r>
    </w:p>
    <w:p w:rsidR="0032657C" w:rsidRPr="0032657C" w:rsidRDefault="0032657C" w:rsidP="0032657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Rectangular openings have a greater impact than circular ones.</w:t>
      </w:r>
    </w:p>
    <w:p w:rsidR="0032657C" w:rsidRPr="0032657C" w:rsidRDefault="0032657C" w:rsidP="0032657C">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The reduction in capacity is proportional to the area of the opening but exhibits nonlinear behavior for larger openings.</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32"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Future Work</w:t>
      </w:r>
    </w:p>
    <w:p w:rsidR="0032657C" w:rsidRPr="0032657C" w:rsidRDefault="0032657C" w:rsidP="003265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Extend the analysis to dynamic loading conditions, including seismic effects.</w:t>
      </w:r>
    </w:p>
    <w:p w:rsidR="0032657C" w:rsidRPr="0032657C" w:rsidRDefault="0032657C" w:rsidP="003265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Study reinforcement techniques to mitigate the impact of openings.</w:t>
      </w:r>
    </w:p>
    <w:p w:rsidR="0032657C" w:rsidRPr="0032657C" w:rsidRDefault="0032657C" w:rsidP="0032657C">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Explore advanced materials for improved masonry resilience.</w:t>
      </w:r>
    </w:p>
    <w:p w:rsidR="0032657C" w:rsidRPr="0032657C" w:rsidRDefault="0032657C" w:rsidP="0032657C">
      <w:pPr>
        <w:spacing w:after="0"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pict>
          <v:rect id="_x0000_i1033" style="width:0;height:1.5pt" o:hralign="center" o:hrstd="t" o:hr="t" fillcolor="#a0a0a0" stroked="f"/>
        </w:pict>
      </w:r>
    </w:p>
    <w:p w:rsidR="0032657C" w:rsidRPr="0032657C" w:rsidRDefault="0032657C" w:rsidP="0032657C">
      <w:pPr>
        <w:spacing w:before="100" w:beforeAutospacing="1" w:after="100" w:afterAutospacing="1" w:line="240" w:lineRule="auto"/>
        <w:outlineLvl w:val="1"/>
        <w:rPr>
          <w:rFonts w:ascii="Times New Roman" w:eastAsia="Times New Roman" w:hAnsi="Times New Roman" w:cs="Times New Roman"/>
          <w:b/>
          <w:bCs/>
          <w:sz w:val="36"/>
          <w:szCs w:val="36"/>
        </w:rPr>
      </w:pPr>
      <w:r w:rsidRPr="0032657C">
        <w:rPr>
          <w:rFonts w:ascii="Times New Roman" w:eastAsia="Times New Roman" w:hAnsi="Times New Roman" w:cs="Times New Roman"/>
          <w:b/>
          <w:bCs/>
          <w:sz w:val="36"/>
          <w:szCs w:val="36"/>
        </w:rPr>
        <w:t>References</w:t>
      </w:r>
    </w:p>
    <w:p w:rsidR="0032657C" w:rsidRPr="0032657C" w:rsidRDefault="0032657C" w:rsidP="0032657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2657C">
        <w:rPr>
          <w:rFonts w:ascii="Times New Roman" w:eastAsia="Times New Roman" w:hAnsi="Times New Roman" w:cs="Times New Roman"/>
          <w:sz w:val="24"/>
          <w:szCs w:val="24"/>
        </w:rPr>
        <w:t>Corradi</w:t>
      </w:r>
      <w:proofErr w:type="spellEnd"/>
      <w:r w:rsidRPr="0032657C">
        <w:rPr>
          <w:rFonts w:ascii="Times New Roman" w:eastAsia="Times New Roman" w:hAnsi="Times New Roman" w:cs="Times New Roman"/>
          <w:sz w:val="24"/>
          <w:szCs w:val="24"/>
        </w:rPr>
        <w:t xml:space="preserve">, M., </w:t>
      </w:r>
      <w:proofErr w:type="spellStart"/>
      <w:r w:rsidRPr="0032657C">
        <w:rPr>
          <w:rFonts w:ascii="Times New Roman" w:eastAsia="Times New Roman" w:hAnsi="Times New Roman" w:cs="Times New Roman"/>
          <w:sz w:val="24"/>
          <w:szCs w:val="24"/>
        </w:rPr>
        <w:t>Borri</w:t>
      </w:r>
      <w:proofErr w:type="spellEnd"/>
      <w:r w:rsidRPr="0032657C">
        <w:rPr>
          <w:rFonts w:ascii="Times New Roman" w:eastAsia="Times New Roman" w:hAnsi="Times New Roman" w:cs="Times New Roman"/>
          <w:sz w:val="24"/>
          <w:szCs w:val="24"/>
        </w:rPr>
        <w:t xml:space="preserve">, A., &amp; </w:t>
      </w:r>
      <w:proofErr w:type="spellStart"/>
      <w:r w:rsidRPr="0032657C">
        <w:rPr>
          <w:rFonts w:ascii="Times New Roman" w:eastAsia="Times New Roman" w:hAnsi="Times New Roman" w:cs="Times New Roman"/>
          <w:sz w:val="24"/>
          <w:szCs w:val="24"/>
        </w:rPr>
        <w:t>Vignoli</w:t>
      </w:r>
      <w:proofErr w:type="spellEnd"/>
      <w:r w:rsidRPr="0032657C">
        <w:rPr>
          <w:rFonts w:ascii="Times New Roman" w:eastAsia="Times New Roman" w:hAnsi="Times New Roman" w:cs="Times New Roman"/>
          <w:sz w:val="24"/>
          <w:szCs w:val="24"/>
        </w:rPr>
        <w:t>, A. (2003). Experimental study on masonry walls.</w:t>
      </w:r>
    </w:p>
    <w:p w:rsidR="0032657C" w:rsidRPr="0032657C" w:rsidRDefault="0032657C" w:rsidP="0032657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2657C">
        <w:rPr>
          <w:rFonts w:ascii="Times New Roman" w:eastAsia="Times New Roman" w:hAnsi="Times New Roman" w:cs="Times New Roman"/>
          <w:sz w:val="24"/>
          <w:szCs w:val="24"/>
        </w:rPr>
        <w:t>Hamdy</w:t>
      </w:r>
      <w:proofErr w:type="spellEnd"/>
      <w:r w:rsidRPr="0032657C">
        <w:rPr>
          <w:rFonts w:ascii="Times New Roman" w:eastAsia="Times New Roman" w:hAnsi="Times New Roman" w:cs="Times New Roman"/>
          <w:sz w:val="24"/>
          <w:szCs w:val="24"/>
        </w:rPr>
        <w:t>, G., &amp; El-</w:t>
      </w:r>
      <w:proofErr w:type="spellStart"/>
      <w:r w:rsidRPr="0032657C">
        <w:rPr>
          <w:rFonts w:ascii="Times New Roman" w:eastAsia="Times New Roman" w:hAnsi="Times New Roman" w:cs="Times New Roman"/>
          <w:sz w:val="24"/>
          <w:szCs w:val="24"/>
        </w:rPr>
        <w:t>Salakawy</w:t>
      </w:r>
      <w:proofErr w:type="spellEnd"/>
      <w:r w:rsidRPr="0032657C">
        <w:rPr>
          <w:rFonts w:ascii="Times New Roman" w:eastAsia="Times New Roman" w:hAnsi="Times New Roman" w:cs="Times New Roman"/>
          <w:sz w:val="24"/>
          <w:szCs w:val="24"/>
        </w:rPr>
        <w:t>, T. (2018). Strengthening masonry walls.</w:t>
      </w:r>
    </w:p>
    <w:p w:rsidR="0032657C" w:rsidRPr="0032657C" w:rsidRDefault="0032657C" w:rsidP="0032657C">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32657C">
        <w:rPr>
          <w:rFonts w:ascii="Times New Roman" w:eastAsia="Times New Roman" w:hAnsi="Times New Roman" w:cs="Times New Roman"/>
          <w:sz w:val="24"/>
          <w:szCs w:val="24"/>
        </w:rPr>
        <w:t>ABAQUS User Manual (2022).</w:t>
      </w:r>
    </w:p>
    <w:p w:rsidR="0032657C" w:rsidRPr="0032657C" w:rsidRDefault="0032657C" w:rsidP="0032657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2657C">
        <w:rPr>
          <w:rFonts w:ascii="Times New Roman" w:eastAsia="Times New Roman" w:hAnsi="Times New Roman" w:cs="Times New Roman"/>
          <w:sz w:val="24"/>
          <w:szCs w:val="24"/>
        </w:rPr>
        <w:t>Vasconcelos</w:t>
      </w:r>
      <w:proofErr w:type="spellEnd"/>
      <w:r w:rsidRPr="0032657C">
        <w:rPr>
          <w:rFonts w:ascii="Times New Roman" w:eastAsia="Times New Roman" w:hAnsi="Times New Roman" w:cs="Times New Roman"/>
          <w:sz w:val="24"/>
          <w:szCs w:val="24"/>
        </w:rPr>
        <w:t xml:space="preserve">, G., &amp; </w:t>
      </w:r>
      <w:proofErr w:type="spellStart"/>
      <w:r w:rsidRPr="0032657C">
        <w:rPr>
          <w:rFonts w:ascii="Times New Roman" w:eastAsia="Times New Roman" w:hAnsi="Times New Roman" w:cs="Times New Roman"/>
          <w:sz w:val="24"/>
          <w:szCs w:val="24"/>
        </w:rPr>
        <w:t>Lourenço</w:t>
      </w:r>
      <w:proofErr w:type="spellEnd"/>
      <w:r w:rsidRPr="0032657C">
        <w:rPr>
          <w:rFonts w:ascii="Times New Roman" w:eastAsia="Times New Roman" w:hAnsi="Times New Roman" w:cs="Times New Roman"/>
          <w:sz w:val="24"/>
          <w:szCs w:val="24"/>
        </w:rPr>
        <w:t>, P. B. (2009). Experimental analysis of stone masonry.</w:t>
      </w:r>
    </w:p>
    <w:p w:rsidR="0032657C" w:rsidRPr="0032657C" w:rsidRDefault="0032657C" w:rsidP="0032657C">
      <w:pPr>
        <w:numPr>
          <w:ilvl w:val="0"/>
          <w:numId w:val="7"/>
        </w:numPr>
        <w:spacing w:before="100" w:beforeAutospacing="1" w:after="100" w:afterAutospacing="1" w:line="240" w:lineRule="auto"/>
        <w:rPr>
          <w:rFonts w:ascii="Times New Roman" w:eastAsia="Times New Roman" w:hAnsi="Times New Roman" w:cs="Times New Roman"/>
          <w:sz w:val="24"/>
          <w:szCs w:val="24"/>
        </w:rPr>
      </w:pPr>
      <w:proofErr w:type="spellStart"/>
      <w:r w:rsidRPr="0032657C">
        <w:rPr>
          <w:rFonts w:ascii="Times New Roman" w:eastAsia="Times New Roman" w:hAnsi="Times New Roman" w:cs="Times New Roman"/>
          <w:sz w:val="24"/>
          <w:szCs w:val="24"/>
        </w:rPr>
        <w:t>Eshghi</w:t>
      </w:r>
      <w:proofErr w:type="spellEnd"/>
      <w:r w:rsidRPr="0032657C">
        <w:rPr>
          <w:rFonts w:ascii="Times New Roman" w:eastAsia="Times New Roman" w:hAnsi="Times New Roman" w:cs="Times New Roman"/>
          <w:sz w:val="24"/>
          <w:szCs w:val="24"/>
        </w:rPr>
        <w:t xml:space="preserve">, S., &amp; </w:t>
      </w:r>
      <w:proofErr w:type="spellStart"/>
      <w:r w:rsidRPr="0032657C">
        <w:rPr>
          <w:rFonts w:ascii="Times New Roman" w:eastAsia="Times New Roman" w:hAnsi="Times New Roman" w:cs="Times New Roman"/>
          <w:sz w:val="24"/>
          <w:szCs w:val="24"/>
        </w:rPr>
        <w:t>Sarrafi</w:t>
      </w:r>
      <w:proofErr w:type="spellEnd"/>
      <w:r w:rsidRPr="0032657C">
        <w:rPr>
          <w:rFonts w:ascii="Times New Roman" w:eastAsia="Times New Roman" w:hAnsi="Times New Roman" w:cs="Times New Roman"/>
          <w:sz w:val="24"/>
          <w:szCs w:val="24"/>
        </w:rPr>
        <w:t>, B. (2014). Effects of openings on confined masonry walls.</w:t>
      </w: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B5F4B"/>
    <w:multiLevelType w:val="multilevel"/>
    <w:tmpl w:val="1200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5745E"/>
    <w:multiLevelType w:val="multilevel"/>
    <w:tmpl w:val="2D3E3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235319"/>
    <w:multiLevelType w:val="multilevel"/>
    <w:tmpl w:val="79042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455C9C"/>
    <w:multiLevelType w:val="multilevel"/>
    <w:tmpl w:val="37866B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2E2643"/>
    <w:multiLevelType w:val="multilevel"/>
    <w:tmpl w:val="20E20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01F7F57"/>
    <w:multiLevelType w:val="multilevel"/>
    <w:tmpl w:val="02A0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9B6F16"/>
    <w:multiLevelType w:val="multilevel"/>
    <w:tmpl w:val="BFD4D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6"/>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57C"/>
    <w:rsid w:val="0000138C"/>
    <w:rsid w:val="000E3C32"/>
    <w:rsid w:val="00100D21"/>
    <w:rsid w:val="00205DDD"/>
    <w:rsid w:val="00263EFE"/>
    <w:rsid w:val="0032657C"/>
    <w:rsid w:val="005F07C9"/>
    <w:rsid w:val="00624F53"/>
    <w:rsid w:val="00BC79E2"/>
    <w:rsid w:val="00BE2BEB"/>
    <w:rsid w:val="00CA397B"/>
    <w:rsid w:val="00F33F12"/>
    <w:rsid w:val="00F964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1">
    <w:name w:val="heading 1"/>
    <w:basedOn w:val="Normal"/>
    <w:link w:val="Heading1Char"/>
    <w:uiPriority w:val="9"/>
    <w:qFormat/>
    <w:rsid w:val="003265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265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65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2657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657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2657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2657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2657C"/>
    <w:rPr>
      <w:rFonts w:ascii="Times New Roman" w:eastAsia="Times New Roman" w:hAnsi="Times New Roman" w:cs="Times New Roman"/>
      <w:b/>
      <w:bCs/>
      <w:sz w:val="24"/>
      <w:szCs w:val="24"/>
    </w:rPr>
  </w:style>
  <w:style w:type="character" w:styleId="Strong">
    <w:name w:val="Strong"/>
    <w:basedOn w:val="DefaultParagraphFont"/>
    <w:uiPriority w:val="22"/>
    <w:qFormat/>
    <w:rsid w:val="0032657C"/>
    <w:rPr>
      <w:b/>
      <w:bCs/>
    </w:rPr>
  </w:style>
  <w:style w:type="paragraph" w:styleId="NormalWeb">
    <w:name w:val="Normal (Web)"/>
    <w:basedOn w:val="Normal"/>
    <w:uiPriority w:val="99"/>
    <w:semiHidden/>
    <w:unhideWhenUsed/>
    <w:rsid w:val="0032657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4F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F53"/>
    <w:rPr>
      <w:rFonts w:ascii="Tahoma" w:hAnsi="Tahoma" w:cs="Tahoma"/>
      <w:sz w:val="16"/>
      <w:szCs w:val="16"/>
    </w:rPr>
  </w:style>
  <w:style w:type="character" w:customStyle="1" w:styleId="fontstyle01">
    <w:name w:val="fontstyle01"/>
    <w:basedOn w:val="DefaultParagraphFont"/>
    <w:rsid w:val="00100D21"/>
    <w:rPr>
      <w:rFonts w:ascii="TimesNewRomanPS-BoldMT" w:hAnsi="TimesNewRomanPS-BoldMT" w:hint="default"/>
      <w:b/>
      <w:bCs/>
      <w:i w:val="0"/>
      <w:iCs w:val="0"/>
      <w:color w:val="001F5F"/>
      <w:sz w:val="26"/>
      <w:szCs w:val="26"/>
    </w:rPr>
  </w:style>
  <w:style w:type="character" w:customStyle="1" w:styleId="fontstyle21">
    <w:name w:val="fontstyle21"/>
    <w:basedOn w:val="DefaultParagraphFont"/>
    <w:rsid w:val="00100D21"/>
    <w:rPr>
      <w:rFonts w:ascii="TimesNewRomanPSMT" w:hAnsi="TimesNewRomanPSMT" w:hint="default"/>
      <w:b w:val="0"/>
      <w:bCs w:val="0"/>
      <w:i w:val="0"/>
      <w:iCs w:val="0"/>
      <w:color w:val="000000"/>
      <w:sz w:val="26"/>
      <w:szCs w:val="26"/>
    </w:rPr>
  </w:style>
</w:styles>
</file>

<file path=word/webSettings.xml><?xml version="1.0" encoding="utf-8"?>
<w:webSettings xmlns:r="http://schemas.openxmlformats.org/officeDocument/2006/relationships" xmlns:w="http://schemas.openxmlformats.org/wordprocessingml/2006/main">
  <w:divs>
    <w:div w:id="101415202">
      <w:bodyDiv w:val="1"/>
      <w:marLeft w:val="0"/>
      <w:marRight w:val="0"/>
      <w:marTop w:val="0"/>
      <w:marBottom w:val="0"/>
      <w:divBdr>
        <w:top w:val="none" w:sz="0" w:space="0" w:color="auto"/>
        <w:left w:val="none" w:sz="0" w:space="0" w:color="auto"/>
        <w:bottom w:val="none" w:sz="0" w:space="0" w:color="auto"/>
        <w:right w:val="none" w:sz="0" w:space="0" w:color="auto"/>
      </w:divBdr>
      <w:divsChild>
        <w:div w:id="186405201">
          <w:marLeft w:val="0"/>
          <w:marRight w:val="0"/>
          <w:marTop w:val="0"/>
          <w:marBottom w:val="0"/>
          <w:divBdr>
            <w:top w:val="none" w:sz="0" w:space="0" w:color="auto"/>
            <w:left w:val="none" w:sz="0" w:space="0" w:color="auto"/>
            <w:bottom w:val="none" w:sz="0" w:space="0" w:color="auto"/>
            <w:right w:val="none" w:sz="0" w:space="0" w:color="auto"/>
          </w:divBdr>
        </w:div>
        <w:div w:id="565647082">
          <w:marLeft w:val="0"/>
          <w:marRight w:val="0"/>
          <w:marTop w:val="0"/>
          <w:marBottom w:val="0"/>
          <w:divBdr>
            <w:top w:val="none" w:sz="0" w:space="0" w:color="auto"/>
            <w:left w:val="none" w:sz="0" w:space="0" w:color="auto"/>
            <w:bottom w:val="none" w:sz="0" w:space="0" w:color="auto"/>
            <w:right w:val="none" w:sz="0" w:space="0" w:color="auto"/>
          </w:divBdr>
        </w:div>
        <w:div w:id="1824930741">
          <w:marLeft w:val="0"/>
          <w:marRight w:val="0"/>
          <w:marTop w:val="0"/>
          <w:marBottom w:val="0"/>
          <w:divBdr>
            <w:top w:val="none" w:sz="0" w:space="0" w:color="auto"/>
            <w:left w:val="none" w:sz="0" w:space="0" w:color="auto"/>
            <w:bottom w:val="none" w:sz="0" w:space="0" w:color="auto"/>
            <w:right w:val="none" w:sz="0" w:space="0" w:color="auto"/>
          </w:divBdr>
        </w:div>
        <w:div w:id="1764910744">
          <w:marLeft w:val="0"/>
          <w:marRight w:val="0"/>
          <w:marTop w:val="0"/>
          <w:marBottom w:val="0"/>
          <w:divBdr>
            <w:top w:val="none" w:sz="0" w:space="0" w:color="auto"/>
            <w:left w:val="none" w:sz="0" w:space="0" w:color="auto"/>
            <w:bottom w:val="none" w:sz="0" w:space="0" w:color="auto"/>
            <w:right w:val="none" w:sz="0" w:space="0" w:color="auto"/>
          </w:divBdr>
        </w:div>
        <w:div w:id="123237587">
          <w:marLeft w:val="0"/>
          <w:marRight w:val="0"/>
          <w:marTop w:val="0"/>
          <w:marBottom w:val="0"/>
          <w:divBdr>
            <w:top w:val="none" w:sz="0" w:space="0" w:color="auto"/>
            <w:left w:val="none" w:sz="0" w:space="0" w:color="auto"/>
            <w:bottom w:val="none" w:sz="0" w:space="0" w:color="auto"/>
            <w:right w:val="none" w:sz="0" w:space="0" w:color="auto"/>
          </w:divBdr>
        </w:div>
        <w:div w:id="1054155891">
          <w:marLeft w:val="0"/>
          <w:marRight w:val="0"/>
          <w:marTop w:val="0"/>
          <w:marBottom w:val="0"/>
          <w:divBdr>
            <w:top w:val="none" w:sz="0" w:space="0" w:color="auto"/>
            <w:left w:val="none" w:sz="0" w:space="0" w:color="auto"/>
            <w:bottom w:val="none" w:sz="0" w:space="0" w:color="auto"/>
            <w:right w:val="none" w:sz="0" w:space="0" w:color="auto"/>
          </w:divBdr>
        </w:div>
        <w:div w:id="1375733010">
          <w:marLeft w:val="0"/>
          <w:marRight w:val="0"/>
          <w:marTop w:val="0"/>
          <w:marBottom w:val="0"/>
          <w:divBdr>
            <w:top w:val="none" w:sz="0" w:space="0" w:color="auto"/>
            <w:left w:val="none" w:sz="0" w:space="0" w:color="auto"/>
            <w:bottom w:val="none" w:sz="0" w:space="0" w:color="auto"/>
            <w:right w:val="none" w:sz="0" w:space="0" w:color="auto"/>
          </w:divBdr>
        </w:div>
        <w:div w:id="738133141">
          <w:marLeft w:val="0"/>
          <w:marRight w:val="0"/>
          <w:marTop w:val="0"/>
          <w:marBottom w:val="0"/>
          <w:divBdr>
            <w:top w:val="none" w:sz="0" w:space="0" w:color="auto"/>
            <w:left w:val="none" w:sz="0" w:space="0" w:color="auto"/>
            <w:bottom w:val="none" w:sz="0" w:space="0" w:color="auto"/>
            <w:right w:val="none" w:sz="0" w:space="0" w:color="auto"/>
          </w:divBdr>
        </w:div>
        <w:div w:id="722797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Percentage Reduction in Load in Rectangular openings </a:t>
            </a:r>
          </a:p>
        </c:rich>
      </c:tx>
    </c:title>
    <c:plotArea>
      <c:layout/>
      <c:lineChart>
        <c:grouping val="standard"/>
        <c:ser>
          <c:idx val="0"/>
          <c:order val="0"/>
          <c:tx>
            <c:strRef>
              <c:f>Sheet1!$B$1</c:f>
              <c:strCache>
                <c:ptCount val="1"/>
                <c:pt idx="0">
                  <c:v>Percentage Reduction in Load </c:v>
                </c:pt>
              </c:strCache>
            </c:strRef>
          </c:tx>
          <c:cat>
            <c:strRef>
              <c:f>Sheet1!$A$2:$A$4</c:f>
              <c:strCache>
                <c:ptCount val="3"/>
                <c:pt idx="0">
                  <c:v>Solid Brick Masonry </c:v>
                </c:pt>
                <c:pt idx="1">
                  <c:v>Rectangular (400×300)</c:v>
                </c:pt>
                <c:pt idx="2">
                  <c:v>Rectangular (600×400)</c:v>
                </c:pt>
              </c:strCache>
            </c:strRef>
          </c:cat>
          <c:val>
            <c:numRef>
              <c:f>Sheet1!$B$2:$B$4</c:f>
              <c:numCache>
                <c:formatCode>General</c:formatCode>
                <c:ptCount val="3"/>
                <c:pt idx="0">
                  <c:v>0</c:v>
                </c:pt>
                <c:pt idx="1">
                  <c:v>96.09</c:v>
                </c:pt>
                <c:pt idx="2">
                  <c:v>99.3</c:v>
                </c:pt>
              </c:numCache>
            </c:numRef>
          </c:val>
        </c:ser>
        <c:marker val="1"/>
        <c:axId val="118843648"/>
        <c:axId val="118861824"/>
      </c:lineChart>
      <c:catAx>
        <c:axId val="118843648"/>
        <c:scaling>
          <c:orientation val="minMax"/>
        </c:scaling>
        <c:axPos val="b"/>
        <c:majorTickMark val="none"/>
        <c:tickLblPos val="nextTo"/>
        <c:crossAx val="118861824"/>
        <c:crosses val="autoZero"/>
        <c:auto val="1"/>
        <c:lblAlgn val="ctr"/>
        <c:lblOffset val="100"/>
      </c:catAx>
      <c:valAx>
        <c:axId val="118861824"/>
        <c:scaling>
          <c:orientation val="minMax"/>
        </c:scaling>
        <c:axPos val="l"/>
        <c:majorGridlines/>
        <c:title>
          <c:tx>
            <c:rich>
              <a:bodyPr/>
              <a:lstStyle/>
              <a:p>
                <a:pPr>
                  <a:defRPr/>
                </a:pPr>
                <a:r>
                  <a:rPr lang="en-US" sz="1000" b="1" i="0" u="none" strike="noStrike" baseline="0"/>
                  <a:t>% Reduction in Load</a:t>
                </a:r>
                <a:endParaRPr lang="en-US"/>
              </a:p>
            </c:rich>
          </c:tx>
        </c:title>
        <c:numFmt formatCode="General" sourceLinked="1"/>
        <c:majorTickMark val="none"/>
        <c:tickLblPos val="nextTo"/>
        <c:crossAx val="118843648"/>
        <c:crosses val="autoZero"/>
        <c:crossBetween val="between"/>
      </c:valAx>
      <c:dTable>
        <c:showHorzBorder val="1"/>
        <c:showVertBorder val="1"/>
        <c:showOutline val="1"/>
        <c:showKeys val="1"/>
      </c:dTable>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Percentage Reduction in Load in Circular</a:t>
            </a:r>
            <a:r>
              <a:rPr lang="en-US" sz="1200" baseline="0"/>
              <a:t> </a:t>
            </a:r>
            <a:r>
              <a:rPr lang="en-US" sz="1200"/>
              <a:t>openings </a:t>
            </a:r>
          </a:p>
        </c:rich>
      </c:tx>
    </c:title>
    <c:plotArea>
      <c:layout/>
      <c:lineChart>
        <c:grouping val="standard"/>
        <c:ser>
          <c:idx val="0"/>
          <c:order val="0"/>
          <c:tx>
            <c:strRef>
              <c:f>Sheet1!$B$1</c:f>
              <c:strCache>
                <c:ptCount val="1"/>
                <c:pt idx="0">
                  <c:v>Percentage Reduction in Load </c:v>
                </c:pt>
              </c:strCache>
            </c:strRef>
          </c:tx>
          <c:cat>
            <c:strRef>
              <c:f>Sheet1!$A$2:$A$4</c:f>
              <c:strCache>
                <c:ptCount val="3"/>
                <c:pt idx="0">
                  <c:v>Solid Brick Masonry </c:v>
                </c:pt>
                <c:pt idx="1">
                  <c:v>Circular (100 mm dia)</c:v>
                </c:pt>
                <c:pt idx="2">
                  <c:v>Circular (200 mm dia)</c:v>
                </c:pt>
              </c:strCache>
            </c:strRef>
          </c:cat>
          <c:val>
            <c:numRef>
              <c:f>Sheet1!$B$2:$B$4</c:f>
              <c:numCache>
                <c:formatCode>General</c:formatCode>
                <c:ptCount val="3"/>
                <c:pt idx="0">
                  <c:v>0</c:v>
                </c:pt>
                <c:pt idx="1">
                  <c:v>37.730000000000011</c:v>
                </c:pt>
                <c:pt idx="2">
                  <c:v>95.95</c:v>
                </c:pt>
              </c:numCache>
            </c:numRef>
          </c:val>
        </c:ser>
        <c:marker val="1"/>
        <c:axId val="118887936"/>
        <c:axId val="119748864"/>
      </c:lineChart>
      <c:catAx>
        <c:axId val="118887936"/>
        <c:scaling>
          <c:orientation val="minMax"/>
        </c:scaling>
        <c:axPos val="b"/>
        <c:majorTickMark val="none"/>
        <c:tickLblPos val="nextTo"/>
        <c:crossAx val="119748864"/>
        <c:crosses val="autoZero"/>
        <c:auto val="1"/>
        <c:lblAlgn val="ctr"/>
        <c:lblOffset val="100"/>
      </c:catAx>
      <c:valAx>
        <c:axId val="119748864"/>
        <c:scaling>
          <c:orientation val="minMax"/>
        </c:scaling>
        <c:axPos val="l"/>
        <c:majorGridlines/>
        <c:title>
          <c:tx>
            <c:rich>
              <a:bodyPr/>
              <a:lstStyle/>
              <a:p>
                <a:pPr>
                  <a:defRPr/>
                </a:pPr>
                <a:r>
                  <a:rPr lang="en-US" sz="1000" b="1" i="0" u="none" strike="noStrike" baseline="0"/>
                  <a:t>% Reduction in Load</a:t>
                </a:r>
                <a:endParaRPr lang="en-US"/>
              </a:p>
            </c:rich>
          </c:tx>
        </c:title>
        <c:numFmt formatCode="General" sourceLinked="1"/>
        <c:majorTickMark val="none"/>
        <c:tickLblPos val="nextTo"/>
        <c:crossAx val="118887936"/>
        <c:crosses val="autoZero"/>
        <c:crossBetween val="between"/>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800" b="1" i="0" u="none" strike="noStrike" kern="1200" baseline="0">
                <a:solidFill>
                  <a:sysClr val="windowText" lastClr="000000"/>
                </a:solidFill>
                <a:latin typeface="+mn-lt"/>
                <a:ea typeface="+mn-ea"/>
                <a:cs typeface="+mn-cs"/>
              </a:defRPr>
            </a:pPr>
            <a:r>
              <a:rPr lang="en-US" sz="1200"/>
              <a:t>Percentage Reduction in Stress in Rectangular openings </a:t>
            </a:r>
          </a:p>
        </c:rich>
      </c:tx>
    </c:title>
    <c:plotArea>
      <c:layout/>
      <c:lineChart>
        <c:grouping val="standard"/>
        <c:ser>
          <c:idx val="0"/>
          <c:order val="0"/>
          <c:tx>
            <c:strRef>
              <c:f>Sheet1!$B$1</c:f>
              <c:strCache>
                <c:ptCount val="1"/>
                <c:pt idx="0">
                  <c:v>Percentage Reduction in Stress </c:v>
                </c:pt>
              </c:strCache>
            </c:strRef>
          </c:tx>
          <c:marker>
            <c:spPr>
              <a:solidFill>
                <a:schemeClr val="accent2"/>
              </a:solidFill>
            </c:spPr>
          </c:marker>
          <c:cat>
            <c:strRef>
              <c:f>Sheet1!$A$2:$A$4</c:f>
              <c:strCache>
                <c:ptCount val="3"/>
                <c:pt idx="0">
                  <c:v>Solid Brick Masonry</c:v>
                </c:pt>
                <c:pt idx="1">
                  <c:v>Rectangular (400×300)</c:v>
                </c:pt>
                <c:pt idx="2">
                  <c:v>Rectangular (600×400)</c:v>
                </c:pt>
              </c:strCache>
            </c:strRef>
          </c:cat>
          <c:val>
            <c:numRef>
              <c:f>Sheet1!$B$2:$B$4</c:f>
              <c:numCache>
                <c:formatCode>General</c:formatCode>
                <c:ptCount val="3"/>
                <c:pt idx="0">
                  <c:v>0</c:v>
                </c:pt>
                <c:pt idx="1">
                  <c:v>55.49</c:v>
                </c:pt>
                <c:pt idx="2">
                  <c:v>76.599999999999994</c:v>
                </c:pt>
              </c:numCache>
            </c:numRef>
          </c:val>
        </c:ser>
        <c:marker val="1"/>
        <c:axId val="120120064"/>
        <c:axId val="122732928"/>
      </c:lineChart>
      <c:catAx>
        <c:axId val="120120064"/>
        <c:scaling>
          <c:orientation val="minMax"/>
        </c:scaling>
        <c:axPos val="b"/>
        <c:majorTickMark val="none"/>
        <c:tickLblPos val="nextTo"/>
        <c:crossAx val="122732928"/>
        <c:crosses val="autoZero"/>
        <c:auto val="1"/>
        <c:lblAlgn val="ctr"/>
        <c:lblOffset val="100"/>
      </c:catAx>
      <c:valAx>
        <c:axId val="122732928"/>
        <c:scaling>
          <c:orientation val="minMax"/>
        </c:scaling>
        <c:axPos val="l"/>
        <c:majorGridlines/>
        <c:title>
          <c:tx>
            <c:rich>
              <a:bodyPr/>
              <a:lstStyle/>
              <a:p>
                <a:pPr>
                  <a:defRPr/>
                </a:pPr>
                <a:r>
                  <a:rPr lang="en-US" sz="1000" b="1" i="0" u="none" strike="noStrike" baseline="0"/>
                  <a:t>% Reduction in stress</a:t>
                </a:r>
                <a:endParaRPr lang="en-US"/>
              </a:p>
            </c:rich>
          </c:tx>
          <c:layout>
            <c:manualLayout>
              <c:xMode val="edge"/>
              <c:yMode val="edge"/>
              <c:x val="0.19907407407407407"/>
              <c:y val="0.25431539807524067"/>
            </c:manualLayout>
          </c:layout>
        </c:title>
        <c:numFmt formatCode="General" sourceLinked="1"/>
        <c:majorTickMark val="none"/>
        <c:tickLblPos val="nextTo"/>
        <c:crossAx val="120120064"/>
        <c:crosses val="autoZero"/>
        <c:crossBetween val="between"/>
      </c:valAx>
      <c:dTable>
        <c:showHorzBorder val="1"/>
        <c:showVertBorder val="1"/>
        <c:showOutline val="1"/>
        <c:showKeys val="1"/>
      </c:dTable>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t>Percentage Reduction in stress in Circular</a:t>
            </a:r>
            <a:r>
              <a:rPr lang="en-US" sz="1200" baseline="0"/>
              <a:t> </a:t>
            </a:r>
            <a:r>
              <a:rPr lang="en-US" sz="1200"/>
              <a:t>openings </a:t>
            </a:r>
          </a:p>
        </c:rich>
      </c:tx>
    </c:title>
    <c:plotArea>
      <c:layout/>
      <c:lineChart>
        <c:grouping val="standard"/>
        <c:ser>
          <c:idx val="0"/>
          <c:order val="0"/>
          <c:tx>
            <c:strRef>
              <c:f>Sheet1!$B$1</c:f>
              <c:strCache>
                <c:ptCount val="1"/>
                <c:pt idx="0">
                  <c:v>Percentage Reduction in Load </c:v>
                </c:pt>
              </c:strCache>
            </c:strRef>
          </c:tx>
          <c:marker>
            <c:spPr>
              <a:solidFill>
                <a:schemeClr val="accent2"/>
              </a:solidFill>
            </c:spPr>
          </c:marker>
          <c:cat>
            <c:strRef>
              <c:f>Sheet1!$A$2:$A$4</c:f>
              <c:strCache>
                <c:ptCount val="3"/>
                <c:pt idx="0">
                  <c:v>Solid Brick Masonry </c:v>
                </c:pt>
                <c:pt idx="1">
                  <c:v>Circular (100 mm dia)</c:v>
                </c:pt>
                <c:pt idx="2">
                  <c:v>Circular (200 mm dia)</c:v>
                </c:pt>
              </c:strCache>
            </c:strRef>
          </c:cat>
          <c:val>
            <c:numRef>
              <c:f>Sheet1!$B$2:$B$4</c:f>
              <c:numCache>
                <c:formatCode>General</c:formatCode>
                <c:ptCount val="3"/>
                <c:pt idx="0">
                  <c:v>0</c:v>
                </c:pt>
                <c:pt idx="1">
                  <c:v>40.03</c:v>
                </c:pt>
                <c:pt idx="2">
                  <c:v>64.900000000000006</c:v>
                </c:pt>
              </c:numCache>
            </c:numRef>
          </c:val>
        </c:ser>
        <c:marker val="1"/>
        <c:axId val="131422464"/>
        <c:axId val="131454848"/>
      </c:lineChart>
      <c:catAx>
        <c:axId val="131422464"/>
        <c:scaling>
          <c:orientation val="minMax"/>
        </c:scaling>
        <c:axPos val="b"/>
        <c:majorTickMark val="none"/>
        <c:tickLblPos val="nextTo"/>
        <c:crossAx val="131454848"/>
        <c:crosses val="autoZero"/>
        <c:auto val="1"/>
        <c:lblAlgn val="ctr"/>
        <c:lblOffset val="100"/>
      </c:catAx>
      <c:valAx>
        <c:axId val="131454848"/>
        <c:scaling>
          <c:orientation val="minMax"/>
        </c:scaling>
        <c:axPos val="l"/>
        <c:majorGridlines/>
        <c:title>
          <c:tx>
            <c:rich>
              <a:bodyPr/>
              <a:lstStyle/>
              <a:p>
                <a:pPr>
                  <a:defRPr/>
                </a:pPr>
                <a:r>
                  <a:rPr lang="en-US" sz="1000" b="1" i="0" u="none" strike="noStrike" baseline="0"/>
                  <a:t>% Reduction in  stress</a:t>
                </a:r>
                <a:endParaRPr lang="en-US"/>
              </a:p>
            </c:rich>
          </c:tx>
        </c:title>
        <c:numFmt formatCode="General" sourceLinked="1"/>
        <c:majorTickMark val="none"/>
        <c:tickLblPos val="nextTo"/>
        <c:crossAx val="131422464"/>
        <c:crosses val="autoZero"/>
        <c:crossBetween val="between"/>
      </c:valAx>
      <c:dTable>
        <c:showHorzBorder val="1"/>
        <c:showVertBorder val="1"/>
        <c:showOutline val="1"/>
        <c:showKeys val="1"/>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671</Words>
  <Characters>3827</Characters>
  <Application>Microsoft Office Word</Application>
  <DocSecurity>0</DocSecurity>
  <Lines>31</Lines>
  <Paragraphs>8</Paragraphs>
  <ScaleCrop>false</ScaleCrop>
  <Company/>
  <LinksUpToDate>false</LinksUpToDate>
  <CharactersWithSpaces>4490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12</cp:revision>
  <dcterms:created xsi:type="dcterms:W3CDTF">2025-01-16T04:47:00Z</dcterms:created>
  <dcterms:modified xsi:type="dcterms:W3CDTF">2025-01-16T05:18:00Z</dcterms:modified>
</cp:coreProperties>
</file>