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C4460" w14:textId="28E09154" w:rsidR="000D4BB6" w:rsidRDefault="00291641" w:rsidP="000D4BB6">
      <w:pPr>
        <w:pStyle w:val="ListParagraph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91641">
        <w:rPr>
          <w:rFonts w:ascii="Times New Roman" w:eastAsia="Times New Roman" w:hAnsi="Times New Roman" w:cs="Times New Roman"/>
          <w:b/>
          <w:sz w:val="28"/>
        </w:rPr>
        <w:t xml:space="preserve">The Synthesis </w:t>
      </w:r>
      <w:r w:rsidR="00767CEE" w:rsidRPr="00291641">
        <w:rPr>
          <w:rFonts w:ascii="Times New Roman" w:eastAsia="Times New Roman" w:hAnsi="Times New Roman" w:cs="Times New Roman"/>
          <w:b/>
          <w:sz w:val="28"/>
        </w:rPr>
        <w:t>and</w:t>
      </w:r>
      <w:r w:rsidRPr="00291641">
        <w:rPr>
          <w:rFonts w:ascii="Times New Roman" w:eastAsia="Times New Roman" w:hAnsi="Times New Roman" w:cs="Times New Roman"/>
          <w:b/>
          <w:sz w:val="28"/>
        </w:rPr>
        <w:t xml:space="preserve"> Development Process </w:t>
      </w:r>
      <w:r w:rsidR="00767CEE" w:rsidRPr="00291641">
        <w:rPr>
          <w:rFonts w:ascii="Times New Roman" w:eastAsia="Times New Roman" w:hAnsi="Times New Roman" w:cs="Times New Roman"/>
          <w:b/>
          <w:sz w:val="28"/>
        </w:rPr>
        <w:t>of</w:t>
      </w:r>
      <w:r w:rsidRPr="00291641">
        <w:rPr>
          <w:rFonts w:ascii="Times New Roman" w:eastAsia="Times New Roman" w:hAnsi="Times New Roman" w:cs="Times New Roman"/>
          <w:b/>
          <w:sz w:val="28"/>
        </w:rPr>
        <w:t xml:space="preserve"> Cefiderocol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14:paraId="43995CA6" w14:textId="603DD148" w:rsidR="00291641" w:rsidRDefault="00291641" w:rsidP="00291641">
      <w:pPr>
        <w:pStyle w:val="ListParagraph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Prof. Tandale </w:t>
      </w:r>
      <w:r w:rsidR="00767CEE">
        <w:rPr>
          <w:rFonts w:ascii="Times New Roman" w:eastAsia="Times New Roman" w:hAnsi="Times New Roman" w:cs="Times New Roman"/>
          <w:bCs/>
          <w:sz w:val="28"/>
        </w:rPr>
        <w:t>L. D,</w:t>
      </w:r>
      <w:r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767CEE">
        <w:rPr>
          <w:rFonts w:ascii="Times New Roman" w:eastAsia="Times New Roman" w:hAnsi="Times New Roman" w:cs="Times New Roman"/>
          <w:bCs/>
          <w:sz w:val="28"/>
        </w:rPr>
        <w:t>Ms.</w:t>
      </w:r>
      <w:r w:rsidR="00767CEE" w:rsidRPr="00291641">
        <w:rPr>
          <w:rFonts w:ascii="Times New Roman" w:eastAsia="Times New Roman" w:hAnsi="Times New Roman" w:cs="Times New Roman"/>
          <w:bCs/>
          <w:sz w:val="28"/>
        </w:rPr>
        <w:t xml:space="preserve"> Dumbre</w:t>
      </w:r>
      <w:r w:rsidRPr="00291641">
        <w:rPr>
          <w:rFonts w:ascii="Times New Roman" w:eastAsia="Times New Roman" w:hAnsi="Times New Roman" w:cs="Times New Roman"/>
          <w:bCs/>
          <w:sz w:val="28"/>
        </w:rPr>
        <w:t xml:space="preserve"> Shivani</w:t>
      </w:r>
      <w:r>
        <w:rPr>
          <w:rFonts w:ascii="Times New Roman" w:eastAsia="Times New Roman" w:hAnsi="Times New Roman" w:cs="Times New Roman"/>
          <w:bCs/>
          <w:sz w:val="28"/>
        </w:rPr>
        <w:t xml:space="preserve"> K.</w:t>
      </w:r>
    </w:p>
    <w:p w14:paraId="5FF33DC0" w14:textId="5850F5D6" w:rsidR="00291641" w:rsidRDefault="00291641" w:rsidP="00291641">
      <w:pPr>
        <w:pStyle w:val="ListParagraph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Department of Pharmaceutical Chemistry </w:t>
      </w:r>
    </w:p>
    <w:p w14:paraId="0C662634" w14:textId="17990D9B" w:rsidR="00291641" w:rsidRDefault="00291641" w:rsidP="00291641">
      <w:pPr>
        <w:pStyle w:val="ListParagraph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Shri Swami Samarth Institute of Pharmacy, Malwadi (Bota).</w:t>
      </w:r>
    </w:p>
    <w:p w14:paraId="04A8E484" w14:textId="021446FC" w:rsidR="00291641" w:rsidRDefault="00291641" w:rsidP="00291641">
      <w:pPr>
        <w:pStyle w:val="ListParagraph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India -422602</w:t>
      </w:r>
    </w:p>
    <w:p w14:paraId="4CEB1142" w14:textId="1F49E910" w:rsidR="00291641" w:rsidRPr="00291641" w:rsidRDefault="00291641" w:rsidP="00291641">
      <w:pPr>
        <w:pStyle w:val="ListParagraph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Email </w:t>
      </w:r>
      <w:r w:rsidR="00767CEE">
        <w:rPr>
          <w:rFonts w:ascii="Times New Roman" w:eastAsia="Times New Roman" w:hAnsi="Times New Roman" w:cs="Times New Roman"/>
          <w:bCs/>
          <w:sz w:val="28"/>
        </w:rPr>
        <w:t>id:</w:t>
      </w:r>
      <w:r>
        <w:rPr>
          <w:rFonts w:ascii="Times New Roman" w:eastAsia="Times New Roman" w:hAnsi="Times New Roman" w:cs="Times New Roman"/>
          <w:bCs/>
          <w:sz w:val="28"/>
        </w:rPr>
        <w:t xml:space="preserve"> </w:t>
      </w:r>
      <w:hyperlink r:id="rId5" w:history="1">
        <w:r w:rsidR="00767CEE" w:rsidRPr="00EB1659">
          <w:rPr>
            <w:rStyle w:val="Hyperlink"/>
            <w:rFonts w:ascii="Times New Roman" w:eastAsia="Times New Roman" w:hAnsi="Times New Roman" w:cs="Times New Roman"/>
            <w:bCs/>
            <w:sz w:val="28"/>
          </w:rPr>
          <w:t>shivanidumbre1810@gmail.com</w:t>
        </w:r>
      </w:hyperlink>
      <w:r w:rsidR="00767CEE">
        <w:rPr>
          <w:rFonts w:ascii="Times New Roman" w:eastAsia="Times New Roman" w:hAnsi="Times New Roman" w:cs="Times New Roman"/>
          <w:bCs/>
          <w:sz w:val="28"/>
        </w:rPr>
        <w:t xml:space="preserve"> </w:t>
      </w:r>
    </w:p>
    <w:p w14:paraId="14343649" w14:textId="77777777" w:rsidR="000D4BB6" w:rsidRPr="00291641" w:rsidRDefault="000D4BB6">
      <w:pPr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62AB4873" w14:textId="37781115" w:rsidR="006C6229" w:rsidRPr="006C6229" w:rsidRDefault="006C6229" w:rsidP="006C622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C6229">
        <w:rPr>
          <w:rFonts w:ascii="Times New Roman" w:eastAsia="Times New Roman" w:hAnsi="Times New Roman" w:cs="Times New Roman"/>
          <w:b/>
          <w:sz w:val="28"/>
        </w:rPr>
        <w:lastRenderedPageBreak/>
        <w:t xml:space="preserve">ABSTRACT </w:t>
      </w:r>
    </w:p>
    <w:p w14:paraId="25B5D2E8" w14:textId="77777777" w:rsidR="006C6229" w:rsidRDefault="006C6229" w:rsidP="006C6229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 w:rsidRPr="0019152A">
        <w:rPr>
          <w:b/>
          <w:bCs/>
          <w:sz w:val="24"/>
          <w:szCs w:val="24"/>
        </w:rPr>
        <w:t>Objective: </w:t>
      </w:r>
      <w:r w:rsidRPr="0019152A">
        <w:rPr>
          <w:sz w:val="24"/>
          <w:szCs w:val="24"/>
        </w:rPr>
        <w:t xml:space="preserve">This article reviews the available data on the chemistry, spectrum of activity, pharmacokinetic and pharmacodynamic properties, clinical efficacy, and potential place in therapy of </w:t>
      </w:r>
      <w:proofErr w:type="spellStart"/>
      <w:r w:rsidRPr="0019152A">
        <w:rPr>
          <w:sz w:val="24"/>
          <w:szCs w:val="24"/>
        </w:rPr>
        <w:t>cefiderocol</w:t>
      </w:r>
      <w:proofErr w:type="spellEnd"/>
      <w:r w:rsidRPr="0019152A">
        <w:rPr>
          <w:sz w:val="24"/>
          <w:szCs w:val="24"/>
        </w:rPr>
        <w:t>.</w:t>
      </w:r>
    </w:p>
    <w:p w14:paraId="04DC6C30" w14:textId="7C38AF9B" w:rsidR="006C6229" w:rsidRPr="006C6229" w:rsidRDefault="006C6229" w:rsidP="006C6229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 w:rsidRPr="0019152A">
        <w:rPr>
          <w:b/>
          <w:bCs/>
          <w:sz w:val="24"/>
          <w:szCs w:val="24"/>
        </w:rPr>
        <w:t>Data sources: </w:t>
      </w:r>
      <w:r w:rsidRPr="0019152A">
        <w:rPr>
          <w:sz w:val="24"/>
          <w:szCs w:val="24"/>
        </w:rPr>
        <w:t>A literature search through PubMed, Google Scholar, and ClinicalTrials.gov was conducted (2009 to March 2020) using the search terms </w:t>
      </w:r>
      <w:proofErr w:type="spellStart"/>
      <w:r w:rsidRPr="0019152A">
        <w:rPr>
          <w:i/>
          <w:iCs/>
          <w:sz w:val="24"/>
          <w:szCs w:val="24"/>
        </w:rPr>
        <w:t>cefiderocol</w:t>
      </w:r>
      <w:proofErr w:type="spellEnd"/>
      <w:r w:rsidRPr="0019152A">
        <w:rPr>
          <w:sz w:val="24"/>
          <w:szCs w:val="24"/>
        </w:rPr>
        <w:t> and </w:t>
      </w:r>
      <w:r w:rsidRPr="0019152A">
        <w:rPr>
          <w:i/>
          <w:iCs/>
          <w:sz w:val="24"/>
          <w:szCs w:val="24"/>
        </w:rPr>
        <w:t>S-649266</w:t>
      </w:r>
      <w:r w:rsidRPr="0019152A">
        <w:rPr>
          <w:sz w:val="24"/>
          <w:szCs w:val="24"/>
        </w:rPr>
        <w:t>. Abstracts presented at recent conferences, prescribing information, and information from the US Food and Drug Administration (FDA) and the manufacturer's website were reviewed.</w:t>
      </w:r>
    </w:p>
    <w:p w14:paraId="172F2FE7" w14:textId="77777777" w:rsidR="006C6229" w:rsidRPr="0019152A" w:rsidRDefault="006C6229" w:rsidP="006C6229">
      <w:pPr>
        <w:spacing w:line="360" w:lineRule="auto"/>
        <w:rPr>
          <w:sz w:val="24"/>
          <w:szCs w:val="24"/>
        </w:rPr>
      </w:pPr>
      <w:r w:rsidRPr="0019152A">
        <w:rPr>
          <w:b/>
          <w:bCs/>
          <w:sz w:val="24"/>
          <w:szCs w:val="24"/>
        </w:rPr>
        <w:t>Study selection and data extraction: </w:t>
      </w:r>
      <w:r w:rsidRPr="0019152A">
        <w:rPr>
          <w:sz w:val="24"/>
          <w:szCs w:val="24"/>
        </w:rPr>
        <w:t xml:space="preserve">All relevant published articles, package inserts, and unpublished meeting abstracts on </w:t>
      </w:r>
      <w:proofErr w:type="spellStart"/>
      <w:r w:rsidRPr="0019152A">
        <w:rPr>
          <w:sz w:val="24"/>
          <w:szCs w:val="24"/>
        </w:rPr>
        <w:t>cefiderocol</w:t>
      </w:r>
      <w:proofErr w:type="spellEnd"/>
      <w:r w:rsidRPr="0019152A">
        <w:rPr>
          <w:sz w:val="24"/>
          <w:szCs w:val="24"/>
        </w:rPr>
        <w:t xml:space="preserve"> were reviewed.</w:t>
      </w:r>
    </w:p>
    <w:p w14:paraId="4CF6FC93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19152A">
        <w:rPr>
          <w:b/>
          <w:bCs/>
          <w:sz w:val="24"/>
          <w:szCs w:val="24"/>
        </w:rPr>
        <w:t>Data synthesis: </w:t>
      </w:r>
      <w:r w:rsidRPr="0019152A">
        <w:rPr>
          <w:sz w:val="24"/>
          <w:szCs w:val="24"/>
        </w:rPr>
        <w:t>Cefiderocol is the first siderophore antibiotic to be approved by the FDA. It was shown to be active against a wide range of resistant Gram-negative pathogens, including multidrug-resistant (MDR) </w:t>
      </w:r>
      <w:r w:rsidRPr="0019152A">
        <w:rPr>
          <w:i/>
          <w:iCs/>
          <w:sz w:val="24"/>
          <w:szCs w:val="24"/>
        </w:rPr>
        <w:t>Pseudomonas aeruginosa, Acinetobacter baumannii</w:t>
      </w:r>
      <w:r w:rsidRPr="0019152A">
        <w:rPr>
          <w:sz w:val="24"/>
          <w:szCs w:val="24"/>
        </w:rPr>
        <w:t>, Enterobacteriaceae, and </w:t>
      </w:r>
      <w:r w:rsidRPr="0019152A">
        <w:rPr>
          <w:i/>
          <w:iCs/>
          <w:sz w:val="24"/>
          <w:szCs w:val="24"/>
        </w:rPr>
        <w:t xml:space="preserve">Stenotrophomonas </w:t>
      </w:r>
      <w:proofErr w:type="spellStart"/>
      <w:r w:rsidRPr="0019152A">
        <w:rPr>
          <w:i/>
          <w:iCs/>
          <w:sz w:val="24"/>
          <w:szCs w:val="24"/>
        </w:rPr>
        <w:t>maltophilia</w:t>
      </w:r>
      <w:proofErr w:type="spellEnd"/>
      <w:r w:rsidRPr="0019152A">
        <w:rPr>
          <w:sz w:val="24"/>
          <w:szCs w:val="24"/>
        </w:rPr>
        <w:t>. Cefiderocol was studied in the treatment of adult patients with complicated urinary tract infections (</w:t>
      </w:r>
      <w:proofErr w:type="spellStart"/>
      <w:r w:rsidRPr="0019152A">
        <w:rPr>
          <w:sz w:val="24"/>
          <w:szCs w:val="24"/>
        </w:rPr>
        <w:t>cUTIs</w:t>
      </w:r>
      <w:proofErr w:type="spellEnd"/>
      <w:r w:rsidRPr="0019152A">
        <w:rPr>
          <w:sz w:val="24"/>
          <w:szCs w:val="24"/>
        </w:rPr>
        <w:t xml:space="preserve">) and nosocomial pneumonia and was well tolerated. </w:t>
      </w:r>
    </w:p>
    <w:p w14:paraId="1CBAE0BC" w14:textId="72A55D3E" w:rsidR="006C6229" w:rsidRPr="0019152A" w:rsidRDefault="006C6229" w:rsidP="006C6229">
      <w:pPr>
        <w:spacing w:line="360" w:lineRule="auto"/>
        <w:rPr>
          <w:sz w:val="24"/>
          <w:szCs w:val="24"/>
        </w:rPr>
      </w:pPr>
      <w:r w:rsidRPr="0019152A">
        <w:rPr>
          <w:b/>
          <w:bCs/>
          <w:sz w:val="24"/>
          <w:szCs w:val="24"/>
        </w:rPr>
        <w:t>Relevance to patient care and clinical practice: </w:t>
      </w:r>
      <w:r w:rsidRPr="0019152A">
        <w:rPr>
          <w:sz w:val="24"/>
          <w:szCs w:val="24"/>
        </w:rPr>
        <w:t xml:space="preserve">The approval of </w:t>
      </w:r>
      <w:proofErr w:type="spellStart"/>
      <w:r w:rsidRPr="0019152A">
        <w:rPr>
          <w:sz w:val="24"/>
          <w:szCs w:val="24"/>
        </w:rPr>
        <w:t>cefiderocol</w:t>
      </w:r>
      <w:proofErr w:type="spellEnd"/>
      <w:r w:rsidRPr="0019152A">
        <w:rPr>
          <w:sz w:val="24"/>
          <w:szCs w:val="24"/>
        </w:rPr>
        <w:t xml:space="preserve"> provides a new option in the treatment of </w:t>
      </w:r>
      <w:proofErr w:type="spellStart"/>
      <w:r w:rsidRPr="0019152A">
        <w:rPr>
          <w:sz w:val="24"/>
          <w:szCs w:val="24"/>
        </w:rPr>
        <w:t>cUTIs</w:t>
      </w:r>
      <w:proofErr w:type="spellEnd"/>
      <w:r w:rsidRPr="0019152A">
        <w:rPr>
          <w:sz w:val="24"/>
          <w:szCs w:val="24"/>
        </w:rPr>
        <w:t xml:space="preserve"> and potentially treatment of nosocomial pneumonia caused by resistant Gram-negative pathogens. Given the higher mortality observed with </w:t>
      </w:r>
      <w:proofErr w:type="spellStart"/>
      <w:r w:rsidRPr="0019152A">
        <w:rPr>
          <w:sz w:val="24"/>
          <w:szCs w:val="24"/>
        </w:rPr>
        <w:t>cefiderocol</w:t>
      </w:r>
      <w:proofErr w:type="spellEnd"/>
      <w:r w:rsidRPr="0019152A">
        <w:rPr>
          <w:sz w:val="24"/>
          <w:szCs w:val="24"/>
        </w:rPr>
        <w:t>, its use in the treatment of CR Gram-negative infections should be carefully considered.</w:t>
      </w:r>
    </w:p>
    <w:p w14:paraId="40B82AB4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19152A">
        <w:rPr>
          <w:b/>
          <w:bCs/>
          <w:sz w:val="24"/>
          <w:szCs w:val="24"/>
        </w:rPr>
        <w:t>Conclusion: </w:t>
      </w:r>
      <w:r w:rsidRPr="0019152A">
        <w:rPr>
          <w:sz w:val="24"/>
          <w:szCs w:val="24"/>
        </w:rPr>
        <w:t>Cefiderocol shows promising activity against MDR Gram-negative pathogens. Its use in the treatment of serious infections caused by CR Gram-negative bacteria needs further evaluation in phase III clinical studies.</w:t>
      </w:r>
    </w:p>
    <w:p w14:paraId="49198AED" w14:textId="4E58D38A" w:rsidR="006C6229" w:rsidRPr="006C6229" w:rsidRDefault="006C6229" w:rsidP="006C6229">
      <w:pPr>
        <w:spacing w:line="36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Keywords </w:t>
      </w:r>
    </w:p>
    <w:p w14:paraId="410B61F2" w14:textId="77777777" w:rsidR="006C6229" w:rsidRDefault="006C6229" w:rsidP="006C6229">
      <w:pPr>
        <w:rPr>
          <w:rFonts w:ascii="Bookman Old Style" w:hAnsi="Bookman Old Style"/>
          <w:sz w:val="28"/>
          <w:szCs w:val="28"/>
        </w:rPr>
      </w:pPr>
      <w:r w:rsidRPr="002F1804">
        <w:rPr>
          <w:b/>
          <w:bCs/>
          <w:sz w:val="24"/>
          <w:szCs w:val="24"/>
        </w:rPr>
        <w:t> </w:t>
      </w:r>
      <w:r w:rsidRPr="002F1804">
        <w:rPr>
          <w:sz w:val="24"/>
          <w:szCs w:val="24"/>
        </w:rPr>
        <w:t>antibiotics; cephalosporin; complicated urinary tract infections; infectious diseases; siderophore.</w:t>
      </w:r>
    </w:p>
    <w:p w14:paraId="18E6E191" w14:textId="395D0812" w:rsidR="006C6229" w:rsidRPr="006C6229" w:rsidRDefault="006C6229" w:rsidP="006C6229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bCs/>
          <w:sz w:val="28"/>
          <w:szCs w:val="28"/>
        </w:rPr>
      </w:pPr>
      <w:proofErr w:type="gramStart"/>
      <w:r w:rsidRPr="006C6229">
        <w:rPr>
          <w:rFonts w:ascii="Times New Roman" w:hAnsi="Times New Roman" w:cs="Times New Roman"/>
          <w:b/>
          <w:bCs/>
          <w:sz w:val="28"/>
          <w:szCs w:val="28"/>
        </w:rPr>
        <w:lastRenderedPageBreak/>
        <w:t>Introduction :</w:t>
      </w:r>
      <w:proofErr w:type="gramEnd"/>
    </w:p>
    <w:p w14:paraId="6C6829E0" w14:textId="77777777" w:rsidR="006C6229" w:rsidRPr="00EB5CF2" w:rsidRDefault="006C6229" w:rsidP="006C6229">
      <w:pPr>
        <w:spacing w:line="360" w:lineRule="auto"/>
        <w:rPr>
          <w:sz w:val="24"/>
          <w:szCs w:val="24"/>
        </w:rPr>
      </w:pPr>
      <w:r w:rsidRPr="00EB5CF2">
        <w:rPr>
          <w:sz w:val="24"/>
          <w:szCs w:val="24"/>
        </w:rPr>
        <w:t xml:space="preserve">Cefiderocol, sold under the brand name </w:t>
      </w:r>
      <w:proofErr w:type="spellStart"/>
      <w:r w:rsidRPr="00EB5CF2">
        <w:rPr>
          <w:sz w:val="24"/>
          <w:szCs w:val="24"/>
        </w:rPr>
        <w:t>Fetroja</w:t>
      </w:r>
      <w:proofErr w:type="spellEnd"/>
      <w:r w:rsidRPr="00EB5CF2">
        <w:rPr>
          <w:sz w:val="24"/>
          <w:szCs w:val="24"/>
        </w:rPr>
        <w:t xml:space="preserve"> (by Shionogi) among others, is an antibiotic used to treat complicated urinary tract infections when no other options are available.</w:t>
      </w:r>
    </w:p>
    <w:p w14:paraId="731B6B09" w14:textId="77777777" w:rsidR="006C6229" w:rsidRPr="00EB5CF2" w:rsidRDefault="006C6229" w:rsidP="006C6229">
      <w:pPr>
        <w:spacing w:line="360" w:lineRule="auto"/>
        <w:rPr>
          <w:sz w:val="24"/>
          <w:szCs w:val="24"/>
        </w:rPr>
      </w:pPr>
      <w:r w:rsidRPr="00EB5CF2">
        <w:rPr>
          <w:sz w:val="24"/>
          <w:szCs w:val="24"/>
        </w:rPr>
        <w:t>It is indicated for the treatment of multi-drug-resistant Gram-negative bacteria including Pseudomonas aeruginosa</w:t>
      </w:r>
      <w:r>
        <w:rPr>
          <w:sz w:val="24"/>
          <w:szCs w:val="24"/>
        </w:rPr>
        <w:t>.</w:t>
      </w:r>
    </w:p>
    <w:p w14:paraId="7DE6316D" w14:textId="77777777" w:rsidR="006C6229" w:rsidRPr="00EB5CF2" w:rsidRDefault="006C6229" w:rsidP="006C6229">
      <w:pPr>
        <w:spacing w:line="360" w:lineRule="auto"/>
        <w:rPr>
          <w:sz w:val="24"/>
          <w:szCs w:val="24"/>
        </w:rPr>
      </w:pPr>
      <w:r w:rsidRPr="00EB5CF2">
        <w:rPr>
          <w:sz w:val="24"/>
          <w:szCs w:val="24"/>
        </w:rPr>
        <w:t>It is given by injection into a vein.</w:t>
      </w:r>
    </w:p>
    <w:p w14:paraId="030317DD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F147DD">
        <w:rPr>
          <w:sz w:val="24"/>
          <w:szCs w:val="24"/>
        </w:rPr>
        <w:t>Cefiderocol is in the cephalosporin family of medications. I</w:t>
      </w:r>
      <w:r>
        <w:rPr>
          <w:sz w:val="24"/>
          <w:szCs w:val="24"/>
        </w:rPr>
        <w:t>t</w:t>
      </w:r>
      <w:r w:rsidRPr="00F147DD">
        <w:rPr>
          <w:sz w:val="24"/>
          <w:szCs w:val="24"/>
        </w:rPr>
        <w:t xml:space="preserve"> was approved for medical use in the United States in November 2019, and in the European Union in April 2020.</w:t>
      </w:r>
    </w:p>
    <w:p w14:paraId="28B7371A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F147DD">
        <w:rPr>
          <w:sz w:val="24"/>
          <w:szCs w:val="24"/>
        </w:rPr>
        <w:t xml:space="preserve">In September 2020, </w:t>
      </w:r>
      <w:proofErr w:type="spellStart"/>
      <w:r w:rsidRPr="00F147DD">
        <w:rPr>
          <w:sz w:val="24"/>
          <w:szCs w:val="24"/>
        </w:rPr>
        <w:t>cefiderocol</w:t>
      </w:r>
      <w:proofErr w:type="spellEnd"/>
      <w:r w:rsidRPr="00F147DD">
        <w:rPr>
          <w:sz w:val="24"/>
          <w:szCs w:val="24"/>
        </w:rPr>
        <w:t xml:space="preserve"> (</w:t>
      </w:r>
      <w:proofErr w:type="spellStart"/>
      <w:r w:rsidRPr="00F147DD">
        <w:rPr>
          <w:sz w:val="24"/>
          <w:szCs w:val="24"/>
        </w:rPr>
        <w:t>Fetroja</w:t>
      </w:r>
      <w:proofErr w:type="spellEnd"/>
      <w:r w:rsidRPr="00F147DD">
        <w:rPr>
          <w:sz w:val="24"/>
          <w:szCs w:val="24"/>
        </w:rPr>
        <w:t>) received FDA approval as supplemental New Drug Application (</w:t>
      </w:r>
      <w:proofErr w:type="spellStart"/>
      <w:r w:rsidRPr="00F147DD">
        <w:rPr>
          <w:sz w:val="24"/>
          <w:szCs w:val="24"/>
        </w:rPr>
        <w:t>sNDA</w:t>
      </w:r>
      <w:proofErr w:type="spellEnd"/>
      <w:r w:rsidRPr="00F147DD">
        <w:rPr>
          <w:sz w:val="24"/>
          <w:szCs w:val="24"/>
        </w:rPr>
        <w:t>) for treatment</w:t>
      </w:r>
      <w:r w:rsidRPr="00A121BF">
        <w:rPr>
          <w:sz w:val="24"/>
          <w:szCs w:val="24"/>
        </w:rPr>
        <w:t xml:space="preserve"> of hospital-acquired bacterial pneumonia (HABP) and ventilator-associated bacterial pneumonia (VABP) when caused by Gram-negative bacteria resistant to other antibiotics. It is on the World Health Organization's List of Essential Medicines.</w:t>
      </w:r>
    </w:p>
    <w:p w14:paraId="17C9B4AB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7D3A49">
        <w:rPr>
          <w:sz w:val="24"/>
          <w:szCs w:val="24"/>
        </w:rPr>
        <w:t>Cefiderocol is a cephalosporin antibacterial drug that inhibits cell wall synthesis and causes cell death.</w:t>
      </w:r>
    </w:p>
    <w:p w14:paraId="3024D4E5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7D3A49">
        <w:rPr>
          <w:sz w:val="24"/>
          <w:szCs w:val="24"/>
        </w:rPr>
        <w:t xml:space="preserve"> It binds to penicillin-binding proteins (PBPs) and prevents the linking of peptidoglycan layers.</w:t>
      </w:r>
    </w:p>
    <w:p w14:paraId="100827B1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7D3A49">
        <w:rPr>
          <w:sz w:val="24"/>
          <w:szCs w:val="24"/>
        </w:rPr>
        <w:t xml:space="preserve"> Cefiderocol is an iron carrier cephalosporin that achieves drug accumulation through a unique "Trojan horse" strategy into the bacterial periplasm.</w:t>
      </w:r>
    </w:p>
    <w:p w14:paraId="23E76441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7D3A49">
        <w:rPr>
          <w:sz w:val="24"/>
          <w:szCs w:val="24"/>
        </w:rPr>
        <w:t xml:space="preserve"> It shows high antibacterial activity against multidrug-resistant (MDR) Enterobacteriaceae and MDR non-fermentative bacteria</w:t>
      </w:r>
      <w:r>
        <w:rPr>
          <w:sz w:val="24"/>
          <w:szCs w:val="24"/>
        </w:rPr>
        <w:t>.</w:t>
      </w:r>
    </w:p>
    <w:p w14:paraId="7EFDD8DE" w14:textId="77777777" w:rsidR="006C6229" w:rsidRPr="00020A56" w:rsidRDefault="006C6229" w:rsidP="00020A56">
      <w:pPr>
        <w:pStyle w:val="ListParagraph"/>
        <w:numPr>
          <w:ilvl w:val="0"/>
          <w:numId w:val="11"/>
        </w:numPr>
        <w:spacing w:line="360" w:lineRule="auto"/>
        <w:rPr>
          <w:b/>
          <w:bCs/>
          <w:sz w:val="24"/>
          <w:szCs w:val="24"/>
        </w:rPr>
      </w:pPr>
      <w:proofErr w:type="gramStart"/>
      <w:r w:rsidRPr="00020A56">
        <w:rPr>
          <w:rFonts w:ascii="Bookman Old Style" w:hAnsi="Bookman Old Style"/>
          <w:b/>
          <w:bCs/>
          <w:sz w:val="28"/>
          <w:szCs w:val="28"/>
        </w:rPr>
        <w:t>History</w:t>
      </w:r>
      <w:r w:rsidRPr="00020A56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020A56">
        <w:rPr>
          <w:b/>
          <w:bCs/>
          <w:sz w:val="24"/>
          <w:szCs w:val="24"/>
        </w:rPr>
        <w:t>:</w:t>
      </w:r>
      <w:proofErr w:type="gramEnd"/>
    </w:p>
    <w:p w14:paraId="4479C76B" w14:textId="77777777" w:rsidR="00020A56" w:rsidRDefault="006C6229" w:rsidP="006C6229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BF17BE">
        <w:rPr>
          <w:sz w:val="24"/>
          <w:szCs w:val="24"/>
        </w:rPr>
        <w:t>Discovery and Early Development (2005-2010)</w:t>
      </w:r>
    </w:p>
    <w:p w14:paraId="1D5C7A38" w14:textId="01D43173" w:rsidR="006C6229" w:rsidRPr="00020A56" w:rsidRDefault="006C6229" w:rsidP="00020A56">
      <w:pPr>
        <w:pStyle w:val="ListParagraph"/>
        <w:spacing w:line="360" w:lineRule="auto"/>
        <w:rPr>
          <w:sz w:val="24"/>
          <w:szCs w:val="24"/>
        </w:rPr>
      </w:pPr>
      <w:r w:rsidRPr="00020A56">
        <w:rPr>
          <w:sz w:val="24"/>
          <w:szCs w:val="24"/>
        </w:rPr>
        <w:t>1.Cefiderocol was discovered by Shionogi &amp; Co., Ltd. in Japan.</w:t>
      </w:r>
    </w:p>
    <w:p w14:paraId="71C23351" w14:textId="77777777" w:rsidR="00E62EDE" w:rsidRDefault="006C6229" w:rsidP="00E62EDE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BF17BE">
        <w:rPr>
          <w:sz w:val="24"/>
          <w:szCs w:val="24"/>
        </w:rPr>
        <w:t>Preclinical Studies (2010-2012)</w:t>
      </w:r>
    </w:p>
    <w:p w14:paraId="73D3EBEF" w14:textId="77777777" w:rsidR="00E62EDE" w:rsidRDefault="006C6229" w:rsidP="00E62EDE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E62EDE">
        <w:rPr>
          <w:sz w:val="24"/>
          <w:szCs w:val="24"/>
        </w:rPr>
        <w:t xml:space="preserve">Shionogi conducted preclinical trials to evaluate </w:t>
      </w:r>
      <w:proofErr w:type="spellStart"/>
      <w:r w:rsidRPr="00E62EDE">
        <w:rPr>
          <w:sz w:val="24"/>
          <w:szCs w:val="24"/>
        </w:rPr>
        <w:t>cefiderocol's</w:t>
      </w:r>
      <w:proofErr w:type="spellEnd"/>
      <w:r w:rsidRPr="00E62EDE">
        <w:rPr>
          <w:sz w:val="24"/>
          <w:szCs w:val="24"/>
        </w:rPr>
        <w:t xml:space="preserve"> pharmacokinetics, pharmacodynamics, and efficacy.</w:t>
      </w:r>
    </w:p>
    <w:p w14:paraId="0F3EF1E3" w14:textId="77777777" w:rsidR="00020A56" w:rsidRDefault="006C6229" w:rsidP="006C6229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E62EDE">
        <w:rPr>
          <w:sz w:val="24"/>
          <w:szCs w:val="24"/>
        </w:rPr>
        <w:t>Regulatory Approvals (2019-2020)</w:t>
      </w:r>
    </w:p>
    <w:p w14:paraId="79AADF06" w14:textId="524A80E0" w:rsidR="006C6229" w:rsidRPr="00020A56" w:rsidRDefault="006C6229" w:rsidP="00020A56">
      <w:pPr>
        <w:spacing w:line="360" w:lineRule="auto"/>
        <w:rPr>
          <w:sz w:val="24"/>
          <w:szCs w:val="24"/>
        </w:rPr>
      </w:pPr>
      <w:r w:rsidRPr="00020A56">
        <w:rPr>
          <w:sz w:val="24"/>
          <w:szCs w:val="24"/>
        </w:rPr>
        <w:lastRenderedPageBreak/>
        <w:t xml:space="preserve">1. FDA (US): approved </w:t>
      </w:r>
      <w:proofErr w:type="spellStart"/>
      <w:r w:rsidRPr="00020A56">
        <w:rPr>
          <w:sz w:val="24"/>
          <w:szCs w:val="24"/>
        </w:rPr>
        <w:t>cefiderocol</w:t>
      </w:r>
      <w:proofErr w:type="spellEnd"/>
      <w:r w:rsidRPr="00020A56">
        <w:rPr>
          <w:sz w:val="24"/>
          <w:szCs w:val="24"/>
        </w:rPr>
        <w:t xml:space="preserve"> (</w:t>
      </w:r>
      <w:proofErr w:type="spellStart"/>
      <w:r w:rsidRPr="00020A56">
        <w:rPr>
          <w:sz w:val="24"/>
          <w:szCs w:val="24"/>
        </w:rPr>
        <w:t>Fetroja</w:t>
      </w:r>
      <w:proofErr w:type="spellEnd"/>
      <w:r w:rsidRPr="00020A56">
        <w:rPr>
          <w:sz w:val="24"/>
          <w:szCs w:val="24"/>
        </w:rPr>
        <w:t xml:space="preserve">) on November 14, 2019, for </w:t>
      </w:r>
      <w:proofErr w:type="spellStart"/>
      <w:r w:rsidRPr="00020A56">
        <w:rPr>
          <w:sz w:val="24"/>
          <w:szCs w:val="24"/>
        </w:rPr>
        <w:t>cUTIs</w:t>
      </w:r>
      <w:proofErr w:type="spellEnd"/>
      <w:r w:rsidRPr="00020A56">
        <w:rPr>
          <w:sz w:val="24"/>
          <w:szCs w:val="24"/>
        </w:rPr>
        <w:t>.</w:t>
      </w:r>
    </w:p>
    <w:p w14:paraId="2B3AD5D4" w14:textId="77777777" w:rsidR="006C6229" w:rsidRDefault="006C6229" w:rsidP="006C6229">
      <w:pPr>
        <w:spacing w:line="360" w:lineRule="auto"/>
        <w:rPr>
          <w:sz w:val="24"/>
          <w:szCs w:val="24"/>
        </w:rPr>
      </w:pPr>
      <w:r w:rsidRPr="00697478">
        <w:rPr>
          <w:sz w:val="24"/>
          <w:szCs w:val="24"/>
        </w:rPr>
        <w:t xml:space="preserve">2. EMA (EU): approved </w:t>
      </w:r>
      <w:proofErr w:type="spellStart"/>
      <w:r w:rsidRPr="00697478">
        <w:rPr>
          <w:sz w:val="24"/>
          <w:szCs w:val="24"/>
        </w:rPr>
        <w:t>cefiderocol</w:t>
      </w:r>
      <w:proofErr w:type="spellEnd"/>
      <w:r w:rsidRPr="00697478">
        <w:rPr>
          <w:sz w:val="24"/>
          <w:szCs w:val="24"/>
        </w:rPr>
        <w:t xml:space="preserve"> (</w:t>
      </w:r>
      <w:proofErr w:type="spellStart"/>
      <w:r w:rsidRPr="00697478">
        <w:rPr>
          <w:sz w:val="24"/>
          <w:szCs w:val="24"/>
        </w:rPr>
        <w:t>Fetroja</w:t>
      </w:r>
      <w:proofErr w:type="spellEnd"/>
      <w:r w:rsidRPr="00697478">
        <w:rPr>
          <w:sz w:val="24"/>
          <w:szCs w:val="24"/>
        </w:rPr>
        <w:t xml:space="preserve">) on April 23, 2020, for </w:t>
      </w:r>
      <w:proofErr w:type="spellStart"/>
      <w:r w:rsidRPr="00697478">
        <w:rPr>
          <w:sz w:val="24"/>
          <w:szCs w:val="24"/>
        </w:rPr>
        <w:t>cUTIs</w:t>
      </w:r>
      <w:proofErr w:type="spellEnd"/>
      <w:r w:rsidRPr="00697478">
        <w:rPr>
          <w:sz w:val="24"/>
          <w:szCs w:val="24"/>
        </w:rPr>
        <w:t xml:space="preserve"> and HABP/VABP.</w:t>
      </w:r>
    </w:p>
    <w:p w14:paraId="0B29E82E" w14:textId="77777777" w:rsidR="006C6229" w:rsidRDefault="006C6229" w:rsidP="006C6229">
      <w:pPr>
        <w:spacing w:line="360" w:lineRule="auto"/>
        <w:rPr>
          <w:sz w:val="24"/>
          <w:szCs w:val="24"/>
        </w:rPr>
      </w:pPr>
    </w:p>
    <w:p w14:paraId="61BCEF18" w14:textId="77777777" w:rsidR="006C6229" w:rsidRDefault="006C6229" w:rsidP="006C62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E99377" wp14:editId="7AF8AB47">
            <wp:extent cx="3916680" cy="1582384"/>
            <wp:effectExtent l="0" t="0" r="7620" b="0"/>
            <wp:docPr id="21425234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60" cy="15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052CD" w14:textId="77777777" w:rsidR="006C6229" w:rsidRPr="00020A56" w:rsidRDefault="006C6229" w:rsidP="00E62EDE">
      <w:pPr>
        <w:pStyle w:val="ListParagraph"/>
        <w:numPr>
          <w:ilvl w:val="0"/>
          <w:numId w:val="11"/>
        </w:numPr>
        <w:spacing w:line="360" w:lineRule="auto"/>
        <w:rPr>
          <w:rFonts w:ascii="Bookman Old Style" w:hAnsi="Bookman Old Style" w:cs="Times New Roman"/>
          <w:b/>
          <w:bCs/>
          <w:sz w:val="28"/>
          <w:szCs w:val="28"/>
        </w:rPr>
      </w:pPr>
      <w:r w:rsidRPr="00020A56">
        <w:rPr>
          <w:rFonts w:ascii="Bookman Old Style" w:hAnsi="Bookman Old Style" w:cs="Times New Roman"/>
          <w:b/>
          <w:bCs/>
          <w:sz w:val="28"/>
          <w:szCs w:val="28"/>
        </w:rPr>
        <w:t>Structure:</w:t>
      </w:r>
    </w:p>
    <w:p w14:paraId="783D117A" w14:textId="77777777" w:rsidR="00020A56" w:rsidRDefault="006C6229" w:rsidP="006C6229">
      <w:pPr>
        <w:spacing w:line="360" w:lineRule="auto"/>
        <w:rPr>
          <w:rFonts w:ascii="Bookman Old Style" w:hAnsi="Bookman Old Style"/>
          <w:sz w:val="28"/>
          <w:szCs w:val="28"/>
        </w:rPr>
      </w:pPr>
      <w:r w:rsidRPr="007C06B3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inline distT="0" distB="0" distL="0" distR="0" wp14:anchorId="1B997F0E" wp14:editId="6AABED63">
                <wp:extent cx="304800" cy="304800"/>
                <wp:effectExtent l="0" t="0" r="0" b="0"/>
                <wp:docPr id="320397723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E99F79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60BEDCBC" wp14:editId="1F174E4C">
            <wp:extent cx="6096000" cy="3971925"/>
            <wp:effectExtent l="0" t="0" r="0" b="9525"/>
            <wp:docPr id="547806541" name="Picture 5" descr="A structure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06541" name="Picture 5" descr="A structure of a chemical formul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0985">
        <w:rPr>
          <w:rFonts w:asciiTheme="minorHAnsi" w:hAnsiTheme="minorHAnsi" w:cstheme="minorHAnsi"/>
          <w:sz w:val="24"/>
          <w:szCs w:val="24"/>
        </w:rPr>
        <w:t>Molecular weight: 752.21 g/mol</w:t>
      </w:r>
      <w:r w:rsidR="00020A56">
        <w:rPr>
          <w:rFonts w:ascii="Bookman Old Style" w:hAnsi="Bookman Old Style"/>
          <w:sz w:val="28"/>
          <w:szCs w:val="28"/>
        </w:rPr>
        <w:t xml:space="preserve">.     </w:t>
      </w:r>
      <w:r w:rsidRPr="00000985">
        <w:rPr>
          <w:rFonts w:ascii="Bookman Old Style" w:hAnsi="Bookman Old Style"/>
          <w:sz w:val="28"/>
          <w:szCs w:val="28"/>
        </w:rPr>
        <w:t xml:space="preserve"> </w:t>
      </w:r>
      <w:r w:rsidRPr="00000985">
        <w:rPr>
          <w:rFonts w:asciiTheme="minorHAnsi" w:hAnsiTheme="minorHAnsi" w:cstheme="minorHAnsi"/>
          <w:sz w:val="24"/>
          <w:szCs w:val="24"/>
        </w:rPr>
        <w:t>Molecular formula: C30H34ClN7O10S2</w:t>
      </w:r>
    </w:p>
    <w:p w14:paraId="01C3B591" w14:textId="4E85A5F9" w:rsidR="006C6229" w:rsidRPr="00020A56" w:rsidRDefault="006C6229" w:rsidP="00020A56">
      <w:pPr>
        <w:pStyle w:val="ListParagraph"/>
        <w:numPr>
          <w:ilvl w:val="0"/>
          <w:numId w:val="11"/>
        </w:numPr>
        <w:spacing w:line="360" w:lineRule="auto"/>
        <w:rPr>
          <w:rFonts w:ascii="Bookman Old Style" w:hAnsi="Bookman Old Style"/>
          <w:b/>
          <w:bCs/>
          <w:sz w:val="28"/>
          <w:szCs w:val="28"/>
        </w:rPr>
      </w:pPr>
      <w:proofErr w:type="gramStart"/>
      <w:r w:rsidRPr="00020A56">
        <w:rPr>
          <w:rFonts w:ascii="Times New Roman" w:hAnsi="Times New Roman" w:cs="Times New Roman"/>
          <w:b/>
          <w:bCs/>
          <w:sz w:val="28"/>
          <w:szCs w:val="28"/>
        </w:rPr>
        <w:lastRenderedPageBreak/>
        <w:t>Synthesis :</w:t>
      </w:r>
      <w:proofErr w:type="gramEnd"/>
    </w:p>
    <w:p w14:paraId="4C191D3E" w14:textId="77777777" w:rsidR="006C6229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6275C">
        <w:rPr>
          <w:rFonts w:asciiTheme="minorHAnsi" w:hAnsiTheme="minorHAnsi" w:cstheme="minorHAnsi"/>
          <w:sz w:val="24"/>
          <w:szCs w:val="24"/>
        </w:rPr>
        <w:t>Boron tribromide mediated demethylation of aromatic methyl ether 1, generating corresponding aromatic phenol 2 in 58% yield. Substitution reaction between 2 and 1-(chloromethyl)-4-methoxybenzene 3 gave compound 4, which was then treated with aqueous sodium hydroxide to give 5 in 70% yield over two steps.</w:t>
      </w:r>
    </w:p>
    <w:p w14:paraId="7A83BBBF" w14:textId="77777777" w:rsidR="006C6229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6275C">
        <w:rPr>
          <w:rFonts w:asciiTheme="minorHAnsi" w:hAnsiTheme="minorHAnsi" w:cstheme="minorHAnsi"/>
          <w:sz w:val="24"/>
          <w:szCs w:val="24"/>
        </w:rPr>
        <w:t xml:space="preserve"> Compound 5 then reacted with 1-(2-</w:t>
      </w:r>
      <w:proofErr w:type="gramStart"/>
      <w:r w:rsidRPr="00C6275C">
        <w:rPr>
          <w:rFonts w:asciiTheme="minorHAnsi" w:hAnsiTheme="minorHAnsi" w:cstheme="minorHAnsi"/>
          <w:sz w:val="24"/>
          <w:szCs w:val="24"/>
        </w:rPr>
        <w:t>aminoethyl)pyrrolidine</w:t>
      </w:r>
      <w:proofErr w:type="gramEnd"/>
      <w:r w:rsidRPr="00C6275C">
        <w:rPr>
          <w:rFonts w:asciiTheme="minorHAnsi" w:hAnsiTheme="minorHAnsi" w:cstheme="minorHAnsi"/>
          <w:sz w:val="24"/>
          <w:szCs w:val="24"/>
        </w:rPr>
        <w:t xml:space="preserve"> 6, affording amide 7 in 67% yield. Coupling of 7 with iodide 8, followed by </w:t>
      </w:r>
      <w:proofErr w:type="spellStart"/>
      <w:r w:rsidRPr="00C6275C">
        <w:rPr>
          <w:rFonts w:asciiTheme="minorHAnsi" w:hAnsiTheme="minorHAnsi" w:cstheme="minorHAnsi"/>
          <w:sz w:val="24"/>
          <w:szCs w:val="24"/>
        </w:rPr>
        <w:t>acetylchloride</w:t>
      </w:r>
      <w:proofErr w:type="spellEnd"/>
      <w:r w:rsidRPr="00C6275C">
        <w:rPr>
          <w:rFonts w:asciiTheme="minorHAnsi" w:hAnsiTheme="minorHAnsi" w:cstheme="minorHAnsi"/>
          <w:sz w:val="24"/>
          <w:szCs w:val="24"/>
        </w:rPr>
        <w:t xml:space="preserve">/KI promoted reduction of sulfoxide to </w:t>
      </w:r>
      <w:proofErr w:type="spellStart"/>
      <w:r w:rsidRPr="00C6275C">
        <w:rPr>
          <w:rFonts w:asciiTheme="minorHAnsi" w:hAnsiTheme="minorHAnsi" w:cstheme="minorHAnsi"/>
          <w:sz w:val="24"/>
          <w:szCs w:val="24"/>
        </w:rPr>
        <w:t>sulfide</w:t>
      </w:r>
      <w:proofErr w:type="spellEnd"/>
      <w:r w:rsidRPr="00C6275C">
        <w:rPr>
          <w:rFonts w:asciiTheme="minorHAnsi" w:hAnsiTheme="minorHAnsi" w:cstheme="minorHAnsi"/>
          <w:sz w:val="24"/>
          <w:szCs w:val="24"/>
        </w:rPr>
        <w:t xml:space="preserve">, aluminium trichloride mediated debenzylation, and acid promoted removal of the Boc group and ester hydrolysis gave </w:t>
      </w:r>
      <w:proofErr w:type="spellStart"/>
      <w:r w:rsidRPr="00C6275C">
        <w:rPr>
          <w:rFonts w:asciiTheme="minorHAnsi" w:hAnsiTheme="minorHAnsi" w:cstheme="minorHAnsi"/>
          <w:sz w:val="24"/>
          <w:szCs w:val="24"/>
        </w:rPr>
        <w:t>cefiderocol</w:t>
      </w:r>
      <w:proofErr w:type="spellEnd"/>
      <w:r w:rsidRPr="00C6275C">
        <w:rPr>
          <w:rFonts w:asciiTheme="minorHAnsi" w:hAnsiTheme="minorHAnsi" w:cstheme="minorHAnsi"/>
          <w:sz w:val="24"/>
          <w:szCs w:val="24"/>
        </w:rPr>
        <w:t xml:space="preserve"> (I) in 33% yield</w:t>
      </w:r>
      <w:r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2BC5389" wp14:editId="5C23703B">
            <wp:extent cx="5762625" cy="4819650"/>
            <wp:effectExtent l="0" t="0" r="9525" b="0"/>
            <wp:docPr id="816564000" name="Picture 10" descr="A diagram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64000" name="Picture 10" descr="A diagram of chemical formu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698A2" w14:textId="77777777" w:rsidR="006C6229" w:rsidRPr="00473D65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 xml:space="preserve">Compound 9 was transformed into hydroxylamine 10 in the presence of methylhydrazine (Scheme 2) [17]. Treatment of 10 with α-ketoacid 11 gave 12, which then reacted with </w:t>
      </w:r>
      <w:r w:rsidRPr="00473D65">
        <w:rPr>
          <w:rFonts w:asciiTheme="minorHAnsi" w:hAnsiTheme="minorHAnsi" w:cstheme="minorHAnsi"/>
          <w:sz w:val="24"/>
          <w:szCs w:val="24"/>
        </w:rPr>
        <w:lastRenderedPageBreak/>
        <w:t>hydrochloride 13 to produce the key intermediate 14. Treatment of 14 with 3-chloroperbenzoic acid (m-CPBA) resulted in oxidized 15, followed by treatment with potassium iodide in</w:t>
      </w:r>
    </w:p>
    <w:p w14:paraId="1FDA3746" w14:textId="77777777" w:rsidR="006C6229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 xml:space="preserve">tetrahydrofuran (THF), providing </w:t>
      </w:r>
      <w:proofErr w:type="spellStart"/>
      <w:r w:rsidRPr="00473D65">
        <w:rPr>
          <w:rFonts w:asciiTheme="minorHAnsi" w:hAnsiTheme="minorHAnsi" w:cstheme="minorHAnsi"/>
          <w:sz w:val="24"/>
          <w:szCs w:val="24"/>
        </w:rPr>
        <w:t>cefiderocol</w:t>
      </w:r>
      <w:proofErr w:type="spellEnd"/>
      <w:r w:rsidRPr="00473D65">
        <w:rPr>
          <w:rFonts w:asciiTheme="minorHAnsi" w:hAnsiTheme="minorHAnsi" w:cstheme="minorHAnsi"/>
          <w:sz w:val="24"/>
          <w:szCs w:val="24"/>
        </w:rPr>
        <w:t xml:space="preserve"> subunit 8.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2C0E909" wp14:editId="0DB8A8D5">
            <wp:extent cx="6315075" cy="4781550"/>
            <wp:effectExtent l="0" t="0" r="9525" b="0"/>
            <wp:docPr id="6739670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749A8" w14:textId="77777777" w:rsidR="006C6229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E21619D" w14:textId="77777777" w:rsidR="006C6229" w:rsidRPr="00020A56" w:rsidRDefault="006C6229" w:rsidP="00020A56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0A56">
        <w:rPr>
          <w:rFonts w:ascii="Times New Roman" w:hAnsi="Times New Roman" w:cs="Times New Roman"/>
          <w:b/>
          <w:bCs/>
          <w:sz w:val="28"/>
          <w:szCs w:val="28"/>
        </w:rPr>
        <w:t xml:space="preserve">Mechanism Of </w:t>
      </w:r>
      <w:proofErr w:type="gramStart"/>
      <w:r w:rsidRPr="00020A56">
        <w:rPr>
          <w:rFonts w:ascii="Times New Roman" w:hAnsi="Times New Roman" w:cs="Times New Roman"/>
          <w:b/>
          <w:bCs/>
          <w:sz w:val="28"/>
          <w:szCs w:val="28"/>
        </w:rPr>
        <w:t>Action :</w:t>
      </w:r>
      <w:proofErr w:type="gramEnd"/>
    </w:p>
    <w:p w14:paraId="31AA84A0" w14:textId="77777777" w:rsidR="006C6229" w:rsidRPr="00473D65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>Chelating iron</w:t>
      </w:r>
    </w:p>
    <w:p w14:paraId="75AEB7A0" w14:textId="77777777" w:rsidR="006C6229" w:rsidRPr="00473D65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473D65">
        <w:rPr>
          <w:rFonts w:asciiTheme="minorHAnsi" w:hAnsiTheme="minorHAnsi" w:cstheme="minorHAnsi"/>
          <w:sz w:val="24"/>
          <w:szCs w:val="24"/>
        </w:rPr>
        <w:t>Cefiderocol's</w:t>
      </w:r>
      <w:proofErr w:type="spellEnd"/>
      <w:r w:rsidRPr="00473D65">
        <w:rPr>
          <w:rFonts w:asciiTheme="minorHAnsi" w:hAnsiTheme="minorHAnsi" w:cstheme="minorHAnsi"/>
          <w:sz w:val="24"/>
          <w:szCs w:val="24"/>
        </w:rPr>
        <w:t xml:space="preserve"> C-3 side chain chelates ferric iron, forming a complex that's active against bacteria. </w:t>
      </w:r>
    </w:p>
    <w:p w14:paraId="60EBB433" w14:textId="77777777" w:rsidR="00020A56" w:rsidRDefault="006C6229" w:rsidP="00020A56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>Penetrating the periplasmic space</w:t>
      </w:r>
    </w:p>
    <w:p w14:paraId="6203BCA4" w14:textId="42E4DC7E" w:rsidR="006C6229" w:rsidRPr="00020A56" w:rsidRDefault="006C6229" w:rsidP="00020A56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020A56">
        <w:rPr>
          <w:rFonts w:asciiTheme="minorHAnsi" w:hAnsiTheme="minorHAnsi" w:cstheme="minorHAnsi"/>
          <w:sz w:val="24"/>
          <w:szCs w:val="24"/>
        </w:rPr>
        <w:lastRenderedPageBreak/>
        <w:t>Cefiderocol's</w:t>
      </w:r>
      <w:proofErr w:type="spellEnd"/>
      <w:r w:rsidRPr="00020A56">
        <w:rPr>
          <w:rFonts w:asciiTheme="minorHAnsi" w:hAnsiTheme="minorHAnsi" w:cstheme="minorHAnsi"/>
          <w:sz w:val="24"/>
          <w:szCs w:val="24"/>
        </w:rPr>
        <w:t xml:space="preserve"> siderophore-like properties allow it to enter the periplasmic space of gram-negative bacteria. </w:t>
      </w:r>
    </w:p>
    <w:p w14:paraId="4468CF39" w14:textId="77777777" w:rsidR="006C6229" w:rsidRPr="00473D65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>Inhibiting penicillin-binding proteins (PBPs)</w:t>
      </w:r>
    </w:p>
    <w:p w14:paraId="03E289EA" w14:textId="77777777" w:rsidR="006C6229" w:rsidRPr="00473D65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 xml:space="preserve">Cefiderocol binds to PBPs, which inhibits the synthesis of peptidoglycan in the bacterial cell wall, leading to cell death. </w:t>
      </w:r>
    </w:p>
    <w:p w14:paraId="24D17F12" w14:textId="77777777" w:rsidR="006C6229" w:rsidRPr="00473D65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>Overcoming β-lactam resistance</w:t>
      </w:r>
    </w:p>
    <w:p w14:paraId="10228C6F" w14:textId="74EA1FE0" w:rsidR="006C6229" w:rsidRPr="00473D65" w:rsidRDefault="006C6229" w:rsidP="00020A56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473D65">
        <w:rPr>
          <w:rFonts w:asciiTheme="minorHAnsi" w:hAnsiTheme="minorHAnsi" w:cstheme="minorHAnsi"/>
          <w:sz w:val="24"/>
          <w:szCs w:val="24"/>
        </w:rPr>
        <w:t xml:space="preserve">Cefiderocol is stable against extended-spectrum beta-lactamases (ESBLs), serine-type </w:t>
      </w:r>
      <w:proofErr w:type="spellStart"/>
      <w:r w:rsidRPr="00473D65">
        <w:rPr>
          <w:rFonts w:asciiTheme="minorHAnsi" w:hAnsiTheme="minorHAnsi" w:cstheme="minorHAnsi"/>
          <w:sz w:val="24"/>
          <w:szCs w:val="24"/>
        </w:rPr>
        <w:t>carbapenemases</w:t>
      </w:r>
      <w:proofErr w:type="spellEnd"/>
      <w:r w:rsidRPr="00473D65">
        <w:rPr>
          <w:rFonts w:asciiTheme="minorHAnsi" w:hAnsiTheme="minorHAnsi" w:cstheme="minorHAnsi"/>
          <w:sz w:val="24"/>
          <w:szCs w:val="24"/>
        </w:rPr>
        <w:t xml:space="preserve">, and </w:t>
      </w:r>
      <w:proofErr w:type="spellStart"/>
      <w:r w:rsidRPr="00473D65">
        <w:rPr>
          <w:rFonts w:asciiTheme="minorHAnsi" w:hAnsiTheme="minorHAnsi" w:cstheme="minorHAnsi"/>
          <w:sz w:val="24"/>
          <w:szCs w:val="24"/>
        </w:rPr>
        <w:t>metallo</w:t>
      </w:r>
      <w:proofErr w:type="spellEnd"/>
      <w:r w:rsidRPr="00473D65">
        <w:rPr>
          <w:rFonts w:asciiTheme="minorHAnsi" w:hAnsiTheme="minorHAnsi" w:cstheme="minorHAnsi"/>
          <w:sz w:val="24"/>
          <w:szCs w:val="24"/>
        </w:rPr>
        <w:t xml:space="preserve">-type </w:t>
      </w:r>
      <w:proofErr w:type="spellStart"/>
      <w:r w:rsidRPr="00473D65">
        <w:rPr>
          <w:rFonts w:asciiTheme="minorHAnsi" w:hAnsiTheme="minorHAnsi" w:cstheme="minorHAnsi"/>
          <w:sz w:val="24"/>
          <w:szCs w:val="24"/>
        </w:rPr>
        <w:t>carbapenemases</w:t>
      </w:r>
      <w:proofErr w:type="spellEnd"/>
      <w:r w:rsidRPr="00473D6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8723ED7" w14:textId="77777777" w:rsidR="006C6229" w:rsidRPr="00AB4C69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AB4C6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031AD74" wp14:editId="29F84AA8">
            <wp:extent cx="5432966" cy="4594860"/>
            <wp:effectExtent l="0" t="0" r="0" b="0"/>
            <wp:docPr id="5241181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11" cy="4640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180A4" w14:textId="77777777" w:rsidR="006C6229" w:rsidRPr="00020A56" w:rsidRDefault="006C6229" w:rsidP="00020A56">
      <w:pPr>
        <w:pStyle w:val="ListParagraph"/>
        <w:numPr>
          <w:ilvl w:val="0"/>
          <w:numId w:val="17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r w:rsidRPr="00020A56">
        <w:rPr>
          <w:rFonts w:ascii="Bookman Old Style" w:hAnsi="Bookman Old Style" w:cstheme="minorHAnsi"/>
          <w:b/>
          <w:bCs/>
          <w:sz w:val="28"/>
          <w:szCs w:val="28"/>
        </w:rPr>
        <w:t xml:space="preserve">Pharmacokinetic   </w:t>
      </w:r>
      <w:proofErr w:type="gramStart"/>
      <w:r w:rsidRPr="00020A56">
        <w:rPr>
          <w:rFonts w:ascii="Bookman Old Style" w:hAnsi="Bookman Old Style" w:cstheme="minorHAnsi"/>
          <w:b/>
          <w:bCs/>
          <w:sz w:val="28"/>
          <w:szCs w:val="28"/>
        </w:rPr>
        <w:t xml:space="preserve">  :</w:t>
      </w:r>
      <w:proofErr w:type="gramEnd"/>
    </w:p>
    <w:p w14:paraId="7310F8CE" w14:textId="77777777" w:rsidR="006C6229" w:rsidRPr="008310E8" w:rsidRDefault="006C6229" w:rsidP="006C6229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310E8">
        <w:rPr>
          <w:rFonts w:asciiTheme="minorHAnsi" w:hAnsiTheme="minorHAnsi" w:cstheme="minorHAnsi"/>
          <w:sz w:val="24"/>
          <w:szCs w:val="24"/>
        </w:rPr>
        <w:t>Absorption-</w:t>
      </w:r>
    </w:p>
    <w:p w14:paraId="6D25DFF5" w14:textId="77777777" w:rsidR="006C6229" w:rsidRPr="008310E8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310E8">
        <w:rPr>
          <w:rFonts w:asciiTheme="minorHAnsi" w:hAnsiTheme="minorHAnsi" w:cstheme="minorHAnsi"/>
          <w:sz w:val="24"/>
          <w:szCs w:val="24"/>
        </w:rPr>
        <w:t xml:space="preserve"> Administration: IV infusion</w:t>
      </w:r>
      <w:proofErr w:type="gramStart"/>
      <w:r w:rsidRPr="008310E8">
        <w:rPr>
          <w:rFonts w:asciiTheme="minorHAnsi" w:hAnsiTheme="minorHAnsi" w:cstheme="minorHAnsi"/>
          <w:sz w:val="24"/>
          <w:szCs w:val="24"/>
        </w:rPr>
        <w:t>-  Bioavailability</w:t>
      </w:r>
      <w:proofErr w:type="gramEnd"/>
      <w:r w:rsidRPr="008310E8">
        <w:rPr>
          <w:rFonts w:asciiTheme="minorHAnsi" w:hAnsiTheme="minorHAnsi" w:cstheme="minorHAnsi"/>
          <w:sz w:val="24"/>
          <w:szCs w:val="24"/>
        </w:rPr>
        <w:t>: 100% (IV)</w:t>
      </w:r>
    </w:p>
    <w:p w14:paraId="0088350E" w14:textId="77777777" w:rsidR="00020A56" w:rsidRDefault="006C6229" w:rsidP="00020A56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310E8">
        <w:rPr>
          <w:rFonts w:asciiTheme="minorHAnsi" w:hAnsiTheme="minorHAnsi" w:cstheme="minorHAnsi"/>
          <w:sz w:val="24"/>
          <w:szCs w:val="24"/>
        </w:rPr>
        <w:t xml:space="preserve">Distribution- </w:t>
      </w:r>
      <w:r w:rsidRPr="00020A56">
        <w:rPr>
          <w:rFonts w:asciiTheme="minorHAnsi" w:hAnsiTheme="minorHAnsi" w:cstheme="minorHAnsi"/>
          <w:sz w:val="24"/>
          <w:szCs w:val="24"/>
        </w:rPr>
        <w:t>Volume of distribution (</w:t>
      </w:r>
      <w:proofErr w:type="spellStart"/>
      <w:r w:rsidRPr="00020A56">
        <w:rPr>
          <w:rFonts w:asciiTheme="minorHAnsi" w:hAnsiTheme="minorHAnsi" w:cstheme="minorHAnsi"/>
          <w:sz w:val="24"/>
          <w:szCs w:val="24"/>
        </w:rPr>
        <w:t>Vd</w:t>
      </w:r>
      <w:proofErr w:type="spellEnd"/>
      <w:r w:rsidRPr="00020A56">
        <w:rPr>
          <w:rFonts w:asciiTheme="minorHAnsi" w:hAnsiTheme="minorHAnsi" w:cstheme="minorHAnsi"/>
          <w:sz w:val="24"/>
          <w:szCs w:val="24"/>
        </w:rPr>
        <w:t>): 12-15 L</w:t>
      </w:r>
    </w:p>
    <w:p w14:paraId="5107A04E" w14:textId="3E23DAA8" w:rsidR="006C6229" w:rsidRPr="00020A56" w:rsidRDefault="006C6229" w:rsidP="00020A56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20A56">
        <w:rPr>
          <w:rFonts w:asciiTheme="minorHAnsi" w:hAnsiTheme="minorHAnsi" w:cstheme="minorHAnsi"/>
          <w:sz w:val="24"/>
          <w:szCs w:val="24"/>
        </w:rPr>
        <w:lastRenderedPageBreak/>
        <w:t>Metabolism</w:t>
      </w:r>
    </w:p>
    <w:p w14:paraId="2C9DA9A7" w14:textId="77777777" w:rsidR="006C6229" w:rsidRPr="008310E8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310E8">
        <w:rPr>
          <w:rFonts w:asciiTheme="minorHAnsi" w:hAnsiTheme="minorHAnsi" w:cstheme="minorHAnsi"/>
          <w:sz w:val="24"/>
          <w:szCs w:val="24"/>
        </w:rPr>
        <w:t>Minimal hepatic metabolism (&lt;10%)</w:t>
      </w:r>
    </w:p>
    <w:p w14:paraId="378232ED" w14:textId="73C5EA99" w:rsidR="006C6229" w:rsidRPr="008310E8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AB4620">
        <w:rPr>
          <w:rFonts w:asciiTheme="minorHAnsi" w:hAnsiTheme="minorHAnsi" w:cstheme="minorHAnsi"/>
          <w:sz w:val="24"/>
          <w:szCs w:val="24"/>
        </w:rPr>
        <w:t>No significant CYP enzyme involvement</w:t>
      </w:r>
    </w:p>
    <w:p w14:paraId="18E87DF9" w14:textId="77777777" w:rsidR="006C6229" w:rsidRPr="008310E8" w:rsidRDefault="006C6229" w:rsidP="006C6229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310E8">
        <w:rPr>
          <w:rFonts w:asciiTheme="minorHAnsi" w:hAnsiTheme="minorHAnsi" w:cstheme="minorHAnsi"/>
          <w:sz w:val="24"/>
          <w:szCs w:val="24"/>
        </w:rPr>
        <w:t>Excretion-</w:t>
      </w:r>
    </w:p>
    <w:p w14:paraId="2A358510" w14:textId="77777777" w:rsidR="006C6229" w:rsidRPr="008310E8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310E8">
        <w:rPr>
          <w:rFonts w:asciiTheme="minorHAnsi" w:hAnsiTheme="minorHAnsi" w:cstheme="minorHAnsi"/>
          <w:sz w:val="24"/>
          <w:szCs w:val="24"/>
        </w:rPr>
        <w:t>Primary route: Renal excretion (&gt;90%)</w:t>
      </w:r>
    </w:p>
    <w:p w14:paraId="623E74DA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310E8">
        <w:rPr>
          <w:rFonts w:asciiTheme="minorHAnsi" w:hAnsiTheme="minorHAnsi" w:cstheme="minorHAnsi"/>
          <w:sz w:val="24"/>
          <w:szCs w:val="24"/>
        </w:rPr>
        <w:t>Elimination half-life (t1/2): 2-3 hours</w:t>
      </w:r>
    </w:p>
    <w:p w14:paraId="1115B853" w14:textId="77777777" w:rsidR="006C6229" w:rsidRPr="00020A56" w:rsidRDefault="006C6229" w:rsidP="00020A56">
      <w:pPr>
        <w:pStyle w:val="ListParagraph"/>
        <w:numPr>
          <w:ilvl w:val="0"/>
          <w:numId w:val="18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r w:rsidRPr="00020A56">
        <w:rPr>
          <w:rFonts w:ascii="Bookman Old Style" w:hAnsi="Bookman Old Style" w:cstheme="minorHAnsi"/>
          <w:b/>
          <w:bCs/>
          <w:sz w:val="28"/>
          <w:szCs w:val="28"/>
        </w:rPr>
        <w:t xml:space="preserve">Pharmacodynamics </w:t>
      </w:r>
      <w:proofErr w:type="gramStart"/>
      <w:r w:rsidRPr="00020A56">
        <w:rPr>
          <w:rFonts w:ascii="Bookman Old Style" w:hAnsi="Bookman Old Style" w:cstheme="minorHAnsi"/>
          <w:b/>
          <w:bCs/>
          <w:sz w:val="28"/>
          <w:szCs w:val="28"/>
        </w:rPr>
        <w:t>properties:-</w:t>
      </w:r>
      <w:proofErr w:type="gramEnd"/>
    </w:p>
    <w:p w14:paraId="094CF590" w14:textId="77777777" w:rsidR="006C6229" w:rsidRPr="00CD3B05" w:rsidRDefault="006C6229" w:rsidP="006C6229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D3B05">
        <w:rPr>
          <w:rFonts w:asciiTheme="minorHAnsi" w:hAnsiTheme="minorHAnsi" w:cstheme="minorHAnsi"/>
          <w:sz w:val="24"/>
          <w:szCs w:val="24"/>
        </w:rPr>
        <w:t>Inhibits bacterial cell wall synthesis</w:t>
      </w:r>
    </w:p>
    <w:p w14:paraId="68754BA2" w14:textId="77777777" w:rsidR="006C6229" w:rsidRPr="00AB4C6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6E37A23" w14:textId="77777777" w:rsidR="006C6229" w:rsidRPr="00AB4C69" w:rsidRDefault="006C6229" w:rsidP="006C6229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AB4C69">
        <w:rPr>
          <w:rFonts w:asciiTheme="minorHAnsi" w:hAnsiTheme="minorHAnsi" w:cstheme="minorHAnsi"/>
          <w:sz w:val="24"/>
          <w:szCs w:val="24"/>
        </w:rPr>
        <w:t>Binds to penicillin-binding proteins (PBPs)</w:t>
      </w:r>
    </w:p>
    <w:p w14:paraId="0FD18D53" w14:textId="77777777" w:rsidR="006C6229" w:rsidRPr="00AB4C6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5275F53" w14:textId="77777777" w:rsidR="006C6229" w:rsidRDefault="006C6229" w:rsidP="006C6229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AB4C69">
        <w:rPr>
          <w:rFonts w:asciiTheme="minorHAnsi" w:hAnsiTheme="minorHAnsi" w:cstheme="minorHAnsi"/>
          <w:sz w:val="24"/>
          <w:szCs w:val="24"/>
        </w:rPr>
        <w:t>Bactericidal activity against Gra</w:t>
      </w:r>
      <w:r>
        <w:rPr>
          <w:rFonts w:asciiTheme="minorHAnsi" w:hAnsiTheme="minorHAnsi" w:cstheme="minorHAnsi"/>
          <w:sz w:val="24"/>
          <w:szCs w:val="24"/>
        </w:rPr>
        <w:t xml:space="preserve">m </w:t>
      </w:r>
      <w:r w:rsidRPr="00CD3B05">
        <w:rPr>
          <w:rFonts w:asciiTheme="minorHAnsi" w:hAnsiTheme="minorHAnsi" w:cstheme="minorHAnsi"/>
          <w:sz w:val="24"/>
          <w:szCs w:val="24"/>
        </w:rPr>
        <w:t>negative bacteria</w:t>
      </w:r>
    </w:p>
    <w:p w14:paraId="0280D982" w14:textId="77777777" w:rsidR="006C6229" w:rsidRDefault="006C6229" w:rsidP="006C6229">
      <w:pPr>
        <w:spacing w:line="360" w:lineRule="auto"/>
        <w:rPr>
          <w:rFonts w:ascii="Bookman Old Style" w:hAnsi="Bookman Old Style" w:cstheme="minorHAnsi"/>
          <w:sz w:val="28"/>
          <w:szCs w:val="28"/>
        </w:rPr>
      </w:pPr>
    </w:p>
    <w:p w14:paraId="24250880" w14:textId="77777777" w:rsidR="006C6229" w:rsidRPr="00020A56" w:rsidRDefault="006C6229" w:rsidP="00020A56">
      <w:pPr>
        <w:pStyle w:val="ListParagraph"/>
        <w:numPr>
          <w:ilvl w:val="0"/>
          <w:numId w:val="19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proofErr w:type="gramStart"/>
      <w:r w:rsidRPr="00020A56">
        <w:rPr>
          <w:rFonts w:ascii="Bookman Old Style" w:hAnsi="Bookman Old Style" w:cstheme="minorHAnsi"/>
          <w:b/>
          <w:bCs/>
          <w:sz w:val="28"/>
          <w:szCs w:val="28"/>
        </w:rPr>
        <w:t xml:space="preserve">Development </w:t>
      </w:r>
      <w:r w:rsidRPr="00020A56">
        <w:rPr>
          <w:b/>
          <w:bCs/>
        </w:rPr>
        <w:t xml:space="preserve"> </w:t>
      </w:r>
      <w:r w:rsidRPr="00020A56">
        <w:rPr>
          <w:rFonts w:ascii="Bookman Old Style" w:hAnsi="Bookman Old Style" w:cstheme="minorHAnsi"/>
          <w:b/>
          <w:bCs/>
          <w:sz w:val="28"/>
          <w:szCs w:val="28"/>
        </w:rPr>
        <w:t>process</w:t>
      </w:r>
      <w:proofErr w:type="gramEnd"/>
      <w:r w:rsidRPr="00020A56">
        <w:rPr>
          <w:rFonts w:ascii="Bookman Old Style" w:hAnsi="Bookman Old Style" w:cstheme="minorHAnsi"/>
          <w:b/>
          <w:bCs/>
          <w:sz w:val="28"/>
          <w:szCs w:val="28"/>
        </w:rPr>
        <w:t xml:space="preserve"> :</w:t>
      </w:r>
    </w:p>
    <w:p w14:paraId="3BC3D9CA" w14:textId="77777777" w:rsidR="006C6229" w:rsidRPr="00CD7CDE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D7CDE">
        <w:rPr>
          <w:rFonts w:asciiTheme="minorHAnsi" w:hAnsiTheme="minorHAnsi" w:cstheme="minorHAnsi"/>
          <w:sz w:val="24"/>
          <w:szCs w:val="24"/>
        </w:rPr>
        <w:t xml:space="preserve">Cefiderocol was developed by Shionogi and is sold under the trade name </w:t>
      </w:r>
      <w:proofErr w:type="spellStart"/>
      <w:r w:rsidRPr="00CD7CDE">
        <w:rPr>
          <w:rFonts w:asciiTheme="minorHAnsi" w:hAnsiTheme="minorHAnsi" w:cstheme="minorHAnsi"/>
          <w:sz w:val="24"/>
          <w:szCs w:val="24"/>
        </w:rPr>
        <w:t>Fetroja</w:t>
      </w:r>
      <w:proofErr w:type="spellEnd"/>
      <w:r w:rsidRPr="00CD7CDE">
        <w:rPr>
          <w:rFonts w:asciiTheme="minorHAnsi" w:hAnsiTheme="minorHAnsi" w:cstheme="minorHAnsi"/>
          <w:sz w:val="24"/>
          <w:szCs w:val="24"/>
        </w:rPr>
        <w:t xml:space="preserve">. The development of </w:t>
      </w:r>
      <w:proofErr w:type="spellStart"/>
      <w:r w:rsidRPr="00CD7CDE">
        <w:rPr>
          <w:rFonts w:asciiTheme="minorHAnsi" w:hAnsiTheme="minorHAnsi" w:cstheme="minorHAnsi"/>
          <w:sz w:val="24"/>
          <w:szCs w:val="24"/>
        </w:rPr>
        <w:t>cefiderocol</w:t>
      </w:r>
      <w:proofErr w:type="spellEnd"/>
      <w:r w:rsidRPr="00CD7CDE">
        <w:rPr>
          <w:rFonts w:asciiTheme="minorHAnsi" w:hAnsiTheme="minorHAnsi" w:cstheme="minorHAnsi"/>
          <w:sz w:val="24"/>
          <w:szCs w:val="24"/>
        </w:rPr>
        <w:t xml:space="preserve"> involved the following steps:</w:t>
      </w:r>
    </w:p>
    <w:p w14:paraId="6386E935" w14:textId="77777777" w:rsidR="006C6229" w:rsidRPr="00CD7CDE" w:rsidRDefault="006C6229" w:rsidP="006C6229">
      <w:pPr>
        <w:pStyle w:val="ListParagraph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D7CDE">
        <w:rPr>
          <w:rFonts w:asciiTheme="minorHAnsi" w:hAnsiTheme="minorHAnsi" w:cstheme="minorHAnsi"/>
          <w:sz w:val="24"/>
          <w:szCs w:val="24"/>
        </w:rPr>
        <w:t>Starting material</w:t>
      </w:r>
    </w:p>
    <w:p w14:paraId="49AD7364" w14:textId="77777777" w:rsidR="006C6229" w:rsidRPr="00CD7CDE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CD7CDE">
        <w:rPr>
          <w:rFonts w:asciiTheme="minorHAnsi" w:hAnsiTheme="minorHAnsi" w:cstheme="minorHAnsi"/>
          <w:sz w:val="24"/>
          <w:szCs w:val="24"/>
        </w:rPr>
        <w:t>Cefiderocol was developed from 2-chloro-3,4-dimethoxybenzoic acid (CEFID-001)</w:t>
      </w:r>
    </w:p>
    <w:p w14:paraId="1E3094B4" w14:textId="77777777" w:rsidR="006C6229" w:rsidRPr="00CD7CDE" w:rsidRDefault="006C6229" w:rsidP="006C6229">
      <w:pPr>
        <w:pStyle w:val="ListParagraph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D7CDE">
        <w:rPr>
          <w:rFonts w:asciiTheme="minorHAnsi" w:hAnsiTheme="minorHAnsi" w:cstheme="minorHAnsi"/>
          <w:sz w:val="24"/>
          <w:szCs w:val="24"/>
        </w:rPr>
        <w:t>Demethylation</w:t>
      </w:r>
    </w:p>
    <w:p w14:paraId="48C57AE8" w14:textId="77777777" w:rsidR="006C6229" w:rsidRPr="00CD7CDE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CD7CDE">
        <w:rPr>
          <w:rFonts w:asciiTheme="minorHAnsi" w:hAnsiTheme="minorHAnsi" w:cstheme="minorHAnsi"/>
          <w:sz w:val="24"/>
          <w:szCs w:val="24"/>
        </w:rPr>
        <w:t xml:space="preserve">CEFID-001 was demethylated to create 2-chloro-3,4-dihydroxybenzoic acid (CEFID-002) </w:t>
      </w:r>
    </w:p>
    <w:p w14:paraId="5B08F4FD" w14:textId="77777777" w:rsidR="006C6229" w:rsidRPr="00CD7CDE" w:rsidRDefault="006C6229" w:rsidP="006C6229">
      <w:pPr>
        <w:pStyle w:val="ListParagraph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D7CDE">
        <w:rPr>
          <w:rFonts w:asciiTheme="minorHAnsi" w:hAnsiTheme="minorHAnsi" w:cstheme="minorHAnsi"/>
          <w:sz w:val="24"/>
          <w:szCs w:val="24"/>
        </w:rPr>
        <w:t>Combining antibiotics</w:t>
      </w:r>
    </w:p>
    <w:p w14:paraId="01AB7E88" w14:textId="610E7558" w:rsidR="006C6229" w:rsidRPr="00CD7CDE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CD7CDE">
        <w:rPr>
          <w:rFonts w:asciiTheme="minorHAnsi" w:hAnsiTheme="minorHAnsi" w:cstheme="minorHAnsi"/>
          <w:sz w:val="24"/>
          <w:szCs w:val="24"/>
        </w:rPr>
        <w:t xml:space="preserve">Cefiderocol combines the features of the antibiotics ceftazidime and </w:t>
      </w:r>
      <w:proofErr w:type="gramStart"/>
      <w:r w:rsidRPr="00CD7CDE">
        <w:rPr>
          <w:rFonts w:asciiTheme="minorHAnsi" w:hAnsiTheme="minorHAnsi" w:cstheme="minorHAnsi"/>
          <w:sz w:val="24"/>
          <w:szCs w:val="24"/>
        </w:rPr>
        <w:t xml:space="preserve">cefepime </w:t>
      </w:r>
      <w:r w:rsidR="000D4BB6">
        <w:rPr>
          <w:rFonts w:asciiTheme="minorHAnsi" w:hAnsiTheme="minorHAnsi" w:cstheme="minorHAnsi"/>
          <w:sz w:val="24"/>
          <w:szCs w:val="24"/>
        </w:rPr>
        <w:t>.</w:t>
      </w:r>
      <w:proofErr w:type="gramEnd"/>
    </w:p>
    <w:p w14:paraId="2E747AEC" w14:textId="68F02D80" w:rsidR="006C6229" w:rsidRPr="000D4BB6" w:rsidRDefault="006C6229" w:rsidP="000D4BB6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</w:p>
    <w:p w14:paraId="5424039C" w14:textId="77777777" w:rsidR="000D4BB6" w:rsidRDefault="000D4BB6" w:rsidP="000D4BB6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1DC48734" w14:textId="57BBA133" w:rsidR="006C6229" w:rsidRPr="000D4BB6" w:rsidRDefault="006C6229" w:rsidP="000D4BB6">
      <w:pPr>
        <w:pStyle w:val="ListParagraph"/>
        <w:numPr>
          <w:ilvl w:val="0"/>
          <w:numId w:val="2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D4BB6">
        <w:rPr>
          <w:rFonts w:asciiTheme="minorHAnsi" w:hAnsiTheme="minorHAnsi" w:cstheme="minorHAnsi"/>
          <w:sz w:val="28"/>
          <w:szCs w:val="28"/>
        </w:rPr>
        <w:lastRenderedPageBreak/>
        <w:t>Discovery to Approval (2005-2019)</w:t>
      </w:r>
    </w:p>
    <w:p w14:paraId="17838F10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0B7D04">
        <w:rPr>
          <w:rFonts w:asciiTheme="minorHAnsi" w:hAnsiTheme="minorHAnsi" w:cstheme="minorHAnsi"/>
          <w:sz w:val="24"/>
          <w:szCs w:val="24"/>
        </w:rPr>
        <w:t>1. Discovery (2005-2010): Identified lead compound, synthesized derivatives, and evaluated in vitro/in vivo.</w:t>
      </w:r>
    </w:p>
    <w:p w14:paraId="2D1422FE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281D04">
        <w:rPr>
          <w:rFonts w:asciiTheme="minorHAnsi" w:hAnsiTheme="minorHAnsi" w:cstheme="minorHAnsi"/>
          <w:sz w:val="24"/>
          <w:szCs w:val="24"/>
        </w:rPr>
        <w:t>2. Preclinical (2010-2012): PK/PD, toxicology, and microbiology studies.</w:t>
      </w:r>
    </w:p>
    <w:p w14:paraId="788F3D5E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281D04">
        <w:rPr>
          <w:rFonts w:asciiTheme="minorHAnsi" w:hAnsiTheme="minorHAnsi" w:cstheme="minorHAnsi"/>
          <w:sz w:val="24"/>
          <w:szCs w:val="24"/>
        </w:rPr>
        <w:t>3. Phase 1 (2012-2013): First-in-human trials.</w:t>
      </w:r>
    </w:p>
    <w:p w14:paraId="2A3229D9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281D04">
        <w:rPr>
          <w:rFonts w:asciiTheme="minorHAnsi" w:hAnsiTheme="minorHAnsi" w:cstheme="minorHAnsi"/>
          <w:sz w:val="24"/>
          <w:szCs w:val="24"/>
        </w:rPr>
        <w:t>4. Phase 2 (2014-2015): Dose-finding and proof-of-concept studies.</w:t>
      </w:r>
    </w:p>
    <w:p w14:paraId="617C367B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281D04">
        <w:rPr>
          <w:rFonts w:asciiTheme="minorHAnsi" w:hAnsiTheme="minorHAnsi" w:cstheme="minorHAnsi"/>
          <w:sz w:val="24"/>
          <w:szCs w:val="24"/>
        </w:rPr>
        <w:t xml:space="preserve">5. Phase 3 (2016-2018): Pivotal trials comparing </w:t>
      </w:r>
      <w:proofErr w:type="spellStart"/>
      <w:r w:rsidRPr="00281D04">
        <w:rPr>
          <w:rFonts w:asciiTheme="minorHAnsi" w:hAnsiTheme="minorHAnsi" w:cstheme="minorHAnsi"/>
          <w:sz w:val="24"/>
          <w:szCs w:val="24"/>
        </w:rPr>
        <w:t>cefiderocol</w:t>
      </w:r>
      <w:proofErr w:type="spellEnd"/>
      <w:r w:rsidRPr="00281D04">
        <w:rPr>
          <w:rFonts w:asciiTheme="minorHAnsi" w:hAnsiTheme="minorHAnsi" w:cstheme="minorHAnsi"/>
          <w:sz w:val="24"/>
          <w:szCs w:val="24"/>
        </w:rPr>
        <w:t xml:space="preserve"> to meropenem.</w:t>
      </w:r>
    </w:p>
    <w:p w14:paraId="754305EA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281D04">
        <w:rPr>
          <w:rFonts w:asciiTheme="minorHAnsi" w:hAnsiTheme="minorHAnsi" w:cstheme="minorHAnsi"/>
          <w:sz w:val="24"/>
          <w:szCs w:val="24"/>
        </w:rPr>
        <w:t>6. Regulatory Submissions (2019): FDA (US) and EMA (EU).</w:t>
      </w:r>
    </w:p>
    <w:p w14:paraId="2746DE2A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  <w:r w:rsidRPr="00281D04">
        <w:rPr>
          <w:rFonts w:asciiTheme="minorHAnsi" w:hAnsiTheme="minorHAnsi" w:cstheme="minorHAnsi"/>
          <w:sz w:val="24"/>
          <w:szCs w:val="24"/>
        </w:rPr>
        <w:t>7. Approval (2019-2020): FDA (US) on Nov 14, 2019; EMA (EU) on Apr 23, 2020.</w:t>
      </w:r>
    </w:p>
    <w:p w14:paraId="64C5CA58" w14:textId="77777777" w:rsidR="006C6229" w:rsidRDefault="006C6229" w:rsidP="006C6229">
      <w:pPr>
        <w:pStyle w:val="ListParagraph"/>
        <w:spacing w:line="360" w:lineRule="auto"/>
        <w:ind w:left="1440"/>
        <w:rPr>
          <w:rFonts w:asciiTheme="minorHAnsi" w:hAnsiTheme="minorHAnsi" w:cstheme="minorHAnsi"/>
          <w:sz w:val="24"/>
          <w:szCs w:val="24"/>
        </w:rPr>
      </w:pPr>
    </w:p>
    <w:p w14:paraId="12F0910D" w14:textId="77777777" w:rsidR="006C6229" w:rsidRPr="00020A56" w:rsidRDefault="006C6229" w:rsidP="00020A56">
      <w:pPr>
        <w:pStyle w:val="ListParagraph"/>
        <w:numPr>
          <w:ilvl w:val="0"/>
          <w:numId w:val="20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r w:rsidRPr="00020A56">
        <w:rPr>
          <w:rFonts w:ascii="Bookman Old Style" w:hAnsi="Bookman Old Style" w:cstheme="minorHAnsi"/>
          <w:b/>
          <w:bCs/>
          <w:sz w:val="28"/>
          <w:szCs w:val="28"/>
        </w:rPr>
        <w:t xml:space="preserve">Scale Up </w:t>
      </w:r>
      <w:proofErr w:type="gramStart"/>
      <w:r w:rsidRPr="00020A56">
        <w:rPr>
          <w:rFonts w:ascii="Bookman Old Style" w:hAnsi="Bookman Old Style" w:cstheme="minorHAnsi"/>
          <w:b/>
          <w:bCs/>
          <w:sz w:val="28"/>
          <w:szCs w:val="28"/>
        </w:rPr>
        <w:t>Techniques :</w:t>
      </w:r>
      <w:proofErr w:type="gramEnd"/>
    </w:p>
    <w:p w14:paraId="31F95599" w14:textId="77777777" w:rsidR="006C6229" w:rsidRPr="00F62543" w:rsidRDefault="006C6229" w:rsidP="006C6229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Chemical Synthesis</w:t>
      </w:r>
    </w:p>
    <w:p w14:paraId="45559910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1. Reactor scale-up</w:t>
      </w:r>
    </w:p>
    <w:p w14:paraId="7FDDC36A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2. Batch processing optimization</w:t>
      </w:r>
    </w:p>
    <w:p w14:paraId="799EBA15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3. Continuous flow reactors</w:t>
      </w:r>
    </w:p>
    <w:p w14:paraId="5955AC24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4. Process intensification</w:t>
      </w:r>
    </w:p>
    <w:p w14:paraId="46B9CC4D" w14:textId="77777777" w:rsidR="006C6229" w:rsidRPr="00F62543" w:rsidRDefault="006C6229" w:rsidP="006C6229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Fermentation</w:t>
      </w:r>
    </w:p>
    <w:p w14:paraId="60DF7D0A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1. Bioreactor scale-up</w:t>
      </w:r>
    </w:p>
    <w:p w14:paraId="78CCC504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2. Feed strategy optimization</w:t>
      </w:r>
    </w:p>
    <w:p w14:paraId="62AF293B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3. Cell line optimization</w:t>
      </w:r>
    </w:p>
    <w:p w14:paraId="74CDA328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4. Process control automation</w:t>
      </w:r>
    </w:p>
    <w:p w14:paraId="0FF936DC" w14:textId="77777777" w:rsidR="006C6229" w:rsidRPr="00F62543" w:rsidRDefault="006C6229" w:rsidP="006C6229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Purification</w:t>
      </w:r>
    </w:p>
    <w:p w14:paraId="66BA5D2D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1. Crystallization optimization</w:t>
      </w:r>
    </w:p>
    <w:p w14:paraId="16957D96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2. Chromatography scale-up</w:t>
      </w:r>
    </w:p>
    <w:p w14:paraId="7FFFAF17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3. Filtration optimization</w:t>
      </w:r>
    </w:p>
    <w:p w14:paraId="0EED1020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4. Distillation scale-up</w:t>
      </w:r>
    </w:p>
    <w:p w14:paraId="37905E63" w14:textId="77777777" w:rsidR="006C6229" w:rsidRPr="00F62543" w:rsidRDefault="006C6229" w:rsidP="006C6229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Formulation</w:t>
      </w:r>
    </w:p>
    <w:p w14:paraId="3881CFBC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1. Lyophilization optimization</w:t>
      </w:r>
    </w:p>
    <w:p w14:paraId="670B3BFB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lastRenderedPageBreak/>
        <w:t>2. Encapsulation scale-up</w:t>
      </w:r>
    </w:p>
    <w:p w14:paraId="35090079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3. Sterile filling optimization</w:t>
      </w:r>
    </w:p>
    <w:p w14:paraId="3563F833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4. Process automation</w:t>
      </w:r>
    </w:p>
    <w:p w14:paraId="573598FD" w14:textId="77777777" w:rsidR="006C6229" w:rsidRPr="00F62543" w:rsidRDefault="006C6229" w:rsidP="006C6229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Process Analytical Technology (PAT)</w:t>
      </w:r>
    </w:p>
    <w:p w14:paraId="3E3B014B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1. Online monitoring</w:t>
      </w:r>
    </w:p>
    <w:p w14:paraId="78AD7CD9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2. Real-time analytics</w:t>
      </w:r>
    </w:p>
    <w:p w14:paraId="329B9289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3. Feedback control systems</w:t>
      </w:r>
    </w:p>
    <w:p w14:paraId="1551556F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4. Statistical modelling</w:t>
      </w:r>
    </w:p>
    <w:p w14:paraId="6C47379F" w14:textId="77777777" w:rsidR="006C6229" w:rsidRPr="00F62543" w:rsidRDefault="006C6229" w:rsidP="006C6229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cGMP Compliance</w:t>
      </w:r>
    </w:p>
    <w:p w14:paraId="032DC6BA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1. Facility design</w:t>
      </w:r>
    </w:p>
    <w:p w14:paraId="0E2D79B5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2. Equipment qualification</w:t>
      </w:r>
    </w:p>
    <w:p w14:paraId="01A2C7B6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3. Process validation</w:t>
      </w:r>
    </w:p>
    <w:p w14:paraId="5CD44903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4. Documentation control</w:t>
      </w:r>
    </w:p>
    <w:p w14:paraId="5701E543" w14:textId="77777777" w:rsidR="006C6229" w:rsidRPr="00F62543" w:rsidRDefault="006C6229" w:rsidP="006C6229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Scale-Up Strategies</w:t>
      </w:r>
    </w:p>
    <w:p w14:paraId="7EC5133A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1. Linear scale-up</w:t>
      </w:r>
    </w:p>
    <w:p w14:paraId="697F9ABE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2. Parallel processing</w:t>
      </w:r>
    </w:p>
    <w:p w14:paraId="5F6062D5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3. Continuous processing</w:t>
      </w:r>
    </w:p>
    <w:p w14:paraId="0FBC703B" w14:textId="77777777" w:rsidR="006C6229" w:rsidRPr="00F62543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62543">
        <w:rPr>
          <w:rFonts w:asciiTheme="minorHAnsi" w:hAnsiTheme="minorHAnsi" w:cstheme="minorHAnsi"/>
          <w:sz w:val="24"/>
          <w:szCs w:val="24"/>
        </w:rPr>
        <w:t>4. Hybrid approaches</w:t>
      </w:r>
    </w:p>
    <w:p w14:paraId="68AC9A8B" w14:textId="77777777" w:rsidR="006C6229" w:rsidRPr="000D4BB6" w:rsidRDefault="006C6229" w:rsidP="000D4BB6">
      <w:pPr>
        <w:pStyle w:val="ListParagraph"/>
        <w:numPr>
          <w:ilvl w:val="0"/>
          <w:numId w:val="26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proofErr w:type="gramStart"/>
      <w:r w:rsidRPr="000D4BB6">
        <w:rPr>
          <w:rFonts w:ascii="Bookman Old Style" w:hAnsi="Bookman Old Style" w:cstheme="minorHAnsi"/>
          <w:b/>
          <w:bCs/>
          <w:sz w:val="28"/>
          <w:szCs w:val="28"/>
        </w:rPr>
        <w:t>Uses :</w:t>
      </w:r>
      <w:proofErr w:type="gramEnd"/>
    </w:p>
    <w:p w14:paraId="40B1AAD3" w14:textId="77777777" w:rsidR="006C6229" w:rsidRPr="003C0A59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Approved Uses:</w:t>
      </w:r>
    </w:p>
    <w:p w14:paraId="7AF342CE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1. Complicated Urinary Tract Infections (</w:t>
      </w:r>
      <w:proofErr w:type="spellStart"/>
      <w:r w:rsidRPr="003C0A59">
        <w:rPr>
          <w:rFonts w:asciiTheme="minorHAnsi" w:hAnsiTheme="minorHAnsi" w:cstheme="minorHAnsi"/>
          <w:sz w:val="24"/>
          <w:szCs w:val="24"/>
        </w:rPr>
        <w:t>cUTIs</w:t>
      </w:r>
      <w:proofErr w:type="spellEnd"/>
      <w:r w:rsidRPr="003C0A59">
        <w:rPr>
          <w:rFonts w:asciiTheme="minorHAnsi" w:hAnsiTheme="minorHAnsi" w:cstheme="minorHAnsi"/>
          <w:sz w:val="24"/>
          <w:szCs w:val="24"/>
        </w:rPr>
        <w:t>)</w:t>
      </w:r>
    </w:p>
    <w:p w14:paraId="6156D717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2. Hospital-Acquired Bacterial Pneumonia (HABP)</w:t>
      </w:r>
    </w:p>
    <w:p w14:paraId="5B8669BE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3. Ventilator-Associated Bacterial Pneumonia (VABP)</w:t>
      </w:r>
    </w:p>
    <w:p w14:paraId="4E937670" w14:textId="77777777" w:rsidR="006C6229" w:rsidRPr="003C0A59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Potential Uses:</w:t>
      </w:r>
    </w:p>
    <w:p w14:paraId="0A338D6B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1. Intra-abdominal infections</w:t>
      </w:r>
    </w:p>
    <w:p w14:paraId="76C4F678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2. Skin and soft tissue infections</w:t>
      </w:r>
    </w:p>
    <w:p w14:paraId="7D304710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3. Sepsis</w:t>
      </w:r>
    </w:p>
    <w:p w14:paraId="40231930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4. Febrile neutropenia</w:t>
      </w:r>
    </w:p>
    <w:p w14:paraId="1D8A2154" w14:textId="77777777" w:rsidR="006C6229" w:rsidRPr="003C0A59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Targeted Pathogens:</w:t>
      </w:r>
    </w:p>
    <w:p w14:paraId="572D53A7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lastRenderedPageBreak/>
        <w:t>1. Pseudomonas aeruginosa</w:t>
      </w:r>
    </w:p>
    <w:p w14:paraId="00EF1A18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2. Escherichia coli</w:t>
      </w:r>
    </w:p>
    <w:p w14:paraId="6FC8B7D3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3. Klebsiella pneumoniae</w:t>
      </w:r>
    </w:p>
    <w:p w14:paraId="024100D5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4. Carbapenem-resistant Enterobacteriaceae (CRE)</w:t>
      </w:r>
    </w:p>
    <w:p w14:paraId="12C9AF0B" w14:textId="77777777" w:rsidR="006C6229" w:rsidRPr="003C0A59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Special Populations:</w:t>
      </w:r>
    </w:p>
    <w:p w14:paraId="5E4CED4C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1. Immunocompromised patients</w:t>
      </w:r>
    </w:p>
    <w:p w14:paraId="48386536" w14:textId="77777777" w:rsidR="006C6229" w:rsidRPr="003C0A5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2. Critically ill patients</w:t>
      </w:r>
    </w:p>
    <w:p w14:paraId="368F91F9" w14:textId="77777777" w:rsidR="006C6229" w:rsidRPr="003C0A59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Administration:</w:t>
      </w:r>
    </w:p>
    <w:p w14:paraId="3CDFD0A1" w14:textId="77777777" w:rsidR="006C6229" w:rsidRDefault="006C6229" w:rsidP="006C6229">
      <w:pPr>
        <w:pStyle w:val="ListParagraph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C0A59">
        <w:rPr>
          <w:rFonts w:asciiTheme="minorHAnsi" w:hAnsiTheme="minorHAnsi" w:cstheme="minorHAnsi"/>
          <w:sz w:val="24"/>
          <w:szCs w:val="24"/>
        </w:rPr>
        <w:t>IV infusion (30-60 minutes)</w:t>
      </w:r>
    </w:p>
    <w:p w14:paraId="71537BCA" w14:textId="77777777" w:rsidR="006C6229" w:rsidRDefault="006C6229" w:rsidP="006C6229">
      <w:pPr>
        <w:pStyle w:val="ListParagraph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A76CEF">
        <w:rPr>
          <w:rFonts w:asciiTheme="minorHAnsi" w:hAnsiTheme="minorHAnsi" w:cstheme="minorHAnsi"/>
          <w:sz w:val="24"/>
          <w:szCs w:val="24"/>
        </w:rPr>
        <w:t>2 grams every 8 hours</w:t>
      </w:r>
    </w:p>
    <w:p w14:paraId="2AC0E347" w14:textId="77777777" w:rsidR="006C6229" w:rsidRPr="00805453" w:rsidRDefault="006C6229" w:rsidP="006C6229">
      <w:pPr>
        <w:pStyle w:val="ListParagraph"/>
        <w:spacing w:line="360" w:lineRule="auto"/>
        <w:ind w:left="1080"/>
        <w:rPr>
          <w:rFonts w:asciiTheme="minorHAnsi" w:hAnsiTheme="minorHAnsi" w:cstheme="minorHAnsi"/>
          <w:sz w:val="24"/>
          <w:szCs w:val="24"/>
        </w:rPr>
      </w:pPr>
    </w:p>
    <w:p w14:paraId="44DBEE0A" w14:textId="77777777" w:rsidR="006C6229" w:rsidRPr="000D7BF3" w:rsidRDefault="006C6229" w:rsidP="000D7BF3">
      <w:pPr>
        <w:pStyle w:val="ListParagraph"/>
        <w:numPr>
          <w:ilvl w:val="0"/>
          <w:numId w:val="22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bookmarkStart w:id="0" w:name="_Hlk182766825"/>
      <w:r w:rsidRPr="000D7BF3">
        <w:rPr>
          <w:rFonts w:ascii="Bookman Old Style" w:hAnsi="Bookman Old Style" w:cstheme="minorHAnsi"/>
          <w:b/>
          <w:bCs/>
          <w:sz w:val="28"/>
          <w:szCs w:val="28"/>
        </w:rPr>
        <w:t xml:space="preserve">Side </w:t>
      </w:r>
      <w:proofErr w:type="gramStart"/>
      <w:r w:rsidRPr="000D7BF3">
        <w:rPr>
          <w:rFonts w:ascii="Bookman Old Style" w:hAnsi="Bookman Old Style" w:cstheme="minorHAnsi"/>
          <w:b/>
          <w:bCs/>
          <w:sz w:val="28"/>
          <w:szCs w:val="28"/>
        </w:rPr>
        <w:t>Effect :</w:t>
      </w:r>
      <w:bookmarkEnd w:id="0"/>
      <w:proofErr w:type="gramEnd"/>
    </w:p>
    <w:p w14:paraId="4447C7E7" w14:textId="77777777" w:rsidR="006C6229" w:rsidRPr="009F67C1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Common (≥5%):</w:t>
      </w:r>
    </w:p>
    <w:p w14:paraId="10CCD3B2" w14:textId="77777777" w:rsidR="006C6229" w:rsidRPr="009F67C1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 xml:space="preserve">1. </w:t>
      </w:r>
      <w:proofErr w:type="spellStart"/>
      <w:r w:rsidRPr="009F67C1">
        <w:rPr>
          <w:rFonts w:asciiTheme="minorHAnsi" w:hAnsiTheme="minorHAnsi" w:cstheme="minorHAnsi"/>
          <w:sz w:val="24"/>
          <w:szCs w:val="24"/>
        </w:rPr>
        <w:t>Diarrhea</w:t>
      </w:r>
      <w:proofErr w:type="spellEnd"/>
    </w:p>
    <w:p w14:paraId="1CE200EC" w14:textId="77777777" w:rsidR="006C6229" w:rsidRPr="009F67C1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2. Infusion site reactions</w:t>
      </w:r>
    </w:p>
    <w:p w14:paraId="254A2C7C" w14:textId="77777777" w:rsidR="006C6229" w:rsidRPr="009F67C1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3. Constipation</w:t>
      </w:r>
    </w:p>
    <w:p w14:paraId="5615CB76" w14:textId="68117165" w:rsidR="006C6229" w:rsidRPr="000D7BF3" w:rsidRDefault="006C6229" w:rsidP="000D7BF3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4. Rash</w:t>
      </w:r>
    </w:p>
    <w:p w14:paraId="1D2B501A" w14:textId="77777777" w:rsidR="006C6229" w:rsidRPr="009F67C1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Rare but Serious:</w:t>
      </w:r>
    </w:p>
    <w:p w14:paraId="21ACADF2" w14:textId="77777777" w:rsidR="006C6229" w:rsidRPr="009F67C1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1. Severe hypersensitivity</w:t>
      </w:r>
    </w:p>
    <w:p w14:paraId="7899CEBD" w14:textId="77777777" w:rsidR="006C6229" w:rsidRPr="009F67C1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2. Anaphylactic shock</w:t>
      </w:r>
    </w:p>
    <w:p w14:paraId="3F9D20D8" w14:textId="77777777" w:rsidR="006C6229" w:rsidRPr="009F67C1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3. Stevens-Johnson syndrome</w:t>
      </w:r>
    </w:p>
    <w:p w14:paraId="0A01E5CC" w14:textId="77777777" w:rsidR="006C6229" w:rsidRPr="009F67C1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Contraindications:</w:t>
      </w:r>
    </w:p>
    <w:p w14:paraId="05D98919" w14:textId="77777777" w:rsidR="006C6229" w:rsidRPr="009F67C1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 xml:space="preserve">1. Hypersensitivity to </w:t>
      </w:r>
      <w:proofErr w:type="spellStart"/>
      <w:r w:rsidRPr="009F67C1">
        <w:rPr>
          <w:rFonts w:asciiTheme="minorHAnsi" w:hAnsiTheme="minorHAnsi" w:cstheme="minorHAnsi"/>
          <w:sz w:val="24"/>
          <w:szCs w:val="24"/>
        </w:rPr>
        <w:t>cefiderocol</w:t>
      </w:r>
      <w:proofErr w:type="spellEnd"/>
      <w:r w:rsidRPr="009F67C1">
        <w:rPr>
          <w:rFonts w:asciiTheme="minorHAnsi" w:hAnsiTheme="minorHAnsi" w:cstheme="minorHAnsi"/>
          <w:sz w:val="24"/>
          <w:szCs w:val="24"/>
        </w:rPr>
        <w:t>/cephalosporins</w:t>
      </w:r>
    </w:p>
    <w:p w14:paraId="056D2A39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67C1">
        <w:rPr>
          <w:rFonts w:asciiTheme="minorHAnsi" w:hAnsiTheme="minorHAnsi" w:cstheme="minorHAnsi"/>
          <w:sz w:val="24"/>
          <w:szCs w:val="24"/>
        </w:rPr>
        <w:t>2. Severe hypersensitivity to beta-lactam antibiotics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7F991A4" w14:textId="77777777" w:rsidR="006C6229" w:rsidRPr="000D7BF3" w:rsidRDefault="006C6229" w:rsidP="000D7BF3">
      <w:pPr>
        <w:pStyle w:val="ListParagraph"/>
        <w:numPr>
          <w:ilvl w:val="0"/>
          <w:numId w:val="24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proofErr w:type="gramStart"/>
      <w:r w:rsidRPr="000D7BF3">
        <w:rPr>
          <w:rFonts w:ascii="Bookman Old Style" w:hAnsi="Bookman Old Style" w:cstheme="minorHAnsi"/>
          <w:b/>
          <w:bCs/>
          <w:sz w:val="28"/>
          <w:szCs w:val="28"/>
        </w:rPr>
        <w:t>ADR :</w:t>
      </w:r>
      <w:proofErr w:type="gramEnd"/>
    </w:p>
    <w:p w14:paraId="4C551E9D" w14:textId="77777777" w:rsidR="006C6229" w:rsidRPr="0019618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Very Common (≥10%):</w:t>
      </w:r>
    </w:p>
    <w:p w14:paraId="7884454C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 xml:space="preserve">1. </w:t>
      </w:r>
      <w:proofErr w:type="spellStart"/>
      <w:r w:rsidRPr="0019618D">
        <w:rPr>
          <w:rFonts w:asciiTheme="minorHAnsi" w:hAnsiTheme="minorHAnsi" w:cstheme="minorHAnsi"/>
          <w:sz w:val="24"/>
          <w:szCs w:val="24"/>
        </w:rPr>
        <w:t>Diarrhea</w:t>
      </w:r>
      <w:proofErr w:type="spellEnd"/>
    </w:p>
    <w:p w14:paraId="056373C4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2. Infusion site reactions</w:t>
      </w:r>
    </w:p>
    <w:p w14:paraId="2D81E997" w14:textId="28917780" w:rsidR="006C6229" w:rsidRPr="000D4BB6" w:rsidRDefault="006C6229" w:rsidP="000D4BB6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3. Nausea</w:t>
      </w:r>
    </w:p>
    <w:p w14:paraId="6BEB0AB6" w14:textId="77777777" w:rsidR="006C6229" w:rsidRPr="0019618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lastRenderedPageBreak/>
        <w:t>Common (1-10%):</w:t>
      </w:r>
    </w:p>
    <w:p w14:paraId="3306E58C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1. Rash</w:t>
      </w:r>
    </w:p>
    <w:p w14:paraId="2AA10866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2. Pruritus</w:t>
      </w:r>
    </w:p>
    <w:p w14:paraId="7ECBF10A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3. Abdominal pain</w:t>
      </w:r>
    </w:p>
    <w:p w14:paraId="70EB117A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4. Headache</w:t>
      </w:r>
    </w:p>
    <w:p w14:paraId="050A777A" w14:textId="77777777" w:rsidR="006C6229" w:rsidRPr="0019618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Uncommon (0.1-1%):</w:t>
      </w:r>
    </w:p>
    <w:p w14:paraId="7D962410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1. Anaphylaxis</w:t>
      </w:r>
    </w:p>
    <w:p w14:paraId="03F2621E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2. Hypersensitivity</w:t>
      </w:r>
    </w:p>
    <w:p w14:paraId="04AAC662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3. CDAD</w:t>
      </w:r>
    </w:p>
    <w:p w14:paraId="26895AE5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4. Seizures</w:t>
      </w:r>
    </w:p>
    <w:p w14:paraId="7E70CCFE" w14:textId="77777777" w:rsidR="006C6229" w:rsidRPr="0019618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Rare (&lt;0.1%):</w:t>
      </w:r>
    </w:p>
    <w:p w14:paraId="48752941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1. Stevens-Johnson syndrome</w:t>
      </w:r>
    </w:p>
    <w:p w14:paraId="51BC7B8D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2. Toxic epidermal necrolysis</w:t>
      </w:r>
    </w:p>
    <w:p w14:paraId="46DCC15D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3. Hepatic failure</w:t>
      </w:r>
    </w:p>
    <w:p w14:paraId="1DF2F144" w14:textId="77777777" w:rsidR="006C6229" w:rsidRPr="0019618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9618D">
        <w:rPr>
          <w:rFonts w:asciiTheme="minorHAnsi" w:hAnsiTheme="minorHAnsi" w:cstheme="minorHAnsi"/>
          <w:sz w:val="24"/>
          <w:szCs w:val="24"/>
        </w:rPr>
        <w:t>4. Renal failure</w:t>
      </w:r>
    </w:p>
    <w:p w14:paraId="063B0827" w14:textId="77777777" w:rsidR="000D4BB6" w:rsidRDefault="000D4BB6" w:rsidP="006C6229">
      <w:pPr>
        <w:spacing w:line="360" w:lineRule="auto"/>
        <w:rPr>
          <w:rFonts w:ascii="Bookman Old Style" w:hAnsi="Bookman Old Style" w:cstheme="minorHAnsi"/>
          <w:sz w:val="28"/>
          <w:szCs w:val="28"/>
        </w:rPr>
      </w:pPr>
    </w:p>
    <w:p w14:paraId="1FA46DB9" w14:textId="4184298E" w:rsidR="006C6229" w:rsidRPr="000D4BB6" w:rsidRDefault="006C6229" w:rsidP="000D4BB6">
      <w:pPr>
        <w:pStyle w:val="ListParagraph"/>
        <w:numPr>
          <w:ilvl w:val="0"/>
          <w:numId w:val="20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r w:rsidRPr="000D4BB6">
        <w:rPr>
          <w:rFonts w:ascii="Bookman Old Style" w:hAnsi="Bookman Old Style" w:cstheme="minorHAnsi"/>
          <w:b/>
          <w:bCs/>
          <w:sz w:val="28"/>
          <w:szCs w:val="28"/>
        </w:rPr>
        <w:t>Toxicity:</w:t>
      </w:r>
    </w:p>
    <w:p w14:paraId="021213D9" w14:textId="77777777" w:rsidR="006C6229" w:rsidRPr="0064562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Toxicity Profile:</w:t>
      </w:r>
    </w:p>
    <w:p w14:paraId="0A9023CF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1. Hepatotoxicity: Elevated liver enzymes</w:t>
      </w:r>
    </w:p>
    <w:p w14:paraId="56BA639D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 xml:space="preserve">2. Nephrotoxicity: Renal impairment, acute kidney </w:t>
      </w:r>
      <w:proofErr w:type="gramStart"/>
      <w:r w:rsidRPr="0064562D">
        <w:rPr>
          <w:rFonts w:asciiTheme="minorHAnsi" w:hAnsiTheme="minorHAnsi" w:cstheme="minorHAnsi"/>
          <w:sz w:val="24"/>
          <w:szCs w:val="24"/>
        </w:rPr>
        <w:t>injure</w:t>
      </w:r>
      <w:proofErr w:type="gramEnd"/>
    </w:p>
    <w:p w14:paraId="478C5D56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 xml:space="preserve">3. </w:t>
      </w:r>
      <w:proofErr w:type="spellStart"/>
      <w:r w:rsidRPr="0064562D">
        <w:rPr>
          <w:rFonts w:asciiTheme="minorHAnsi" w:hAnsiTheme="minorHAnsi" w:cstheme="minorHAnsi"/>
          <w:sz w:val="24"/>
          <w:szCs w:val="24"/>
        </w:rPr>
        <w:t>Hematotoxicity</w:t>
      </w:r>
      <w:proofErr w:type="spellEnd"/>
      <w:r w:rsidRPr="0064562D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64562D">
        <w:rPr>
          <w:rFonts w:asciiTheme="minorHAnsi" w:hAnsiTheme="minorHAnsi" w:cstheme="minorHAnsi"/>
          <w:sz w:val="24"/>
          <w:szCs w:val="24"/>
        </w:rPr>
        <w:t>Anemia</w:t>
      </w:r>
      <w:proofErr w:type="spellEnd"/>
      <w:r w:rsidRPr="0064562D">
        <w:rPr>
          <w:rFonts w:asciiTheme="minorHAnsi" w:hAnsiTheme="minorHAnsi" w:cstheme="minorHAnsi"/>
          <w:sz w:val="24"/>
          <w:szCs w:val="24"/>
        </w:rPr>
        <w:t>, thrombocytopenia</w:t>
      </w:r>
    </w:p>
    <w:p w14:paraId="6EE57897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4. Neurotoxicity: Seizures, encephalopathy</w:t>
      </w:r>
    </w:p>
    <w:p w14:paraId="74503C94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5. Allergic reactions: Anaphylaxis, hypersensitivity</w:t>
      </w:r>
    </w:p>
    <w:p w14:paraId="4530E031" w14:textId="77777777" w:rsidR="006C6229" w:rsidRPr="0064562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Toxicity Levels:</w:t>
      </w:r>
    </w:p>
    <w:p w14:paraId="7F159D53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1. LD50 (lethal dose): &gt;2000 mg/kg (oral), &gt;1000 mg/kg (IV)</w:t>
      </w:r>
    </w:p>
    <w:p w14:paraId="7B417E12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2. NOAEL (no observed adverse effect level): 100 mg/kg/day</w:t>
      </w:r>
    </w:p>
    <w:p w14:paraId="1A8E81BC" w14:textId="77777777" w:rsidR="006C6229" w:rsidRPr="0064562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Toxicity Monitoring:</w:t>
      </w:r>
    </w:p>
    <w:p w14:paraId="6813D340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1. Liver function tests (LFTs)</w:t>
      </w:r>
    </w:p>
    <w:p w14:paraId="5B9C22CD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lastRenderedPageBreak/>
        <w:t>2. Renal function tests (RFTs)</w:t>
      </w:r>
    </w:p>
    <w:p w14:paraId="0FF00989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3. Complete blood counts (CBC)</w:t>
      </w:r>
    </w:p>
    <w:p w14:paraId="06AA984D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4. Electrolyte monitoring</w:t>
      </w:r>
    </w:p>
    <w:p w14:paraId="59A1790B" w14:textId="77777777" w:rsidR="006C6229" w:rsidRPr="0064562D" w:rsidRDefault="006C6229" w:rsidP="006C6229">
      <w:pPr>
        <w:pStyle w:val="List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Contraindications:</w:t>
      </w:r>
    </w:p>
    <w:p w14:paraId="22AD883E" w14:textId="77777777" w:rsidR="006C6229" w:rsidRPr="0064562D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 xml:space="preserve">1. Hypersensitivity to </w:t>
      </w:r>
      <w:proofErr w:type="spellStart"/>
      <w:r w:rsidRPr="0064562D">
        <w:rPr>
          <w:rFonts w:asciiTheme="minorHAnsi" w:hAnsiTheme="minorHAnsi" w:cstheme="minorHAnsi"/>
          <w:sz w:val="24"/>
          <w:szCs w:val="24"/>
        </w:rPr>
        <w:t>cefiderocol</w:t>
      </w:r>
      <w:proofErr w:type="spellEnd"/>
      <w:r w:rsidRPr="0064562D">
        <w:rPr>
          <w:rFonts w:asciiTheme="minorHAnsi" w:hAnsiTheme="minorHAnsi" w:cstheme="minorHAnsi"/>
          <w:sz w:val="24"/>
          <w:szCs w:val="24"/>
        </w:rPr>
        <w:t>/cephalosporins</w:t>
      </w:r>
    </w:p>
    <w:p w14:paraId="765085EA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4562D">
        <w:rPr>
          <w:rFonts w:asciiTheme="minorHAnsi" w:hAnsiTheme="minorHAnsi" w:cstheme="minorHAnsi"/>
          <w:sz w:val="24"/>
          <w:szCs w:val="24"/>
        </w:rPr>
        <w:t>2. Severe renal impairment (</w:t>
      </w:r>
      <w:proofErr w:type="spellStart"/>
      <w:r w:rsidRPr="0064562D">
        <w:rPr>
          <w:rFonts w:asciiTheme="minorHAnsi" w:hAnsiTheme="minorHAnsi" w:cstheme="minorHAnsi"/>
          <w:sz w:val="24"/>
          <w:szCs w:val="24"/>
        </w:rPr>
        <w:t>CrCl</w:t>
      </w:r>
      <w:proofErr w:type="spellEnd"/>
      <w:r w:rsidRPr="0064562D">
        <w:rPr>
          <w:rFonts w:asciiTheme="minorHAnsi" w:hAnsiTheme="minorHAnsi" w:cstheme="minorHAnsi"/>
          <w:sz w:val="24"/>
          <w:szCs w:val="24"/>
        </w:rPr>
        <w:t xml:space="preserve"> &lt;30 mL/min)</w:t>
      </w:r>
    </w:p>
    <w:p w14:paraId="0A2E6895" w14:textId="77777777" w:rsidR="006C6229" w:rsidRPr="000D4BB6" w:rsidRDefault="006C6229" w:rsidP="000D4BB6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proofErr w:type="gramStart"/>
      <w:r w:rsidRPr="000D4BB6">
        <w:rPr>
          <w:rFonts w:ascii="Bookman Old Style" w:hAnsi="Bookman Old Style" w:cstheme="minorHAnsi"/>
          <w:b/>
          <w:bCs/>
          <w:sz w:val="28"/>
          <w:szCs w:val="28"/>
        </w:rPr>
        <w:t>Conclusion :</w:t>
      </w:r>
      <w:proofErr w:type="gramEnd"/>
    </w:p>
    <w:p w14:paraId="316ED84C" w14:textId="77777777" w:rsidR="006C6229" w:rsidRPr="00C86FD3" w:rsidRDefault="006C6229" w:rsidP="006C622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>Cefiderocol is a novel, broad-spectrum antibiotic effective against Gram-negative bacteria, including carbapenem-resistant Enterobacteriaceae (CRE) and multidrug-resistant Pseudomonas aeruginosa (MDR-PA).</w:t>
      </w:r>
    </w:p>
    <w:p w14:paraId="58A7F7E4" w14:textId="77777777" w:rsidR="006C6229" w:rsidRPr="000D4BB6" w:rsidRDefault="006C6229" w:rsidP="000D4BB6">
      <w:pPr>
        <w:pStyle w:val="ListParagraph"/>
        <w:numPr>
          <w:ilvl w:val="0"/>
          <w:numId w:val="1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D4BB6">
        <w:rPr>
          <w:rFonts w:asciiTheme="minorHAnsi" w:hAnsiTheme="minorHAnsi" w:cstheme="minorHAnsi"/>
          <w:sz w:val="24"/>
          <w:szCs w:val="24"/>
        </w:rPr>
        <w:t>Key Benefits:</w:t>
      </w:r>
    </w:p>
    <w:p w14:paraId="3EDDB926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B297A">
        <w:rPr>
          <w:rFonts w:asciiTheme="minorHAnsi" w:hAnsiTheme="minorHAnsi" w:cstheme="minorHAnsi"/>
          <w:sz w:val="24"/>
          <w:szCs w:val="24"/>
        </w:rPr>
        <w:t>1. High efficacy against resistant pathogen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B14C00B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>2. Low propensity for resistance developmen</w:t>
      </w:r>
      <w:r>
        <w:rPr>
          <w:rFonts w:asciiTheme="minorHAnsi" w:hAnsiTheme="minorHAnsi" w:cstheme="minorHAnsi"/>
          <w:sz w:val="24"/>
          <w:szCs w:val="24"/>
        </w:rPr>
        <w:t>t</w:t>
      </w:r>
    </w:p>
    <w:p w14:paraId="46184CA6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 xml:space="preserve">3. </w:t>
      </w:r>
      <w:proofErr w:type="spellStart"/>
      <w:r w:rsidRPr="00C86FD3">
        <w:rPr>
          <w:rFonts w:asciiTheme="minorHAnsi" w:hAnsiTheme="minorHAnsi" w:cstheme="minorHAnsi"/>
          <w:sz w:val="24"/>
          <w:szCs w:val="24"/>
        </w:rPr>
        <w:t>Favorable</w:t>
      </w:r>
      <w:proofErr w:type="spellEnd"/>
      <w:r w:rsidRPr="00C86FD3">
        <w:rPr>
          <w:rFonts w:asciiTheme="minorHAnsi" w:hAnsiTheme="minorHAnsi" w:cstheme="minorHAnsi"/>
          <w:sz w:val="24"/>
          <w:szCs w:val="24"/>
        </w:rPr>
        <w:t xml:space="preserve"> safety profile</w:t>
      </w:r>
    </w:p>
    <w:p w14:paraId="2D41504D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>4. IV administration for hospitalized patients</w:t>
      </w:r>
    </w:p>
    <w:p w14:paraId="3FD3C525" w14:textId="77777777" w:rsidR="000D4BB6" w:rsidRDefault="000D4BB6" w:rsidP="000D4BB6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F7A03BC" w14:textId="0D779675" w:rsidR="006C6229" w:rsidRPr="000D4BB6" w:rsidRDefault="006C6229" w:rsidP="000D4BB6">
      <w:pPr>
        <w:pStyle w:val="ListParagraph"/>
        <w:numPr>
          <w:ilvl w:val="0"/>
          <w:numId w:val="1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D4BB6">
        <w:rPr>
          <w:rFonts w:asciiTheme="minorHAnsi" w:hAnsiTheme="minorHAnsi" w:cstheme="minorHAnsi"/>
          <w:sz w:val="24"/>
          <w:szCs w:val="24"/>
        </w:rPr>
        <w:t>Future Directions:</w:t>
      </w:r>
    </w:p>
    <w:p w14:paraId="16EE2468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25E0E">
        <w:rPr>
          <w:rFonts w:asciiTheme="minorHAnsi" w:hAnsiTheme="minorHAnsi" w:cstheme="minorHAnsi"/>
          <w:sz w:val="24"/>
          <w:szCs w:val="24"/>
        </w:rPr>
        <w:t>1. Expanded clinical trials for additional indications</w:t>
      </w:r>
    </w:p>
    <w:p w14:paraId="48F76CD8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>2. Combination therapy studies</w:t>
      </w:r>
    </w:p>
    <w:p w14:paraId="571763BF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>3. Development of oral formulations</w:t>
      </w:r>
    </w:p>
    <w:p w14:paraId="375A88F4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>4. Continued monitoring of resistance patterns</w:t>
      </w:r>
    </w:p>
    <w:p w14:paraId="2744C811" w14:textId="77777777" w:rsidR="006C6229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86FD3">
        <w:rPr>
          <w:rFonts w:asciiTheme="minorHAnsi" w:hAnsiTheme="minorHAnsi" w:cstheme="minorHAnsi"/>
          <w:sz w:val="24"/>
          <w:szCs w:val="24"/>
        </w:rPr>
        <w:t>Impact:</w:t>
      </w:r>
    </w:p>
    <w:p w14:paraId="14BBFC56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16650">
        <w:rPr>
          <w:rFonts w:asciiTheme="minorHAnsi" w:hAnsiTheme="minorHAnsi" w:cstheme="minorHAnsi"/>
          <w:sz w:val="24"/>
          <w:szCs w:val="24"/>
        </w:rPr>
        <w:t>Cefiderocol addresses critical unmet needs in treating antibiotic-resistant infections, offering hope for improved patient outcomes and reduced mortality rates.</w:t>
      </w:r>
    </w:p>
    <w:p w14:paraId="0ACC1FA6" w14:textId="77777777" w:rsidR="006C6229" w:rsidRPr="000D4BB6" w:rsidRDefault="006C6229" w:rsidP="000D4BB6">
      <w:pPr>
        <w:pStyle w:val="ListParagraph"/>
        <w:numPr>
          <w:ilvl w:val="0"/>
          <w:numId w:val="25"/>
        </w:numPr>
        <w:spacing w:line="360" w:lineRule="auto"/>
        <w:rPr>
          <w:rFonts w:ascii="Bookman Old Style" w:hAnsi="Bookman Old Style" w:cstheme="minorHAnsi"/>
          <w:b/>
          <w:bCs/>
          <w:sz w:val="28"/>
          <w:szCs w:val="28"/>
        </w:rPr>
      </w:pPr>
      <w:r w:rsidRPr="000D4BB6">
        <w:rPr>
          <w:rFonts w:ascii="Bookman Old Style" w:hAnsi="Bookman Old Style" w:cstheme="minorHAnsi"/>
          <w:b/>
          <w:bCs/>
          <w:sz w:val="28"/>
          <w:szCs w:val="28"/>
        </w:rPr>
        <w:t>References:</w:t>
      </w:r>
    </w:p>
    <w:p w14:paraId="53E6E3D1" w14:textId="77777777" w:rsidR="006C6229" w:rsidRPr="000F0852" w:rsidRDefault="006C6229" w:rsidP="006C6229">
      <w:pPr>
        <w:pStyle w:val="ListParagraph"/>
        <w:spacing w:line="360" w:lineRule="auto"/>
        <w:rPr>
          <w:rFonts w:ascii="Bookman Old Style" w:hAnsi="Bookman Old Style" w:cstheme="minorHAnsi"/>
          <w:sz w:val="28"/>
          <w:szCs w:val="28"/>
        </w:rPr>
      </w:pPr>
    </w:p>
    <w:p w14:paraId="5BBEB1D3" w14:textId="77777777" w:rsidR="006C6229" w:rsidRPr="00811FB3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 w:cstheme="minorHAnsi"/>
          <w:sz w:val="28"/>
          <w:szCs w:val="28"/>
        </w:rPr>
      </w:pPr>
      <w:r w:rsidRPr="00811FB3">
        <w:rPr>
          <w:rFonts w:asciiTheme="minorHAnsi" w:hAnsiTheme="minorHAnsi" w:cstheme="minorHAnsi"/>
          <w:sz w:val="24"/>
          <w:szCs w:val="24"/>
        </w:rPr>
        <w:lastRenderedPageBreak/>
        <w:t>Clinical Trials</w:t>
      </w:r>
    </w:p>
    <w:p w14:paraId="3DB8D0E2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11FB3">
        <w:rPr>
          <w:rFonts w:asciiTheme="minorHAnsi" w:hAnsiTheme="minorHAnsi" w:cstheme="minorHAnsi"/>
          <w:sz w:val="24"/>
          <w:szCs w:val="24"/>
        </w:rPr>
        <w:t>1. FDA: Cefiderocol (</w:t>
      </w:r>
      <w:proofErr w:type="spellStart"/>
      <w:r w:rsidRPr="00811FB3">
        <w:rPr>
          <w:rFonts w:asciiTheme="minorHAnsi" w:hAnsiTheme="minorHAnsi" w:cstheme="minorHAnsi"/>
          <w:sz w:val="24"/>
          <w:szCs w:val="24"/>
        </w:rPr>
        <w:t>Fetroja</w:t>
      </w:r>
      <w:proofErr w:type="spellEnd"/>
      <w:r w:rsidRPr="00811FB3">
        <w:rPr>
          <w:rFonts w:asciiTheme="minorHAnsi" w:hAnsiTheme="minorHAnsi" w:cstheme="minorHAnsi"/>
          <w:sz w:val="24"/>
          <w:szCs w:val="24"/>
        </w:rPr>
        <w:t>) Approval (2019)</w:t>
      </w:r>
    </w:p>
    <w:p w14:paraId="763230C9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>2.  Cefiderocol Studies</w:t>
      </w:r>
    </w:p>
    <w:p w14:paraId="7E86822E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 xml:space="preserve">3. NCT02321885: Cefiderocol vs. Meropenem for </w:t>
      </w:r>
      <w:proofErr w:type="spellStart"/>
      <w:r w:rsidRPr="000475B5">
        <w:rPr>
          <w:rFonts w:asciiTheme="minorHAnsi" w:hAnsiTheme="minorHAnsi" w:cstheme="minorHAnsi"/>
          <w:sz w:val="24"/>
          <w:szCs w:val="24"/>
        </w:rPr>
        <w:t>cUTI</w:t>
      </w:r>
      <w:proofErr w:type="spellEnd"/>
    </w:p>
    <w:p w14:paraId="093D25F6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>4. NCT02423567: Cefiderocol vs. Meropenem for HABP/VABP</w:t>
      </w:r>
    </w:p>
    <w:p w14:paraId="09E5FC9A" w14:textId="77777777" w:rsidR="006C6229" w:rsidRPr="005A4ACD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 w:cstheme="minorHAnsi"/>
          <w:sz w:val="28"/>
          <w:szCs w:val="28"/>
        </w:rPr>
      </w:pPr>
      <w:r w:rsidRPr="000475B5">
        <w:rPr>
          <w:rFonts w:asciiTheme="minorHAnsi" w:hAnsiTheme="minorHAnsi" w:cstheme="minorHAnsi"/>
          <w:sz w:val="24"/>
          <w:szCs w:val="24"/>
        </w:rPr>
        <w:t>Journal Articles</w:t>
      </w:r>
    </w:p>
    <w:p w14:paraId="57185631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A4ACD">
        <w:rPr>
          <w:rFonts w:asciiTheme="minorHAnsi" w:hAnsiTheme="minorHAnsi" w:cstheme="minorHAnsi"/>
          <w:sz w:val="24"/>
          <w:szCs w:val="24"/>
        </w:rPr>
        <w:t>1. Lancet Infect Dis: Cefiderocol for Gram-negative infections (2020)</w:t>
      </w:r>
    </w:p>
    <w:p w14:paraId="5BAF831F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>2. NEJM: Cefiderocol versus Meropenem for Complicated Urinary Tract Infections (2019)</w:t>
      </w:r>
    </w:p>
    <w:p w14:paraId="7746169F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 xml:space="preserve">3. J </w:t>
      </w:r>
      <w:proofErr w:type="spellStart"/>
      <w:r w:rsidRPr="000475B5">
        <w:rPr>
          <w:rFonts w:asciiTheme="minorHAnsi" w:hAnsiTheme="minorHAnsi" w:cstheme="minorHAnsi"/>
          <w:sz w:val="24"/>
          <w:szCs w:val="24"/>
        </w:rPr>
        <w:t>Antimicrob</w:t>
      </w:r>
      <w:proofErr w:type="spellEnd"/>
      <w:r w:rsidRPr="000475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475B5">
        <w:rPr>
          <w:rFonts w:asciiTheme="minorHAnsi" w:hAnsiTheme="minorHAnsi" w:cstheme="minorHAnsi"/>
          <w:sz w:val="24"/>
          <w:szCs w:val="24"/>
        </w:rPr>
        <w:t>Chemother</w:t>
      </w:r>
      <w:proofErr w:type="spellEnd"/>
      <w:r w:rsidRPr="000475B5">
        <w:rPr>
          <w:rFonts w:asciiTheme="minorHAnsi" w:hAnsiTheme="minorHAnsi" w:cstheme="minorHAnsi"/>
          <w:sz w:val="24"/>
          <w:szCs w:val="24"/>
        </w:rPr>
        <w:t>: Cefiderocol pharmacokinetics and pharmacodynamics (2018)</w:t>
      </w:r>
    </w:p>
    <w:p w14:paraId="56DED436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 xml:space="preserve">4. Antimicrobial Agents </w:t>
      </w:r>
      <w:proofErr w:type="spellStart"/>
      <w:r w:rsidRPr="000475B5">
        <w:rPr>
          <w:rFonts w:asciiTheme="minorHAnsi" w:hAnsiTheme="minorHAnsi" w:cstheme="minorHAnsi"/>
          <w:sz w:val="24"/>
          <w:szCs w:val="24"/>
        </w:rPr>
        <w:t>Chemother</w:t>
      </w:r>
      <w:proofErr w:type="spellEnd"/>
      <w:r w:rsidRPr="000475B5">
        <w:rPr>
          <w:rFonts w:asciiTheme="minorHAnsi" w:hAnsiTheme="minorHAnsi" w:cstheme="minorHAnsi"/>
          <w:sz w:val="24"/>
          <w:szCs w:val="24"/>
        </w:rPr>
        <w:t>: Cefiderocol activity against carbapenem-resistant Enterobacteriaceae (2017)</w:t>
      </w:r>
    </w:p>
    <w:p w14:paraId="3D7FFE99" w14:textId="77777777" w:rsidR="006C6229" w:rsidRPr="00C232CB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 w:cstheme="minorHAnsi"/>
          <w:sz w:val="28"/>
          <w:szCs w:val="28"/>
        </w:rPr>
      </w:pPr>
      <w:r w:rsidRPr="000475B5">
        <w:rPr>
          <w:rFonts w:asciiTheme="minorHAnsi" w:hAnsiTheme="minorHAnsi" w:cstheme="minorHAnsi"/>
          <w:sz w:val="24"/>
          <w:szCs w:val="24"/>
        </w:rPr>
        <w:t>Guidelines</w:t>
      </w:r>
    </w:p>
    <w:p w14:paraId="72570B65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232CB">
        <w:rPr>
          <w:rFonts w:asciiTheme="minorHAnsi" w:hAnsiTheme="minorHAnsi" w:cstheme="minorHAnsi"/>
          <w:sz w:val="24"/>
          <w:szCs w:val="24"/>
        </w:rPr>
        <w:t>1. IDSA/SHEA: Guidelines for Antibiotic Stewardship (2020)</w:t>
      </w:r>
    </w:p>
    <w:p w14:paraId="105D1D67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>2. ESCMID: Guidelines for the diagnosis and treatment of infections caused by carbapenem-resistant Enterobacteriaceae (2020)</w:t>
      </w:r>
    </w:p>
    <w:p w14:paraId="5F3DA7B2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>3. CDC: Antibiotic Resistance Threats in the United States (2019)</w:t>
      </w:r>
    </w:p>
    <w:p w14:paraId="5B57491B" w14:textId="77777777" w:rsidR="006C6229" w:rsidRPr="00C232CB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 w:cstheme="minorHAnsi"/>
          <w:sz w:val="28"/>
          <w:szCs w:val="28"/>
        </w:rPr>
      </w:pPr>
      <w:r w:rsidRPr="000475B5">
        <w:rPr>
          <w:rFonts w:asciiTheme="minorHAnsi" w:hAnsiTheme="minorHAnsi" w:cstheme="minorHAnsi"/>
          <w:sz w:val="24"/>
          <w:szCs w:val="24"/>
        </w:rPr>
        <w:t>Regulatory Agencies</w:t>
      </w:r>
    </w:p>
    <w:p w14:paraId="3E9C6ACC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232CB">
        <w:rPr>
          <w:rFonts w:asciiTheme="minorHAnsi" w:hAnsiTheme="minorHAnsi" w:cstheme="minorHAnsi"/>
          <w:sz w:val="24"/>
          <w:szCs w:val="24"/>
        </w:rPr>
        <w:t>1. FDA: Cefiderocol Label (2020)</w:t>
      </w:r>
    </w:p>
    <w:p w14:paraId="11B9F3B9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>2. EMA: Cefiderocol Summary of Product Characteristics (2020)</w:t>
      </w:r>
    </w:p>
    <w:p w14:paraId="25C7AAFE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475B5">
        <w:rPr>
          <w:rFonts w:asciiTheme="minorHAnsi" w:hAnsiTheme="minorHAnsi" w:cstheme="minorHAnsi"/>
          <w:sz w:val="24"/>
          <w:szCs w:val="24"/>
        </w:rPr>
        <w:t>3. PMDA Japan: Cefiderocol Approval (2018)</w:t>
      </w:r>
    </w:p>
    <w:p w14:paraId="77F7A13F" w14:textId="77777777" w:rsidR="006C6229" w:rsidRPr="00D610F6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1F1D8F5" w14:textId="77777777" w:rsidR="006C6229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C0562">
        <w:rPr>
          <w:rFonts w:asciiTheme="minorHAnsi" w:hAnsiTheme="minorHAnsi" w:cstheme="minorHAnsi"/>
          <w:sz w:val="24"/>
          <w:szCs w:val="24"/>
        </w:rPr>
        <w:t>"</w:t>
      </w:r>
      <w:proofErr w:type="spellStart"/>
      <w:r w:rsidRPr="00DC0562">
        <w:rPr>
          <w:rFonts w:asciiTheme="minorHAnsi" w:hAnsiTheme="minorHAnsi" w:cstheme="minorHAnsi"/>
          <w:sz w:val="24"/>
          <w:szCs w:val="24"/>
        </w:rPr>
        <w:t>Fetcroja</w:t>
      </w:r>
      <w:proofErr w:type="spellEnd"/>
      <w:r w:rsidRPr="00DC0562">
        <w:rPr>
          <w:rFonts w:asciiTheme="minorHAnsi" w:hAnsiTheme="minorHAnsi" w:cstheme="minorHAnsi"/>
          <w:sz w:val="24"/>
          <w:szCs w:val="24"/>
        </w:rPr>
        <w:t xml:space="preserve"> EPAR". European Medicines Agency (EMA). 24 February 2020. Retrieved 29 April 2020. This article incorporates text from this source, which is in the public domain.</w:t>
      </w:r>
    </w:p>
    <w:p w14:paraId="661D1E92" w14:textId="77777777" w:rsidR="006C6229" w:rsidRPr="00B73C81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73C81">
        <w:rPr>
          <w:rFonts w:asciiTheme="minorHAnsi" w:hAnsiTheme="minorHAnsi" w:cstheme="minorHAnsi"/>
          <w:sz w:val="24"/>
          <w:szCs w:val="24"/>
        </w:rPr>
        <w:t>Fetcroja</w:t>
      </w:r>
      <w:proofErr w:type="spellEnd"/>
      <w:r w:rsidRPr="00B73C81">
        <w:rPr>
          <w:rFonts w:asciiTheme="minorHAnsi" w:hAnsiTheme="minorHAnsi" w:cstheme="minorHAnsi"/>
          <w:sz w:val="24"/>
          <w:szCs w:val="24"/>
        </w:rPr>
        <w:t xml:space="preserve"> Product information". Union Register of medicinal products. Retrieved 3 March 2023.</w:t>
      </w:r>
    </w:p>
    <w:p w14:paraId="062AB2B7" w14:textId="77777777" w:rsidR="006C6229" w:rsidRPr="00DC0562" w:rsidRDefault="006C6229" w:rsidP="006C6229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05FAE">
        <w:rPr>
          <w:rFonts w:asciiTheme="minorHAnsi" w:hAnsiTheme="minorHAnsi" w:cstheme="minorHAnsi"/>
          <w:sz w:val="24"/>
          <w:szCs w:val="24"/>
        </w:rPr>
        <w:lastRenderedPageBreak/>
        <w:t>World Health Organization (2021). World Health Organization model list of essential medicines: 22nd list (2021). Geneva: World Health Organization.</w:t>
      </w:r>
    </w:p>
    <w:p w14:paraId="2F16CAA2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Harnan SE, Woods B, Schmitt L, Kearns B, Srivastava T, Scope A, et al. Protocol for the technology evaluation of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cefiderocol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for treating severe aerobic Gram-negative bacterial infections. Health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Technol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Assess 2021. </w:t>
      </w:r>
    </w:p>
    <w:p w14:paraId="18686C84" w14:textId="77777777" w:rsidR="006C6229" w:rsidRPr="004C1640" w:rsidRDefault="006C6229" w:rsidP="006C6229">
      <w:pPr>
        <w:pStyle w:val="ListParagraph"/>
        <w:shd w:val="clear" w:color="auto" w:fill="FFFFFF"/>
        <w:spacing w:after="0" w:line="36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917B840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Hawkey PM, Warren RE, Livermore DM, McNulty CA, Enoch DA, Otter JA, et al. Treatment of infections caused by multidrug-resistant gram-negative bacteria: report of the British Society for Antimicrobial Chemotherapy/Healthcare Infection Society/British Infection Association Joint Working Party. J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Antimicrob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Chemother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2018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E046736" w14:textId="77777777" w:rsidR="006C6229" w:rsidRPr="004C1640" w:rsidRDefault="006C6229" w:rsidP="006C6229">
      <w:pPr>
        <w:pStyle w:val="ListParagraph"/>
        <w:shd w:val="clear" w:color="auto" w:fill="FFFFFF"/>
        <w:spacing w:after="0" w:line="36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9F8551D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Munita JM, Arias CA. Mechanisms of antibiotic resistance.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Microbiol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Spectr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2016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36E612DA" w14:textId="77777777" w:rsidR="006C6229" w:rsidRPr="004C1640" w:rsidRDefault="006C6229" w:rsidP="006C6229">
      <w:pPr>
        <w:pStyle w:val="ListParagraph"/>
        <w:shd w:val="clear" w:color="auto" w:fill="FFFFFF"/>
        <w:spacing w:after="0" w:line="36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36DFC74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Hawkey PM. Multidrug-resistant Gram-negative bacteria: a product of globalization. J Hosp Infect 2015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D7ABE04" w14:textId="77777777" w:rsidR="006C6229" w:rsidRPr="004C1640" w:rsidRDefault="006C6229" w:rsidP="006C6229">
      <w:pPr>
        <w:pStyle w:val="ListParagraph"/>
        <w:shd w:val="clear" w:color="auto" w:fill="FFFFFF"/>
        <w:spacing w:after="0" w:line="36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8D86B0F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McNulty CAM, Boyle P, Nichols T, Clappison P, Davey P. Don’t wear me out – the public’s knowledge of and attitudes to antibiotic use. J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Antimicrob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Chemother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2007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18FDC7D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70A9089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Public Health England. English Surveillance Programme for Antimicrobial Utilisation and Resistance (ESPAUR) Report 2019 to 2020. London: UK Health Security Agency; 2020.</w:t>
      </w:r>
    </w:p>
    <w:p w14:paraId="2B57AB9E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D5F89B0" w14:textId="77777777" w:rsidR="006C6229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Hughes S, Gilchrist M, Heard K, Hamilton R, Sneddon J. Treating infections caused by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carbapenemase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-producing </w:t>
      </w:r>
      <w:proofErr w:type="spellStart"/>
      <w:r w:rsidRPr="004C164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Enterobacterales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(CPE): a pragmatic approach to antimicrobial stewardship on behalf of the UKCPA Pharmacy Infection Network (PIN). JAC-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Antimicrob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Resist 2020;2(3</w:t>
      </w:r>
      <w:proofErr w:type="gram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):dlaa</w:t>
      </w:r>
      <w:proofErr w:type="gram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075. </w:t>
      </w:r>
    </w:p>
    <w:p w14:paraId="3532151B" w14:textId="77777777" w:rsidR="006C6229" w:rsidRPr="00E65829" w:rsidRDefault="006C6229" w:rsidP="006C6229">
      <w:pPr>
        <w:pStyle w:val="ListParagraph"/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D60836D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World Health Organization. WHO Publishes List of Bacteria for Which New Antibiotics Are Urgently Needed. Geneva, Switzerland: World Health Organization; 2017.</w:t>
      </w:r>
    </w:p>
    <w:p w14:paraId="5A9EC589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80D09EA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World Health Organization. Global Priority List of Antibiotic-Resistant Bacteria to Guide Research, Discovery, and Development of New Antibiotics. Geneva, Switzerland: World Health Organization; 2017.</w:t>
      </w:r>
    </w:p>
    <w:p w14:paraId="47421420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D0AD95B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Tan X, Kim HS, Baugh K, Huang Y, Kadiyala N, Wences M, et al. Therapeutic options for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metallo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-β-lactamase-producing </w:t>
      </w:r>
      <w:proofErr w:type="spellStart"/>
      <w:r w:rsidRPr="004C164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Enterobacterales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Infect Drug Resist 2021. </w:t>
      </w:r>
    </w:p>
    <w:p w14:paraId="344147B5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768C7D1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Ito A, Kohira N, Bouchillon SK, West J, Rittenhouse S, Sader HS, et al. In vitro antimicrobial activity of S-649266, a catechol-substituted siderophore cephalosporin, when tested against non-fermenting Gram-negative bacteria. J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Antimicrob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Chemother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2016.</w:t>
      </w:r>
    </w:p>
    <w:p w14:paraId="19C66755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76E984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Ito A, Nishikawa T, Matsumoto S, Yoshizawa H, Sato T, Nakamura R, et al. Siderophore cephalosporin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cefiderocol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utilizes ferric iron transporter systems for antibacterial activity against Pseudomonas aeruginosa.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Antimicrob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Agents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Chemother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2016. </w:t>
      </w:r>
    </w:p>
    <w:p w14:paraId="4BE94B4A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FFA23BC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Portsmouth S, van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Veenhuyzen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D, Echols R, Machida M, Ferreira JCA,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Ariyasu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M, et al. Cefiderocol versus imipenem-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cilastatin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for the treatment of complicated urinary tract infections caused by Gram-negative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uropathogens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a phase 2, randomised, double-blind, non-inferiority trial. Lancet Infect Dis 2018. </w:t>
      </w:r>
    </w:p>
    <w:p w14:paraId="4A39B292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2846BA0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Wunderink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RG, Matsunaga Y,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Ariyasu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M, Clevenbergh P, Echols R, Kaye KS, et al. Cefiderocol versus high-dose, extended-infusion meropenem for the treatment of Gram-negative nosocomial pneumonia (APEKS-NP): a randomised, double-blind, phase 3, non-inferiority trial. Lancet Infect Dis 2021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D2191C5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BE218B2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Bassetti M, Echols R, Matsunaga Y,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Ariyasu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M, Doi Y, Ferrer R, et al. Efficacy and safety of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cefiderocol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or best available therapy for the treatment of serious infections caused by carbapenem-resistant Gram-negative bacteria (CREDIBLE-CR): a randomised, open-label, multicentre, pathogen-focused, descriptive, phase 3 trial. Lancet Infect Dis 2021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4BDA2E3E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C2CE89A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Tsuji M, Hackel M, Echols R, Yamano Y,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Sahm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DF. In Vitro Activity of Cefiderocol Against Globally Collected Carbapenem-Resistant Gram-Negative Bacteria Isolated from Urinary Tract Source: SIDERO-CR-2014/2016. Poster presented at: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IDWeek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Arlington, VA, 2017.</w:t>
      </w:r>
    </w:p>
    <w:p w14:paraId="31E41AE3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6E8401F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Nguyen S, editor. In Vitro Antibacterial Activity of Cefiderocol against a Multi-National Collection of Carbapenem Non-Susceptible Gram-Negative Bacteria Isolated from Respiratory, Blood, Skin/Soft Tissue and Urinary Sources of Infection: SIDERO-WT-2014-2017. New Orleans, LA: ASM; 2017.</w:t>
      </w:r>
    </w:p>
    <w:p w14:paraId="66F0ADF1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A4DD7BC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Zhanel GG, Golden AR,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Zelenitsky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S, Wiebe K, Lawrence CK, Adam HJ, et al. Cefiderocol: a siderophore cephalosporin with activity against carbapenem-resistant and multidrug-resistant Gram-negative bacilli. Drugs 2019</w:t>
      </w:r>
    </w:p>
    <w:p w14:paraId="575A1153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ind w:right="19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55788AD" w14:textId="77777777" w:rsidR="006C6229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Shionogi. European Medicines Agency. Annex I: Summary of Product Characteristics </w:t>
      </w:r>
      <w:proofErr w:type="spellStart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Fetcroja</w:t>
      </w:r>
      <w:proofErr w:type="spellEnd"/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1g. </w:t>
      </w:r>
    </w:p>
    <w:p w14:paraId="7A23216C" w14:textId="77777777" w:rsidR="006C6229" w:rsidRPr="004C1640" w:rsidRDefault="006C6229" w:rsidP="006C6229">
      <w:pPr>
        <w:pStyle w:val="ListParagraph"/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0C61E80" w14:textId="77777777" w:rsidR="006C6229" w:rsidRPr="004C1640" w:rsidRDefault="006C6229" w:rsidP="006C62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16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National Institute for Health and Care Excellence. Cefiderocol for Treating Severe Drug-Resistant Gram-Negative Bacterial Infections. London. </w:t>
      </w:r>
    </w:p>
    <w:p w14:paraId="3B8CEE7D" w14:textId="77777777" w:rsidR="006C6229" w:rsidRDefault="006C6229" w:rsidP="006C6229">
      <w:pPr>
        <w:pStyle w:val="ListParagraph"/>
        <w:spacing w:line="360" w:lineRule="auto"/>
        <w:rPr>
          <w:rFonts w:asciiTheme="minorHAnsi" w:hAnsiTheme="minorHAnsi" w:cstheme="minorHAnsi"/>
          <w:sz w:val="24"/>
          <w:szCs w:val="24"/>
        </w:rPr>
      </w:pPr>
    </w:p>
    <w:sectPr w:rsidR="006C6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75B28"/>
    <w:multiLevelType w:val="hybridMultilevel"/>
    <w:tmpl w:val="4E0C8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805E8"/>
    <w:multiLevelType w:val="hybridMultilevel"/>
    <w:tmpl w:val="8B84E188"/>
    <w:lvl w:ilvl="0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C15660"/>
    <w:multiLevelType w:val="hybridMultilevel"/>
    <w:tmpl w:val="D91459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038FF"/>
    <w:multiLevelType w:val="hybridMultilevel"/>
    <w:tmpl w:val="7788391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E78C8"/>
    <w:multiLevelType w:val="hybridMultilevel"/>
    <w:tmpl w:val="F2204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C701D"/>
    <w:multiLevelType w:val="hybridMultilevel"/>
    <w:tmpl w:val="B75E49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A0247"/>
    <w:multiLevelType w:val="hybridMultilevel"/>
    <w:tmpl w:val="05AA9C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506A0"/>
    <w:multiLevelType w:val="hybridMultilevel"/>
    <w:tmpl w:val="99F24B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C72B0"/>
    <w:multiLevelType w:val="hybridMultilevel"/>
    <w:tmpl w:val="3B848A1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D1647"/>
    <w:multiLevelType w:val="hybridMultilevel"/>
    <w:tmpl w:val="53185614"/>
    <w:lvl w:ilvl="0" w:tplc="38EE5B4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50DC5069"/>
    <w:multiLevelType w:val="hybridMultilevel"/>
    <w:tmpl w:val="BC628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9207B"/>
    <w:multiLevelType w:val="hybridMultilevel"/>
    <w:tmpl w:val="570488D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330E0"/>
    <w:multiLevelType w:val="hybridMultilevel"/>
    <w:tmpl w:val="546AE292"/>
    <w:lvl w:ilvl="0" w:tplc="1EC02C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BF04F9E"/>
    <w:multiLevelType w:val="hybridMultilevel"/>
    <w:tmpl w:val="502CFA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77458"/>
    <w:multiLevelType w:val="hybridMultilevel"/>
    <w:tmpl w:val="260280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7356D"/>
    <w:multiLevelType w:val="hybridMultilevel"/>
    <w:tmpl w:val="501A50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52911"/>
    <w:multiLevelType w:val="hybridMultilevel"/>
    <w:tmpl w:val="5A76E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D40FA"/>
    <w:multiLevelType w:val="hybridMultilevel"/>
    <w:tmpl w:val="09CE6C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B6006"/>
    <w:multiLevelType w:val="hybridMultilevel"/>
    <w:tmpl w:val="947019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61B71"/>
    <w:multiLevelType w:val="hybridMultilevel"/>
    <w:tmpl w:val="3E64F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4148F7"/>
    <w:multiLevelType w:val="hybridMultilevel"/>
    <w:tmpl w:val="6D96AD5A"/>
    <w:lvl w:ilvl="0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EC70A4"/>
    <w:multiLevelType w:val="hybridMultilevel"/>
    <w:tmpl w:val="3C724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E18F8"/>
    <w:multiLevelType w:val="hybridMultilevel"/>
    <w:tmpl w:val="27684C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628BA"/>
    <w:multiLevelType w:val="hybridMultilevel"/>
    <w:tmpl w:val="48A06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71FAB"/>
    <w:multiLevelType w:val="hybridMultilevel"/>
    <w:tmpl w:val="40E2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713A8"/>
    <w:multiLevelType w:val="hybridMultilevel"/>
    <w:tmpl w:val="58F06D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960941">
    <w:abstractNumId w:val="15"/>
  </w:num>
  <w:num w:numId="2" w16cid:durableId="1786927486">
    <w:abstractNumId w:val="22"/>
  </w:num>
  <w:num w:numId="3" w16cid:durableId="1460538882">
    <w:abstractNumId w:val="6"/>
  </w:num>
  <w:num w:numId="4" w16cid:durableId="1794205713">
    <w:abstractNumId w:val="3"/>
  </w:num>
  <w:num w:numId="5" w16cid:durableId="2141529056">
    <w:abstractNumId w:val="20"/>
  </w:num>
  <w:num w:numId="6" w16cid:durableId="1628857337">
    <w:abstractNumId w:val="1"/>
  </w:num>
  <w:num w:numId="7" w16cid:durableId="23019225">
    <w:abstractNumId w:val="11"/>
  </w:num>
  <w:num w:numId="8" w16cid:durableId="1078405332">
    <w:abstractNumId w:val="12"/>
  </w:num>
  <w:num w:numId="9" w16cid:durableId="909271167">
    <w:abstractNumId w:val="8"/>
  </w:num>
  <w:num w:numId="10" w16cid:durableId="253587746">
    <w:abstractNumId w:val="23"/>
  </w:num>
  <w:num w:numId="11" w16cid:durableId="956253267">
    <w:abstractNumId w:val="18"/>
  </w:num>
  <w:num w:numId="12" w16cid:durableId="1481725676">
    <w:abstractNumId w:val="14"/>
  </w:num>
  <w:num w:numId="13" w16cid:durableId="1289821903">
    <w:abstractNumId w:val="9"/>
  </w:num>
  <w:num w:numId="14" w16cid:durableId="530151304">
    <w:abstractNumId w:val="24"/>
  </w:num>
  <w:num w:numId="15" w16cid:durableId="687878727">
    <w:abstractNumId w:val="21"/>
  </w:num>
  <w:num w:numId="16" w16cid:durableId="293368444">
    <w:abstractNumId w:val="10"/>
  </w:num>
  <w:num w:numId="17" w16cid:durableId="1545948649">
    <w:abstractNumId w:val="0"/>
  </w:num>
  <w:num w:numId="18" w16cid:durableId="1648241869">
    <w:abstractNumId w:val="4"/>
  </w:num>
  <w:num w:numId="19" w16cid:durableId="1444153770">
    <w:abstractNumId w:val="19"/>
  </w:num>
  <w:num w:numId="20" w16cid:durableId="982851852">
    <w:abstractNumId w:val="25"/>
  </w:num>
  <w:num w:numId="21" w16cid:durableId="644316340">
    <w:abstractNumId w:val="16"/>
  </w:num>
  <w:num w:numId="22" w16cid:durableId="1652055902">
    <w:abstractNumId w:val="17"/>
  </w:num>
  <w:num w:numId="23" w16cid:durableId="1774086378">
    <w:abstractNumId w:val="7"/>
  </w:num>
  <w:num w:numId="24" w16cid:durableId="1464226072">
    <w:abstractNumId w:val="5"/>
  </w:num>
  <w:num w:numId="25" w16cid:durableId="171917362">
    <w:abstractNumId w:val="2"/>
  </w:num>
  <w:num w:numId="26" w16cid:durableId="13691849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229"/>
    <w:rsid w:val="00020A56"/>
    <w:rsid w:val="0002670E"/>
    <w:rsid w:val="00061DCB"/>
    <w:rsid w:val="000D4BB6"/>
    <w:rsid w:val="000D7BF3"/>
    <w:rsid w:val="00291641"/>
    <w:rsid w:val="00465FD4"/>
    <w:rsid w:val="006C6229"/>
    <w:rsid w:val="00767CEE"/>
    <w:rsid w:val="007C7E0B"/>
    <w:rsid w:val="00D63FD1"/>
    <w:rsid w:val="00E62EDE"/>
    <w:rsid w:val="00F2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408D4"/>
  <w15:chartTrackingRefBased/>
  <w15:docId w15:val="{DDDE1FD1-EAF4-4A31-BBCB-1B167FC4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229"/>
    <w:rPr>
      <w:rFonts w:ascii="Calibri" w:eastAsia="Calibri" w:hAnsi="Calibri" w:cs="Calibri"/>
      <w:color w:val="000000"/>
      <w:lang w:val="en-IN" w:eastAsia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6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62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6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62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6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6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6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6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62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62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62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62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62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62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62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62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62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6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6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6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6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6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62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62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62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6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62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6229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6C6229"/>
    <w:pPr>
      <w:spacing w:after="0" w:line="240" w:lineRule="auto"/>
    </w:pPr>
    <w:rPr>
      <w:rFonts w:eastAsiaTheme="minorEastAsia"/>
      <w:lang w:val="en-IN"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67C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shivanidumbre1810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HERE Global B. V.</Company>
  <LinksUpToDate>false</LinksUpToDate>
  <CharactersWithSpaces>16456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Dumbre, Mohini</dc:creator>
  <cp:keywords/>
  <dc:description/>
  <cp:lastModifiedBy>Dumbre, Mohini</cp:lastModifiedBy>
  <cp:revision>1</cp:revision>
  <dcterms:created xsi:type="dcterms:W3CDTF">2025-01-12T10:54:00Z</dcterms:created>
  <dcterms:modified xsi:type="dcterms:W3CDTF">2025-01-12T12:31:00Z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7894b3-2847-4d77-83aa-d5f137c768f0_Enabled">
    <vt:lpwstr>true</vt:lpwstr>
  </property>
  <property fmtid="{D5CDD505-2E9C-101B-9397-08002B2CF9AE}" pid="3" name="MSIP_Label_597894b3-2847-4d77-83aa-d5f137c768f0_SetDate">
    <vt:lpwstr>2025-01-12T12:31:12Z</vt:lpwstr>
  </property>
  <property fmtid="{D5CDD505-2E9C-101B-9397-08002B2CF9AE}" pid="4" name="MSIP_Label_597894b3-2847-4d77-83aa-d5f137c768f0_Method">
    <vt:lpwstr>Standard</vt:lpwstr>
  </property>
  <property fmtid="{D5CDD505-2E9C-101B-9397-08002B2CF9AE}" pid="5" name="MSIP_Label_597894b3-2847-4d77-83aa-d5f137c768f0_Name">
    <vt:lpwstr>Internal Use Only</vt:lpwstr>
  </property>
  <property fmtid="{D5CDD505-2E9C-101B-9397-08002B2CF9AE}" pid="6" name="MSIP_Label_597894b3-2847-4d77-83aa-d5f137c768f0_SiteId">
    <vt:lpwstr>6d4034cd-7225-4f72-b853-91feaea64919</vt:lpwstr>
  </property>
  <property fmtid="{D5CDD505-2E9C-101B-9397-08002B2CF9AE}" pid="7" name="MSIP_Label_597894b3-2847-4d77-83aa-d5f137c768f0_ActionId">
    <vt:lpwstr>f662b0be-981e-4f14-9cc7-8e2c25d452b1</vt:lpwstr>
  </property>
  <property fmtid="{D5CDD505-2E9C-101B-9397-08002B2CF9AE}" pid="8" name="MSIP_Label_597894b3-2847-4d77-83aa-d5f137c768f0_ContentBits">
    <vt:lpwstr>0</vt:lpwstr>
  </property>
</Properties>
</file>