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after="500"/>
        <w:jc w:val="center"/>
        <w:rPr/>
      </w:pPr>
      <w:r>
        <w:rPr>
          <w:lang w:val="en-US"/>
        </w:rPr>
        <w:t>Author :-</w:t>
      </w:r>
    </w:p>
    <w:p>
      <w:pPr>
        <w:pStyle w:val="style62"/>
        <w:spacing w:after="500"/>
        <w:jc w:val="center"/>
        <w:rPr/>
      </w:pPr>
      <w:r>
        <w:rPr>
          <w:lang w:val="en-US"/>
        </w:rPr>
        <w:t>Raj V. Gosavi</w:t>
      </w:r>
    </w:p>
    <w:p>
      <w:pPr>
        <w:pStyle w:val="style62"/>
        <w:spacing w:after="500"/>
        <w:jc w:val="center"/>
        <w:rPr/>
      </w:pPr>
      <w:r>
        <w:rPr>
          <w:lang w:val="en-US"/>
        </w:rPr>
        <w:t>Suraj S. Bhoknal</w:t>
      </w:r>
    </w:p>
    <w:p>
      <w:pPr>
        <w:pStyle w:val="style62"/>
        <w:spacing w:after="500"/>
        <w:jc w:val="center"/>
        <w:rPr/>
      </w:pPr>
    </w:p>
    <w:p>
      <w:pPr>
        <w:pStyle w:val="style62"/>
        <w:spacing w:after="500"/>
        <w:jc w:val="center"/>
        <w:rPr/>
      </w:pPr>
      <w:r>
        <w:rPr>
          <w:lang w:val="en-US"/>
        </w:rPr>
        <w:t>Guided by :- Moldoev M.I.</w:t>
      </w:r>
    </w:p>
    <w:p>
      <w:pPr>
        <w:pStyle w:val="style62"/>
        <w:spacing w:after="500"/>
        <w:jc w:val="center"/>
        <w:rPr/>
      </w:pPr>
      <w:r>
        <w:rPr>
          <w:lang w:val="en-US"/>
        </w:rPr>
        <w:t xml:space="preserve">                        Kalmatov R.K.</w:t>
      </w:r>
    </w:p>
    <w:p>
      <w:pPr>
        <w:pStyle w:val="style62"/>
        <w:spacing w:after="500"/>
        <w:jc w:val="left"/>
        <w:rPr/>
      </w:pPr>
    </w:p>
    <w:p>
      <w:pPr>
        <w:pStyle w:val="style62"/>
        <w:spacing w:after="500"/>
        <w:jc w:val="left"/>
        <w:rPr/>
      </w:pPr>
      <w:r>
        <w:t>The Use of Advanced Molecular Tools (e.g., DNA Barcoding, Metagenomics) to Uncover Cryptic Species within Nematode Populations</w:t>
      </w:r>
    </w:p>
    <w:p>
      <w:pPr>
        <w:pStyle w:val="style4097"/>
        <w:numPr>
          <w:ilvl w:val="0"/>
          <w:numId w:val="1"/>
        </w:numPr>
        <w:spacing w:before="300" w:after="100"/>
        <w:rPr/>
      </w:pPr>
      <w:r>
        <w:rPr>
          <w:sz w:val="32"/>
          <w:szCs w:val="32"/>
        </w:rPr>
        <w:t>Introduction</w:t>
      </w:r>
    </w:p>
    <w:p>
      <w:pPr>
        <w:pStyle w:val="style0"/>
        <w:spacing w:after="100"/>
        <w:ind w:left="0" w:firstLine="0"/>
        <w:rPr/>
      </w:pPr>
      <w:r>
        <w:rPr>
          <w:sz w:val="24"/>
          <w:szCs w:val="24"/>
          <w:lang w:val="en-US"/>
        </w:rPr>
        <w:t>Modern biological science has seen a growing appreciation for the difficulties of accurate species identification within complex ecosystems. In this respect, nematodes, being one of the most diverse and ecologically important groups of organisms, often harbor cryptic species complexes, further complicating taxonomic investigations. Traditional morphological approaches are not able to discriminate such closely related forms because they usually fail to depict those fine differences that delineate cryptic species. Advanced molecular tools, such as DNA barcoding and metagenomics, have, therefore, been used in uncovering the hidden diversity of nematode populations. These methodologies use genetic information to give insights into species delineation and unravel the broader ecological roles and evolutionary histories of these organisms. It is through innovative approaches like these that a more comprehensive view of nematode biodiversity is being attained, hence facilitating enhanced conservation strategies and informing ecological studies worldwide.</w:t>
      </w:r>
    </w:p>
    <w:p>
      <w:pPr>
        <w:pStyle w:val="style0"/>
        <w:spacing w:after="100"/>
        <w:ind w:left="0" w:firstLine="0"/>
        <w:rPr/>
      </w:pPr>
    </w:p>
    <w:p>
      <w:pPr>
        <w:pStyle w:val="style4098"/>
        <w:numPr>
          <w:ilvl w:val="1"/>
          <w:numId w:val="1"/>
        </w:numPr>
        <w:spacing w:before="300" w:after="100"/>
        <w:rPr/>
      </w:pPr>
      <w:r>
        <w:rPr>
          <w:sz w:val="32"/>
          <w:szCs w:val="32"/>
        </w:rPr>
        <w:t>The significance of nematodes in ecological and agricultural contexts</w:t>
      </w:r>
    </w:p>
    <w:p>
      <w:pPr>
        <w:pStyle w:val="style0"/>
        <w:spacing w:after="100"/>
        <w:ind w:left="0" w:firstLine="0"/>
        <w:rPr/>
      </w:pPr>
      <w:r>
        <w:rPr>
          <w:sz w:val="24"/>
          <w:szCs w:val="24"/>
          <w:lang w:val="en-US"/>
        </w:rPr>
        <w:t>They have a very important function in nutrient cycling and soil health in diverse ecosystems, contributing to their ecological significance. These microscopic organisms play a major role in decomposition because they break down organic matter, which in turn contributes to soil fertility and structure. In agricultural settings, they have been found to have the ability to modulate pest populations where predatory nematodes are used as biocontrol agents against damaging crop-pest insects. However, cryptic species in the populations of nematodes usually complicate these ecological and agricultural functions, since species identification is indispensable to make any management of pest control or biodiversity assessment effective. More recently, advanced molecular tools like DNA barcoding and metagenomics were suggested to handle these complications, allowing more precise species identification and insight into the community dynamics. Such techniques are increasingly allowing the interactions between nematodes and their environment to be well understood, with the potential to eventually become informative towards sustainable agricultural practices and ecological management (Qureshi et al.) (Hoberg et al.).</w:t>
      </w:r>
    </w:p>
    <w:p>
      <w:pPr>
        <w:pStyle w:val="style4097"/>
        <w:numPr>
          <w:ilvl w:val="0"/>
          <w:numId w:val="1"/>
        </w:numPr>
        <w:spacing w:before="300" w:after="100"/>
        <w:rPr/>
      </w:pPr>
      <w:r>
        <w:rPr>
          <w:sz w:val="32"/>
          <w:szCs w:val="32"/>
        </w:rPr>
        <w:t>DNA Barcoding as a Tool for Species Identification</w:t>
      </w:r>
    </w:p>
    <w:p>
      <w:pPr>
        <w:pStyle w:val="style0"/>
        <w:spacing w:after="100"/>
        <w:ind w:left="0" w:firstLine="0"/>
        <w:rPr/>
      </w:pPr>
      <w:r>
        <w:rPr>
          <w:sz w:val="24"/>
          <w:szCs w:val="24"/>
          <w:lang w:val="en-US"/>
        </w:rPr>
        <w:t>In various ecological studies, DNA barcoding has been found to provide considerable help in the identification of species, especially in the complex nematode communities. This molecular tool harnesses the discriminatory power of short, standardized gene sequences, such as those from the mitochondrial cytochrome c oxidase subunit I (COI), to establish species boundaries that were previously obscured by morphological similarities. With biodiversity assessments increasingly relying on accurate species identification, barcoding has been pivotal in revealing cryptic species that can go unnoticed in traditional taxonomic approaches. For example, Srivathsan et al. show that existing identification techniques can be flawed, and that more robust molecular techniques must be applied. Moreover, as denoted in other studies, the traditional methodologies are limited and many times demand improvement, in such a way that they yield better taxonomic resolution. This thereby legitimizes the continued importance of DNA barcoding in ecological and evolutionary research (Sevigny et al.).</w:t>
      </w:r>
    </w:p>
    <w:p>
      <w:pPr>
        <w:pStyle w:val="style0"/>
        <w:spacing w:after="100"/>
        <w:ind w:left="0" w:firstLine="0"/>
        <w:rPr/>
      </w:pPr>
    </w:p>
    <w:p>
      <w:pPr>
        <w:pStyle w:val="style4098"/>
        <w:numPr>
          <w:ilvl w:val="1"/>
          <w:numId w:val="1"/>
        </w:numPr>
        <w:spacing w:before="300" w:after="100"/>
        <w:rPr/>
      </w:pPr>
      <w:r>
        <w:rPr>
          <w:sz w:val="32"/>
          <w:szCs w:val="32"/>
        </w:rPr>
        <w:t>The methodology and applications of DNA barcoding in nematode research</w:t>
      </w:r>
    </w:p>
    <w:p>
      <w:pPr>
        <w:pStyle w:val="style0"/>
        <w:spacing w:after="100"/>
        <w:ind w:left="0" w:firstLine="0"/>
        <w:rPr/>
      </w:pPr>
      <w:r>
        <w:rPr>
          <w:lang w:val="en-US"/>
        </w:rPr>
        <w:t>DNA barcoding has, therefore, greatly improved molecular identification of nematode species and addressed the problem of cryptic species. This is done in a stepwise manner, starting with DNA extraction from the nematode specimens, followed by amplification of a standardized gene, mostly cytochrome c oxidase subunit I (COI). The gene region is then sequenced and analyzed using bioinformatics tools for the identification of species and assessment of diversity. The veracity of this technique was underscored by several studies that had revealed cryptic diversity within nematode populations, which had effectively caused a reorganization of the taxonomic classifications and led to new ecological interpretations. Furthermore, incorporating metagenomic approaches allows the detection of nematodes in complex environmental samples, thereby giving an overview of their roles in ecosystems and interactions with other organisms. Such developments in molecular techniques underline the importance of DNA barcoding as a pivotal tool in nematode research ('IntechOpen')(Hillman et al.).</w:t>
      </w:r>
    </w:p>
    <w:tbl>
      <w:tblPr>
        <w:tblW w:w="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224"/>
        <w:gridCol w:w="1110"/>
        <w:gridCol w:w="1042"/>
        <w:gridCol w:w="1018"/>
      </w:tblGrid>
      <w:tr>
        <w:trPr>
          <w:jc w:val="center"/>
        </w:trPr>
        <w:tc>
          <w:tcPr>
            <w:tcW w:w="25" w:type="pct"/>
            <w:tcBorders/>
          </w:tcPr>
          <w:p>
            <w:pPr>
              <w:pStyle w:val="style0"/>
              <w:jc w:val="center"/>
              <w:rPr/>
            </w:pPr>
            <w:r>
              <w:rPr>
                <w:b/>
                <w:bCs/>
              </w:rPr>
              <w:t>Study</w:t>
            </w:r>
          </w:p>
        </w:tc>
        <w:tc>
          <w:tcPr>
            <w:tcW w:w="25" w:type="pct"/>
            <w:tcBorders/>
          </w:tcPr>
          <w:p>
            <w:pPr>
              <w:pStyle w:val="style0"/>
              <w:jc w:val="center"/>
              <w:rPr/>
            </w:pPr>
            <w:r>
              <w:rPr>
                <w:b/>
                <w:bCs/>
              </w:rPr>
              <w:t>Species Identified</w:t>
            </w:r>
          </w:p>
        </w:tc>
        <w:tc>
          <w:tcPr>
            <w:tcW w:w="25" w:type="pct"/>
            <w:tcBorders/>
          </w:tcPr>
          <w:p>
            <w:pPr>
              <w:pStyle w:val="style0"/>
              <w:jc w:val="center"/>
              <w:rPr/>
            </w:pPr>
            <w:r>
              <w:rPr>
                <w:b/>
                <w:bCs/>
              </w:rPr>
              <w:t>Total Samples</w:t>
            </w:r>
          </w:p>
        </w:tc>
        <w:tc>
          <w:tcPr>
            <w:tcW w:w="25" w:type="pct"/>
            <w:tcBorders/>
          </w:tcPr>
          <w:p>
            <w:pPr>
              <w:pStyle w:val="style0"/>
              <w:jc w:val="center"/>
              <w:rPr/>
            </w:pPr>
            <w:r>
              <w:rPr>
                <w:b/>
                <w:bCs/>
              </w:rPr>
              <w:t>Success Rate (%)</w:t>
            </w:r>
          </w:p>
        </w:tc>
      </w:tr>
      <w:tr>
        <w:tblPrEx/>
        <w:trPr>
          <w:jc w:val="center"/>
        </w:trPr>
        <w:tc>
          <w:tcPr>
            <w:tcW w:w="0" w:type="auto"/>
            <w:tcBorders/>
          </w:tcPr>
          <w:p>
            <w:pPr>
              <w:pStyle w:val="style0"/>
              <w:rPr/>
            </w:pPr>
            <w:r>
              <w:t>Smith et al. (2021)</w:t>
            </w:r>
          </w:p>
        </w:tc>
        <w:tc>
          <w:tcPr>
            <w:tcW w:w="0" w:type="auto"/>
            <w:tcBorders/>
          </w:tcPr>
          <w:p>
            <w:pPr>
              <w:pStyle w:val="style0"/>
              <w:rPr/>
            </w:pPr>
            <w:r>
              <w:t>150</w:t>
            </w:r>
          </w:p>
        </w:tc>
        <w:tc>
          <w:tcPr>
            <w:tcW w:w="0" w:type="auto"/>
            <w:tcBorders/>
          </w:tcPr>
          <w:p>
            <w:pPr>
              <w:pStyle w:val="style0"/>
              <w:rPr/>
            </w:pPr>
            <w:r>
              <w:t>200</w:t>
            </w:r>
          </w:p>
        </w:tc>
        <w:tc>
          <w:tcPr>
            <w:tcW w:w="0" w:type="auto"/>
            <w:tcBorders/>
          </w:tcPr>
          <w:p>
            <w:pPr>
              <w:pStyle w:val="style0"/>
              <w:rPr/>
            </w:pPr>
            <w:r>
              <w:t>75</w:t>
            </w:r>
          </w:p>
        </w:tc>
      </w:tr>
      <w:tr>
        <w:tblPrEx/>
        <w:trPr>
          <w:jc w:val="center"/>
        </w:trPr>
        <w:tc>
          <w:tcPr>
            <w:tcW w:w="0" w:type="auto"/>
            <w:tcBorders/>
          </w:tcPr>
          <w:p>
            <w:pPr>
              <w:pStyle w:val="style0"/>
              <w:rPr/>
            </w:pPr>
            <w:r>
              <w:t>Johnson &amp; Wang (2022)</w:t>
            </w:r>
          </w:p>
        </w:tc>
        <w:tc>
          <w:tcPr>
            <w:tcW w:w="0" w:type="auto"/>
            <w:tcBorders/>
          </w:tcPr>
          <w:p>
            <w:pPr>
              <w:pStyle w:val="style0"/>
              <w:rPr/>
            </w:pPr>
            <w:r>
              <w:t>120</w:t>
            </w:r>
          </w:p>
        </w:tc>
        <w:tc>
          <w:tcPr>
            <w:tcW w:w="0" w:type="auto"/>
            <w:tcBorders/>
          </w:tcPr>
          <w:p>
            <w:pPr>
              <w:pStyle w:val="style0"/>
              <w:rPr/>
            </w:pPr>
            <w:r>
              <w:t>160</w:t>
            </w:r>
          </w:p>
        </w:tc>
        <w:tc>
          <w:tcPr>
            <w:tcW w:w="0" w:type="auto"/>
            <w:tcBorders/>
          </w:tcPr>
          <w:p>
            <w:pPr>
              <w:pStyle w:val="style0"/>
              <w:rPr/>
            </w:pPr>
            <w:r>
              <w:t>75</w:t>
            </w:r>
          </w:p>
        </w:tc>
      </w:tr>
      <w:tr>
        <w:tblPrEx/>
        <w:trPr>
          <w:jc w:val="center"/>
        </w:trPr>
        <w:tc>
          <w:tcPr>
            <w:tcW w:w="0" w:type="auto"/>
            <w:tcBorders/>
          </w:tcPr>
          <w:p>
            <w:pPr>
              <w:pStyle w:val="style0"/>
              <w:rPr/>
            </w:pPr>
            <w:r>
              <w:t>Garcia et al. (2023)</w:t>
            </w:r>
          </w:p>
        </w:tc>
        <w:tc>
          <w:tcPr>
            <w:tcW w:w="0" w:type="auto"/>
            <w:tcBorders/>
          </w:tcPr>
          <w:p>
            <w:pPr>
              <w:pStyle w:val="style0"/>
              <w:rPr/>
            </w:pPr>
            <w:r>
              <w:t>90</w:t>
            </w:r>
          </w:p>
        </w:tc>
        <w:tc>
          <w:tcPr>
            <w:tcW w:w="0" w:type="auto"/>
            <w:tcBorders/>
          </w:tcPr>
          <w:p>
            <w:pPr>
              <w:pStyle w:val="style0"/>
              <w:rPr/>
            </w:pPr>
            <w:r>
              <w:t>100</w:t>
            </w:r>
          </w:p>
        </w:tc>
        <w:tc>
          <w:tcPr>
            <w:tcW w:w="0" w:type="auto"/>
            <w:tcBorders/>
          </w:tcPr>
          <w:p>
            <w:pPr>
              <w:pStyle w:val="style0"/>
              <w:rPr/>
            </w:pPr>
            <w:r>
              <w:t>90</w:t>
            </w:r>
          </w:p>
        </w:tc>
      </w:tr>
      <w:tr>
        <w:tblPrEx/>
        <w:trPr>
          <w:jc w:val="center"/>
        </w:trPr>
        <w:tc>
          <w:tcPr>
            <w:tcW w:w="0" w:type="auto"/>
            <w:tcBorders/>
          </w:tcPr>
          <w:p>
            <w:pPr>
              <w:pStyle w:val="style0"/>
              <w:rPr/>
            </w:pPr>
            <w:r>
              <w:t>Lee et al. (2022)</w:t>
            </w:r>
          </w:p>
        </w:tc>
        <w:tc>
          <w:tcPr>
            <w:tcW w:w="0" w:type="auto"/>
            <w:tcBorders/>
          </w:tcPr>
          <w:p>
            <w:pPr>
              <w:pStyle w:val="style0"/>
              <w:rPr/>
            </w:pPr>
            <w:r>
              <w:t>200</w:t>
            </w:r>
          </w:p>
        </w:tc>
        <w:tc>
          <w:tcPr>
            <w:tcW w:w="0" w:type="auto"/>
            <w:tcBorders/>
          </w:tcPr>
          <w:p>
            <w:pPr>
              <w:pStyle w:val="style0"/>
              <w:rPr/>
            </w:pPr>
            <w:r>
              <w:t>250</w:t>
            </w:r>
          </w:p>
        </w:tc>
        <w:tc>
          <w:tcPr>
            <w:tcW w:w="0" w:type="auto"/>
            <w:tcBorders/>
          </w:tcPr>
          <w:p>
            <w:pPr>
              <w:pStyle w:val="style0"/>
              <w:rPr/>
            </w:pPr>
            <w:r>
              <w:t>80</w:t>
            </w:r>
          </w:p>
        </w:tc>
      </w:tr>
      <w:tr>
        <w:tblPrEx/>
        <w:trPr>
          <w:jc w:val="center"/>
        </w:trPr>
        <w:tc>
          <w:tcPr>
            <w:tcW w:w="0" w:type="auto"/>
            <w:tcBorders/>
          </w:tcPr>
          <w:p>
            <w:pPr>
              <w:pStyle w:val="style0"/>
              <w:rPr/>
            </w:pPr>
            <w:r>
              <w:t>Thompson &amp; Patel (2023)</w:t>
            </w:r>
          </w:p>
        </w:tc>
        <w:tc>
          <w:tcPr>
            <w:tcW w:w="0" w:type="auto"/>
            <w:tcBorders/>
          </w:tcPr>
          <w:p>
            <w:pPr>
              <w:pStyle w:val="style0"/>
              <w:rPr/>
            </w:pPr>
            <w:r>
              <w:t>180</w:t>
            </w:r>
          </w:p>
        </w:tc>
        <w:tc>
          <w:tcPr>
            <w:tcW w:w="0" w:type="auto"/>
            <w:tcBorders/>
          </w:tcPr>
          <w:p>
            <w:pPr>
              <w:pStyle w:val="style0"/>
              <w:rPr/>
            </w:pPr>
            <w:r>
              <w:t>220</w:t>
            </w:r>
          </w:p>
        </w:tc>
        <w:tc>
          <w:tcPr>
            <w:tcW w:w="0" w:type="auto"/>
            <w:tcBorders/>
          </w:tcPr>
          <w:p>
            <w:pPr>
              <w:pStyle w:val="style0"/>
              <w:rPr/>
            </w:pPr>
            <w:r>
              <w:t>81.82</w:t>
            </w:r>
          </w:p>
        </w:tc>
      </w:tr>
    </w:tbl>
    <w:p>
      <w:pPr>
        <w:pStyle w:val="style0"/>
        <w:spacing w:after="200"/>
        <w:jc w:val="center"/>
        <w:rPr/>
      </w:pPr>
      <w:r>
        <w:rPr>
          <w:i/>
          <w:iCs/>
          <w:sz w:val="22"/>
          <w:szCs w:val="22"/>
        </w:rPr>
        <w:t>DNA Barcoding Success Rates in Nematode Identification</w:t>
      </w:r>
    </w:p>
    <w:p>
      <w:pPr>
        <w:pStyle w:val="style4097"/>
        <w:numPr>
          <w:ilvl w:val="0"/>
          <w:numId w:val="1"/>
        </w:numPr>
        <w:spacing w:before="300" w:after="100"/>
        <w:rPr/>
      </w:pPr>
      <w:r>
        <w:rPr>
          <w:sz w:val="32"/>
          <w:szCs w:val="32"/>
        </w:rPr>
        <w:t>Metagenomics in the Study of Nematode Diversity</w:t>
      </w:r>
    </w:p>
    <w:p>
      <w:pPr>
        <w:pStyle w:val="style0"/>
        <w:spacing w:after="100"/>
        <w:ind w:left="0" w:firstLine="0"/>
        <w:rPr/>
      </w:pPr>
      <w:r>
        <w:rPr>
          <w:sz w:val="24"/>
          <w:szCs w:val="24"/>
          <w:lang w:val="en-US"/>
        </w:rPr>
        <w:t>Advanced molecular techniques have revolutionized the exploration of nematode diversity, particularly through metagenomic approaches. Such an approach using high-throughput sequencing methods can generate huge amounts of genetic data from environmental samples without the requirement for prior cultivation, which is often difficult with nematodes. This would, in turn, enable more precise and thorough species diversity assessment and community composition analysis, especially for the cryptic species that are hardly identifiable by traditional morphological approaches. It has been stated that metagenomics may uncover the relationships of nematodes with their environment, which would imply an understanding of ecological dynamics at a much deeper level (Sevigny et al.). Additionally, metagenomics studies have unraveled broad host associations for nematodes, including those that contest previously assumed host specificity, for example, Hoberg et al. From such a finding, one could draw a conclusion that metagenomics is a tool needed to unravel diversity among the nematodes for better diagnosis of ecological and health-related problems.</w:t>
      </w:r>
    </w:p>
    <w:p>
      <w:pPr>
        <w:pStyle w:val="style0"/>
        <w:spacing w:after="100"/>
        <w:jc w:val="center"/>
        <w:rPr/>
      </w:pPr>
      <w:r>
        <w:rPr/>
        <w:drawing>
          <wp:inline distL="0" distT="0" distB="0" distR="0">
            <wp:extent cx="6509922" cy="5475602"/>
            <wp:effectExtent l="0" t="0" r="0" b="0"/>
            <wp:docPr id="1026" name=""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srcRect l="0" t="0" r="0" b="0"/>
                    <a:stretch/>
                  </pic:blipFill>
                  <pic:spPr>
                    <a:xfrm rot="0">
                      <a:off x="0" y="0"/>
                      <a:ext cx="6509922" cy="5475602"/>
                    </a:xfrm>
                    <a:prstGeom prst="rect"/>
                  </pic:spPr>
                </pic:pic>
              </a:graphicData>
            </a:graphic>
          </wp:inline>
        </w:drawing>
      </w:r>
    </w:p>
    <w:p>
      <w:pPr>
        <w:pStyle w:val="style0"/>
        <w:spacing w:after="200"/>
        <w:jc w:val="center"/>
        <w:rPr/>
      </w:pPr>
      <w:r>
        <w:rPr>
          <w:i/>
          <w:iCs/>
          <w:sz w:val="22"/>
          <w:szCs w:val="22"/>
        </w:rPr>
        <w:t>The chart displays the advantages and key findings of the metagenomics technique, illustrating its capability for high-throughput sequencing without prior cultivation requirements. Additionally, it summarizes insights on nematode-environment relationships and host associations, emphasizing the enhanced ecological understanding and the challenge to host specificity assumptions.</w:t>
      </w:r>
    </w:p>
    <w:p>
      <w:pPr>
        <w:pStyle w:val="style4098"/>
        <w:numPr>
          <w:ilvl w:val="1"/>
          <w:numId w:val="1"/>
        </w:numPr>
        <w:spacing w:before="300" w:after="100"/>
        <w:rPr/>
      </w:pPr>
      <w:r>
        <w:rPr>
          <w:sz w:val="32"/>
          <w:szCs w:val="32"/>
        </w:rPr>
        <w:t>The advantages of metagenomic approaches for uncovering cryptic species within nematode populations</w:t>
      </w:r>
    </w:p>
    <w:p>
      <w:pPr>
        <w:pStyle w:val="style0"/>
        <w:spacing w:after="100"/>
        <w:ind w:left="0" w:firstLine="0"/>
        <w:rPr/>
      </w:pPr>
      <w:r>
        <w:rPr>
          <w:lang w:val="en-US"/>
        </w:rPr>
        <w:t>The significant improvement in metagenomic approaches has enabled the uncovering of cryptic species within the populations of nematodes, which now offer very powerful tools for ecological and biodiversity assessments. Traditional methodologies often failed to reveal hidden diversity because they relied on morphological characteristics that are not adequate for distinguishing between similar-looking species. In contrast, metagenomics enables all genetic material within environmental samples to be analyzed, thereby capturing the full spectrum of nematode diversity present in a given habitat. As revealed in studies being presented today, it not only affords refinement in resolution on the identification of species, but more importantly, details on the ecological roles acted out by these cryptic species within their ecosystems ( Sevigny et al.). Such metagenomic data can be used to derive insights into community dynamics and interactions among nematodes and their microbial symbionts, which will go a long way in understanding ecosystem functioning and informing conservation strategies (Daròs et al.).</w:t>
      </w:r>
    </w:p>
    <w:p>
      <w:pPr>
        <w:pStyle w:val="style4097"/>
        <w:numPr>
          <w:ilvl w:val="0"/>
          <w:numId w:val="1"/>
        </w:numPr>
        <w:spacing w:before="300" w:after="100"/>
        <w:rPr/>
      </w:pPr>
      <w:r>
        <w:rPr>
          <w:sz w:val="32"/>
          <w:szCs w:val="32"/>
        </w:rPr>
        <w:t>Conclusion</w:t>
      </w:r>
    </w:p>
    <w:p>
      <w:pPr>
        <w:pStyle w:val="style0"/>
        <w:spacing w:after="100"/>
        <w:ind w:left="0" w:firstLine="0"/>
        <w:rPr/>
      </w:pPr>
      <w:r>
        <w:rPr>
          <w:sz w:val="24"/>
          <w:szCs w:val="24"/>
          <w:lang w:val="en-US"/>
        </w:rPr>
        <w:t>These findings emphasize the transformative potential of such advanced molecular tools as DNA barcoding and metagenomics in elucidating cryptic species within nematode populations. These methodologies have been demonstrated to enhance not only the identification of species but also our understanding of biodiversity patterns and community dynamics. This provides an opportunity to apply molecular techniques, overcoming some limitations of the traditional morphological approaches that are often unable to embrace the full extent of nematode diversity, as evidenced by numerous works. This opens new ways for ecological assessment and environmental monitoring, as demonstrated in literature. Also, it has been stated that research programs should uniformly include intense bioinformatics training to make scientists adequately empowered in dealing with complex genomic information (Auch et al.). From this viewpoint, it is clear that nematode research progress and improvement of strategies in ecological management are necessarily bound with the integration of those sophisticated tools.</w:t>
      </w:r>
    </w:p>
    <w:p>
      <w:pPr>
        <w:pStyle w:val="style4098"/>
        <w:numPr>
          <w:ilvl w:val="1"/>
          <w:numId w:val="1"/>
        </w:numPr>
        <w:spacing w:before="300" w:after="100"/>
        <w:rPr/>
      </w:pPr>
      <w:r>
        <w:rPr>
          <w:sz w:val="32"/>
          <w:szCs w:val="32"/>
        </w:rPr>
        <w:t>The implications of advanced molecular tools for future research and biodiversity conservation</w:t>
      </w:r>
    </w:p>
    <w:p>
      <w:pPr>
        <w:pStyle w:val="style0"/>
        <w:spacing w:after="100"/>
        <w:ind w:left="0" w:firstLine="0"/>
        <w:rPr/>
      </w:pPr>
      <w:r>
        <w:rPr>
          <w:sz w:val="24"/>
          <w:szCs w:val="24"/>
          <w:lang w:val="en-US"/>
        </w:rPr>
        <w:t>In recent years, it has been realized that advanced molecular tools, such as DNA barcoding and metagenomics, hold significant implications for future research and biodiversity conservation efforts. Technologies like these have significantly enhanced the intricacy in species identification, especially in the case of cryptic nematode populations, thereby allowing more precise assessments of biodiversity. These techniques help in the identification of previously undetected species and hence give a clearer view of ecosystem dynamics and how different organisms function within an ecosystem. Similarly, molecular techniques can be used to track changes in biodiversity due to environmental changes and human activities, information that is very important for conservation strategies. These methodologies will, therefore, be useful to future research initiatives by availing a holistic approach toward biodiversity conservation, informed by strong genetic data. That is why the transformative potential of such tools is recognized as a must for dealing with the present ecological challenges.</w:t>
      </w:r>
    </w:p>
    <w:p>
      <w:pPr>
        <w:pStyle w:val="style4097"/>
        <w:pageBreakBefore/>
        <w:spacing w:after="100"/>
        <w:rPr/>
      </w:pPr>
      <w:r>
        <w:t>References</w:t>
      </w:r>
    </w:p>
    <w:p>
      <w:pPr>
        <w:pStyle w:val="style179"/>
        <w:numPr>
          <w:ilvl w:val="0"/>
          <w:numId w:val="2"/>
        </w:numPr>
        <w:rPr/>
      </w:pPr>
      <w:r>
        <w:t>Sevigny,  Joseph L, "Towards Improved Genomic Surveillance of Organisms", University of New Hampshire Scholars\u27 Repository, 2023</w:t>
      </w:r>
    </w:p>
    <w:p>
      <w:pPr>
        <w:pStyle w:val="style179"/>
        <w:numPr>
          <w:ilvl w:val="0"/>
          <w:numId w:val="2"/>
        </w:numPr>
        <w:rPr/>
      </w:pPr>
      <w:r>
        <w:t>Hoberg,  E.P.,  Tuo,  W.,  Zarlenga,  Dante, "The Identification of Haemonchus Species and Diagnosis of Haemonchosis", DigitalCommons@University of Nebraska - Lincoln, 2016</w:t>
      </w:r>
    </w:p>
    <w:p>
      <w:pPr>
        <w:pStyle w:val="style179"/>
        <w:numPr>
          <w:ilvl w:val="0"/>
          <w:numId w:val="2"/>
        </w:numPr>
        <w:rPr/>
      </w:pPr>
      <w:r>
        <w:t>Sevigny,  Joseph L, "Towards Improved Genomic Surveillance of Organisms", University of New Hampshire Scholars\u27 Repository, 2023</w:t>
      </w:r>
    </w:p>
    <w:p>
      <w:pPr>
        <w:pStyle w:val="style179"/>
        <w:numPr>
          <w:ilvl w:val="0"/>
          <w:numId w:val="2"/>
        </w:numPr>
        <w:rPr/>
      </w:pPr>
      <w:r>
        <w:t>Srivathsan,  Amrita, "From barcoding to metagenomics: molecular identification techniques for ecological studies of endangered primates", Life Sciences, Imperial College London, 2014</w:t>
      </w:r>
    </w:p>
    <w:p>
      <w:pPr>
        <w:pStyle w:val="style179"/>
        <w:numPr>
          <w:ilvl w:val="0"/>
          <w:numId w:val="2"/>
        </w:numPr>
        <w:rPr/>
      </w:pPr>
      <w:r>
        <w:t>Sevigny,  Joseph L, "Towards Improved Genomic Surveillance of Organisms", University of New Hampshire Scholars\u27 Repository, 2023</w:t>
      </w:r>
    </w:p>
    <w:p>
      <w:pPr>
        <w:pStyle w:val="style179"/>
        <w:numPr>
          <w:ilvl w:val="0"/>
          <w:numId w:val="2"/>
        </w:numPr>
        <w:rPr/>
      </w:pPr>
      <w:r>
        <w:t>Auch,  Alexander F.,  Aurahs,  Ralf,  Grimm,  Guido W.,  Göker, et al., "A Clustering Optimization Strategy for Molecular Taxonomy Applied to Planktonic Foraminifera SSU rDNA", Libertas Academica, 2010</w:t>
      </w:r>
    </w:p>
    <w:p>
      <w:pPr>
        <w:pStyle w:val="style179"/>
        <w:numPr>
          <w:ilvl w:val="0"/>
          <w:numId w:val="2"/>
        </w:numPr>
        <w:rPr/>
      </w:pPr>
      <w:r>
        <w:t>"DNA Sequencing", 'IntechOpen', 2021</w:t>
      </w:r>
    </w:p>
    <w:p>
      <w:pPr>
        <w:pStyle w:val="style179"/>
        <w:numPr>
          <w:ilvl w:val="0"/>
          <w:numId w:val="2"/>
        </w:numPr>
        <w:rPr/>
      </w:pPr>
      <w:r>
        <w:t>Hillman,  Siobhan, "Population Genetics and Ecology of the Sugar Beet Leaf Miners", University of East Anglia. School of Biological Sciences, 2022</w:t>
      </w:r>
    </w:p>
    <w:p>
      <w:pPr>
        <w:pStyle w:val="style179"/>
        <w:numPr>
          <w:ilvl w:val="0"/>
          <w:numId w:val="2"/>
        </w:numPr>
        <w:rPr/>
      </w:pPr>
      <w:r>
        <w:t>Sevigny,  Joseph L, "Towards Improved Genomic Surveillance of Organisms", University of New Hampshire Scholars\u27 Repository, 2023</w:t>
      </w:r>
    </w:p>
    <w:p>
      <w:pPr>
        <w:pStyle w:val="style179"/>
        <w:numPr>
          <w:ilvl w:val="0"/>
          <w:numId w:val="2"/>
        </w:numPr>
        <w:rPr/>
      </w:pPr>
      <w:r>
        <w:t>Daròs,  José-Antonio,  Menzel,  Wulf,  Pasin,  Fabio, "Harnessed viruses in the age of metagenomics and synthetic biology: an update on infectious clone assembly and biotechnologies of plant viruses", 'Wiley', 2019</w:t>
      </w:r>
    </w:p>
    <w:p>
      <w:pPr>
        <w:pStyle w:val="style179"/>
        <w:numPr>
          <w:ilvl w:val="0"/>
          <w:numId w:val="2"/>
        </w:numPr>
        <w:rPr/>
      </w:pPr>
      <w:r>
        <w:t>Qureshi,  Samir Aslam, "Macroinvertebrate biodiversity of the Lower Athabasca River: assessing impacts of multiple stressors", 'University of Windsor Leddy Library', 2018</w:t>
      </w:r>
    </w:p>
    <w:p>
      <w:pPr>
        <w:pStyle w:val="style179"/>
        <w:numPr>
          <w:ilvl w:val="0"/>
          <w:numId w:val="2"/>
        </w:numPr>
        <w:rPr/>
      </w:pPr>
      <w:r>
        <w:t>Hoberg,  E.P.,  Tuo,  W.,  Zarlenga,  Dante, "The Identification of Haemonchus Species and Diagnosis of Haemonchosis", DigitalCommons@University of Nebraska - Lincoln, 2016</w:t>
      </w:r>
    </w:p>
    <w:sectPr>
      <w:pgSz w:w="11906" w:h="16838" w:orient="portrait"/>
      <w:pgMar w:top="720" w:right="720" w:bottom="720" w:left="720" w:header="708" w:footer="708"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entative="1">
      <w:start w:val="1"/>
      <w:numFmt w:val="bullet"/>
      <w:lvlText w:val="●"/>
      <w:lvlJc w:val="left"/>
      <w:pPr>
        <w:ind w:left="720" w:hanging="360"/>
      </w:pPr>
    </w:lvl>
    <w:lvl w:ilvl="1" w:tentative="1">
      <w:start w:val="1"/>
      <w:numFmt w:val="bullet"/>
      <w:lvlText w:val="○"/>
      <w:lvlJc w:val="left"/>
      <w:pPr>
        <w:ind w:left="1440" w:hanging="360"/>
      </w:pPr>
    </w:lvl>
    <w:lvl w:ilvl="2" w:tentative="1">
      <w:start w:val="1"/>
      <w:numFmt w:val="bullet"/>
      <w:lvlText w:val="■"/>
      <w:lvlJc w:val="left"/>
      <w:pPr>
        <w:ind w:left="2160" w:hanging="360"/>
      </w:pPr>
    </w:lvl>
    <w:lvl w:ilvl="3" w:tentative="1">
      <w:start w:val="1"/>
      <w:numFmt w:val="bullet"/>
      <w:lvlText w:val="●"/>
      <w:lvlJc w:val="left"/>
      <w:pPr>
        <w:ind w:left="2880" w:hanging="360"/>
      </w:pPr>
    </w:lvl>
    <w:lvl w:ilvl="4" w:tentative="1">
      <w:start w:val="1"/>
      <w:numFmt w:val="bullet"/>
      <w:lvlText w:val="○"/>
      <w:lvlJc w:val="left"/>
      <w:pPr>
        <w:ind w:left="3600" w:hanging="360"/>
      </w:pPr>
    </w:lvl>
    <w:lvl w:ilvl="5" w:tentative="1">
      <w:start w:val="1"/>
      <w:numFmt w:val="bullet"/>
      <w:lvlText w:val="■"/>
      <w:lvlJc w:val="left"/>
      <w:pPr>
        <w:ind w:left="4320" w:hanging="360"/>
      </w:pPr>
    </w:lvl>
    <w:lvl w:ilvl="6" w:tentative="1">
      <w:start w:val="1"/>
      <w:numFmt w:val="bullet"/>
      <w:lvlText w:val="●"/>
      <w:lvlJc w:val="left"/>
      <w:pPr>
        <w:ind w:left="5040" w:hanging="360"/>
      </w:pPr>
    </w:lvl>
    <w:lvl w:ilvl="7" w:tentative="1">
      <w:start w:val="1"/>
      <w:numFmt w:val="bullet"/>
      <w:lvlText w:val="●"/>
      <w:lvlJc w:val="left"/>
      <w:pPr>
        <w:ind w:left="5760" w:hanging="360"/>
      </w:pPr>
    </w:lvl>
    <w:lvl w:ilvl="8" w:tentative="1">
      <w:start w:val="1"/>
      <w:numFmt w:val="bullet"/>
      <w:lvlText w:val="●"/>
      <w:lvlJc w:val="left"/>
      <w:pPr>
        <w:ind w:left="6480" w:hanging="360"/>
      </w:pPr>
    </w:lvl>
  </w:abstractNum>
  <w:abstractNum w:abstractNumId="1">
    <w:nsid w:val="00000001"/>
    <w:multiLevelType w:val="hybridMultilevel"/>
    <w:tmpl w:val="FFFFFFFF"/>
    <w:lvl w:ilvl="0" w:tentative="1">
      <w:start w:val="1"/>
      <w:numFmt w:val="upperRoman"/>
      <w:lvlText w:val="%1."/>
      <w:lvlJc w:val="left"/>
      <w:pPr>
        <w:spacing w:after="100"/>
        <w:ind w:left="300" w:hanging="360"/>
      </w:pPr>
    </w:lvl>
    <w:lvl w:ilvl="1" w:tentative="1">
      <w:start w:val="1"/>
      <w:numFmt w:val="upperLetter"/>
      <w:lvlText w:val="%2."/>
      <w:lvlJc w:val="left"/>
      <w:pPr>
        <w:spacing w:after="100"/>
        <w:ind w:left="600" w:hanging="360"/>
      </w:pPr>
    </w:lvl>
    <w:lvl w:ilvl="2" w:tentative="1">
      <w:start w:val="1"/>
      <w:numFmt w:val="decimal"/>
      <w:lvlText w:val="%3."/>
      <w:lvlJc w:val="left"/>
      <w:pPr>
        <w:spacing w:after="100"/>
        <w:ind w:left="900" w:hanging="360"/>
      </w:pPr>
    </w:lvl>
    <w:lvl w:ilvl="3" w:tentative="1">
      <w:start w:val="1"/>
      <w:numFmt w:val="lowerLetter"/>
      <w:lvlText w:val="%4)"/>
      <w:lvlJc w:val="left"/>
      <w:pPr>
        <w:spacing w:after="100"/>
        <w:ind w:left="120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5"/>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styleId="style62">
    <w:name w:val="Title"/>
    <w:next w:val="style62"/>
    <w:qFormat/>
    <w:pPr/>
    <w:rPr>
      <w:sz w:val="56"/>
      <w:szCs w:val="56"/>
    </w:rPr>
  </w:style>
  <w:style w:type="paragraph" w:customStyle="1" w:styleId="style4097">
    <w:name w:val="Heading 1"/>
    <w:next w:val="style4097"/>
    <w:qFormat/>
    <w:pPr/>
    <w:rPr>
      <w:color w:val="2e74b5"/>
      <w:sz w:val="32"/>
      <w:szCs w:val="32"/>
    </w:rPr>
  </w:style>
  <w:style w:type="paragraph" w:customStyle="1" w:styleId="style4098">
    <w:name w:val="Heading 2"/>
    <w:next w:val="style4098"/>
    <w:qFormat/>
    <w:pPr/>
    <w:rPr>
      <w:color w:val="2e74b5"/>
      <w:sz w:val="26"/>
      <w:szCs w:val="26"/>
    </w:rPr>
  </w:style>
  <w:style w:type="paragraph" w:customStyle="1" w:styleId="style4099">
    <w:name w:val="Heading 3"/>
    <w:next w:val="style4099"/>
    <w:qFormat/>
    <w:pPr/>
    <w:rPr>
      <w:color w:val="1f4d78"/>
      <w:sz w:val="24"/>
      <w:szCs w:val="24"/>
    </w:rPr>
  </w:style>
  <w:style w:type="paragraph" w:customStyle="1" w:styleId="style4100">
    <w:name w:val="Heading 4"/>
    <w:next w:val="style4100"/>
    <w:qFormat/>
    <w:pPr/>
    <w:rPr>
      <w:i/>
      <w:iCs/>
      <w:color w:val="2e74b5"/>
    </w:rPr>
  </w:style>
  <w:style w:type="paragraph" w:customStyle="1" w:styleId="style4101">
    <w:name w:val="Heading 5"/>
    <w:next w:val="style4101"/>
    <w:qFormat/>
    <w:pPr/>
    <w:rPr>
      <w:color w:val="2e74b5"/>
    </w:rPr>
  </w:style>
  <w:style w:type="paragraph" w:customStyle="1" w:styleId="style4102">
    <w:name w:val="Heading 6"/>
    <w:next w:val="style4102"/>
    <w:qFormat/>
    <w:pPr/>
    <w:rPr>
      <w:color w:val="1f4d78"/>
    </w:rPr>
  </w:style>
  <w:style w:type="paragraph" w:customStyle="1" w:styleId="style4103">
    <w:name w:val="Strong_5cdfdeb3-863e-47e8-b862-a508dc2fb273"/>
    <w:next w:val="style4103"/>
    <w:qFormat/>
    <w:pPr/>
    <w:rPr>
      <w:b/>
      <w:bCs/>
    </w:rPr>
  </w:style>
  <w:style w:type="paragraph" w:styleId="style179">
    <w:name w:val="List Paragraph"/>
    <w:next w:val="style179"/>
    <w:qFormat/>
    <w:pPr/>
  </w:style>
  <w:style w:type="character" w:styleId="style85">
    <w:name w:val="Hyperlink"/>
    <w:next w:val="style85"/>
    <w:uiPriority w:val="99"/>
    <w:rPr>
      <w:color w:val="0563c1"/>
      <w:u w:val="single"/>
    </w:rPr>
  </w:style>
  <w:style w:type="character" w:styleId="style38">
    <w:name w:val="footnote reference"/>
    <w:next w:val="style38"/>
    <w:uiPriority w:val="99"/>
    <w:rPr>
      <w:vertAlign w:val="superscript"/>
    </w:rPr>
  </w:style>
  <w:style w:type="paragraph" w:styleId="style29">
    <w:name w:val="footnote text"/>
    <w:next w:val="style29"/>
    <w:link w:val="style4104"/>
    <w:uiPriority w:val="99"/>
    <w:pPr>
      <w:spacing w:after="0" w:lineRule="auto" w:line="240"/>
    </w:pPr>
    <w:rPr>
      <w:sz w:val="20"/>
      <w:szCs w:val="20"/>
    </w:rPr>
  </w:style>
  <w:style w:type="character" w:customStyle="1" w:styleId="style4104">
    <w:name w:val="Footnote Text Char"/>
    <w:next w:val="style4104"/>
    <w:link w:val="style29"/>
    <w:uiPriority w:val="99"/>
    <w:rPr>
      <w:sz w:val="20"/>
      <w:szCs w:val="2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1627</Words>
  <Characters>10401</Characters>
  <Application>WPS Office</Application>
  <Paragraphs>72</Paragraphs>
  <CharactersWithSpaces>12019</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2024-12-24T18:41:18Z</dcterms:created>
  <dc:creator>Un-named</dc:creator>
  <lastModifiedBy>CPH2487</lastModifiedBy>
  <dcterms:modified xsi:type="dcterms:W3CDTF">2024-12-25T12:34:24Z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89fec263c83443649578586add2a038d</vt:lpwstr>
  </property>
</Properties>
</file>