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spacing w:line="360" w:lineRule="auto"/>
        <w:ind w:left="860" w:right="865" w:firstLine="0"/>
        <w:jc w:val="center"/>
        <w:rPr>
          <w:sz w:val="24"/>
          <w:szCs w:val="24"/>
        </w:rPr>
      </w:pPr>
      <w:r w:rsidDel="00000000" w:rsidR="00000000" w:rsidRPr="00000000">
        <w:rPr>
          <w:sz w:val="24"/>
          <w:szCs w:val="24"/>
          <w:rtl w:val="0"/>
        </w:rPr>
        <w:t xml:space="preserve">TRANSFORMATIVE APPROACHES TO DIVERSITY,EQUITY AND INCLUSION: A COMPREHENSIVE STUDY OF GOOGLE LLC's INITIATIVES AND IMPACT.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02" w:right="3306" w:firstLine="0"/>
        <w:jc w:val="center"/>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02" w:right="3306"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 Dr.B. Keerthana</w:t>
      </w:r>
    </w:p>
    <w:p w:rsidR="00000000" w:rsidDel="00000000" w:rsidP="00000000" w:rsidRDefault="00000000" w:rsidRPr="00000000" w14:paraId="00000004">
      <w:pPr>
        <w:spacing w:after="240" w:before="240" w:line="360" w:lineRule="auto"/>
        <w:jc w:val="center"/>
        <w:rPr>
          <w:sz w:val="24"/>
          <w:szCs w:val="24"/>
        </w:rPr>
      </w:pPr>
      <w:r w:rsidDel="00000000" w:rsidR="00000000" w:rsidRPr="00000000">
        <w:rPr>
          <w:sz w:val="24"/>
          <w:szCs w:val="24"/>
          <w:rtl w:val="0"/>
        </w:rPr>
        <w:t xml:space="preserve">Assistant Professor, Sri Sairam Institute of Management Studies</w:t>
      </w:r>
    </w:p>
    <w:p w:rsidR="00000000" w:rsidDel="00000000" w:rsidP="00000000" w:rsidRDefault="00000000" w:rsidRPr="00000000" w14:paraId="00000005">
      <w:pPr>
        <w:spacing w:after="240" w:before="24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6">
      <w:pPr>
        <w:spacing w:after="240" w:before="240" w:line="360" w:lineRule="auto"/>
        <w:jc w:val="center"/>
        <w:rPr>
          <w:sz w:val="24"/>
          <w:szCs w:val="24"/>
        </w:rPr>
      </w:pPr>
      <w:r w:rsidDel="00000000" w:rsidR="00000000" w:rsidRPr="00000000">
        <w:rPr>
          <w:sz w:val="24"/>
          <w:szCs w:val="24"/>
          <w:rtl w:val="0"/>
        </w:rPr>
        <w:t xml:space="preserve">keerthana.mba@sairam.edu.in</w:t>
      </w:r>
    </w:p>
    <w:p w:rsidR="00000000" w:rsidDel="00000000" w:rsidP="00000000" w:rsidRDefault="00000000" w:rsidRPr="00000000" w14:paraId="00000007">
      <w:pPr>
        <w:spacing w:line="360" w:lineRule="auto"/>
        <w:ind w:left="3302" w:right="3306" w:firstLine="0"/>
        <w:jc w:val="center"/>
        <w:rPr>
          <w:b w:val="1"/>
          <w:sz w:val="24"/>
          <w:szCs w:val="24"/>
        </w:rPr>
      </w:pPr>
      <w:r w:rsidDel="00000000" w:rsidR="00000000" w:rsidRPr="00000000">
        <w:rPr>
          <w:b w:val="1"/>
          <w:sz w:val="24"/>
          <w:szCs w:val="24"/>
          <w:rtl w:val="0"/>
        </w:rPr>
        <w:t xml:space="preserve">Madhumita S</w:t>
      </w:r>
    </w:p>
    <w:p w:rsidR="00000000" w:rsidDel="00000000" w:rsidP="00000000" w:rsidRDefault="00000000" w:rsidRPr="00000000" w14:paraId="00000008">
      <w:pPr>
        <w:spacing w:after="240" w:before="240" w:line="360" w:lineRule="auto"/>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9">
      <w:pPr>
        <w:spacing w:after="240" w:before="24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A">
      <w:pPr>
        <w:spacing w:line="360" w:lineRule="auto"/>
        <w:ind w:left="3302" w:right="3306" w:firstLine="0"/>
        <w:jc w:val="center"/>
        <w:rPr>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3302" w:right="3306" w:firstLine="0"/>
        <w:jc w:val="center"/>
        <w:rPr>
          <w:sz w:val="24"/>
          <w:szCs w:val="24"/>
        </w:rPr>
      </w:pPr>
      <w:r w:rsidDel="00000000" w:rsidR="00000000" w:rsidRPr="00000000">
        <w:rPr>
          <w:rtl w:val="0"/>
        </w:rPr>
      </w:r>
    </w:p>
    <w:p w:rsidR="00000000" w:rsidDel="00000000" w:rsidP="00000000" w:rsidRDefault="00000000" w:rsidRPr="00000000" w14:paraId="0000000C">
      <w:pPr>
        <w:pStyle w:val="Heading1"/>
        <w:spacing w:before="4" w:line="360" w:lineRule="auto"/>
        <w:ind w:firstLine="140"/>
        <w:rPr>
          <w:sz w:val="24"/>
          <w:szCs w:val="24"/>
        </w:rPr>
      </w:pPr>
      <w:r w:rsidDel="00000000" w:rsidR="00000000" w:rsidRPr="00000000">
        <w:rPr>
          <w:sz w:val="24"/>
          <w:szCs w:val="24"/>
          <w:rtl w:val="0"/>
        </w:rPr>
        <w:t xml:space="preserve">ABSTRACT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360" w:lineRule="auto"/>
        <w:ind w:left="140" w:right="13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Google LLC, a global leader in technology, has emerged as a pioneer in advancing Diversity, Equity, and Inclusion (DEI) within the corporate landscape. Under the leadership of Chief Diversity Officer Melonie Parker, the company has implemented transformative initiatives to address systemic inequities, foster inclusive leadership, and promote a culture of belonging. Key efforts include significant investments in Historically Black Colleges and Universities (HBCUs), the creation of a DEI Advisory Council to ensure accountability, and transparent reporting of workforce representation data. Despite notable achievements, including increased representation in leadership roles and targeted recruitment efforts, challenges such as elevated attrition rates among underrepresented groups persist. This paper provides a comprehensive analysis of Google’s DEI strategies, emphasizing the importance of sustainable retention initiatives, leadership accountability, and data-driven practices. The findings offer insights into how large organizations can align DEI efforts with business objectives, fostering innovation, employee engagement, and long-term societal impact.</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8"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Keywords</w:t>
      </w:r>
      <w:r w:rsidDel="00000000" w:rsidR="00000000" w:rsidRPr="00000000">
        <w:rPr>
          <w:i w:val="0"/>
          <w:smallCaps w:val="0"/>
          <w:strike w:val="0"/>
          <w:color w:val="000000"/>
          <w:sz w:val="24"/>
          <w:szCs w:val="24"/>
          <w:u w:val="none"/>
          <w:shd w:fill="auto" w:val="clear"/>
          <w:vertAlign w:val="baseline"/>
          <w:rtl w:val="0"/>
        </w:rPr>
        <w:t xml:space="preserve">: DEI Matrix, Workforce representation, Inclusive leadership, Racial equity, Employee retention, Organizational accountability.</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pStyle w:val="Heading1"/>
        <w:spacing w:before="1" w:line="360" w:lineRule="auto"/>
        <w:ind w:firstLine="140"/>
        <w:rPr>
          <w:sz w:val="24"/>
          <w:szCs w:val="24"/>
        </w:rPr>
      </w:pPr>
      <w:r w:rsidDel="00000000" w:rsidR="00000000" w:rsidRPr="00000000">
        <w:rPr>
          <w:rtl w:val="0"/>
        </w:rPr>
      </w:r>
    </w:p>
    <w:p w:rsidR="00000000" w:rsidDel="00000000" w:rsidP="00000000" w:rsidRDefault="00000000" w:rsidRPr="00000000" w14:paraId="00000012">
      <w:pPr>
        <w:pStyle w:val="Heading1"/>
        <w:spacing w:before="1" w:line="360" w:lineRule="auto"/>
        <w:ind w:firstLine="140"/>
        <w:rPr>
          <w:sz w:val="24"/>
          <w:szCs w:val="24"/>
        </w:rPr>
      </w:pPr>
      <w:r w:rsidDel="00000000" w:rsidR="00000000" w:rsidRPr="00000000">
        <w:rPr>
          <w:rtl w:val="0"/>
        </w:rPr>
      </w:r>
    </w:p>
    <w:p w:rsidR="00000000" w:rsidDel="00000000" w:rsidP="00000000" w:rsidRDefault="00000000" w:rsidRPr="00000000" w14:paraId="00000013">
      <w:pPr>
        <w:pStyle w:val="Heading1"/>
        <w:spacing w:before="1" w:line="360" w:lineRule="auto"/>
        <w:ind w:firstLine="140"/>
        <w:rPr>
          <w:sz w:val="24"/>
          <w:szCs w:val="24"/>
        </w:rPr>
      </w:pPr>
      <w:r w:rsidDel="00000000" w:rsidR="00000000" w:rsidRPr="00000000">
        <w:rPr>
          <w:rtl w:val="0"/>
        </w:rPr>
      </w:r>
    </w:p>
    <w:p w:rsidR="00000000" w:rsidDel="00000000" w:rsidP="00000000" w:rsidRDefault="00000000" w:rsidRPr="00000000" w14:paraId="00000014">
      <w:pPr>
        <w:pStyle w:val="Heading1"/>
        <w:spacing w:before="1" w:line="360" w:lineRule="auto"/>
        <w:ind w:firstLine="140"/>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360" w:lineRule="auto"/>
        <w:ind w:left="140" w:right="140"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Google LLC is a leading American multinational technology corporation known for its wide- ranging focus on online advertising, search engine technology, cloud computing, software development, quantum computing, e-commerce, consumer electronics, and artificial intelligence (AI). Frequently regarded as one of the most influential companies globally, Google’s dominance in the market, extensive data collection capabilities, and cutting-edge advancements in AI have solidified its reputation as one of the most valuable brands. Its parent company, Alphabet Inc., is counted among the "Big Tech" giants, which include Amazon, Apple, Meta, and Microsoft.</w:t>
      </w: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 w:line="360" w:lineRule="auto"/>
        <w:ind w:left="14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Google’s Chief Diversity Officer, Melonie Parker, is leading a transformative approach to diversity, equity, and inclusion (DEI) that is deeply personal and mission-driven. Having grown up in the segregated South, Parker understands firsthand the challenges of being underrepresented and feels a profound responsibility to create a more inclusive environment at Google. Since joining Google in 2017 and taking charge of DEI in 2019, Parker has made it her priority to address systemic inequities within both Google and the wider tech industry. Google has become a trailblazer in DEI by being the first major tech company to publish workforce representation data, highlighting transparency as key to its efforts. Under Parker’s guidance, Google has invested $50 million in 10 Historically Black Colleges and Universities (HBCUs) to support the development of diverse talent in STEM fields.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Parker’s vision goes beyond addressing disparities on paper; she aims to create a culture where all employees feel a strong sense of belonging. The launch of Google’s DEI Advisory Council represents a major step toward this goal, as it brings together thought leaders and advocates to hold the company accountable and ensure meaningful, lasting change. Through these initiatives, Parker is positioning Google not only as a leader in innovation but also as a model for diversity and inclusion in the tech industry.</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4"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In Google’s 2023 Diversity Annual Report, the tech giant outlined its continued focus on strengthening its culture of respect, inclusion, and equity for all employees. Over the past year, the company has doubled down on its most impactful DEI efforts, informed by data and collaborations with partners both inside and outside the organization. This holistic approach has not only transformed internal operations but has also had a broader societal impact, promoting economic opportunities for underrepresented communities and making Google's products more accessible to a diverse range of users. The report also highlights the global challenges that tested the company’s resilience, including social and economic inequities and the ongoing effects of the COVID-19 pandemic, which disproportionately affected marginalized communities. Google's response was not merely reactive but proactive, reinforcing its Racial Equity Commitments and expanding initiatives aimed at fostering belonging across the company.</w:t>
      </w: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included holding leadership accountable for creating inclusive workspaces, evolving product designs to serve a wider demographic, and making significant investments in communities through educational and economic empowerment programs.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research paper will examine the specific actions Google has taken to advance DEI, explore the outcomes of these efforts, and provide insights into how systemic change can lead to a more inclusive corporate environment. Through this analysis, the paper aims to contribute to a deeper understanding of how belonging can be cultivated in large, complex organizations, ultimately enhancing performance, innovation, and social impact. Google’s recruitment strategies are designed to build a diverse, inclusive, and highly skilled workforce that aligns with its mission to innovate and push technological boundaries. The process begins with a focus on self-reflection for candidates, encouraging them to consider their passions, strengths, and career goals. This introspective approach ensures that candidates apply for roles that not only match their skills but also resonate with their long-term aspirations. Google places emphasis on creating a representative workplace by recruiting individuals from various backgrounds, with the belief that diversity of experience and perspective drives innovation.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7"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recruitment process itself includes several rigorous stages, such as online assessments, technical interviews, and behavioral evaluations, all aimed at assessing technical expertise, problem-solving capabilities, and cultural fit—often referred to as "Googleyness." By integrating a combination of coding challenges, system design evaluations, and behavioral assessments, Google ensures that it hires not just skilled employees but individuals who align with its core values and vision for innovation.</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Targeted Approach to Equity at GoogleAtGoogle, we are steadfast in our commitment to building a diverse and inclusive workforce that reflects the communities we serve. Our targeted approach to equity is informed by data-driven analysis and a deep understanding of the barriers faced by underrepresented groups, including Black+, Latinx+, and Native American+ Googlers. We recognize that diversity drives innovation and enhances our organizational culture.</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0"/>
        <w:jc w:val="both"/>
        <w:rPr>
          <w:b w:val="1"/>
          <w:sz w:val="24"/>
          <w:szCs w:val="24"/>
        </w:rPr>
      </w:pPr>
      <w:r w:rsidDel="00000000" w:rsidR="00000000" w:rsidRPr="00000000">
        <w:rPr>
          <w:b w:val="1"/>
          <w:sz w:val="24"/>
          <w:szCs w:val="24"/>
          <w:rtl w:val="0"/>
        </w:rPr>
        <w:t xml:space="preserve">REVIEW OF LITERATURE</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5"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Dasgupta and Greenwald (2001) - </w:t>
      </w:r>
      <w:r w:rsidDel="00000000" w:rsidR="00000000" w:rsidRPr="00000000">
        <w:rPr>
          <w:i w:val="0"/>
          <w:smallCaps w:val="0"/>
          <w:strike w:val="0"/>
          <w:color w:val="000000"/>
          <w:sz w:val="24"/>
          <w:szCs w:val="24"/>
          <w:u w:val="none"/>
          <w:shd w:fill="auto" w:val="clear"/>
          <w:vertAlign w:val="baseline"/>
          <w:rtl w:val="0"/>
        </w:rPr>
        <w:t xml:space="preserve">"On the Malleability of Automatic Attitudes: Combating Automatic Prejudice with Images of Admired and Disliked Individuals" This research investigates how exposure to counter-stereotypical examples can reduce implicit biases. The study finds that by frequently exposing individuals to admired figures from stereotyped groups, implicit prejudices can be weakened, suggesting a cognitive approach to mitigating bias.</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8"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Kalev et.al., (2006) </w:t>
      </w:r>
      <w:r w:rsidDel="00000000" w:rsidR="00000000" w:rsidRPr="00000000">
        <w:rPr>
          <w:i w:val="0"/>
          <w:smallCaps w:val="0"/>
          <w:strike w:val="0"/>
          <w:color w:val="000000"/>
          <w:sz w:val="24"/>
          <w:szCs w:val="24"/>
          <w:u w:val="none"/>
          <w:shd w:fill="auto" w:val="clear"/>
          <w:vertAlign w:val="baseline"/>
          <w:rtl w:val="0"/>
        </w:rPr>
        <w:t xml:space="preserve">Best Practices or Best Guesses? Assessing the Efficacy of Corporate Affirmative Action and Diversity Policies. This seminal study investigates the effectiveness of various diversity initiatives across organizations. The authors argue that while many companies adopt diversity policies, only a subset implements targeted recruitment strategies that yield measurable improvements in workplace diversity. The research indicates that when organizations actively engage in outreach to underrepresented groups, they significantly increase the representation of those groups in their workforce.</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Kawakami et.al., (2007) </w:t>
      </w:r>
      <w:r w:rsidDel="00000000" w:rsidR="00000000" w:rsidRPr="00000000">
        <w:rPr>
          <w:i w:val="0"/>
          <w:smallCaps w:val="0"/>
          <w:strike w:val="0"/>
          <w:color w:val="000000"/>
          <w:sz w:val="24"/>
          <w:szCs w:val="24"/>
          <w:u w:val="none"/>
          <w:shd w:fill="auto" w:val="clear"/>
          <w:vertAlign w:val="baseline"/>
          <w:rtl w:val="0"/>
        </w:rPr>
        <w:t xml:space="preserve">"The Impact of Counter stereotypic Training and Related Training on the Representation of Outgroups" This study demonstrates how counter-stereotypical training, which associates outgroups with positive traits, can reduce implicit biases over time. The authors highlight that repeated exposure to positive associations of stereotyped groups leads to a sustained reduction in implicit biases, showcasing a long-term mitigation strategy.</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7"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Carmeli et.al., (2010) </w:t>
      </w:r>
      <w:r w:rsidDel="00000000" w:rsidR="00000000" w:rsidRPr="00000000">
        <w:rPr>
          <w:i w:val="0"/>
          <w:smallCaps w:val="0"/>
          <w:strike w:val="0"/>
          <w:color w:val="000000"/>
          <w:sz w:val="24"/>
          <w:szCs w:val="24"/>
          <w:u w:val="none"/>
          <w:shd w:fill="auto" w:val="clear"/>
          <w:vertAlign w:val="baseline"/>
          <w:rtl w:val="0"/>
        </w:rPr>
        <w:t xml:space="preserve">"Inclusive Leadership and Employee Involvement in Creative Tasks in the Workplace" The authors explore how inclusive leadership promotes employee involvement in creative tasks. The study shows that when leaders actively involve and listen to all employees, teams are more likely to engage in creative problem-solving. This inclusivity creates a sense of belonging and promotes innovation in the workplace.</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3" w:firstLine="0"/>
        <w:jc w:val="both"/>
        <w:rPr>
          <w:sz w:val="24"/>
          <w:szCs w:val="24"/>
        </w:rPr>
      </w:pPr>
      <w:r w:rsidDel="00000000" w:rsidR="00000000" w:rsidRPr="00000000">
        <w:rPr>
          <w:b w:val="1"/>
          <w:i w:val="0"/>
          <w:smallCaps w:val="0"/>
          <w:strike w:val="0"/>
          <w:color w:val="000000"/>
          <w:sz w:val="24"/>
          <w:szCs w:val="24"/>
          <w:u w:val="none"/>
          <w:shd w:fill="auto" w:val="clear"/>
          <w:vertAlign w:val="baseline"/>
          <w:rtl w:val="0"/>
        </w:rPr>
        <w:t xml:space="preserve">Farris et al. (2010) - </w:t>
      </w:r>
      <w:r w:rsidDel="00000000" w:rsidR="00000000" w:rsidRPr="00000000">
        <w:rPr>
          <w:i w:val="0"/>
          <w:smallCaps w:val="0"/>
          <w:strike w:val="0"/>
          <w:color w:val="000000"/>
          <w:sz w:val="24"/>
          <w:szCs w:val="24"/>
          <w:u w:val="none"/>
          <w:shd w:fill="auto" w:val="clear"/>
          <w:vertAlign w:val="baseline"/>
          <w:rtl w:val="0"/>
        </w:rPr>
        <w:t xml:space="preserve">"Marketing Metrics: The Definitive Guide to Measuring Marketing Performance "This work focuses on marketing-related product metrics, emphasizing the importance of customer acquisition, retention, and product performance in marketing campaigns.</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Farris et al. highlight how product metrics such as brand awareness, customer satisfaction, and net promoter score (NPS) serve as key indicators of product success and market acceptance.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6"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Mor Barak, M. E. (2011): </w:t>
      </w:r>
      <w:r w:rsidDel="00000000" w:rsidR="00000000" w:rsidRPr="00000000">
        <w:rPr>
          <w:i w:val="0"/>
          <w:smallCaps w:val="0"/>
          <w:strike w:val="0"/>
          <w:color w:val="000000"/>
          <w:sz w:val="24"/>
          <w:szCs w:val="24"/>
          <w:u w:val="none"/>
          <w:shd w:fill="auto" w:val="clear"/>
          <w:vertAlign w:val="baseline"/>
          <w:rtl w:val="0"/>
        </w:rPr>
        <w:t xml:space="preserve">Inclusion is the Key to Diversity Management: The Role of Diversity in Creating an Inclusive Workplace. This work highlights that diverse recruitment practices must be complemented by efforts to ensure that all employees feel valued and integrated into the workplace culture. The author suggests that organizations should focus on inclusive recruitment strategies, such as outreach programs and community engagement, to attract diverse talent.</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5"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Porter and Kramer (2011) - </w:t>
      </w:r>
      <w:r w:rsidDel="00000000" w:rsidR="00000000" w:rsidRPr="00000000">
        <w:rPr>
          <w:i w:val="0"/>
          <w:smallCaps w:val="0"/>
          <w:strike w:val="0"/>
          <w:color w:val="000000"/>
          <w:sz w:val="24"/>
          <w:szCs w:val="24"/>
          <w:u w:val="none"/>
          <w:shd w:fill="auto" w:val="clear"/>
          <w:vertAlign w:val="baseline"/>
          <w:rtl w:val="0"/>
        </w:rPr>
        <w:t xml:space="preserve">"Creating Shared Value: How to Reinvent Capitalism—and Unleash a Wave of Innovation and Growth" Porter and Kramer propose the idea of "shared value," where businesses create economic value by addressing societal challenges.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1"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They argue that companies should focus on creating products and services that not only generate profit but also improve social conditions. This framework links societal impact with corporate competitiveness, suggesting that addressing social needs can lead to new opportunities for growth and innovation.</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1"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Nishii (2013) </w:t>
      </w:r>
      <w:r w:rsidDel="00000000" w:rsidR="00000000" w:rsidRPr="00000000">
        <w:rPr>
          <w:i w:val="0"/>
          <w:smallCaps w:val="0"/>
          <w:strike w:val="0"/>
          <w:color w:val="000000"/>
          <w:sz w:val="24"/>
          <w:szCs w:val="24"/>
          <w:u w:val="none"/>
          <w:shd w:fill="auto" w:val="clear"/>
          <w:vertAlign w:val="baseline"/>
          <w:rtl w:val="0"/>
        </w:rPr>
        <w:t xml:space="preserve">- "The Benefits of Climate for Inclusion for Gender-Diverse Groups" This study highlights how inclusive leadership fosters a climate of inclusion, where gender-diverse teams feel valued and safe to collaborate. Nishii demonstrates that inclusiveness in leadership enhances psychological safety, which in turn improves team performance by encouraging diverse employees to contribute their perspectives.</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2"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Choi et.al., (2017) - </w:t>
      </w:r>
      <w:r w:rsidDel="00000000" w:rsidR="00000000" w:rsidRPr="00000000">
        <w:rPr>
          <w:i w:val="0"/>
          <w:smallCaps w:val="0"/>
          <w:strike w:val="0"/>
          <w:color w:val="000000"/>
          <w:sz w:val="24"/>
          <w:szCs w:val="24"/>
          <w:u w:val="none"/>
          <w:shd w:fill="auto" w:val="clear"/>
          <w:vertAlign w:val="baseline"/>
          <w:rtl w:val="0"/>
        </w:rPr>
        <w:t xml:space="preserve">"Inclusive Leadership and Work Engagement: Mediating Roles of Affective Organizational Commitment and Creativity" This paper examines the mediating role of organizational commitment and creativity in the relationship between inclusive leadership and employee engagement.</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5" w:firstLine="0"/>
        <w:jc w:val="both"/>
        <w:rPr>
          <w:i w:val="0"/>
          <w:smallCaps w:val="0"/>
          <w:strike w:val="0"/>
          <w:color w:val="000000"/>
          <w:sz w:val="24"/>
          <w:szCs w:val="24"/>
          <w:u w:val="none"/>
          <w:shd w:fill="auto" w:val="clear"/>
          <w:vertAlign w:val="baseline"/>
        </w:rPr>
        <w:sectPr>
          <w:pgSz w:h="15840" w:w="12240" w:orient="portrait"/>
          <w:pgMar w:bottom="280" w:top="1380" w:left="1300" w:right="1300" w:header="360" w:footer="360"/>
          <w:pgNumType w:start="1"/>
        </w:sectPr>
      </w:pPr>
      <w:r w:rsidDel="00000000" w:rsidR="00000000" w:rsidRPr="00000000">
        <w:rPr>
          <w:b w:val="1"/>
          <w:i w:val="0"/>
          <w:smallCaps w:val="0"/>
          <w:strike w:val="0"/>
          <w:color w:val="000000"/>
          <w:sz w:val="24"/>
          <w:szCs w:val="24"/>
          <w:u w:val="none"/>
          <w:shd w:fill="auto" w:val="clear"/>
          <w:vertAlign w:val="baseline"/>
          <w:rtl w:val="0"/>
        </w:rPr>
        <w:t xml:space="preserve">Kramer, A. and Kromm, K. (2020) </w:t>
      </w:r>
      <w:r w:rsidDel="00000000" w:rsidR="00000000" w:rsidRPr="00000000">
        <w:rPr>
          <w:i w:val="0"/>
          <w:smallCaps w:val="0"/>
          <w:strike w:val="0"/>
          <w:color w:val="000000"/>
          <w:sz w:val="24"/>
          <w:szCs w:val="24"/>
          <w:u w:val="none"/>
          <w:shd w:fill="auto" w:val="clear"/>
          <w:vertAlign w:val="baseline"/>
          <w:rtl w:val="0"/>
        </w:rPr>
        <w:t xml:space="preserve">Recruiting for Diversity: A Meta-Analysis of the Effectiveness of Diverse Recruiting Strategies. This meta-analysis synthesizes findings from various studies on the effectiveness of diverse recruiting strategies.</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 w:line="360" w:lineRule="auto"/>
        <w:ind w:left="14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authors identify specific tactics that significantly improve diversity outcomes, such as partnerships with minority-focused organizations and the use of inclusive job descriptions. Their research highlights that a multifaceted approach to recruitment is crucial for achieving meaningful diversity within organizations.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0"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Kang et.al., (2012) </w:t>
      </w:r>
      <w:r w:rsidDel="00000000" w:rsidR="00000000" w:rsidRPr="00000000">
        <w:rPr>
          <w:i w:val="0"/>
          <w:smallCaps w:val="0"/>
          <w:strike w:val="0"/>
          <w:color w:val="000000"/>
          <w:sz w:val="24"/>
          <w:szCs w:val="24"/>
          <w:u w:val="none"/>
          <w:shd w:fill="auto" w:val="clear"/>
          <w:vertAlign w:val="baseline"/>
          <w:rtl w:val="0"/>
        </w:rPr>
        <w:t xml:space="preserve">"Implicit Bias and the Pushback from the Left" This paper explores resistance to bias training programs, particularly from individuals who believe they are already unbiased. It discusses how addressing this psychological pushback is key to making bias reduction programs more effective. The authors suggest that tailored approaches can overcome this resistance.</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pStyle w:val="Heading1"/>
        <w:spacing w:before="193" w:line="360" w:lineRule="auto"/>
        <w:ind w:firstLine="140"/>
        <w:jc w:val="both"/>
        <w:rPr>
          <w:sz w:val="24"/>
          <w:szCs w:val="24"/>
        </w:rPr>
      </w:pPr>
      <w:r w:rsidDel="00000000" w:rsidR="00000000" w:rsidRPr="00000000">
        <w:rPr>
          <w:sz w:val="24"/>
          <w:szCs w:val="24"/>
          <w:rtl w:val="0"/>
        </w:rPr>
        <w:t xml:space="preserve">RESEARCH METHODOLOGY</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2"/>
        <w:numPr>
          <w:ilvl w:val="0"/>
          <w:numId w:val="7"/>
        </w:numPr>
        <w:tabs>
          <w:tab w:val="left" w:leader="none" w:pos="385"/>
        </w:tabs>
        <w:spacing w:after="0" w:before="230" w:line="360" w:lineRule="auto"/>
        <w:ind w:left="384" w:right="0" w:hanging="245"/>
        <w:jc w:val="both"/>
        <w:rPr/>
      </w:pPr>
      <w:r w:rsidDel="00000000" w:rsidR="00000000" w:rsidRPr="00000000">
        <w:rPr>
          <w:rtl w:val="0"/>
        </w:rPr>
        <w:t xml:space="preserve">Research Design</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4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research adopts a descriptive and analytical design, utilizing secondary data sources to explore patterns, trends, and the effectiveness of recruitment strategies aimed at increasing diversity in leadership roles. This design is appropriate for studying large datasets, such as those available from Google’s diversity reports and external industry benchmarks.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pStyle w:val="Heading2"/>
        <w:numPr>
          <w:ilvl w:val="0"/>
          <w:numId w:val="7"/>
        </w:numPr>
        <w:tabs>
          <w:tab w:val="left" w:leader="none" w:pos="323"/>
        </w:tabs>
        <w:spacing w:after="0" w:before="0" w:line="360" w:lineRule="auto"/>
        <w:ind w:left="322" w:right="0" w:hanging="183"/>
        <w:jc w:val="both"/>
        <w:rPr/>
      </w:pPr>
      <w:r w:rsidDel="00000000" w:rsidR="00000000" w:rsidRPr="00000000">
        <w:rPr>
          <w:rtl w:val="0"/>
        </w:rPr>
        <w:t xml:space="preserve">Data Sources</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40" w:right="137"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research will rely solely on secondary data, sourced from publicly available documents, reports, and scholarly literature, to examine the demographic factors influencing leadership recruitment at Google. Secondary data is invaluable in providing pre-existing, reliable information and trends over time, particularly when primary data collection is not feasible.</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following sources will be used:</w:t>
      </w:r>
    </w:p>
    <w:bookmarkStart w:colFirst="0" w:colLast="0" w:name="bookmark=id.gjdgxs" w:id="0"/>
    <w:bookmarkEnd w:id="0"/>
    <w:p w:rsidR="00000000" w:rsidDel="00000000" w:rsidP="00000000" w:rsidRDefault="00000000" w:rsidRPr="00000000" w14:paraId="00000045">
      <w:pPr>
        <w:pStyle w:val="Heading2"/>
        <w:numPr>
          <w:ilvl w:val="0"/>
          <w:numId w:val="6"/>
        </w:numPr>
        <w:tabs>
          <w:tab w:val="left" w:leader="none" w:pos="486"/>
        </w:tabs>
        <w:spacing w:after="0" w:before="146" w:line="360" w:lineRule="auto"/>
        <w:ind w:left="485" w:right="0" w:hanging="346"/>
        <w:jc w:val="both"/>
        <w:rPr/>
      </w:pPr>
      <w:r w:rsidDel="00000000" w:rsidR="00000000" w:rsidRPr="00000000">
        <w:rPr>
          <w:rtl w:val="0"/>
        </w:rPr>
        <w:t xml:space="preserve">Google’s Diversity Annual Reports (2023)</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3" w:line="360" w:lineRule="auto"/>
        <w:ind w:left="140" w:right="135" w:firstLine="0"/>
        <w:jc w:val="both"/>
        <w:rPr>
          <w:i w:val="0"/>
          <w:smallCaps w:val="0"/>
          <w:strike w:val="0"/>
          <w:color w:val="000000"/>
          <w:sz w:val="24"/>
          <w:szCs w:val="24"/>
          <w:u w:val="none"/>
          <w:shd w:fill="auto" w:val="clear"/>
          <w:vertAlign w:val="baseline"/>
        </w:rPr>
        <w:sectPr>
          <w:type w:val="nextPage"/>
          <w:pgSz w:h="15840" w:w="12240" w:orient="portrait"/>
          <w:pgMar w:bottom="280" w:top="1360" w:left="1300" w:right="1300" w:header="360" w:footer="360"/>
        </w:sectPr>
      </w:pPr>
      <w:r w:rsidDel="00000000" w:rsidR="00000000" w:rsidRPr="00000000">
        <w:rPr>
          <w:i w:val="0"/>
          <w:smallCaps w:val="0"/>
          <w:strike w:val="0"/>
          <w:color w:val="000000"/>
          <w:sz w:val="24"/>
          <w:szCs w:val="24"/>
          <w:u w:val="none"/>
          <w:shd w:fill="auto" w:val="clear"/>
          <w:vertAlign w:val="baseline"/>
          <w:rtl w:val="0"/>
        </w:rPr>
        <w:t xml:space="preserve">The 2023 report emphasizes increasing leadership diversity, aiming to boost representation of Black+, Latinx+, and Native American+ employees by 30%. It highlights key programs like The Collective and Amigo@Google, which support underrepresented employees in leadership roles. Case studies assess the impact of these initiatives and track progress toward Google's DEI goals.</w:t>
      </w:r>
    </w:p>
    <w:bookmarkStart w:colFirst="0" w:colLast="0" w:name="bookmark=id.30j0zll" w:id="1"/>
    <w:bookmarkEnd w:id="1"/>
    <w:p w:rsidR="00000000" w:rsidDel="00000000" w:rsidP="00000000" w:rsidRDefault="00000000" w:rsidRPr="00000000" w14:paraId="00000047">
      <w:pPr>
        <w:pStyle w:val="Heading2"/>
        <w:numPr>
          <w:ilvl w:val="0"/>
          <w:numId w:val="6"/>
        </w:numPr>
        <w:tabs>
          <w:tab w:val="left" w:leader="none" w:pos="495"/>
        </w:tabs>
        <w:spacing w:after="0" w:before="77" w:line="360" w:lineRule="auto"/>
        <w:ind w:left="494" w:right="0" w:hanging="355"/>
        <w:jc w:val="both"/>
        <w:rPr/>
      </w:pPr>
      <w:r w:rsidDel="00000000" w:rsidR="00000000" w:rsidRPr="00000000">
        <w:rPr>
          <w:rtl w:val="0"/>
        </w:rPr>
        <w:t xml:space="preserve">Google’s Racial Equity Commitments and DEI Initiatives</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7" w:line="360" w:lineRule="auto"/>
        <w:ind w:left="140" w:right="13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Google's Empower Recruiting Program focuses on attracting underrepresented talent into leadership. Pathways to Sponsorship accelerates career growth for high-potential employees through mentorship and sponsorship. Onboarding programs such as The Collective and Amigo@Google offer structured support to integrate diverse talent into leadership pipelines.</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pStyle w:val="Heading2"/>
        <w:numPr>
          <w:ilvl w:val="0"/>
          <w:numId w:val="7"/>
        </w:numPr>
        <w:tabs>
          <w:tab w:val="left" w:leader="none" w:pos="385"/>
        </w:tabs>
        <w:spacing w:after="0" w:before="0" w:line="360" w:lineRule="auto"/>
        <w:ind w:left="384" w:right="0" w:hanging="245"/>
        <w:jc w:val="both"/>
        <w:rPr/>
      </w:pPr>
      <w:r w:rsidDel="00000000" w:rsidR="00000000" w:rsidRPr="00000000">
        <w:rPr>
          <w:rtl w:val="0"/>
        </w:rPr>
        <w:t xml:space="preserve">Data Collection</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404"/>
        </w:tabs>
        <w:spacing w:after="0" w:before="0" w:line="360" w:lineRule="auto"/>
        <w:ind w:left="404" w:right="0" w:hanging="264"/>
        <w:jc w:val="both"/>
        <w:rPr>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Document Analysis:</w:t>
      </w: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40" w:right="14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Google’s Diversity Annual Reports from the past five years will be reviewed to track changes in leadership demographics over time. This will help identify trends in the recruitment of underrepresented groups and evaluate the effectiveness of DEI initiatives.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40" w:right="15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Company Reports and Statements on DEI initiatives, including those focused on recruitment and leadership development, will be analyzed to assess Google’s strategic approaches to increasing leadership diversity.</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pStyle w:val="Heading2"/>
        <w:numPr>
          <w:ilvl w:val="0"/>
          <w:numId w:val="5"/>
        </w:numPr>
        <w:tabs>
          <w:tab w:val="left" w:leader="none" w:pos="419"/>
        </w:tabs>
        <w:spacing w:after="0" w:before="0" w:line="360" w:lineRule="auto"/>
        <w:ind w:left="418" w:right="0" w:hanging="279"/>
        <w:jc w:val="both"/>
        <w:rPr/>
      </w:pPr>
      <w:r w:rsidDel="00000000" w:rsidR="00000000" w:rsidRPr="00000000">
        <w:rPr>
          <w:rtl w:val="0"/>
        </w:rPr>
        <w:t xml:space="preserve">Industry Reports:</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40" w:right="132"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Reports and studies from tech industry leaders and research firms (e.g., McKinsey’s “Diversity Wins” report) will be analyzed to draw comparisons between Google’s leadership diversity and broader industry trends. These comparisons will highlight whether Google’s recruitment efforts align with or surpass industry standards.</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pStyle w:val="Heading2"/>
        <w:numPr>
          <w:ilvl w:val="0"/>
          <w:numId w:val="5"/>
        </w:numPr>
        <w:tabs>
          <w:tab w:val="left" w:leader="none" w:pos="390"/>
        </w:tabs>
        <w:spacing w:after="0" w:before="0" w:line="360" w:lineRule="auto"/>
        <w:ind w:left="389" w:right="0" w:hanging="250"/>
        <w:jc w:val="both"/>
        <w:rPr/>
      </w:pPr>
      <w:r w:rsidDel="00000000" w:rsidR="00000000" w:rsidRPr="00000000">
        <w:rPr>
          <w:rtl w:val="0"/>
        </w:rPr>
        <w:t xml:space="preserve">Literature Review:</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360" w:lineRule="auto"/>
        <w:ind w:left="140" w:right="137" w:firstLine="0"/>
        <w:jc w:val="both"/>
        <w:rPr>
          <w:i w:val="0"/>
          <w:smallCaps w:val="0"/>
          <w:strike w:val="0"/>
          <w:color w:val="000000"/>
          <w:sz w:val="24"/>
          <w:szCs w:val="24"/>
          <w:u w:val="none"/>
          <w:shd w:fill="auto" w:val="clear"/>
          <w:vertAlign w:val="baseline"/>
        </w:rPr>
        <w:sectPr>
          <w:type w:val="nextPage"/>
          <w:pgSz w:h="15840" w:w="12240" w:orient="portrait"/>
          <w:pgMar w:bottom="280" w:top="1360" w:left="1300" w:right="1300" w:header="360" w:footer="360"/>
        </w:sectPr>
      </w:pPr>
      <w:r w:rsidDel="00000000" w:rsidR="00000000" w:rsidRPr="00000000">
        <w:rPr>
          <w:i w:val="0"/>
          <w:smallCaps w:val="0"/>
          <w:strike w:val="0"/>
          <w:color w:val="000000"/>
          <w:sz w:val="24"/>
          <w:szCs w:val="24"/>
          <w:u w:val="none"/>
          <w:shd w:fill="auto" w:val="clear"/>
          <w:vertAlign w:val="baseline"/>
          <w:rtl w:val="0"/>
        </w:rPr>
        <w:t xml:space="preserve">A review of academic literature on leadership diversity and recruitment will be conducted to contextualize the data from Google’s reports. The literature will provide theoretical frameworks and empirical evidence on the barriers and enablers of leadership diversity in large organizations.</w:t>
      </w:r>
    </w:p>
    <w:p w:rsidR="00000000" w:rsidDel="00000000" w:rsidP="00000000" w:rsidRDefault="00000000" w:rsidRPr="00000000" w14:paraId="00000056">
      <w:pPr>
        <w:pStyle w:val="Heading1"/>
        <w:spacing w:line="360" w:lineRule="auto"/>
        <w:ind w:firstLine="140"/>
        <w:rPr>
          <w:sz w:val="24"/>
          <w:szCs w:val="24"/>
        </w:rPr>
      </w:pPr>
      <w:r w:rsidDel="00000000" w:rsidR="00000000" w:rsidRPr="00000000">
        <w:rPr>
          <w:sz w:val="24"/>
          <w:szCs w:val="24"/>
          <w:rtl w:val="0"/>
        </w:rPr>
        <w:t xml:space="preserve">ANALYSIS</w:t>
      </w:r>
    </w:p>
    <w:p w:rsidR="00000000" w:rsidDel="00000000" w:rsidP="00000000" w:rsidRDefault="00000000" w:rsidRPr="00000000" w14:paraId="00000057">
      <w:pPr>
        <w:spacing w:before="163" w:line="360" w:lineRule="auto"/>
        <w:ind w:left="140" w:right="0" w:firstLine="0"/>
        <w:jc w:val="left"/>
        <w:rPr>
          <w:b w:val="1"/>
          <w:sz w:val="24"/>
          <w:szCs w:val="24"/>
        </w:rPr>
      </w:pPr>
      <w:r w:rsidDel="00000000" w:rsidR="00000000" w:rsidRPr="00000000">
        <w:rPr>
          <w:b w:val="1"/>
          <w:sz w:val="24"/>
          <w:szCs w:val="24"/>
          <w:rtl w:val="0"/>
        </w:rPr>
        <w:t xml:space="preserve">Leadership Representation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1"/>
        <w:tblW w:w="9393.0" w:type="dxa"/>
        <w:jc w:val="left"/>
        <w:tblInd w:w="136.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3765"/>
        <w:gridCol w:w="2929"/>
        <w:gridCol w:w="2699"/>
        <w:tblGridChange w:id="0">
          <w:tblGrid>
            <w:gridCol w:w="3765"/>
            <w:gridCol w:w="2929"/>
            <w:gridCol w:w="2699"/>
          </w:tblGrid>
        </w:tblGridChange>
      </w:tblGrid>
      <w:tr>
        <w:trPr>
          <w:cantSplit w:val="0"/>
          <w:trHeight w:val="1026" w:hRule="atLeast"/>
          <w:tblHeader w:val="0"/>
        </w:trPr>
        <w:tc>
          <w:tcPr/>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97" w:line="360" w:lineRule="auto"/>
              <w:ind w:left="800" w:right="784"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Demographic Group</w:t>
            </w:r>
          </w:p>
        </w:tc>
        <w:tc>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99" w:line="360" w:lineRule="auto"/>
              <w:ind w:left="484" w:right="462" w:firstLine="13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2022 Leadership Representation(%)</w:t>
            </w:r>
          </w:p>
        </w:tc>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99" w:line="360" w:lineRule="auto"/>
              <w:ind w:left="335" w:right="319" w:firstLine="157.99999999999997"/>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2023 Leadership Representation (%)</w:t>
            </w:r>
          </w:p>
        </w:tc>
      </w:tr>
      <w:tr>
        <w:trPr>
          <w:cantSplit w:val="0"/>
          <w:trHeight w:val="479" w:hRule="atLeast"/>
          <w:tblHeader w:val="0"/>
        </w:trPr>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800" w:right="782"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Asian+</w:t>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233" w:right="1215"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27.5</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118" w:right="110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28.2</w:t>
            </w:r>
          </w:p>
        </w:tc>
      </w:tr>
      <w:tr>
        <w:trPr>
          <w:cantSplit w:val="0"/>
          <w:trHeight w:val="474" w:hRule="atLeast"/>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800" w:right="782"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Black+</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233" w:right="121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5.4</w:t>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114" w:right="110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5.6</w:t>
            </w:r>
          </w:p>
        </w:tc>
      </w:tr>
      <w:tr>
        <w:trPr>
          <w:cantSplit w:val="0"/>
          <w:trHeight w:val="474" w:hRule="atLeast"/>
          <w:tblHeader w:val="0"/>
        </w:trPr>
        <w:tc>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797" w:right="784"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HispanicLlatinx+</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233" w:right="121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114" w:right="110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7.3</w:t>
            </w:r>
          </w:p>
        </w:tc>
      </w:tr>
      <w:tr>
        <w:trPr>
          <w:cantSplit w:val="0"/>
          <w:trHeight w:val="479" w:hRule="atLeast"/>
          <w:tblHeader w:val="0"/>
        </w:trPr>
        <w:tc>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800" w:right="782"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Native American+</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233" w:right="121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0.6</w:t>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114" w:right="110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0.8</w:t>
            </w:r>
          </w:p>
        </w:tc>
      </w:tr>
      <w:tr>
        <w:trPr>
          <w:cantSplit w:val="0"/>
          <w:trHeight w:val="475" w:hRule="atLeast"/>
          <w:tblHeader w:val="0"/>
        </w:trPr>
        <w:tc>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798" w:right="784"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White+</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1233" w:right="1215"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60.3</w:t>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1118" w:right="110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58.9</w:t>
            </w:r>
          </w:p>
        </w:tc>
      </w:tr>
      <w:tr>
        <w:trPr>
          <w:cantSplit w:val="0"/>
          <w:trHeight w:val="474" w:hRule="atLeast"/>
          <w:tblHeader w:val="0"/>
        </w:trPr>
        <w:tc>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800" w:right="783"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Women</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233" w:right="1215"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30.6</w:t>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118" w:right="110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34.1</w:t>
            </w:r>
          </w:p>
        </w:tc>
      </w:tr>
      <w:tr>
        <w:trPr>
          <w:cantSplit w:val="0"/>
          <w:trHeight w:val="479" w:hRule="atLeast"/>
          <w:tblHeader w:val="0"/>
        </w:trPr>
        <w:tc>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800" w:right="778"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228" w:right="1215"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114" w:right="1101"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pStyle w:val="Heading2"/>
        <w:spacing w:before="90" w:line="360" w:lineRule="auto"/>
        <w:ind w:left="3266" w:firstLine="0"/>
        <w:jc w:val="left"/>
        <w:rPr/>
      </w:pPr>
      <w:r w:rsidDel="00000000" w:rsidR="00000000" w:rsidRPr="00000000">
        <w:rPr>
          <w:rtl w:val="0"/>
        </w:rPr>
        <w:t xml:space="preserve">Table 1: Leadership Representation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5984240" cy="3380740"/>
                <wp:effectExtent b="0" l="0" r="0" t="0"/>
                <wp:wrapTopAndBottom distB="0" distT="0"/>
                <wp:docPr id="4" name=""/>
                <a:graphic>
                  <a:graphicData uri="http://schemas.microsoft.com/office/word/2010/wordprocessingGroup">
                    <wpg:wgp>
                      <wpg:cNvGrpSpPr/>
                      <wpg:grpSpPr>
                        <a:xfrm>
                          <a:off x="2353875" y="2089625"/>
                          <a:ext cx="5984240" cy="3380740"/>
                          <a:chOff x="2353875" y="2089625"/>
                          <a:chExt cx="5984250" cy="3380750"/>
                        </a:xfrm>
                      </wpg:grpSpPr>
                      <wpg:grpSp>
                        <wpg:cNvGrpSpPr/>
                        <wpg:grpSpPr>
                          <a:xfrm>
                            <a:off x="2353880" y="2089630"/>
                            <a:ext cx="5984240" cy="3380740"/>
                            <a:chOff x="3179375" y="2089625"/>
                            <a:chExt cx="5984250" cy="3380750"/>
                          </a:xfrm>
                        </wpg:grpSpPr>
                        <wps:wsp>
                          <wps:cNvSpPr/>
                          <wps:cNvPr id="3" name="Shape 3"/>
                          <wps:spPr>
                            <a:xfrm>
                              <a:off x="3179375" y="2089625"/>
                              <a:ext cx="5984250" cy="33807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179381" y="2089630"/>
                              <a:ext cx="5984225" cy="3380725"/>
                              <a:chOff x="0" y="0"/>
                              <a:chExt cx="5984225" cy="3380725"/>
                            </a:xfrm>
                          </wpg:grpSpPr>
                          <wps:wsp>
                            <wps:cNvSpPr/>
                            <wps:cNvPr id="9" name="Shape 9"/>
                            <wps:spPr>
                              <a:xfrm>
                                <a:off x="0" y="0"/>
                                <a:ext cx="5984225" cy="33807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0" name="Shape 10"/>
                            <wps:spPr>
                              <a:xfrm>
                                <a:off x="6350" y="6350"/>
                                <a:ext cx="5971540" cy="3368040"/>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190500</wp:posOffset>
                </wp:positionH>
                <wp:positionV relativeFrom="paragraph">
                  <wp:posOffset>139700</wp:posOffset>
                </wp:positionV>
                <wp:extent cx="5984240" cy="3380740"/>
                <wp:effectExtent b="0" l="0" r="0" t="0"/>
                <wp:wrapTopAndBottom distB="0" distT="0"/>
                <wp:docPr id="4"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5984240" cy="3380740"/>
                        </a:xfrm>
                        <a:prstGeom prst="rect"/>
                        <a:ln/>
                      </pic:spPr>
                    </pic:pic>
                  </a:graphicData>
                </a:graphic>
              </wp:anchor>
            </w:drawing>
          </mc:Fallback>
        </mc:AlternateContent>
      </w:r>
    </w:p>
    <w:p w:rsidR="00000000" w:rsidDel="00000000" w:rsidP="00000000" w:rsidRDefault="00000000" w:rsidRPr="00000000" w14:paraId="00000076">
      <w:pPr>
        <w:spacing w:before="156" w:line="360" w:lineRule="auto"/>
        <w:ind w:left="860" w:right="860" w:firstLine="0"/>
        <w:jc w:val="center"/>
        <w:rPr>
          <w:b w:val="1"/>
          <w:sz w:val="24"/>
          <w:szCs w:val="24"/>
        </w:rPr>
      </w:pPr>
      <w:r w:rsidDel="00000000" w:rsidR="00000000" w:rsidRPr="00000000">
        <w:rPr>
          <w:b w:val="1"/>
          <w:sz w:val="24"/>
          <w:szCs w:val="24"/>
          <w:rtl w:val="0"/>
        </w:rPr>
        <w:t xml:space="preserve">Figure 1: Leadership Representation </w:t>
      </w:r>
    </w:p>
    <w:p w:rsidR="00000000" w:rsidDel="00000000" w:rsidP="00000000" w:rsidRDefault="00000000" w:rsidRPr="00000000" w14:paraId="00000077">
      <w:pPr>
        <w:spacing w:before="156" w:line="360" w:lineRule="auto"/>
        <w:ind w:left="860" w:right="860" w:firstLine="0"/>
        <w:jc w:val="center"/>
        <w:rPr>
          <w:b w:val="1"/>
        </w:rPr>
      </w:pPr>
      <w:r w:rsidDel="00000000" w:rsidR="00000000" w:rsidRPr="00000000">
        <w:rPr>
          <w:b w:val="1"/>
          <w:rtl w:val="0"/>
        </w:rPr>
        <w:t xml:space="preserve">Gender Representation</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6"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Women’s leadership rose from 30.6% in 2022 to 34.1% in 2023, indicating steady progress toward gender diversity. This growth reflects the positive impact of mentorship and sponsorship initiatives aimed at promoting women into leadership roles. However, more efforts are needed to achieve full gender parity at higher levels.</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pStyle w:val="Heading2"/>
        <w:numPr>
          <w:ilvl w:val="0"/>
          <w:numId w:val="4"/>
        </w:numPr>
        <w:tabs>
          <w:tab w:val="left" w:leader="none" w:pos="385"/>
        </w:tabs>
        <w:spacing w:after="0" w:before="0" w:line="360" w:lineRule="auto"/>
        <w:ind w:left="384" w:right="0" w:hanging="245"/>
        <w:jc w:val="left"/>
        <w:rPr/>
      </w:pPr>
      <w:r w:rsidDel="00000000" w:rsidR="00000000" w:rsidRPr="00000000">
        <w:rPr>
          <w:rtl w:val="0"/>
        </w:rPr>
        <w:t xml:space="preserve">Racial/Ethnic Representation</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0" w:line="360" w:lineRule="auto"/>
        <w:ind w:left="861" w:right="145" w:hanging="36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Asian+ employees saw a modest increase from 27.5% to 28.2%, maintaining strong representation.</w:t>
      </w:r>
      <w:r w:rsidDel="00000000" w:rsidR="00000000" w:rsidRPr="00000000">
        <w:rPr>
          <w:rtl w:val="0"/>
        </w:rPr>
      </w:r>
    </w:p>
    <w:p w:rsidR="00000000" w:rsidDel="00000000" w:rsidP="00000000" w:rsidRDefault="00000000" w:rsidRPr="00000000" w14:paraId="00000080">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3" w:line="360" w:lineRule="auto"/>
        <w:ind w:left="861" w:right="139" w:hanging="36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Hispanic/Latinx+ leadership rose by 0.9%, marking the most significant gain among racial groups and suggesting effective development programs.</w:t>
      </w:r>
      <w:r w:rsidDel="00000000" w:rsidR="00000000" w:rsidRPr="00000000">
        <w:rPr>
          <w:rtl w:val="0"/>
        </w:rPr>
      </w:r>
    </w:p>
    <w:p w:rsidR="00000000" w:rsidDel="00000000" w:rsidP="00000000" w:rsidRDefault="00000000" w:rsidRPr="00000000" w14:paraId="00000081">
      <w:pPr>
        <w:keepNext w:val="0"/>
        <w:keepLines w:val="0"/>
        <w:pageBreakBefore w:val="0"/>
        <w:widowControl w:val="0"/>
        <w:numPr>
          <w:ilvl w:val="1"/>
          <w:numId w:val="4"/>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0" w:line="360" w:lineRule="auto"/>
        <w:ind w:left="861" w:right="147" w:hanging="361"/>
        <w:jc w:val="left"/>
        <w:rPr>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Black+ and Native American+ employees experienced marginal increases (+0.2% each), showing that progress remains slow and requires additional targeted support.</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pStyle w:val="Heading2"/>
        <w:numPr>
          <w:ilvl w:val="0"/>
          <w:numId w:val="4"/>
        </w:numPr>
        <w:tabs>
          <w:tab w:val="left" w:leader="none" w:pos="385"/>
        </w:tabs>
        <w:spacing w:after="0" w:before="0" w:line="360" w:lineRule="auto"/>
        <w:ind w:left="384" w:right="0" w:hanging="245"/>
        <w:jc w:val="left"/>
        <w:rPr/>
      </w:pPr>
      <w:r w:rsidDel="00000000" w:rsidR="00000000" w:rsidRPr="00000000">
        <w:rPr>
          <w:rtl w:val="0"/>
        </w:rPr>
        <w:t xml:space="preserve">White Leadership Decline</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8" w:firstLine="0"/>
        <w:jc w:val="both"/>
        <w:rPr>
          <w:i w:val="0"/>
          <w:smallCaps w:val="0"/>
          <w:strike w:val="0"/>
          <w:color w:val="000000"/>
          <w:sz w:val="24"/>
          <w:szCs w:val="24"/>
          <w:u w:val="none"/>
          <w:shd w:fill="auto" w:val="clear"/>
          <w:vertAlign w:val="baseline"/>
        </w:rPr>
        <w:sectPr>
          <w:type w:val="nextPage"/>
          <w:pgSz w:h="15840" w:w="12240" w:orient="portrait"/>
          <w:pgMar w:bottom="280" w:top="1380" w:left="1300" w:right="1300" w:header="360" w:footer="360"/>
        </w:sectPr>
      </w:pPr>
      <w:r w:rsidDel="00000000" w:rsidR="00000000" w:rsidRPr="00000000">
        <w:rPr>
          <w:i w:val="0"/>
          <w:smallCaps w:val="0"/>
          <w:strike w:val="0"/>
          <w:color w:val="000000"/>
          <w:sz w:val="24"/>
          <w:szCs w:val="24"/>
          <w:u w:val="none"/>
          <w:shd w:fill="auto" w:val="clear"/>
          <w:vertAlign w:val="baseline"/>
          <w:rtl w:val="0"/>
        </w:rPr>
        <w:t xml:space="preserve">White+ leadership dropped from 60.3% in 2022 to 58.9% in 2023, reflecting gradual diversification efforts. While this decline indicates movement towards more inclusive leadership, White employees still dominate leadership roles. Google needs sustained focus on DEI strategies to further reduce the racial imbalance.</w:t>
      </w:r>
    </w:p>
    <w:p w:rsidR="00000000" w:rsidDel="00000000" w:rsidP="00000000" w:rsidRDefault="00000000" w:rsidRPr="00000000" w14:paraId="00000087">
      <w:pPr>
        <w:pStyle w:val="Heading1"/>
        <w:spacing w:line="360" w:lineRule="auto"/>
        <w:ind w:firstLine="140"/>
        <w:rPr>
          <w:sz w:val="24"/>
          <w:szCs w:val="24"/>
        </w:rPr>
      </w:pPr>
      <w:r w:rsidDel="00000000" w:rsidR="00000000" w:rsidRPr="00000000">
        <w:rPr>
          <w:sz w:val="24"/>
          <w:szCs w:val="24"/>
          <w:rtl w:val="0"/>
        </w:rPr>
        <w:t xml:space="preserve">TREND ANALYSIS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tbl>
      <w:tblPr>
        <w:tblStyle w:val="Table2"/>
        <w:tblW w:w="9261.0" w:type="dxa"/>
        <w:jc w:val="left"/>
        <w:tblInd w:w="203.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1854"/>
        <w:gridCol w:w="1849"/>
        <w:gridCol w:w="1854"/>
        <w:gridCol w:w="1850"/>
        <w:gridCol w:w="1854"/>
        <w:tblGridChange w:id="0">
          <w:tblGrid>
            <w:gridCol w:w="1854"/>
            <w:gridCol w:w="1849"/>
            <w:gridCol w:w="1854"/>
            <w:gridCol w:w="1850"/>
            <w:gridCol w:w="1854"/>
          </w:tblGrid>
        </w:tblGridChange>
      </w:tblGrid>
      <w:tr>
        <w:trPr>
          <w:cantSplit w:val="0"/>
          <w:trHeight w:val="1027" w:hRule="atLeast"/>
          <w:tblHeader w:val="0"/>
        </w:trPr>
        <w:tc>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97" w:line="360" w:lineRule="auto"/>
              <w:ind w:left="100"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Region</w:t>
            </w:r>
          </w:p>
        </w:tc>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97" w:line="360" w:lineRule="auto"/>
              <w:ind w:left="100" w:right="175"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Women Hiring Data (%)</w:t>
            </w:r>
          </w:p>
        </w:tc>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97" w:line="360" w:lineRule="auto"/>
              <w:ind w:left="99" w:right="255"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Women Attrition Data (%)</w:t>
            </w:r>
          </w:p>
        </w:tc>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97" w:line="360" w:lineRule="auto"/>
              <w:ind w:left="99" w:right="519"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Men Hiring Data</w:t>
            </w:r>
          </w:p>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9"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97" w:line="360" w:lineRule="auto"/>
              <w:ind w:left="97" w:right="284"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Men Attrition Data</w:t>
            </w:r>
          </w:p>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97" w:right="0" w:firstLine="0"/>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w:t>
            </w:r>
          </w:p>
        </w:tc>
      </w:tr>
      <w:tr>
        <w:trPr>
          <w:cantSplit w:val="0"/>
          <w:trHeight w:val="1026" w:hRule="atLeast"/>
          <w:tblHeader w:val="0"/>
        </w:trPr>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648"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Americans (Non-U.S.)</w:t>
            </w:r>
          </w:p>
        </w:tc>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48.9</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32.9</w:t>
            </w:r>
          </w:p>
        </w:tc>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51.1</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67.1</w:t>
            </w:r>
          </w:p>
        </w:tc>
      </w:tr>
      <w:tr>
        <w:trPr>
          <w:cantSplit w:val="0"/>
          <w:trHeight w:val="752" w:hRule="atLeast"/>
          <w:tblHeader w:val="0"/>
        </w:trPr>
        <w:tc>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APAC</w:t>
            </w:r>
          </w:p>
        </w:tc>
        <w:tc>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49.5</w:t>
            </w:r>
          </w:p>
        </w:tc>
        <w:tc>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49.4</w:t>
            </w:r>
          </w:p>
        </w:tc>
        <w:tc>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50.5</w:t>
            </w:r>
          </w:p>
        </w:tc>
        <w:tc>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50.6</w:t>
            </w:r>
          </w:p>
        </w:tc>
      </w:tr>
      <w:tr>
        <w:trPr>
          <w:cantSplit w:val="0"/>
          <w:trHeight w:val="752" w:hRule="atLeast"/>
          <w:tblHeader w:val="0"/>
        </w:trPr>
        <w:tc>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EMEA</w:t>
            </w:r>
          </w:p>
        </w:tc>
        <w:tc>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51.2</w:t>
            </w:r>
          </w:p>
        </w:tc>
        <w:tc>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47.2</w:t>
            </w:r>
          </w:p>
        </w:tc>
        <w:tc>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48.8</w:t>
            </w:r>
          </w:p>
        </w:tc>
        <w:tc>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52.8</w:t>
            </w:r>
          </w:p>
        </w:tc>
      </w:tr>
      <w:tr>
        <w:trPr>
          <w:cantSplit w:val="0"/>
          <w:trHeight w:val="753" w:hRule="atLeast"/>
          <w:tblHeader w:val="0"/>
        </w:trPr>
        <w:tc>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U.S.(Tech)</w:t>
            </w:r>
          </w:p>
        </w:tc>
        <w:tc>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22.2</w:t>
            </w:r>
          </w:p>
        </w:tc>
        <w:tc>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26.0</w:t>
            </w:r>
          </w:p>
        </w:tc>
        <w:tc>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77.8</w:t>
            </w:r>
          </w:p>
        </w:tc>
        <w:tc>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93" w:line="360" w:lineRule="auto"/>
              <w:ind w:left="9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74.0</w:t>
            </w:r>
          </w:p>
        </w:tc>
      </w:tr>
      <w:tr>
        <w:trPr>
          <w:cantSplit w:val="0"/>
          <w:trHeight w:val="752" w:hRule="atLeast"/>
          <w:tblHeader w:val="0"/>
        </w:trPr>
        <w:tc>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Total</w:t>
            </w:r>
          </w:p>
        </w:tc>
        <w:tc>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100"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9"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w:t>
            </w:r>
          </w:p>
        </w:tc>
        <w:tc>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92" w:line="360" w:lineRule="auto"/>
              <w:ind w:left="9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pStyle w:val="Heading2"/>
        <w:spacing w:line="360" w:lineRule="auto"/>
        <w:ind w:left="2099" w:firstLine="0"/>
        <w:jc w:val="left"/>
        <w:rPr/>
      </w:pPr>
      <w:r w:rsidDel="00000000" w:rsidR="00000000" w:rsidRPr="00000000">
        <w:rPr>
          <w:rtl w:val="0"/>
        </w:rPr>
        <w:t xml:space="preserve">Table 2: Hiring and Attrition Trends by Region and Gender</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152400</wp:posOffset>
                </wp:positionV>
                <wp:extent cx="5854700" cy="3258185"/>
                <wp:effectExtent b="0" l="0" r="0" t="0"/>
                <wp:wrapTopAndBottom distB="0" distT="0"/>
                <wp:docPr id="3" name=""/>
                <a:graphic>
                  <a:graphicData uri="http://schemas.microsoft.com/office/word/2010/wordprocessingGroup">
                    <wpg:wgp>
                      <wpg:cNvGrpSpPr/>
                      <wpg:grpSpPr>
                        <a:xfrm>
                          <a:off x="2418650" y="2150900"/>
                          <a:ext cx="5854700" cy="3258185"/>
                          <a:chOff x="2418650" y="2150900"/>
                          <a:chExt cx="5854700" cy="3258200"/>
                        </a:xfrm>
                      </wpg:grpSpPr>
                      <wpg:grpSp>
                        <wpg:cNvGrpSpPr/>
                        <wpg:grpSpPr>
                          <a:xfrm>
                            <a:off x="2418650" y="2150908"/>
                            <a:ext cx="5854700" cy="3258185"/>
                            <a:chOff x="3244125" y="2150900"/>
                            <a:chExt cx="5854750" cy="3258200"/>
                          </a:xfrm>
                        </wpg:grpSpPr>
                        <wps:wsp>
                          <wps:cNvSpPr/>
                          <wps:cNvPr id="3" name="Shape 3"/>
                          <wps:spPr>
                            <a:xfrm>
                              <a:off x="3244125" y="2150900"/>
                              <a:ext cx="5854750" cy="32582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3244150" y="2150908"/>
                              <a:ext cx="5854700" cy="3258175"/>
                              <a:chOff x="0" y="0"/>
                              <a:chExt cx="5854700" cy="3258175"/>
                            </a:xfrm>
                          </wpg:grpSpPr>
                          <wps:wsp>
                            <wps:cNvSpPr/>
                            <wps:cNvPr id="5" name="Shape 5"/>
                            <wps:spPr>
                              <a:xfrm>
                                <a:off x="0" y="0"/>
                                <a:ext cx="5854700" cy="325817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 name="Shape 6"/>
                            <wps:spPr>
                              <a:xfrm>
                                <a:off x="6350" y="6350"/>
                                <a:ext cx="5842000" cy="3245485"/>
                              </a:xfrm>
                              <a:prstGeom prst="rect">
                                <a:avLst/>
                              </a:prstGeom>
                              <a:solidFill>
                                <a:srgbClr val="FFFFFF"/>
                              </a:solidFill>
                              <a:ln cap="flat" cmpd="sng" w="12700">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152400</wp:posOffset>
                </wp:positionV>
                <wp:extent cx="5854700" cy="3258185"/>
                <wp:effectExtent b="0" l="0" r="0" t="0"/>
                <wp:wrapTopAndBottom distB="0" distT="0"/>
                <wp:docPr id="3" name="image1.png"/>
                <a:graphic>
                  <a:graphicData uri="http://schemas.openxmlformats.org/drawingml/2006/picture">
                    <pic:pic>
                      <pic:nvPicPr>
                        <pic:cNvPr id="0" name="image1.png"/>
                        <pic:cNvPicPr preferRelativeResize="0"/>
                      </pic:nvPicPr>
                      <pic:blipFill>
                        <a:blip r:embed="rId8"/>
                        <a:srcRect/>
                        <a:stretch>
                          <a:fillRect/>
                        </a:stretch>
                      </pic:blipFill>
                      <pic:spPr>
                        <a:xfrm>
                          <a:off x="0" y="0"/>
                          <a:ext cx="5854700" cy="3258185"/>
                        </a:xfrm>
                        <a:prstGeom prst="rect"/>
                        <a:ln/>
                      </pic:spPr>
                    </pic:pic>
                  </a:graphicData>
                </a:graphic>
              </wp:anchor>
            </w:drawing>
          </mc:Fallback>
        </mc:AlternateConten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F">
      <w:pPr>
        <w:spacing w:before="0" w:line="360" w:lineRule="auto"/>
        <w:ind w:left="1283" w:right="0" w:firstLine="0"/>
        <w:jc w:val="left"/>
        <w:rPr>
          <w:b w:val="1"/>
          <w:sz w:val="24"/>
          <w:szCs w:val="24"/>
        </w:rPr>
        <w:sectPr>
          <w:type w:val="nextPage"/>
          <w:pgSz w:h="15840" w:w="12240" w:orient="portrait"/>
          <w:pgMar w:bottom="280" w:top="1380" w:left="1300" w:right="1300" w:header="360" w:footer="360"/>
        </w:sectPr>
      </w:pPr>
      <w:r w:rsidDel="00000000" w:rsidR="00000000" w:rsidRPr="00000000">
        <w:rPr>
          <w:b w:val="1"/>
          <w:sz w:val="24"/>
          <w:szCs w:val="24"/>
          <w:rtl w:val="0"/>
        </w:rPr>
        <w:t xml:space="preserve">Figure 2: Hiring and Attrition Trends by Region and Gender </w:t>
      </w:r>
    </w:p>
    <w:p w:rsidR="00000000" w:rsidDel="00000000" w:rsidP="00000000" w:rsidRDefault="00000000" w:rsidRPr="00000000" w14:paraId="000000B0">
      <w:pPr>
        <w:pStyle w:val="Heading2"/>
        <w:spacing w:before="77" w:line="360" w:lineRule="auto"/>
        <w:ind w:left="2066" w:firstLine="0"/>
        <w:jc w:val="left"/>
        <w:rPr/>
      </w:pPr>
      <w:r w:rsidDel="00000000" w:rsidR="00000000" w:rsidRPr="00000000">
        <w:rPr>
          <w:rtl w:val="0"/>
        </w:rPr>
        <w:t xml:space="preserve">Figure 2: Hiring and Attrition Trends by Region and Gender</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1"/>
        </w:tabs>
        <w:spacing w:after="0" w:before="150" w:line="360" w:lineRule="auto"/>
        <w:ind w:left="140" w:right="139" w:firstLine="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Hiring and Attrition Balance: </w:t>
      </w:r>
      <w:r w:rsidDel="00000000" w:rsidR="00000000" w:rsidRPr="00000000">
        <w:rPr>
          <w:i w:val="0"/>
          <w:smallCaps w:val="0"/>
          <w:strike w:val="0"/>
          <w:color w:val="000000"/>
          <w:sz w:val="24"/>
          <w:szCs w:val="24"/>
          <w:u w:val="none"/>
          <w:shd w:fill="auto" w:val="clear"/>
          <w:vertAlign w:val="baseline"/>
          <w:rtl w:val="0"/>
        </w:rPr>
        <w:t xml:space="preserve">Americas (Non-U.S.): Women make up nearly half of the hires in non-tech roles (48.9%), but their attrition rate (32.9%) is relatively lower compared to men, whose hiring rate is 51.1% but face a much higher attrition rate of 67.1%. This indicates that while hiring is balanced, men are leaving the organization at a higher rate than women.</w:t>
      </w:r>
      <w:r w:rsidDel="00000000" w:rsidR="00000000" w:rsidRPr="00000000">
        <w:rPr>
          <w:rtl w:val="0"/>
        </w:rPr>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76"/>
        </w:tabs>
        <w:spacing w:after="0" w:before="0" w:line="360" w:lineRule="auto"/>
        <w:ind w:left="140" w:right="140" w:firstLine="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APAC: </w:t>
      </w:r>
      <w:r w:rsidDel="00000000" w:rsidR="00000000" w:rsidRPr="00000000">
        <w:rPr>
          <w:i w:val="0"/>
          <w:smallCaps w:val="0"/>
          <w:strike w:val="0"/>
          <w:color w:val="000000"/>
          <w:sz w:val="24"/>
          <w:szCs w:val="24"/>
          <w:u w:val="none"/>
          <w:shd w:fill="auto" w:val="clear"/>
          <w:vertAlign w:val="baseline"/>
          <w:rtl w:val="0"/>
        </w:rPr>
        <w:t xml:space="preserve">Both hiring and attrition rates for women and men are closely aligned. Women and men have nearly equal representation in hiring (49.5% vs. 50.5%), and their attrition rates are also very similar (49.4% for women, 50.6% for men). This suggests a balanced dynamic, but the attrition rates are still high overall, which might indicate issues with retention in the region.</w:t>
      </w: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404"/>
        </w:tabs>
        <w:spacing w:after="0" w:before="0" w:line="360" w:lineRule="auto"/>
        <w:ind w:left="140" w:right="138" w:firstLine="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EMEA: </w:t>
      </w:r>
      <w:r w:rsidDel="00000000" w:rsidR="00000000" w:rsidRPr="00000000">
        <w:rPr>
          <w:i w:val="0"/>
          <w:smallCaps w:val="0"/>
          <w:strike w:val="0"/>
          <w:color w:val="000000"/>
          <w:sz w:val="24"/>
          <w:szCs w:val="24"/>
          <w:u w:val="none"/>
          <w:shd w:fill="auto" w:val="clear"/>
          <w:vertAlign w:val="baseline"/>
          <w:rtl w:val="0"/>
        </w:rPr>
        <w:t xml:space="preserve">Similar to APAC, hiring and attrition rates for both genders are relatively balanced. However, the attrition rates are slightly higher for men (52.8%) compared to women (47.2%), which might indicate that more men are leaving than women after being hired.</w:t>
      </w:r>
      <w:r w:rsidDel="00000000" w:rsidR="00000000" w:rsidRPr="00000000">
        <w:rPr>
          <w:rtl w:val="0"/>
        </w:rPr>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381"/>
        </w:tabs>
        <w:spacing w:after="0" w:before="1" w:line="360" w:lineRule="auto"/>
        <w:ind w:left="140" w:right="136" w:firstLine="0"/>
        <w:jc w:val="both"/>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U.S. Tech: </w:t>
      </w:r>
      <w:r w:rsidDel="00000000" w:rsidR="00000000" w:rsidRPr="00000000">
        <w:rPr>
          <w:i w:val="0"/>
          <w:smallCaps w:val="0"/>
          <w:strike w:val="0"/>
          <w:color w:val="000000"/>
          <w:sz w:val="24"/>
          <w:szCs w:val="24"/>
          <w:u w:val="none"/>
          <w:shd w:fill="auto" w:val="clear"/>
          <w:vertAlign w:val="baseline"/>
          <w:rtl w:val="0"/>
        </w:rPr>
        <w:t xml:space="preserve">The U.S. tech sector shows a large gender disparity in both hiring and attrition. Men dominate hiring (77.8%), and they also show a high attrition rate (74.0%).</w:t>
      </w: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Women's hiring is much lower (22.2%), but their attrition rate (26.0%) is comparatively lower. This imbalance suggests that while men dominate the tech workforce, they are also more likely to leave compared to women.</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pStyle w:val="Heading1"/>
        <w:spacing w:before="0" w:line="360" w:lineRule="auto"/>
        <w:ind w:firstLine="140"/>
        <w:rPr>
          <w:sz w:val="24"/>
          <w:szCs w:val="24"/>
        </w:rPr>
      </w:pPr>
      <w:r w:rsidDel="00000000" w:rsidR="00000000" w:rsidRPr="00000000">
        <w:rPr>
          <w:sz w:val="24"/>
          <w:szCs w:val="24"/>
          <w:rtl w:val="0"/>
        </w:rPr>
        <w:t xml:space="preserve">FINDINGS</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D">
      <w:pPr>
        <w:pStyle w:val="Heading2"/>
        <w:numPr>
          <w:ilvl w:val="0"/>
          <w:numId w:val="2"/>
        </w:numPr>
        <w:tabs>
          <w:tab w:val="left" w:leader="none" w:pos="385"/>
        </w:tabs>
        <w:spacing w:after="0" w:before="1" w:line="360" w:lineRule="auto"/>
        <w:ind w:left="384" w:right="0" w:hanging="245"/>
        <w:jc w:val="both"/>
        <w:rPr/>
      </w:pPr>
      <w:r w:rsidDel="00000000" w:rsidR="00000000" w:rsidRPr="00000000">
        <w:rPr>
          <w:rtl w:val="0"/>
        </w:rPr>
        <w:t xml:space="preserve">Leadership Representation:</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8" w:firstLine="0"/>
        <w:jc w:val="both"/>
        <w:rPr>
          <w:i w:val="0"/>
          <w:smallCaps w:val="0"/>
          <w:strike w:val="0"/>
          <w:color w:val="000000"/>
          <w:sz w:val="24"/>
          <w:szCs w:val="24"/>
          <w:u w:val="none"/>
          <w:shd w:fill="auto" w:val="clear"/>
          <w:vertAlign w:val="baseline"/>
        </w:rPr>
        <w:sectPr>
          <w:type w:val="nextPage"/>
          <w:pgSz w:h="15840" w:w="12240" w:orient="portrait"/>
          <w:pgMar w:bottom="280" w:top="1360" w:left="1300" w:right="1300" w:header="360" w:footer="360"/>
        </w:sectPr>
      </w:pPr>
      <w:r w:rsidDel="00000000" w:rsidR="00000000" w:rsidRPr="00000000">
        <w:rPr>
          <w:i w:val="0"/>
          <w:smallCaps w:val="0"/>
          <w:strike w:val="0"/>
          <w:color w:val="000000"/>
          <w:sz w:val="24"/>
          <w:szCs w:val="24"/>
          <w:u w:val="none"/>
          <w:shd w:fill="auto" w:val="clear"/>
          <w:vertAlign w:val="baseline"/>
          <w:rtl w:val="0"/>
        </w:rPr>
        <w:t xml:space="preserve">Google achieved a 30% increase in leadership representation of Black, Latinx, and Native American employees. Despite this progress, overall leadership positions still predominantly consist of White and Asian employees. The representation of women in leadership roles is gradually improving but remains significantly lower than men, particularly in technical areas.</w:t>
      </w:r>
    </w:p>
    <w:p w:rsidR="00000000" w:rsidDel="00000000" w:rsidP="00000000" w:rsidRDefault="00000000" w:rsidRPr="00000000" w14:paraId="000000C1">
      <w:pPr>
        <w:pStyle w:val="Heading2"/>
        <w:numPr>
          <w:ilvl w:val="0"/>
          <w:numId w:val="2"/>
        </w:numPr>
        <w:tabs>
          <w:tab w:val="left" w:leader="none" w:pos="385"/>
        </w:tabs>
        <w:spacing w:after="0" w:before="77" w:line="360" w:lineRule="auto"/>
        <w:ind w:left="384" w:right="0" w:hanging="245"/>
        <w:jc w:val="both"/>
        <w:rPr/>
      </w:pPr>
      <w:r w:rsidDel="00000000" w:rsidR="00000000" w:rsidRPr="00000000">
        <w:rPr>
          <w:rtl w:val="0"/>
        </w:rPr>
        <w:t xml:space="preserve">Hiring Trends:</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There has been a notable increase in hiring from underrepresented groups, with the hiring of Black employees in tech roles rising to 5.6%. Women now account for 51.2% of new hires in non-tech roles across regions like EMEA. Despite these efforts, the attrition rates for underrepresented groups, particularly men in tech roles, are higher, indicating potential issues in workplace inclusion and support.</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pStyle w:val="Heading2"/>
        <w:numPr>
          <w:ilvl w:val="0"/>
          <w:numId w:val="2"/>
        </w:numPr>
        <w:tabs>
          <w:tab w:val="left" w:leader="none" w:pos="385"/>
        </w:tabs>
        <w:spacing w:after="0" w:before="1" w:line="360" w:lineRule="auto"/>
        <w:ind w:left="384" w:right="0" w:hanging="245"/>
        <w:jc w:val="both"/>
        <w:rPr/>
      </w:pPr>
      <w:r w:rsidDel="00000000" w:rsidR="00000000" w:rsidRPr="00000000">
        <w:rPr>
          <w:rtl w:val="0"/>
        </w:rPr>
        <w:t xml:space="preserve">Attrition and Retention Challenges: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40" w:right="13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Attrition rates among Black employees in non-tech roles reached 12.9%, signaling that, while hiring numbers have improved, retention strategies may not be equally effective. The data indicates that male employees, particularly in tech, are leaving at a higher rate than female employees, suggesting a need for targeted retention initiatives.</w:t>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pStyle w:val="Heading1"/>
        <w:spacing w:before="0" w:line="360" w:lineRule="auto"/>
        <w:ind w:firstLine="140"/>
        <w:rPr>
          <w:sz w:val="24"/>
          <w:szCs w:val="24"/>
        </w:rPr>
      </w:pPr>
      <w:r w:rsidDel="00000000" w:rsidR="00000000" w:rsidRPr="00000000">
        <w:rPr>
          <w:sz w:val="24"/>
          <w:szCs w:val="24"/>
          <w:rtl w:val="0"/>
        </w:rPr>
        <w:t xml:space="preserve">SUGGESTION</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pStyle w:val="Heading2"/>
        <w:numPr>
          <w:ilvl w:val="0"/>
          <w:numId w:val="1"/>
        </w:numPr>
        <w:tabs>
          <w:tab w:val="left" w:leader="none" w:pos="323"/>
        </w:tabs>
        <w:spacing w:after="0" w:before="0" w:line="360" w:lineRule="auto"/>
        <w:ind w:left="322" w:right="0" w:hanging="183"/>
        <w:jc w:val="both"/>
        <w:rPr>
          <w:sz w:val="24"/>
          <w:szCs w:val="24"/>
        </w:rPr>
      </w:pPr>
      <w:r w:rsidDel="00000000" w:rsidR="00000000" w:rsidRPr="00000000">
        <w:rPr>
          <w:rtl w:val="0"/>
        </w:rPr>
        <w:t xml:space="preserve">Comparative Analysis</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7"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Compare Google's DEI strategies with those of other tech giants like Microsoft or Meta to identify best practices and potential gaps. This analysis can highlight areas where Google is leading and where further improvements are needed to align with industry standards.</w:t>
      </w:r>
    </w:p>
    <w:p w:rsidR="00000000" w:rsidDel="00000000" w:rsidP="00000000" w:rsidRDefault="00000000" w:rsidRPr="00000000" w14:paraId="000000D0">
      <w:pPr>
        <w:pStyle w:val="Heading2"/>
        <w:numPr>
          <w:ilvl w:val="0"/>
          <w:numId w:val="1"/>
        </w:numPr>
        <w:tabs>
          <w:tab w:val="left" w:leader="none" w:pos="323"/>
        </w:tabs>
        <w:spacing w:after="0" w:before="11" w:line="360" w:lineRule="auto"/>
        <w:ind w:left="322" w:right="0" w:hanging="183"/>
        <w:jc w:val="both"/>
        <w:rPr>
          <w:sz w:val="24"/>
          <w:szCs w:val="24"/>
        </w:rPr>
      </w:pPr>
      <w:r w:rsidDel="00000000" w:rsidR="00000000" w:rsidRPr="00000000">
        <w:rPr>
          <w:rtl w:val="0"/>
        </w:rPr>
        <w:t xml:space="preserve">Retention vs. Recruitment</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3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Investigate why high attrition persists among underrepresented groups, particularly in technical roles, despite improved recruitment efforts. Identifying key retention challenges will help refine strategies to foster long-term employee engagement and reduce turnover.</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pStyle w:val="Heading2"/>
        <w:numPr>
          <w:ilvl w:val="0"/>
          <w:numId w:val="1"/>
        </w:numPr>
        <w:tabs>
          <w:tab w:val="left" w:leader="none" w:pos="386"/>
        </w:tabs>
        <w:spacing w:after="0" w:before="0" w:line="360" w:lineRule="auto"/>
        <w:ind w:left="385" w:right="0" w:hanging="246"/>
        <w:jc w:val="both"/>
        <w:rPr>
          <w:sz w:val="24"/>
          <w:szCs w:val="24"/>
        </w:rPr>
      </w:pPr>
      <w:r w:rsidDel="00000000" w:rsidR="00000000" w:rsidRPr="00000000">
        <w:rPr>
          <w:rtl w:val="0"/>
        </w:rPr>
        <w:t xml:space="preserve">Impact of Leadership Accountability</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9" w:firstLine="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Explore the role of DEI advisory councils and leadership in ensuring accountability and sustaining inclusive environments. Leadership involvement is crucial for embedding DEI into the organizational culture and driving meaningful change.</w:t>
      </w:r>
      <w:r w:rsidDel="00000000" w:rsidR="00000000" w:rsidRPr="00000000">
        <w:rPr>
          <w:rtl w:val="0"/>
        </w:rPr>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49" w:firstLine="0"/>
        <w:jc w:val="both"/>
        <w:rPr>
          <w:b w:val="1"/>
          <w:sz w:val="24"/>
          <w:szCs w:val="24"/>
        </w:rPr>
      </w:pPr>
      <w:r w:rsidDel="00000000" w:rsidR="00000000" w:rsidRPr="00000000">
        <w:rPr>
          <w:b w:val="1"/>
          <w:sz w:val="24"/>
          <w:szCs w:val="24"/>
          <w:rtl w:val="0"/>
        </w:rPr>
        <w:t xml:space="preserve">4. Effectiveness of Targeted Programs</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4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Assess the success of programs like Pathways to Sponsorship and The Collective in advancing career growth for underrepresented employees. Understanding their long-term impact can provide insights for scaling such initiatives across the organization.</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B">
      <w:pPr>
        <w:pStyle w:val="Heading1"/>
        <w:spacing w:before="1" w:line="360" w:lineRule="auto"/>
        <w:ind w:firstLine="140"/>
        <w:rPr>
          <w:sz w:val="24"/>
          <w:szCs w:val="24"/>
        </w:rPr>
      </w:pPr>
      <w:r w:rsidDel="00000000" w:rsidR="00000000" w:rsidRPr="00000000">
        <w:rPr>
          <w:sz w:val="24"/>
          <w:szCs w:val="24"/>
          <w:rtl w:val="0"/>
        </w:rPr>
        <w:t xml:space="preserve">CONCLUSION</w:t>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40" w:right="137" w:firstLine="0"/>
        <w:jc w:val="both"/>
        <w:rPr>
          <w:i w:val="0"/>
          <w:smallCaps w:val="0"/>
          <w:strike w:val="0"/>
          <w:color w:val="000000"/>
          <w:sz w:val="24"/>
          <w:szCs w:val="24"/>
          <w:u w:val="none"/>
          <w:shd w:fill="auto" w:val="clear"/>
          <w:vertAlign w:val="baseline"/>
        </w:rPr>
        <w:sectPr>
          <w:type w:val="nextPage"/>
          <w:pgSz w:h="15840" w:w="12240" w:orient="portrait"/>
          <w:pgMar w:bottom="280" w:top="1360" w:left="1300" w:right="1300" w:header="360" w:footer="360"/>
        </w:sectPr>
      </w:pPr>
      <w:r w:rsidDel="00000000" w:rsidR="00000000" w:rsidRPr="00000000">
        <w:rPr>
          <w:i w:val="0"/>
          <w:smallCaps w:val="0"/>
          <w:strike w:val="0"/>
          <w:color w:val="000000"/>
          <w:sz w:val="24"/>
          <w:szCs w:val="24"/>
          <w:u w:val="none"/>
          <w:shd w:fill="auto" w:val="clear"/>
          <w:vertAlign w:val="baseline"/>
          <w:rtl w:val="0"/>
        </w:rPr>
        <w:t xml:space="preserve">In light of the findings from the Google 2023 Diversity Annual Report, it is evident that the company has made substantial progress in enhancing diversity within its workforce, particularly regarding leadership representation, where there has been a notable 30% increase in the inclusion of Black, Latinx, and Native American employees. This commitment is further underscored by the significant hiring of women, who now represent over 51.2% of new hires in non-tech roles across several regions. However, despite these positive developments, the high attrition rates for underrepresented groups, especially among Black employees and men in technical roles, present a pressing challenge. The 12.9% attrition rate for Black employees in non-tech roles suggests systemic barriers within the organizational culture that may hinder retention efforts. Furthermore, while women have shown resilience in lower attrition rates compared to men, the overall high turnover in tech roles raises concerns about the inclusivity and support provided by the workplace environment. This highlights the essential role of leadership and managerial accountability in fostering an inclusive culture where diverse employees feel valued and empowered to advance. Tailored retention strategies that address the specific needs and challenges faced by different demographic groups are crucial for enhancing employee satisfaction and loyalty. Additionally, Google’s commitment to transparency through regular publication of diversity data promotes accountability and builds trust among employees and stakeholders. This approach not only affirms the company’s dedication to diversity and inclusion but also facilitates ongoing dialogue and improvement. Therefore, while Google has made commendable strides in diversifying its workforce and enhancing leadership representation, addressing the discrepancies between hiring and attrition rates is critical for developing a supportive and inclusive work environment where all employees can thrive and contribute to the organization’s success.</w:t>
      </w:r>
    </w:p>
    <w:p w:rsidR="00000000" w:rsidDel="00000000" w:rsidP="00000000" w:rsidRDefault="00000000" w:rsidRPr="00000000" w14:paraId="000000DE">
      <w:pPr>
        <w:pStyle w:val="Heading1"/>
        <w:spacing w:line="360" w:lineRule="auto"/>
        <w:ind w:firstLine="140"/>
        <w:rPr>
          <w:sz w:val="24"/>
          <w:szCs w:val="24"/>
        </w:rPr>
      </w:pPr>
      <w:r w:rsidDel="00000000" w:rsidR="00000000" w:rsidRPr="00000000">
        <w:rPr>
          <w:sz w:val="24"/>
          <w:szCs w:val="24"/>
          <w:rtl w:val="0"/>
        </w:rPr>
        <w:t xml:space="preserve">REFERENCES</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E0">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227" w:line="360" w:lineRule="auto"/>
        <w:ind w:left="861" w:right="145"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Google. (2023). Diversity Annual Report 2023 Retrieved from [Google Diversity] (https://diversity.google/annual-report/)</w:t>
      </w:r>
      <w:r w:rsidDel="00000000" w:rsidR="00000000" w:rsidRPr="00000000">
        <w:rPr>
          <w:rtl w:val="0"/>
        </w:rPr>
      </w:r>
    </w:p>
    <w:p w:rsidR="00000000" w:rsidDel="00000000" w:rsidP="00000000" w:rsidRDefault="00000000" w:rsidRPr="00000000" w14:paraId="000000E1">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3" w:line="360" w:lineRule="auto"/>
        <w:ind w:left="861" w:right="142"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Parker, M. (2022). Building a Diverse and Inclusive Workplace at Google. Harvard Business Review. Retrieved from [HBR](https://hbr.org/)</w:t>
      </w:r>
      <w:r w:rsidDel="00000000" w:rsidR="00000000" w:rsidRPr="00000000">
        <w:rPr>
          <w:rtl w:val="0"/>
        </w:rPr>
      </w:r>
    </w:p>
    <w:p w:rsidR="00000000" w:rsidDel="00000000" w:rsidP="00000000" w:rsidRDefault="00000000" w:rsidRPr="00000000" w14:paraId="000000E2">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3" w:line="360" w:lineRule="auto"/>
        <w:ind w:left="861" w:right="138"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Williams, J. C., &amp; Herring, C. (2021). The Importance of Diversity in the Tech Industry. Sociological Perspectives, 64*(4), 670-690. DOI: [10.1177/0731121420981539] (https://journals.sagepub.com/doi/10.1177/0731121420981539)</w:t>
      </w:r>
      <w:r w:rsidDel="00000000" w:rsidR="00000000" w:rsidRPr="00000000">
        <w:rPr>
          <w:rtl w:val="0"/>
        </w:rPr>
      </w:r>
    </w:p>
    <w:p w:rsidR="00000000" w:rsidDel="00000000" w:rsidP="00000000" w:rsidRDefault="00000000" w:rsidRPr="00000000" w14:paraId="000000E3">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5" w:line="360" w:lineRule="auto"/>
        <w:ind w:left="861" w:right="150"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Friedman, S. (2021). Google Commits $50 Million to Historically Black Colleges and Universities, TechCrunch. Retrieved from [TechCrunch](https://techcrunch.com/)</w:t>
      </w:r>
      <w:r w:rsidDel="00000000" w:rsidR="00000000" w:rsidRPr="00000000">
        <w:rPr>
          <w:rtl w:val="0"/>
        </w:rPr>
      </w:r>
    </w:p>
    <w:p w:rsidR="00000000" w:rsidDel="00000000" w:rsidP="00000000" w:rsidRDefault="00000000" w:rsidRPr="00000000" w14:paraId="000000E4">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14" w:line="360" w:lineRule="auto"/>
        <w:ind w:left="861" w:right="134" w:hanging="361"/>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Cohen, S. (2020). Journal of Business and Management, 26*(1), 45-58. DOI: [10.1016/j.jbm.2020.02.002] (https:/</w:t>
      </w:r>
      <w:hyperlink r:id="rId9">
        <w:r w:rsidDel="00000000" w:rsidR="00000000" w:rsidRPr="00000000">
          <w:rPr>
            <w:i w:val="0"/>
            <w:smallCaps w:val="0"/>
            <w:strike w:val="0"/>
            <w:color w:val="000000"/>
            <w:sz w:val="24"/>
            <w:szCs w:val="24"/>
            <w:u w:val="none"/>
            <w:shd w:fill="auto" w:val="clear"/>
            <w:vertAlign w:val="baseline"/>
            <w:rtl w:val="0"/>
          </w:rPr>
          <w:t xml:space="preserve">/www</w:t>
        </w:r>
      </w:hyperlink>
      <w:r w:rsidDel="00000000" w:rsidR="00000000" w:rsidRPr="00000000">
        <w:rPr>
          <w:i w:val="0"/>
          <w:smallCaps w:val="0"/>
          <w:strike w:val="0"/>
          <w:color w:val="000000"/>
          <w:sz w:val="24"/>
          <w:szCs w:val="24"/>
          <w:u w:val="none"/>
          <w:shd w:fill="auto" w:val="clear"/>
          <w:vertAlign w:val="baseline"/>
          <w:rtl w:val="0"/>
        </w:rPr>
        <w:t xml:space="preserve">.</w:t>
      </w:r>
      <w:hyperlink r:id="rId10">
        <w:r w:rsidDel="00000000" w:rsidR="00000000" w:rsidRPr="00000000">
          <w:rPr>
            <w:i w:val="0"/>
            <w:smallCaps w:val="0"/>
            <w:strike w:val="0"/>
            <w:color w:val="000000"/>
            <w:sz w:val="24"/>
            <w:szCs w:val="24"/>
            <w:u w:val="none"/>
            <w:shd w:fill="auto" w:val="clear"/>
            <w:vertAlign w:val="baseline"/>
            <w:rtl w:val="0"/>
          </w:rPr>
          <w:t xml:space="preserve">sciencedirect.com/science/article/pii/8S1877050919301253)</w:t>
        </w:r>
      </w:hyperlink>
      <w:r w:rsidDel="00000000" w:rsidR="00000000" w:rsidRPr="00000000">
        <w:rPr>
          <w:rtl w:val="0"/>
        </w:rPr>
      </w:r>
    </w:p>
    <w:p w:rsidR="00000000" w:rsidDel="00000000" w:rsidP="00000000" w:rsidRDefault="00000000" w:rsidRPr="00000000" w14:paraId="000000E5">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0"/>
          <w:tab w:val="left" w:leader="none" w:pos="861"/>
        </w:tabs>
        <w:spacing w:after="0" w:before="10" w:line="360" w:lineRule="auto"/>
        <w:ind w:left="861" w:right="140" w:hanging="361"/>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Google. (2023). Announcing the Google DEI Leadership Council*. Retrieved from [https://blog.google/inside-google/our-programs/announcing-google-dei-leadership- council/](https://blog.google/inside-google/our-programs/announcing-google-dei- leadership-council/)</w:t>
      </w:r>
      <w:r w:rsidDel="00000000" w:rsidR="00000000" w:rsidRPr="00000000">
        <w:rPr>
          <w:rtl w:val="0"/>
        </w:rPr>
      </w:r>
    </w:p>
    <w:p w:rsidR="00000000" w:rsidDel="00000000" w:rsidP="00000000" w:rsidRDefault="00000000" w:rsidRPr="00000000" w14:paraId="000000E6">
      <w:pPr>
        <w:keepNext w:val="0"/>
        <w:keepLines w:val="0"/>
        <w:pageBreakBefore w:val="0"/>
        <w:widowControl w:val="0"/>
        <w:numPr>
          <w:ilvl w:val="1"/>
          <w:numId w:val="1"/>
        </w:numPr>
        <w:pBdr>
          <w:top w:space="0" w:sz="0" w:val="nil"/>
          <w:left w:space="0" w:sz="0" w:val="nil"/>
          <w:bottom w:space="0" w:sz="0" w:val="nil"/>
          <w:right w:space="0" w:sz="0" w:val="nil"/>
          <w:between w:space="0" w:sz="0" w:val="nil"/>
        </w:pBdr>
        <w:shd w:fill="auto" w:val="clear"/>
        <w:tabs>
          <w:tab w:val="left" w:leader="none" w:pos="861"/>
        </w:tabs>
        <w:spacing w:after="0" w:before="11" w:line="360" w:lineRule="auto"/>
        <w:ind w:left="861" w:right="131" w:hanging="361"/>
        <w:jc w:val="both"/>
        <w:rPr>
          <w:rFonts w:ascii="Times New Roman" w:cs="Times New Roman" w:eastAsia="Times New Roman" w:hAnsi="Times New Roman"/>
          <w:i w:val="0"/>
          <w:smallCaps w:val="0"/>
          <w:strike w:val="0"/>
          <w:color w:val="000000"/>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Google. (n.d.). Diversity, Equity, and Inclusion: LGBTQ+ Inclusion at Google. Retrieved from [https://about.google/our-commitment/lgbtq-inclusion/] (https://about.google/our- commitment/lgbtq-inclusion/)</w:t>
      </w:r>
      <w:r w:rsidDel="00000000" w:rsidR="00000000" w:rsidRPr="00000000">
        <w:rPr>
          <w:rtl w:val="0"/>
        </w:rPr>
      </w:r>
    </w:p>
    <w:p w:rsidR="00000000" w:rsidDel="00000000" w:rsidP="00000000" w:rsidRDefault="00000000" w:rsidRPr="00000000" w14:paraId="000000E7">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Dr.S.Usha &amp; Dr.D.Jaichitra “A Stress level of Women Employees- A Study with reference to IT sector in Chennai, journal of Advanced Research in Dynamical and Control Systems, 2017, 9(Special Issue 15), pp. 460–464.</w:t>
      </w:r>
      <w:r w:rsidDel="00000000" w:rsidR="00000000" w:rsidRPr="00000000">
        <w:rPr>
          <w:rtl w:val="0"/>
        </w:rPr>
      </w:r>
    </w:p>
    <w:p w:rsidR="00000000" w:rsidDel="00000000" w:rsidP="00000000" w:rsidRDefault="00000000" w:rsidRPr="00000000" w14:paraId="000000E8">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Jigyasu Kumar, Venkateswara Prasad, Usman Mohideen, Sharmila Singh, Narender Chinthamu &amp; Roshni Jaiswal (2024), Employee Engagement and Retention: Strategies for Success, Journal of Informatics Education and Research,4(2),34003409, DOI:</w:t>
      </w:r>
      <w:hyperlink r:id="rId11">
        <w:r w:rsidDel="00000000" w:rsidR="00000000" w:rsidRPr="00000000">
          <w:rPr>
            <w:color w:val="0563c1"/>
            <w:sz w:val="24"/>
            <w:szCs w:val="24"/>
            <w:u w:val="single"/>
            <w:rtl w:val="0"/>
          </w:rPr>
          <w:t xml:space="preserve">https://doi.org/10.52783/jier.v4i2.1263</w:t>
        </w:r>
      </w:hyperlink>
      <w:r w:rsidDel="00000000" w:rsidR="00000000" w:rsidRPr="00000000">
        <w:rPr>
          <w:rtl w:val="0"/>
        </w:rPr>
      </w:r>
    </w:p>
    <w:p w:rsidR="00000000" w:rsidDel="00000000" w:rsidP="00000000" w:rsidRDefault="00000000" w:rsidRPr="00000000" w14:paraId="000000E9">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Velayudhan, M., &amp; Maran, D. K. (2013). A study on Mapping Core Competencies and development of Employees for Excellence with reference to HCL Technologies. </w:t>
      </w:r>
      <w:r w:rsidDel="00000000" w:rsidR="00000000" w:rsidRPr="00000000">
        <w:rPr>
          <w:i w:val="1"/>
          <w:sz w:val="24"/>
          <w:szCs w:val="24"/>
          <w:rtl w:val="0"/>
        </w:rPr>
        <w:t xml:space="preserve">Journal of Contemporary Research in Management (JCRM)</w:t>
      </w:r>
      <w:r w:rsidDel="00000000" w:rsidR="00000000" w:rsidRPr="00000000">
        <w:rPr>
          <w:sz w:val="24"/>
          <w:szCs w:val="24"/>
          <w:rtl w:val="0"/>
        </w:rPr>
        <w:t xml:space="preserve">, </w:t>
      </w:r>
      <w:r w:rsidDel="00000000" w:rsidR="00000000" w:rsidRPr="00000000">
        <w:rPr>
          <w:i w:val="1"/>
          <w:sz w:val="24"/>
          <w:szCs w:val="24"/>
          <w:rtl w:val="0"/>
        </w:rPr>
        <w:t xml:space="preserve">4</w:t>
      </w:r>
      <w:r w:rsidDel="00000000" w:rsidR="00000000" w:rsidRPr="00000000">
        <w:rPr>
          <w:sz w:val="24"/>
          <w:szCs w:val="24"/>
          <w:rtl w:val="0"/>
        </w:rPr>
        <w:t xml:space="preserve">(4). Retrieved from </w:t>
      </w:r>
      <w:hyperlink r:id="rId12">
        <w:r w:rsidDel="00000000" w:rsidR="00000000" w:rsidRPr="00000000">
          <w:rPr>
            <w:color w:val="0563c1"/>
            <w:sz w:val="24"/>
            <w:szCs w:val="24"/>
            <w:u w:val="single"/>
            <w:rtl w:val="0"/>
          </w:rPr>
          <w:t xml:space="preserve">https://jcrm.psgim.ac.in/index.php/jcrm/article/view/85</w:t>
        </w:r>
      </w:hyperlink>
      <w:r w:rsidDel="00000000" w:rsidR="00000000" w:rsidRPr="00000000">
        <w:rPr>
          <w:rtl w:val="0"/>
        </w:rPr>
      </w:r>
    </w:p>
    <w:p w:rsidR="00000000" w:rsidDel="00000000" w:rsidP="00000000" w:rsidRDefault="00000000" w:rsidRPr="00000000" w14:paraId="000000EA">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Jeyalakshmi RS. Sivarajeswari,  V. Selvalakshmi, Attitudinal Changes Due to Unanticipated Transition to Remote Work, Proceedings of the 2nd International Conference on Sustainability and Equity (ICSE-2021), </w:t>
      </w:r>
      <w:hyperlink r:id="rId13">
        <w:r w:rsidDel="00000000" w:rsidR="00000000" w:rsidRPr="00000000">
          <w:rPr>
            <w:color w:val="0563c1"/>
            <w:sz w:val="24"/>
            <w:szCs w:val="24"/>
            <w:u w:val="single"/>
            <w:rtl w:val="0"/>
          </w:rPr>
          <w:t xml:space="preserve">https://doi.org/10.2991/ahsseh.k.220105.017</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EB">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 Baskaran, K., &amp; Rajarathinam, M. (2017). Influence of psychological capital on innovative behaviour among the faculty teaching in online environment. </w:t>
      </w:r>
      <w:r w:rsidDel="00000000" w:rsidR="00000000" w:rsidRPr="00000000">
        <w:rPr>
          <w:i w:val="1"/>
          <w:sz w:val="24"/>
          <w:szCs w:val="24"/>
          <w:rtl w:val="0"/>
        </w:rPr>
        <w:t xml:space="preserve">Asian Journal of Distance Education</w:t>
      </w:r>
      <w:r w:rsidDel="00000000" w:rsidR="00000000" w:rsidRPr="00000000">
        <w:rPr>
          <w:sz w:val="24"/>
          <w:szCs w:val="24"/>
          <w:rtl w:val="0"/>
        </w:rPr>
        <w:t xml:space="preserve">, </w:t>
      </w:r>
      <w:r w:rsidDel="00000000" w:rsidR="00000000" w:rsidRPr="00000000">
        <w:rPr>
          <w:i w:val="1"/>
          <w:sz w:val="24"/>
          <w:szCs w:val="24"/>
          <w:rtl w:val="0"/>
        </w:rPr>
        <w:t xml:space="preserve">12</w:t>
      </w:r>
      <w:r w:rsidDel="00000000" w:rsidR="00000000" w:rsidRPr="00000000">
        <w:rPr>
          <w:sz w:val="24"/>
          <w:szCs w:val="24"/>
          <w:rtl w:val="0"/>
        </w:rPr>
        <w:t xml:space="preserve">(1), 60-68.</w:t>
      </w:r>
      <w:r w:rsidDel="00000000" w:rsidR="00000000" w:rsidRPr="00000000">
        <w:rPr>
          <w:rtl w:val="0"/>
        </w:rPr>
      </w:r>
    </w:p>
    <w:p w:rsidR="00000000" w:rsidDel="00000000" w:rsidP="00000000" w:rsidRDefault="00000000" w:rsidRPr="00000000" w14:paraId="000000EC">
      <w:pPr>
        <w:widowControl w:val="1"/>
        <w:numPr>
          <w:ilvl w:val="1"/>
          <w:numId w:val="1"/>
        </w:numPr>
        <w:spacing w:after="160" w:line="360" w:lineRule="auto"/>
        <w:ind w:left="861" w:hanging="361"/>
        <w:rPr>
          <w:rFonts w:ascii="Times New Roman" w:cs="Times New Roman" w:eastAsia="Times New Roman" w:hAnsi="Times New Roman"/>
        </w:rPr>
      </w:pPr>
      <w:hyperlink r:id="rId14">
        <w:r w:rsidDel="00000000" w:rsidR="00000000" w:rsidRPr="00000000">
          <w:rPr>
            <w:color w:val="0563c1"/>
            <w:sz w:val="24"/>
            <w:szCs w:val="24"/>
            <w:u w:val="single"/>
            <w:rtl w:val="0"/>
          </w:rPr>
          <w:t xml:space="preserve">V Dhayalan</w:t>
        </w:r>
      </w:hyperlink>
      <w:r w:rsidDel="00000000" w:rsidR="00000000" w:rsidRPr="00000000">
        <w:rPr>
          <w:sz w:val="24"/>
          <w:szCs w:val="24"/>
          <w:rtl w:val="0"/>
        </w:rPr>
        <w:t xml:space="preserve">, M Seethalakshmi, </w:t>
      </w:r>
      <w:hyperlink r:id="rId15">
        <w:r w:rsidDel="00000000" w:rsidR="00000000" w:rsidRPr="00000000">
          <w:rPr>
            <w:color w:val="0563c1"/>
            <w:sz w:val="24"/>
            <w:szCs w:val="24"/>
            <w:u w:val="single"/>
            <w:rtl w:val="0"/>
          </w:rPr>
          <w:t xml:space="preserve">B Nimalathasan</w:t>
        </w:r>
      </w:hyperlink>
      <w:r w:rsidDel="00000000" w:rsidR="00000000" w:rsidRPr="00000000">
        <w:rPr>
          <w:sz w:val="24"/>
          <w:szCs w:val="24"/>
          <w:rtl w:val="0"/>
        </w:rPr>
        <w:t xml:space="preserve"> (2021),  A study and analysis of work stress management among software employees , Vol(20) , 4867-4874 , - Ilkogretim Online, 2021.</w:t>
      </w:r>
      <w:r w:rsidDel="00000000" w:rsidR="00000000" w:rsidRPr="00000000">
        <w:rPr>
          <w:rtl w:val="0"/>
        </w:rPr>
      </w:r>
    </w:p>
    <w:p w:rsidR="00000000" w:rsidDel="00000000" w:rsidP="00000000" w:rsidRDefault="00000000" w:rsidRPr="00000000" w14:paraId="000000ED">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Murugan, K., Selvakumar, V., Venkatesh, P., Manikandan, M., Ramu, M., &amp; Krishnamoorthi, M. (2023, December). The Big Data Analytics and its Effectiveness on Bank Financial Risk Management. In </w:t>
      </w:r>
      <w:r w:rsidDel="00000000" w:rsidR="00000000" w:rsidRPr="00000000">
        <w:rPr>
          <w:i w:val="1"/>
          <w:sz w:val="24"/>
          <w:szCs w:val="24"/>
          <w:rtl w:val="0"/>
        </w:rPr>
        <w:t xml:space="preserve">2023 6th International Conference on Recent Trends in Advance Computing (ICRTAC)</w:t>
      </w:r>
      <w:r w:rsidDel="00000000" w:rsidR="00000000" w:rsidRPr="00000000">
        <w:rPr>
          <w:sz w:val="24"/>
          <w:szCs w:val="24"/>
          <w:rtl w:val="0"/>
        </w:rPr>
        <w:t xml:space="preserve"> (pp. 313-316). IEEE.</w:t>
      </w:r>
      <w:r w:rsidDel="00000000" w:rsidR="00000000" w:rsidRPr="00000000">
        <w:rPr>
          <w:rtl w:val="0"/>
        </w:rPr>
      </w:r>
    </w:p>
    <w:p w:rsidR="00000000" w:rsidDel="00000000" w:rsidP="00000000" w:rsidRDefault="00000000" w:rsidRPr="00000000" w14:paraId="000000EE">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Dr.S.Usha &amp; Dr.D.Jaichitra </w:t>
      </w:r>
      <w:r w:rsidDel="00000000" w:rsidR="00000000" w:rsidRPr="00000000">
        <w:rPr>
          <w:sz w:val="24"/>
          <w:szCs w:val="24"/>
          <w:vertAlign w:val="superscript"/>
          <w:rtl w:val="0"/>
        </w:rPr>
        <w:t xml:space="preserve">“</w:t>
      </w:r>
      <w:r w:rsidDel="00000000" w:rsidR="00000000" w:rsidRPr="00000000">
        <w:rPr>
          <w:sz w:val="24"/>
          <w:szCs w:val="24"/>
          <w:rtl w:val="0"/>
        </w:rPr>
        <w:t xml:space="preserve">A Study on Women Employees Absenteeism with reference to IT  sector in Chennai” Indian Journal of Public Health Research and Development, 2018, 9(2), pp. 11–14.</w:t>
      </w:r>
      <w:r w:rsidDel="00000000" w:rsidR="00000000" w:rsidRPr="00000000">
        <w:rPr>
          <w:rtl w:val="0"/>
        </w:rPr>
      </w:r>
    </w:p>
    <w:p w:rsidR="00000000" w:rsidDel="00000000" w:rsidP="00000000" w:rsidRDefault="00000000" w:rsidRPr="00000000" w14:paraId="000000EF">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Venkatesh, P. "A Study On The Effectiveness Of Talent Acquisition With Reference To Pan Asia Resources." </w:t>
      </w:r>
      <w:r w:rsidDel="00000000" w:rsidR="00000000" w:rsidRPr="00000000">
        <w:rPr>
          <w:i w:val="1"/>
          <w:sz w:val="24"/>
          <w:szCs w:val="24"/>
          <w:rtl w:val="0"/>
        </w:rPr>
        <w:t xml:space="preserve">Studies In Indian Place Names</w:t>
      </w:r>
      <w:r w:rsidDel="00000000" w:rsidR="00000000" w:rsidRPr="00000000">
        <w:rPr>
          <w:sz w:val="24"/>
          <w:szCs w:val="24"/>
          <w:rtl w:val="0"/>
        </w:rPr>
        <w:t xml:space="preserve"> 40.40 (2020): 317.</w:t>
      </w:r>
      <w:r w:rsidDel="00000000" w:rsidR="00000000" w:rsidRPr="00000000">
        <w:rPr>
          <w:rtl w:val="0"/>
        </w:rPr>
      </w:r>
    </w:p>
    <w:p w:rsidR="00000000" w:rsidDel="00000000" w:rsidP="00000000" w:rsidRDefault="00000000" w:rsidRPr="00000000" w14:paraId="000000F0">
      <w:pPr>
        <w:widowControl w:val="1"/>
        <w:numPr>
          <w:ilvl w:val="1"/>
          <w:numId w:val="1"/>
        </w:numPr>
        <w:spacing w:after="160" w:line="360" w:lineRule="auto"/>
        <w:ind w:left="861" w:hanging="361"/>
        <w:rPr>
          <w:rFonts w:ascii="Times New Roman" w:cs="Times New Roman" w:eastAsia="Times New Roman" w:hAnsi="Times New Roman"/>
        </w:rPr>
      </w:pPr>
      <w:r w:rsidDel="00000000" w:rsidR="00000000" w:rsidRPr="00000000">
        <w:rPr>
          <w:sz w:val="24"/>
          <w:szCs w:val="24"/>
          <w:rtl w:val="0"/>
        </w:rPr>
        <w:t xml:space="preserve">  V Dhayalan, CR Senthilnathan, P Venkatesh (2018) </w:t>
      </w:r>
      <w:hyperlink r:id="rId16">
        <w:r w:rsidDel="00000000" w:rsidR="00000000" w:rsidRPr="00000000">
          <w:rPr>
            <w:color w:val="0563c1"/>
            <w:sz w:val="24"/>
            <w:szCs w:val="24"/>
            <w:u w:val="single"/>
            <w:rtl w:val="0"/>
          </w:rPr>
          <w:t xml:space="preserve">Saving habit and investment preference of government school teachers in Vellore District</w:t>
        </w:r>
      </w:hyperlink>
      <w:r w:rsidDel="00000000" w:rsidR="00000000" w:rsidRPr="00000000">
        <w:rPr>
          <w:sz w:val="24"/>
          <w:szCs w:val="24"/>
          <w:rtl w:val="0"/>
        </w:rPr>
        <w:t xml:space="preserve"> , International Journal of Mechanical and Production Engineering Research and Development (IJMPERD) , Volume 8, Issue Special issue 3 , 922-926 , Publisher IJMPERD, Scopus ISSN (P):2249-6890,ISSN(E):2249-8001.</w:t>
      </w:r>
    </w:p>
    <w:p w:rsidR="00000000" w:rsidDel="00000000" w:rsidP="00000000" w:rsidRDefault="00000000" w:rsidRPr="00000000" w14:paraId="000000F1">
      <w:pPr>
        <w:widowControl w:val="1"/>
        <w:numPr>
          <w:ilvl w:val="1"/>
          <w:numId w:val="1"/>
        </w:numPr>
        <w:spacing w:after="240" w:before="240" w:line="360" w:lineRule="auto"/>
        <w:ind w:left="861" w:hanging="361.0000000000001"/>
      </w:pPr>
      <w:r w:rsidDel="00000000" w:rsidR="00000000" w:rsidRPr="00000000">
        <w:rPr>
          <w:sz w:val="24"/>
          <w:szCs w:val="24"/>
          <w:rtl w:val="0"/>
        </w:rPr>
        <w:t xml:space="preserve">Maran, K., and V. Chandra Shekar. "A study on student’s perception of employability skills with respect to engineering institution." International Journal of Research in Engineering, Social Sciences 5.3 (2015): 21-34.</w:t>
      </w:r>
    </w:p>
    <w:p w:rsidR="00000000" w:rsidDel="00000000" w:rsidP="00000000" w:rsidRDefault="00000000" w:rsidRPr="00000000" w14:paraId="000000F2">
      <w:pPr>
        <w:widowControl w:val="1"/>
        <w:numPr>
          <w:ilvl w:val="1"/>
          <w:numId w:val="1"/>
        </w:numPr>
        <w:spacing w:after="240" w:before="240" w:line="360" w:lineRule="auto"/>
        <w:ind w:left="861" w:hanging="361.0000000000001"/>
      </w:pPr>
      <w:r w:rsidDel="00000000" w:rsidR="00000000" w:rsidRPr="00000000">
        <w:rPr>
          <w:sz w:val="24"/>
          <w:szCs w:val="24"/>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F3">
      <w:pPr>
        <w:widowControl w:val="1"/>
        <w:numPr>
          <w:ilvl w:val="1"/>
          <w:numId w:val="1"/>
        </w:numPr>
        <w:spacing w:after="240" w:before="240" w:line="360" w:lineRule="auto"/>
        <w:ind w:left="861" w:hanging="361.0000000000001"/>
      </w:pP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F4">
      <w:pPr>
        <w:widowControl w:val="1"/>
        <w:numPr>
          <w:ilvl w:val="1"/>
          <w:numId w:val="1"/>
        </w:numPr>
        <w:spacing w:after="240" w:before="240" w:line="360" w:lineRule="auto"/>
        <w:ind w:left="861" w:hanging="361.0000000000001"/>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w:t>
      </w:r>
      <w:hyperlink r:id="rId17">
        <w:r w:rsidDel="00000000" w:rsidR="00000000" w:rsidRPr="00000000">
          <w:rPr>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F5">
      <w:pPr>
        <w:widowControl w:val="1"/>
        <w:numPr>
          <w:ilvl w:val="1"/>
          <w:numId w:val="1"/>
        </w:numPr>
        <w:spacing w:after="240" w:before="240" w:line="360" w:lineRule="auto"/>
        <w:ind w:left="861" w:hanging="361.0000000000001"/>
      </w:pPr>
      <w:r w:rsidDel="00000000" w:rsidR="00000000" w:rsidRPr="00000000">
        <w:rPr>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F6">
      <w:pPr>
        <w:widowControl w:val="1"/>
        <w:numPr>
          <w:ilvl w:val="1"/>
          <w:numId w:val="1"/>
        </w:numPr>
        <w:spacing w:after="240" w:before="240" w:line="360" w:lineRule="auto"/>
        <w:ind w:left="861" w:hanging="361.0000000000001"/>
      </w:pPr>
      <w:r w:rsidDel="00000000" w:rsidR="00000000" w:rsidRPr="00000000">
        <w:rPr>
          <w:sz w:val="24"/>
          <w:szCs w:val="24"/>
          <w:rtl w:val="0"/>
        </w:rPr>
        <w:t xml:space="preserve">Sathyanarayana, K. S., and r K. Maran. "Job Stress of Employees." International Journal of Management (IJM) 2.2 (2011): 93-102.</w:t>
      </w:r>
    </w:p>
    <w:p w:rsidR="00000000" w:rsidDel="00000000" w:rsidP="00000000" w:rsidRDefault="00000000" w:rsidRPr="00000000" w14:paraId="000000F7">
      <w:pPr>
        <w:widowControl w:val="1"/>
        <w:spacing w:after="160" w:line="360" w:lineRule="auto"/>
        <w:ind w:left="861" w:firstLine="0"/>
        <w:rPr>
          <w:sz w:val="24"/>
          <w:szCs w:val="24"/>
        </w:rPr>
      </w:pPr>
      <w:r w:rsidDel="00000000" w:rsidR="00000000" w:rsidRPr="00000000">
        <w:rPr>
          <w:rtl w:val="0"/>
        </w:rPr>
      </w:r>
    </w:p>
    <w:sectPr>
      <w:type w:val="nextPage"/>
      <w:pgSz w:h="15840" w:w="12240" w:orient="portrait"/>
      <w:pgMar w:bottom="280" w:top="1380" w:left="1300" w:right="130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22" w:hanging="182.99999999999994"/>
      </w:pPr>
      <w:rPr>
        <w:rFonts w:ascii="Times New Roman" w:cs="Times New Roman" w:eastAsia="Times New Roman" w:hAnsi="Times New Roman"/>
        <w:b w:val="1"/>
        <w:sz w:val="22"/>
        <w:szCs w:val="22"/>
      </w:rPr>
    </w:lvl>
    <w:lvl w:ilvl="1">
      <w:start w:val="0"/>
      <w:numFmt w:val="bullet"/>
      <w:lvlText w:val="●"/>
      <w:lvlJc w:val="left"/>
      <w:pPr>
        <w:ind w:left="861" w:hanging="361.0000000000001"/>
      </w:pPr>
      <w:rPr>
        <w:rFonts w:ascii="Noto Sans Symbols" w:cs="Noto Sans Symbols" w:eastAsia="Noto Sans Symbols" w:hAnsi="Noto Sans Symbols"/>
        <w:sz w:val="24"/>
        <w:szCs w:val="24"/>
      </w:rPr>
    </w:lvl>
    <w:lvl w:ilvl="2">
      <w:start w:val="0"/>
      <w:numFmt w:val="bullet"/>
      <w:lvlText w:val="•"/>
      <w:lvlJc w:val="left"/>
      <w:pPr>
        <w:ind w:left="1835" w:hanging="361"/>
      </w:pPr>
      <w:rPr/>
    </w:lvl>
    <w:lvl w:ilvl="3">
      <w:start w:val="0"/>
      <w:numFmt w:val="bullet"/>
      <w:lvlText w:val="•"/>
      <w:lvlJc w:val="left"/>
      <w:pPr>
        <w:ind w:left="2811" w:hanging="360.99999999999955"/>
      </w:pPr>
      <w:rPr/>
    </w:lvl>
    <w:lvl w:ilvl="4">
      <w:start w:val="0"/>
      <w:numFmt w:val="bullet"/>
      <w:lvlText w:val="•"/>
      <w:lvlJc w:val="left"/>
      <w:pPr>
        <w:ind w:left="3786" w:hanging="361"/>
      </w:pPr>
      <w:rPr/>
    </w:lvl>
    <w:lvl w:ilvl="5">
      <w:start w:val="0"/>
      <w:numFmt w:val="bullet"/>
      <w:lvlText w:val="•"/>
      <w:lvlJc w:val="left"/>
      <w:pPr>
        <w:ind w:left="4762" w:hanging="361"/>
      </w:pPr>
      <w:rPr/>
    </w:lvl>
    <w:lvl w:ilvl="6">
      <w:start w:val="0"/>
      <w:numFmt w:val="bullet"/>
      <w:lvlText w:val="•"/>
      <w:lvlJc w:val="left"/>
      <w:pPr>
        <w:ind w:left="5737" w:hanging="361"/>
      </w:pPr>
      <w:rPr/>
    </w:lvl>
    <w:lvl w:ilvl="7">
      <w:start w:val="0"/>
      <w:numFmt w:val="bullet"/>
      <w:lvlText w:val="•"/>
      <w:lvlJc w:val="left"/>
      <w:pPr>
        <w:ind w:left="6713" w:hanging="361.0000000000018"/>
      </w:pPr>
      <w:rPr/>
    </w:lvl>
    <w:lvl w:ilvl="8">
      <w:start w:val="0"/>
      <w:numFmt w:val="bullet"/>
      <w:lvlText w:val="•"/>
      <w:lvlJc w:val="left"/>
      <w:pPr>
        <w:ind w:left="7688" w:hanging="361.0000000000018"/>
      </w:pPr>
      <w:rPr/>
    </w:lvl>
  </w:abstractNum>
  <w:abstractNum w:abstractNumId="2">
    <w:lvl w:ilvl="0">
      <w:start w:val="1"/>
      <w:numFmt w:val="decimal"/>
      <w:lvlText w:val="%1."/>
      <w:lvlJc w:val="left"/>
      <w:pPr>
        <w:ind w:left="384" w:hanging="245"/>
      </w:pPr>
      <w:rPr>
        <w:rFonts w:ascii="Times New Roman" w:cs="Times New Roman" w:eastAsia="Times New Roman" w:hAnsi="Times New Roman"/>
        <w:b w:val="1"/>
        <w:sz w:val="24"/>
        <w:szCs w:val="24"/>
      </w:rPr>
    </w:lvl>
    <w:lvl w:ilvl="1">
      <w:start w:val="0"/>
      <w:numFmt w:val="bullet"/>
      <w:lvlText w:val="•"/>
      <w:lvlJc w:val="left"/>
      <w:pPr>
        <w:ind w:left="1306" w:hanging="245"/>
      </w:pPr>
      <w:rPr/>
    </w:lvl>
    <w:lvl w:ilvl="2">
      <w:start w:val="0"/>
      <w:numFmt w:val="bullet"/>
      <w:lvlText w:val="•"/>
      <w:lvlJc w:val="left"/>
      <w:pPr>
        <w:ind w:left="2232" w:hanging="245"/>
      </w:pPr>
      <w:rPr/>
    </w:lvl>
    <w:lvl w:ilvl="3">
      <w:start w:val="0"/>
      <w:numFmt w:val="bullet"/>
      <w:lvlText w:val="•"/>
      <w:lvlJc w:val="left"/>
      <w:pPr>
        <w:ind w:left="3158" w:hanging="245"/>
      </w:pPr>
      <w:rPr/>
    </w:lvl>
    <w:lvl w:ilvl="4">
      <w:start w:val="0"/>
      <w:numFmt w:val="bullet"/>
      <w:lvlText w:val="•"/>
      <w:lvlJc w:val="left"/>
      <w:pPr>
        <w:ind w:left="4084" w:hanging="245"/>
      </w:pPr>
      <w:rPr/>
    </w:lvl>
    <w:lvl w:ilvl="5">
      <w:start w:val="0"/>
      <w:numFmt w:val="bullet"/>
      <w:lvlText w:val="•"/>
      <w:lvlJc w:val="left"/>
      <w:pPr>
        <w:ind w:left="5010" w:hanging="245"/>
      </w:pPr>
      <w:rPr/>
    </w:lvl>
    <w:lvl w:ilvl="6">
      <w:start w:val="0"/>
      <w:numFmt w:val="bullet"/>
      <w:lvlText w:val="•"/>
      <w:lvlJc w:val="left"/>
      <w:pPr>
        <w:ind w:left="5936" w:hanging="245"/>
      </w:pPr>
      <w:rPr/>
    </w:lvl>
    <w:lvl w:ilvl="7">
      <w:start w:val="0"/>
      <w:numFmt w:val="bullet"/>
      <w:lvlText w:val="•"/>
      <w:lvlJc w:val="left"/>
      <w:pPr>
        <w:ind w:left="6862" w:hanging="245"/>
      </w:pPr>
      <w:rPr/>
    </w:lvl>
    <w:lvl w:ilvl="8">
      <w:start w:val="0"/>
      <w:numFmt w:val="bullet"/>
      <w:lvlText w:val="•"/>
      <w:lvlJc w:val="left"/>
      <w:pPr>
        <w:ind w:left="7788" w:hanging="245"/>
      </w:pPr>
      <w:rPr/>
    </w:lvl>
  </w:abstractNum>
  <w:abstractNum w:abstractNumId="3">
    <w:lvl w:ilvl="0">
      <w:start w:val="1"/>
      <w:numFmt w:val="decimal"/>
      <w:lvlText w:val="%1."/>
      <w:lvlJc w:val="left"/>
      <w:pPr>
        <w:ind w:left="140" w:hanging="240"/>
      </w:pPr>
      <w:rPr>
        <w:rFonts w:ascii="Times New Roman" w:cs="Times New Roman" w:eastAsia="Times New Roman" w:hAnsi="Times New Roman"/>
        <w:b w:val="1"/>
        <w:sz w:val="24"/>
        <w:szCs w:val="24"/>
      </w:rPr>
    </w:lvl>
    <w:lvl w:ilvl="1">
      <w:start w:val="0"/>
      <w:numFmt w:val="bullet"/>
      <w:lvlText w:val="•"/>
      <w:lvlJc w:val="left"/>
      <w:pPr>
        <w:ind w:left="1090" w:hanging="240"/>
      </w:pPr>
      <w:rPr/>
    </w:lvl>
    <w:lvl w:ilvl="2">
      <w:start w:val="0"/>
      <w:numFmt w:val="bullet"/>
      <w:lvlText w:val="•"/>
      <w:lvlJc w:val="left"/>
      <w:pPr>
        <w:ind w:left="2040" w:hanging="240"/>
      </w:pPr>
      <w:rPr/>
    </w:lvl>
    <w:lvl w:ilvl="3">
      <w:start w:val="0"/>
      <w:numFmt w:val="bullet"/>
      <w:lvlText w:val="•"/>
      <w:lvlJc w:val="left"/>
      <w:pPr>
        <w:ind w:left="2990" w:hanging="240"/>
      </w:pPr>
      <w:rPr/>
    </w:lvl>
    <w:lvl w:ilvl="4">
      <w:start w:val="0"/>
      <w:numFmt w:val="bullet"/>
      <w:lvlText w:val="•"/>
      <w:lvlJc w:val="left"/>
      <w:pPr>
        <w:ind w:left="3940" w:hanging="240"/>
      </w:pPr>
      <w:rPr/>
    </w:lvl>
    <w:lvl w:ilvl="5">
      <w:start w:val="0"/>
      <w:numFmt w:val="bullet"/>
      <w:lvlText w:val="•"/>
      <w:lvlJc w:val="left"/>
      <w:pPr>
        <w:ind w:left="4890" w:hanging="240"/>
      </w:pPr>
      <w:rPr/>
    </w:lvl>
    <w:lvl w:ilvl="6">
      <w:start w:val="0"/>
      <w:numFmt w:val="bullet"/>
      <w:lvlText w:val="•"/>
      <w:lvlJc w:val="left"/>
      <w:pPr>
        <w:ind w:left="5840" w:hanging="240"/>
      </w:pPr>
      <w:rPr/>
    </w:lvl>
    <w:lvl w:ilvl="7">
      <w:start w:val="0"/>
      <w:numFmt w:val="bullet"/>
      <w:lvlText w:val="•"/>
      <w:lvlJc w:val="left"/>
      <w:pPr>
        <w:ind w:left="6790" w:hanging="240"/>
      </w:pPr>
      <w:rPr/>
    </w:lvl>
    <w:lvl w:ilvl="8">
      <w:start w:val="0"/>
      <w:numFmt w:val="bullet"/>
      <w:lvlText w:val="•"/>
      <w:lvlJc w:val="left"/>
      <w:pPr>
        <w:ind w:left="7740" w:hanging="240"/>
      </w:pPr>
      <w:rPr/>
    </w:lvl>
  </w:abstractNum>
  <w:abstractNum w:abstractNumId="4">
    <w:lvl w:ilvl="0">
      <w:start w:val="1"/>
      <w:numFmt w:val="decimal"/>
      <w:lvlText w:val="%1."/>
      <w:lvlJc w:val="left"/>
      <w:pPr>
        <w:ind w:left="384" w:hanging="245"/>
      </w:pPr>
      <w:rPr>
        <w:rFonts w:ascii="Times New Roman" w:cs="Times New Roman" w:eastAsia="Times New Roman" w:hAnsi="Times New Roman"/>
        <w:b w:val="1"/>
        <w:sz w:val="24"/>
        <w:szCs w:val="24"/>
      </w:rPr>
    </w:lvl>
    <w:lvl w:ilvl="1">
      <w:start w:val="0"/>
      <w:numFmt w:val="bullet"/>
      <w:lvlText w:val="●"/>
      <w:lvlJc w:val="left"/>
      <w:pPr>
        <w:ind w:left="861" w:hanging="361.0000000000001"/>
      </w:pPr>
      <w:rPr>
        <w:rFonts w:ascii="Times New Roman" w:cs="Times New Roman" w:eastAsia="Times New Roman" w:hAnsi="Times New Roman"/>
        <w:sz w:val="24"/>
        <w:szCs w:val="24"/>
      </w:rPr>
    </w:lvl>
    <w:lvl w:ilvl="2">
      <w:start w:val="0"/>
      <w:numFmt w:val="bullet"/>
      <w:lvlText w:val="•"/>
      <w:lvlJc w:val="left"/>
      <w:pPr>
        <w:ind w:left="1835" w:hanging="361"/>
      </w:pPr>
      <w:rPr/>
    </w:lvl>
    <w:lvl w:ilvl="3">
      <w:start w:val="0"/>
      <w:numFmt w:val="bullet"/>
      <w:lvlText w:val="•"/>
      <w:lvlJc w:val="left"/>
      <w:pPr>
        <w:ind w:left="2811" w:hanging="360.99999999999955"/>
      </w:pPr>
      <w:rPr/>
    </w:lvl>
    <w:lvl w:ilvl="4">
      <w:start w:val="0"/>
      <w:numFmt w:val="bullet"/>
      <w:lvlText w:val="•"/>
      <w:lvlJc w:val="left"/>
      <w:pPr>
        <w:ind w:left="3786" w:hanging="361"/>
      </w:pPr>
      <w:rPr/>
    </w:lvl>
    <w:lvl w:ilvl="5">
      <w:start w:val="0"/>
      <w:numFmt w:val="bullet"/>
      <w:lvlText w:val="•"/>
      <w:lvlJc w:val="left"/>
      <w:pPr>
        <w:ind w:left="4762" w:hanging="361"/>
      </w:pPr>
      <w:rPr/>
    </w:lvl>
    <w:lvl w:ilvl="6">
      <w:start w:val="0"/>
      <w:numFmt w:val="bullet"/>
      <w:lvlText w:val="•"/>
      <w:lvlJc w:val="left"/>
      <w:pPr>
        <w:ind w:left="5737" w:hanging="361"/>
      </w:pPr>
      <w:rPr/>
    </w:lvl>
    <w:lvl w:ilvl="7">
      <w:start w:val="0"/>
      <w:numFmt w:val="bullet"/>
      <w:lvlText w:val="•"/>
      <w:lvlJc w:val="left"/>
      <w:pPr>
        <w:ind w:left="6713" w:hanging="361.0000000000018"/>
      </w:pPr>
      <w:rPr/>
    </w:lvl>
    <w:lvl w:ilvl="8">
      <w:start w:val="0"/>
      <w:numFmt w:val="bullet"/>
      <w:lvlText w:val="•"/>
      <w:lvlJc w:val="left"/>
      <w:pPr>
        <w:ind w:left="7688" w:hanging="361.0000000000018"/>
      </w:pPr>
      <w:rPr/>
    </w:lvl>
  </w:abstractNum>
  <w:abstractNum w:abstractNumId="5">
    <w:lvl w:ilvl="0">
      <w:start w:val="1"/>
      <w:numFmt w:val="lowerLetter"/>
      <w:lvlText w:val="%1)"/>
      <w:lvlJc w:val="left"/>
      <w:pPr>
        <w:ind w:left="404" w:hanging="264"/>
      </w:pPr>
      <w:rPr>
        <w:rFonts w:ascii="Times New Roman" w:cs="Times New Roman" w:eastAsia="Times New Roman" w:hAnsi="Times New Roman"/>
        <w:b w:val="1"/>
        <w:sz w:val="24"/>
        <w:szCs w:val="24"/>
      </w:rPr>
    </w:lvl>
    <w:lvl w:ilvl="1">
      <w:start w:val="0"/>
      <w:numFmt w:val="bullet"/>
      <w:lvlText w:val="•"/>
      <w:lvlJc w:val="left"/>
      <w:pPr>
        <w:ind w:left="1324" w:hanging="264"/>
      </w:pPr>
      <w:rPr/>
    </w:lvl>
    <w:lvl w:ilvl="2">
      <w:start w:val="0"/>
      <w:numFmt w:val="bullet"/>
      <w:lvlText w:val="•"/>
      <w:lvlJc w:val="left"/>
      <w:pPr>
        <w:ind w:left="2248" w:hanging="264"/>
      </w:pPr>
      <w:rPr/>
    </w:lvl>
    <w:lvl w:ilvl="3">
      <w:start w:val="0"/>
      <w:numFmt w:val="bullet"/>
      <w:lvlText w:val="•"/>
      <w:lvlJc w:val="left"/>
      <w:pPr>
        <w:ind w:left="3172" w:hanging="264"/>
      </w:pPr>
      <w:rPr/>
    </w:lvl>
    <w:lvl w:ilvl="4">
      <w:start w:val="0"/>
      <w:numFmt w:val="bullet"/>
      <w:lvlText w:val="•"/>
      <w:lvlJc w:val="left"/>
      <w:pPr>
        <w:ind w:left="4096" w:hanging="263.99999999999955"/>
      </w:pPr>
      <w:rPr/>
    </w:lvl>
    <w:lvl w:ilvl="5">
      <w:start w:val="0"/>
      <w:numFmt w:val="bullet"/>
      <w:lvlText w:val="•"/>
      <w:lvlJc w:val="left"/>
      <w:pPr>
        <w:ind w:left="5020" w:hanging="264"/>
      </w:pPr>
      <w:rPr/>
    </w:lvl>
    <w:lvl w:ilvl="6">
      <w:start w:val="0"/>
      <w:numFmt w:val="bullet"/>
      <w:lvlText w:val="•"/>
      <w:lvlJc w:val="left"/>
      <w:pPr>
        <w:ind w:left="5944" w:hanging="264"/>
      </w:pPr>
      <w:rPr/>
    </w:lvl>
    <w:lvl w:ilvl="7">
      <w:start w:val="0"/>
      <w:numFmt w:val="bullet"/>
      <w:lvlText w:val="•"/>
      <w:lvlJc w:val="left"/>
      <w:pPr>
        <w:ind w:left="6868" w:hanging="264"/>
      </w:pPr>
      <w:rPr/>
    </w:lvl>
    <w:lvl w:ilvl="8">
      <w:start w:val="0"/>
      <w:numFmt w:val="bullet"/>
      <w:lvlText w:val="•"/>
      <w:lvlJc w:val="left"/>
      <w:pPr>
        <w:ind w:left="7792" w:hanging="263.9999999999982"/>
      </w:pPr>
      <w:rPr/>
    </w:lvl>
  </w:abstractNum>
  <w:abstractNum w:abstractNumId="6">
    <w:lvl w:ilvl="0">
      <w:start w:val="1"/>
      <w:numFmt w:val="lowerLetter"/>
      <w:lvlText w:val="(%1)"/>
      <w:lvlJc w:val="left"/>
      <w:pPr>
        <w:ind w:left="485" w:hanging="345"/>
      </w:pPr>
      <w:rPr>
        <w:rFonts w:ascii="Times New Roman" w:cs="Times New Roman" w:eastAsia="Times New Roman" w:hAnsi="Times New Roman"/>
        <w:b w:val="1"/>
        <w:sz w:val="24"/>
        <w:szCs w:val="24"/>
      </w:rPr>
    </w:lvl>
    <w:lvl w:ilvl="1">
      <w:start w:val="0"/>
      <w:numFmt w:val="bullet"/>
      <w:lvlText w:val="•"/>
      <w:lvlJc w:val="left"/>
      <w:pPr>
        <w:ind w:left="1396" w:hanging="345"/>
      </w:pPr>
      <w:rPr/>
    </w:lvl>
    <w:lvl w:ilvl="2">
      <w:start w:val="0"/>
      <w:numFmt w:val="bullet"/>
      <w:lvlText w:val="•"/>
      <w:lvlJc w:val="left"/>
      <w:pPr>
        <w:ind w:left="2312" w:hanging="345"/>
      </w:pPr>
      <w:rPr/>
    </w:lvl>
    <w:lvl w:ilvl="3">
      <w:start w:val="0"/>
      <w:numFmt w:val="bullet"/>
      <w:lvlText w:val="•"/>
      <w:lvlJc w:val="left"/>
      <w:pPr>
        <w:ind w:left="3228" w:hanging="345"/>
      </w:pPr>
      <w:rPr/>
    </w:lvl>
    <w:lvl w:ilvl="4">
      <w:start w:val="0"/>
      <w:numFmt w:val="bullet"/>
      <w:lvlText w:val="•"/>
      <w:lvlJc w:val="left"/>
      <w:pPr>
        <w:ind w:left="4144" w:hanging="345"/>
      </w:pPr>
      <w:rPr/>
    </w:lvl>
    <w:lvl w:ilvl="5">
      <w:start w:val="0"/>
      <w:numFmt w:val="bullet"/>
      <w:lvlText w:val="•"/>
      <w:lvlJc w:val="left"/>
      <w:pPr>
        <w:ind w:left="5060" w:hanging="345"/>
      </w:pPr>
      <w:rPr/>
    </w:lvl>
    <w:lvl w:ilvl="6">
      <w:start w:val="0"/>
      <w:numFmt w:val="bullet"/>
      <w:lvlText w:val="•"/>
      <w:lvlJc w:val="left"/>
      <w:pPr>
        <w:ind w:left="5976" w:hanging="345"/>
      </w:pPr>
      <w:rPr/>
    </w:lvl>
    <w:lvl w:ilvl="7">
      <w:start w:val="0"/>
      <w:numFmt w:val="bullet"/>
      <w:lvlText w:val="•"/>
      <w:lvlJc w:val="left"/>
      <w:pPr>
        <w:ind w:left="6892" w:hanging="345"/>
      </w:pPr>
      <w:rPr/>
    </w:lvl>
    <w:lvl w:ilvl="8">
      <w:start w:val="0"/>
      <w:numFmt w:val="bullet"/>
      <w:lvlText w:val="•"/>
      <w:lvlJc w:val="left"/>
      <w:pPr>
        <w:ind w:left="7808" w:hanging="345"/>
      </w:pPr>
      <w:rPr/>
    </w:lvl>
  </w:abstractNum>
  <w:abstractNum w:abstractNumId="7">
    <w:lvl w:ilvl="0">
      <w:start w:val="1"/>
      <w:numFmt w:val="decimal"/>
      <w:lvlText w:val="%1."/>
      <w:lvlJc w:val="left"/>
      <w:pPr>
        <w:ind w:left="384" w:hanging="245"/>
      </w:pPr>
      <w:rPr>
        <w:rFonts w:ascii="Times New Roman" w:cs="Times New Roman" w:eastAsia="Times New Roman" w:hAnsi="Times New Roman"/>
        <w:b w:val="1"/>
        <w:sz w:val="24"/>
        <w:szCs w:val="24"/>
      </w:rPr>
    </w:lvl>
    <w:lvl w:ilvl="1">
      <w:start w:val="0"/>
      <w:numFmt w:val="bullet"/>
      <w:lvlText w:val="•"/>
      <w:lvlJc w:val="left"/>
      <w:pPr>
        <w:ind w:left="1306" w:hanging="245"/>
      </w:pPr>
      <w:rPr/>
    </w:lvl>
    <w:lvl w:ilvl="2">
      <w:start w:val="0"/>
      <w:numFmt w:val="bullet"/>
      <w:lvlText w:val="•"/>
      <w:lvlJc w:val="left"/>
      <w:pPr>
        <w:ind w:left="2232" w:hanging="245"/>
      </w:pPr>
      <w:rPr/>
    </w:lvl>
    <w:lvl w:ilvl="3">
      <w:start w:val="0"/>
      <w:numFmt w:val="bullet"/>
      <w:lvlText w:val="•"/>
      <w:lvlJc w:val="left"/>
      <w:pPr>
        <w:ind w:left="3158" w:hanging="245"/>
      </w:pPr>
      <w:rPr/>
    </w:lvl>
    <w:lvl w:ilvl="4">
      <w:start w:val="0"/>
      <w:numFmt w:val="bullet"/>
      <w:lvlText w:val="•"/>
      <w:lvlJc w:val="left"/>
      <w:pPr>
        <w:ind w:left="4084" w:hanging="245"/>
      </w:pPr>
      <w:rPr/>
    </w:lvl>
    <w:lvl w:ilvl="5">
      <w:start w:val="0"/>
      <w:numFmt w:val="bullet"/>
      <w:lvlText w:val="•"/>
      <w:lvlJc w:val="left"/>
      <w:pPr>
        <w:ind w:left="5010" w:hanging="245"/>
      </w:pPr>
      <w:rPr/>
    </w:lvl>
    <w:lvl w:ilvl="6">
      <w:start w:val="0"/>
      <w:numFmt w:val="bullet"/>
      <w:lvlText w:val="•"/>
      <w:lvlJc w:val="left"/>
      <w:pPr>
        <w:ind w:left="5936" w:hanging="245"/>
      </w:pPr>
      <w:rPr/>
    </w:lvl>
    <w:lvl w:ilvl="7">
      <w:start w:val="0"/>
      <w:numFmt w:val="bullet"/>
      <w:lvlText w:val="•"/>
      <w:lvlJc w:val="left"/>
      <w:pPr>
        <w:ind w:left="6862" w:hanging="245"/>
      </w:pPr>
      <w:rPr/>
    </w:lvl>
    <w:lvl w:ilvl="8">
      <w:start w:val="0"/>
      <w:numFmt w:val="bullet"/>
      <w:lvlText w:val="•"/>
      <w:lvlJc w:val="left"/>
      <w:pPr>
        <w:ind w:left="7788" w:hanging="245"/>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58" w:lineRule="auto"/>
      <w:ind w:left="140"/>
    </w:pPr>
    <w:rPr>
      <w:rFonts w:ascii="Times New Roman" w:cs="Times New Roman" w:eastAsia="Times New Roman" w:hAnsi="Times New Roman"/>
      <w:b w:val="1"/>
      <w:sz w:val="28"/>
      <w:szCs w:val="28"/>
    </w:rPr>
  </w:style>
  <w:style w:type="paragraph" w:styleId="Heading2">
    <w:name w:val="heading 2"/>
    <w:basedOn w:val="Normal"/>
    <w:next w:val="Normal"/>
    <w:pPr>
      <w:ind w:left="384" w:hanging="245"/>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spacing w:before="58" w:lineRule="auto"/>
      <w:ind w:left="140"/>
    </w:pPr>
    <w:rPr>
      <w:rFonts w:ascii="Times New Roman" w:cs="Times New Roman" w:eastAsia="Times New Roman" w:hAnsi="Times New Roman"/>
      <w:b w:val="1"/>
      <w:sz w:val="28"/>
      <w:szCs w:val="28"/>
    </w:rPr>
  </w:style>
  <w:style w:type="paragraph" w:styleId="Heading2">
    <w:name w:val="heading 2"/>
    <w:basedOn w:val="Normal"/>
    <w:next w:val="Normal"/>
    <w:pPr>
      <w:ind w:left="384" w:hanging="245"/>
      <w:jc w:val="both"/>
    </w:pPr>
    <w:rPr>
      <w:rFonts w:ascii="Times New Roman" w:cs="Times New Roman" w:eastAsia="Times New Roman" w:hAnsi="Times New Roman"/>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spacing w:before="58"/>
      <w:ind w:left="140"/>
      <w:outlineLvl w:val="1"/>
    </w:pPr>
    <w:rPr>
      <w:rFonts w:ascii="Times New Roman" w:cs="Times New Roman" w:eastAsia="Times New Roman" w:hAnsi="Times New Roman"/>
      <w:b w:val="1"/>
      <w:bCs w:val="1"/>
      <w:sz w:val="28"/>
      <w:szCs w:val="28"/>
      <w:lang w:bidi="ar-SA" w:eastAsia="en-US" w:val="en-US"/>
    </w:rPr>
  </w:style>
  <w:style w:type="paragraph" w:styleId="Heading2">
    <w:name w:val="Heading 2"/>
    <w:basedOn w:val="Normal"/>
    <w:uiPriority w:val="1"/>
    <w:qFormat w:val="1"/>
    <w:pPr>
      <w:ind w:left="384" w:hanging="245"/>
      <w:jc w:val="both"/>
      <w:outlineLvl w:val="2"/>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861" w:hanging="361"/>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spacing w:before="92"/>
      <w:ind w:left="99"/>
    </w:pPr>
    <w:rPr>
      <w:rFonts w:ascii="Times New Roman" w:cs="Times New Roman" w:eastAsia="Times New Roman" w:hAnsi="Times New Roman"/>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52783/jier.v4i2.1263" TargetMode="External"/><Relationship Id="rId10" Type="http://schemas.openxmlformats.org/officeDocument/2006/relationships/hyperlink" Target="http://www.sciencedirect.com/science/article/pii/8S1877050919301253)" TargetMode="External"/><Relationship Id="rId13" Type="http://schemas.openxmlformats.org/officeDocument/2006/relationships/hyperlink" Target="https://doi.org/10.2991/ahsseh.k.220105.017" TargetMode="External"/><Relationship Id="rId12" Type="http://schemas.openxmlformats.org/officeDocument/2006/relationships/hyperlink" Target="https://jcrm.psgim.ac.in/index.php/jcrm/article/view/8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ciencedirect.com/science/article/pii/8S1877050919301253)" TargetMode="External"/><Relationship Id="rId15" Type="http://schemas.openxmlformats.org/officeDocument/2006/relationships/hyperlink" Target="https://scholar.google.com/citations?user=68a4pmIAAAAJ&amp;hl=en&amp;oi=sra" TargetMode="External"/><Relationship Id="rId14" Type="http://schemas.openxmlformats.org/officeDocument/2006/relationships/hyperlink" Target="https://scholar.google.com/citations?user=lfAF7eQAAAAJ&amp;hl=en&amp;oi=sra" TargetMode="External"/><Relationship Id="rId17" Type="http://schemas.openxmlformats.org/officeDocument/2006/relationships/hyperlink" Target="https://doi.org/10.1109/incos59338.2024.10527779" TargetMode="External"/><Relationship Id="rId16" Type="http://schemas.openxmlformats.org/officeDocument/2006/relationships/hyperlink" Target="https://scholar.google.com/scholar?oi=bibs&amp;cluster=10629811905696137060&amp;btnI=1&amp;hl=en&amp;authuser=1"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RoFTchIyKfSMxy2UDLlpqiVUTQ==">CgMxLjAyCWlkLmdqZGd4czIKaWQuMzBqMHpsbDgAciExMkpLemViVHdXM1NaUHV1U19tZFBWWDBqenNrWlhEclU=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2024-11-24T05:18:27Z</dcterms:created>
  <dc:creator>HP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2024-10-22T00:00:00Z</vt:filetime>
  </property>
  <property fmtid="{D5CDD505-2E9C-101B-9397-08002B2CF9AE}" pid="3" name="Creator">
    <vt:lpwstr>Microsoft® Word 2016</vt:lpwstr>
  </property>
  <property fmtid="{D5CDD505-2E9C-101B-9397-08002B2CF9AE}" pid="4" name="LastSaved">
    <vt:filetime>2024-11-24T00:00:00Z</vt:filetime>
  </property>
</Properties>
</file>