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360" w:before="0" w:line="36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GENERATIONAL DIFFERENCES IN THE WORKPLACE WITH REFERENCE TO THERMAX LTD CHENNAI</w:t>
      </w:r>
    </w:p>
    <w:p w:rsidR="00000000" w:rsidDel="00000000" w:rsidP="00000000" w:rsidRDefault="00000000" w:rsidRPr="00000000" w14:paraId="00000002">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P Venkatesh</w:t>
      </w:r>
      <w:r w:rsidDel="00000000" w:rsidR="00000000" w:rsidRPr="00000000">
        <w:rPr>
          <w:rtl w:val="0"/>
        </w:rPr>
      </w:r>
    </w:p>
    <w:p w:rsidR="00000000" w:rsidDel="00000000" w:rsidP="00000000" w:rsidRDefault="00000000" w:rsidRPr="00000000" w14:paraId="00000003">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Associate Professor, Sri Sairam Institute of Management Studies</w:t>
      </w:r>
    </w:p>
    <w:p w:rsidR="00000000" w:rsidDel="00000000" w:rsidP="00000000" w:rsidRDefault="00000000" w:rsidRPr="00000000" w14:paraId="00000004">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5">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venkatesh.mba@sairam.edu.in</w:t>
      </w:r>
    </w:p>
    <w:p w:rsidR="00000000" w:rsidDel="00000000" w:rsidP="00000000" w:rsidRDefault="00000000" w:rsidRPr="00000000" w14:paraId="00000006">
      <w:pPr>
        <w:spacing w:after="0" w:before="0" w:line="360" w:lineRule="auto"/>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7">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Mr.N Hari Prasath</w:t>
      </w:r>
      <w:r w:rsidDel="00000000" w:rsidR="00000000" w:rsidRPr="00000000">
        <w:rPr>
          <w:rtl w:val="0"/>
        </w:rPr>
      </w:r>
    </w:p>
    <w:p w:rsidR="00000000" w:rsidDel="00000000" w:rsidP="00000000" w:rsidRDefault="00000000" w:rsidRPr="00000000" w14:paraId="00000008">
      <w:pPr>
        <w:spacing w:after="0" w:before="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 Sri Sairam Institute of Management Studies</w:t>
      </w:r>
    </w:p>
    <w:p w:rsidR="00000000" w:rsidDel="00000000" w:rsidP="00000000" w:rsidRDefault="00000000" w:rsidRPr="00000000" w14:paraId="00000009">
      <w:pPr>
        <w:spacing w:after="0" w:before="0" w:line="360" w:lineRule="auto"/>
        <w:jc w:val="center"/>
        <w:rPr>
          <w:rFonts w:ascii="Times New Roman" w:cs="Times New Roman" w:eastAsia="Times New Roman" w:hAnsi="Times New Roman"/>
          <w:sz w:val="24"/>
          <w:szCs w:val="24"/>
        </w:rPr>
        <w:sectPr>
          <w:pgSz w:h="16838" w:w="11906" w:orient="portrait"/>
          <w:pgMar w:bottom="1440" w:top="1440" w:left="1440" w:right="1440" w:header="708" w:footer="708"/>
          <w:pgNumType w:start="1"/>
        </w:sectPr>
      </w:pPr>
      <w:r w:rsidDel="00000000" w:rsidR="00000000" w:rsidRPr="00000000">
        <w:rPr>
          <w:rFonts w:ascii="Times New Roman" w:cs="Times New Roman" w:eastAsia="Times New Roman" w:hAnsi="Times New Roman"/>
          <w:sz w:val="24"/>
          <w:szCs w:val="24"/>
          <w:rtl w:val="0"/>
        </w:rPr>
        <w:t xml:space="preserve">Sri Sairam Engineering College, Chennai . </w:t>
      </w:r>
    </w:p>
    <w:p w:rsidR="00000000" w:rsidDel="00000000" w:rsidP="00000000" w:rsidRDefault="00000000" w:rsidRPr="00000000" w14:paraId="0000000A">
      <w:pPr>
        <w:spacing w:line="360" w:lineRule="auto"/>
        <w:jc w:val="both"/>
        <w:rPr>
          <w:rFonts w:ascii="Times New Roman" w:cs="Times New Roman" w:eastAsia="Times New Roman" w:hAnsi="Times New Roman"/>
          <w:b w:val="1"/>
          <w:sz w:val="24"/>
          <w:szCs w:val="24"/>
        </w:rPr>
        <w:sectPr>
          <w:type w:val="continuous"/>
          <w:pgSz w:h="16838" w:w="11906" w:orient="portrait"/>
          <w:pgMar w:bottom="1440" w:top="1440" w:left="1440" w:right="1440" w:header="708" w:footer="708"/>
        </w:sect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examines generational disparities in the modern workplace, focusing on the effects of Baby Boomers, Generation X, Generation Y, and Generation Z on organizational culture, communication, leadership styles, and employee engagement. Through literature analysis and empirical data from 106 respondents, it highlights each generation's unique traits, values, and work preferences. Key topics include technology's impact on communication, work-life balance, and career growth prospects. The research also explores strategies to bridge generational divides and leverage the diverse talents of multi-generational teams to foster innovation and organizational success.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words: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Generational disparities, leadership styles, work-life balance, career growth, multi-generational workforce, diversity in workplace.</w:t>
      </w:r>
    </w:p>
    <w:p w:rsidR="00000000" w:rsidDel="00000000" w:rsidP="00000000" w:rsidRDefault="00000000" w:rsidRPr="00000000" w14:paraId="0000000D">
      <w:pPr>
        <w:pStyle w:val="Heading1"/>
        <w:spacing w:line="360" w:lineRule="auto"/>
        <w:rPr>
          <w:sz w:val="24"/>
          <w:szCs w:val="24"/>
        </w:rPr>
      </w:pPr>
      <w:r w:rsidDel="00000000" w:rsidR="00000000" w:rsidRPr="00000000">
        <w:rPr>
          <w:sz w:val="24"/>
          <w:szCs w:val="24"/>
          <w:rtl w:val="0"/>
        </w:rPr>
        <w:t xml:space="preserve">1. INTRODUCTION </w:t>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Generational diversity in the workplace is an effective phenomenon characterized by coexistence of individuals from different age groups, each have their own perspective, value and work styles. This diversity covers different age groups named as Baby Boomers, Generation X, Millennial, and Generation Z each have their own set of experience and expectation to the workplace. Investigating generational diversity stimulates knowledge sharing, build up innovation, and improves the problem solving capacity within the workplace. Generational difference brings in challenges in the work like communication barrier, varying approaches to technology, and different attitude towards work-life balance. It is responsibility of the HR to implement the effective management in order to coordinate each generation so that they can feel valued and respected in the workplace. Having a clear understanding and appreciating the diverse standpoint and contributions of each generation helps to engage the full potential of workforce and thrive in an increasingly competitive global landscape.    </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Generational difference in the workplace also helps in bringing opportunities like mentorship and knowledge transfer. Older generation possess valuable industry, institutional and life experience which can be passed down to younger generation. Whereas younger generations have fresh perspectives, technology proficiency and innovative thinking that can revive traditional practices. Encouraging intergenerational collaboration and mentorship guiding not only helps in skill development and career growth but also advances a sense of camaraderie and mutual respect among the different age groups. Encompassing generational differences will improve the employee engagement and retention by creating a more inclusive and supportive work environment where individuals of all ages feel empowered to contribute and grow more.An organisation which productively manage and weighs generational diversity are better advanced to adapt the market changes, indulges innovation and achieve sustainable growth in the long term</w:t>
      </w:r>
    </w:p>
    <w:p w:rsidR="00000000" w:rsidDel="00000000" w:rsidP="00000000" w:rsidRDefault="00000000" w:rsidRPr="00000000" w14:paraId="00000010">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BENEFITS OF WORKPLACE WITH MANY GENERATIONS:</w:t>
      </w:r>
    </w:p>
    <w:p w:rsidR="00000000" w:rsidDel="00000000" w:rsidP="00000000" w:rsidRDefault="00000000" w:rsidRPr="00000000" w14:paraId="0000001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sectPr>
          <w:type w:val="continuous"/>
          <w:pgSz w:h="16838" w:w="11906" w:orient="portrait"/>
          <w:pgMar w:bottom="1440" w:top="1440" w:left="1440" w:right="1440" w:header="708" w:footer="708"/>
        </w:sect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Varied Viewpoint: </w:t>
      </w: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Different generations may have varying perceptions of job responsibilities. When viewpoints are exchanged within and between teams, the diverse information and skills that each generation brings to the table can foster innovation.</w:t>
      </w:r>
    </w:p>
    <w:p w:rsidR="00000000" w:rsidDel="00000000" w:rsidP="00000000" w:rsidRDefault="00000000" w:rsidRPr="00000000" w14:paraId="0000001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Ability to Solve Problems Creatively: </w:t>
      </w: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Combining different viewpoints and skill sets leads to innovative solutions to challenges. Our life experiences shape how we interact with others and address difficulties and conflicts. Consequently, teams composed of various age groups can offer a multitude of approaches to problem-solving</w:t>
      </w:r>
    </w:p>
    <w:p w:rsidR="00000000" w:rsidDel="00000000" w:rsidP="00000000" w:rsidRDefault="00000000" w:rsidRPr="00000000" w14:paraId="0000001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Opportunities for Mentorship and Learning:</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 diverse team offers more opportunities for interaction and knowledge sharing among its members, including mentoring that benefits everyone involved. Experienced workers can offer career growth advice to less experienced staff, while cross-generational and reverse mentoring allow less experienced members to coach their senior counterparts on emerging technologies and trends.</w:t>
      </w:r>
    </w:p>
    <w:p w:rsidR="00000000" w:rsidDel="00000000" w:rsidP="00000000" w:rsidRDefault="00000000" w:rsidRPr="00000000" w14:paraId="0000001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Transfer of Knowledge and Retention:</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The strengths and insights that each generation brings to the table better position the company to meet its future leadership needs. A strong internal talent pipeline helps the organization retain its implicit knowledge, shifting the focus from external recruitment to internal promotion.</w:t>
      </w:r>
    </w:p>
    <w:p w:rsidR="00000000" w:rsidDel="00000000" w:rsidP="00000000" w:rsidRDefault="00000000" w:rsidRPr="00000000" w14:paraId="0000001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Special Connection:</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Deep connections with coworkers can support employees' emotional needs and enhance workplace happiness. An organization's age distribution, resembling a family's structure, offers opportunities for individuals to form close relationships with colleagues from different generations.</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CHALLENGES OF WORKPLACE WITH MANY GENERATIONS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Communication Process: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Different generations may have varying preferences for communication methods and ways of interpreting tone. Options for communicating with employees include phone conversations, video calls, instant messaging, and email. Careful consideration is required to select the most effective approach to engage team members and prevent communication breakdown. </w:t>
      </w:r>
    </w:p>
    <w:p w:rsidR="00000000" w:rsidDel="00000000" w:rsidP="00000000" w:rsidRDefault="00000000" w:rsidRPr="00000000" w14:paraId="0000001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Negative Stereotypes:</w:t>
      </w: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People often have preconceived notions about those in different age groups, similar to any other form of diversity. Older generations might view younger people as entitled and overly sensitive “snowflakes”, while younger workers might see more experienced employees as rigid and resistant to technology. These negative perceptions, shaped by broad generalizations, can lead to ageism, unequal treatment, toxic workplace cultures, and legal issues.</w:t>
      </w:r>
    </w:p>
    <w:p w:rsidR="00000000" w:rsidDel="00000000" w:rsidP="00000000" w:rsidRDefault="00000000" w:rsidRPr="00000000" w14:paraId="0000002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360" w:lineRule="auto"/>
        <w:ind w:left="36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Differentiating between employee expectations: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People from different generations may have varying job expectations. They might differ in how they perform their duties, absorb knowledge from training sessions, and expect their performance to be evaluated. Additionally, different generations may distinct views on what constitution an appropriate compensation package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pStyle w:val="Heading1"/>
        <w:spacing w:line="360" w:lineRule="auto"/>
        <w:rPr>
          <w:sz w:val="24"/>
          <w:szCs w:val="24"/>
        </w:rPr>
      </w:pPr>
      <w:r w:rsidDel="00000000" w:rsidR="00000000" w:rsidRPr="00000000">
        <w:rPr>
          <w:sz w:val="24"/>
          <w:szCs w:val="24"/>
          <w:rtl w:val="0"/>
        </w:rPr>
        <w:t xml:space="preserve">2. REVIEW OF LITERATURE</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sz w:val="24"/>
          <w:szCs w:val="24"/>
        </w:rPr>
        <w:sectPr>
          <w:type w:val="continuous"/>
          <w:pgSz w:h="16838" w:w="11906" w:orient="portrait"/>
          <w:pgMar w:bottom="1440" w:top="1440" w:left="1440" w:right="1440" w:header="708" w:footer="708"/>
        </w:sectPr>
      </w:pPr>
      <w:r w:rsidDel="00000000" w:rsidR="00000000" w:rsidRPr="00000000">
        <w:rPr>
          <w:rFonts w:ascii="Times New Roman" w:cs="Times New Roman" w:eastAsia="Times New Roman" w:hAnsi="Times New Roman"/>
          <w:b w:val="1"/>
          <w:sz w:val="24"/>
          <w:szCs w:val="24"/>
          <w:rtl w:val="0"/>
        </w:rPr>
        <w:t xml:space="preserve">Cao Minh Tri &amp; Pham Ngoc Anh (2024):</w:t>
      </w:r>
      <w:r w:rsidDel="00000000" w:rsidR="00000000" w:rsidRPr="00000000">
        <w:rPr>
          <w:rFonts w:ascii="Times New Roman" w:cs="Times New Roman" w:eastAsia="Times New Roman" w:hAnsi="Times New Roman"/>
          <w:sz w:val="24"/>
          <w:szCs w:val="24"/>
          <w:rtl w:val="0"/>
        </w:rPr>
        <w:t xml:space="preserve"> The growth of digital technology has improved working conditions and expanded participation in the gig economy, making online employment more accessible. Managers must modify their conversation tactics and procedures to account for generational disparities in gig economy involvement. This study identifies analyses, assesses, and qualifies the elements that influence various generations’ inclinations to participate in the gig economy. Data from 374 workers in Vietnam, a growing market, were evaluated using structural equation modeling (SEM). The findings shows that perceived risk, wealth, skills, flexible work time, and platform utilization impact different generations’ goals. The study proposes management implications and future research directions.</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Rona Jane N Cacanindin (2024):</w:t>
      </w:r>
      <w:r w:rsidDel="00000000" w:rsidR="00000000" w:rsidRPr="00000000">
        <w:rPr>
          <w:rFonts w:ascii="Times New Roman" w:cs="Times New Roman" w:eastAsia="Times New Roman" w:hAnsi="Times New Roman"/>
          <w:sz w:val="24"/>
          <w:szCs w:val="24"/>
          <w:rtl w:val="0"/>
        </w:rPr>
        <w:t xml:space="preserve"> The study was aimed on finding the job satisfaction level among employees of state college in Aurora Province, Philippines. The purpose of the study is to know whether there is a significant difference in job satisfaction levels based on their generational cohorts. They collected responses from 360 employees through Minnesota satisfaction questionnaire short form. They analyzed their data through analysis of variance (ANOVA). The study found that most of the employees belong to generation Y and they have high level of job satisfaction. The study suggests the managers to create an intervention programs and also recommended to conduct a self-evaluation for employees to create a productive and successful workers. </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Sohee Park &amp; Sunyoung Park (2024):</w:t>
      </w:r>
      <w:r w:rsidDel="00000000" w:rsidR="00000000" w:rsidRPr="00000000">
        <w:rPr>
          <w:rFonts w:ascii="Times New Roman" w:cs="Times New Roman" w:eastAsia="Times New Roman" w:hAnsi="Times New Roman"/>
          <w:color w:val="000000"/>
          <w:sz w:val="24"/>
          <w:szCs w:val="24"/>
          <w:rtl w:val="0"/>
        </w:rPr>
        <w:t xml:space="preserve"> The research was conducted on the topic “Generational differences in work values in the Korean Government sector”. The study was done to know the perception of work value by different generations in the Korean government sector. The survey was done with a sample of 1084 respondents in seven dimensions</w:t>
      </w:r>
      <w:r w:rsidDel="00000000" w:rsidR="00000000" w:rsidRPr="00000000">
        <w:rPr>
          <w:rFonts w:ascii="Times New Roman" w:cs="Times New Roman" w:eastAsia="Times New Roman" w:hAnsi="Times New Roman"/>
          <w:color w:val="000000"/>
          <w:sz w:val="24"/>
          <w:szCs w:val="24"/>
          <w:highlight w:val="white"/>
          <w:rtl w:val="0"/>
        </w:rPr>
        <w:t xml:space="preserve">: detail, aggressiveness, team orientation, outcome orientation, people orientation, innovation, and organization orientation. The study found that there is a significant difference between millennials and generation 386 in terms of aggression, team orientation, innovation and organization focus</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Ali B. Mahmoud et.al (2023):</w:t>
      </w:r>
      <w:r w:rsidDel="00000000" w:rsidR="00000000" w:rsidRPr="00000000">
        <w:rPr>
          <w:rFonts w:ascii="Times New Roman" w:cs="Times New Roman" w:eastAsia="Times New Roman" w:hAnsi="Times New Roman"/>
          <w:sz w:val="24"/>
          <w:szCs w:val="24"/>
          <w:rtl w:val="0"/>
        </w:rPr>
        <w:t xml:space="preserve"> The research was focused on “Examining generational differences as a moderator-context perception and its impact on work alienation organizational outcomes: Implications for the workplace and remote work transformation”. The purpose of the study is investigating the generation as a moderator upon the job insecurity, job satisfaction and organizational citizenship behavior. They conducted data from 219 respondents (a three generation sample) working in multiple service organization. The researcher used partial least square structural equation modeling (PLS-SEM). The findings out that generation Y and Z experienced higher anxiety due to alienation than generation X. The conclusion is that creating an agile and generationally non-sectarian management in pandemic times. </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Charles Nwoko &amp; Khashayar Yazdani (2023</w:t>
      </w:r>
      <w:r w:rsidDel="00000000" w:rsidR="00000000" w:rsidRPr="00000000">
        <w:rPr>
          <w:rFonts w:ascii="Times New Roman" w:cs="Times New Roman" w:eastAsia="Times New Roman" w:hAnsi="Times New Roman"/>
          <w:sz w:val="24"/>
          <w:szCs w:val="24"/>
          <w:rtl w:val="0"/>
        </w:rPr>
        <w:t xml:space="preserve">): The study was conducted on “Mediating role of generational differences in employee engagement through self- determination theory”. Generational difference is examined as a mediating variable for employee engagement (extrinsic and intrinsic motivation). They collected sample of 564 respondents across different generation through structured questionnaire. The author used structural equation model for analysis of data. The result showed generational differences in the workplace were found to be mostly exaggerated. They concluded that it is important for managers to engage in employee engagement for productivity and employee retention.</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Gopal P. Mahapatra et.al (2022):</w:t>
      </w:r>
      <w:r w:rsidDel="00000000" w:rsidR="00000000" w:rsidRPr="00000000">
        <w:rPr>
          <w:rFonts w:ascii="Times New Roman" w:cs="Times New Roman" w:eastAsia="Times New Roman" w:hAnsi="Times New Roman"/>
          <w:sz w:val="24"/>
          <w:szCs w:val="24"/>
          <w:rtl w:val="0"/>
        </w:rPr>
        <w:t xml:space="preserve"> This study investigates the work values and job preferences of generation X, Y and Z with an emphasis on Gen Z in the Indian cultural setting. Culture influences generational disparities. While values are frequently formed throughout formative years, this paper investigates how the COVID-19 epidemic has affected Gen Z’s values, fitting with or opposing established developmental theories. These findings form the basis for future study and have consequences for businesses, managers, communities, and individuals.</w:t>
      </w:r>
    </w:p>
    <w:p w:rsidR="00000000" w:rsidDel="00000000" w:rsidP="00000000" w:rsidRDefault="00000000" w:rsidRPr="00000000" w14:paraId="0000002C">
      <w:pPr>
        <w:pStyle w:val="Heading1"/>
        <w:spacing w:line="360" w:lineRule="auto"/>
        <w:rPr>
          <w:sz w:val="24"/>
          <w:szCs w:val="24"/>
        </w:rPr>
      </w:pPr>
      <w:r w:rsidDel="00000000" w:rsidR="00000000" w:rsidRPr="00000000">
        <w:rPr>
          <w:sz w:val="24"/>
          <w:szCs w:val="24"/>
          <w:rtl w:val="0"/>
        </w:rPr>
        <w:t xml:space="preserve">3. OBJECTIVES OF THE STUDY</w:t>
      </w:r>
    </w:p>
    <w:p w:rsidR="00000000" w:rsidDel="00000000" w:rsidP="00000000" w:rsidRDefault="00000000" w:rsidRPr="00000000" w14:paraId="0000002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know the work preferences of different generations through their evolution. </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know the motivation factor of each generation</w:t>
      </w:r>
      <w:r w:rsidDel="00000000" w:rsidR="00000000" w:rsidRPr="00000000">
        <w:rPr>
          <w:rtl w:val="0"/>
        </w:rPr>
      </w:r>
    </w:p>
    <w:p w:rsidR="00000000" w:rsidDel="00000000" w:rsidP="00000000" w:rsidRDefault="00000000" w:rsidRPr="00000000" w14:paraId="0000002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find out which generation is effective for leadership</w:t>
      </w:r>
      <w:r w:rsidDel="00000000" w:rsidR="00000000" w:rsidRPr="00000000">
        <w:rPr>
          <w:rtl w:val="0"/>
        </w:rPr>
      </w:r>
    </w:p>
    <w:p w:rsidR="00000000" w:rsidDel="00000000" w:rsidP="00000000" w:rsidRDefault="00000000" w:rsidRPr="00000000" w14:paraId="0000003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gather insights about perception of Generational Differences in the Workplace</w:t>
      </w:r>
      <w:r w:rsidDel="00000000" w:rsidR="00000000" w:rsidRPr="00000000">
        <w:rPr>
          <w:rtl w:val="0"/>
        </w:rPr>
      </w:r>
    </w:p>
    <w:p w:rsidR="00000000" w:rsidDel="00000000" w:rsidP="00000000" w:rsidRDefault="00000000" w:rsidRPr="00000000" w14:paraId="0000003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make futuristic decisions regarding manpower planning</w:t>
      </w:r>
      <w:r w:rsidDel="00000000" w:rsidR="00000000" w:rsidRPr="00000000">
        <w:rPr>
          <w:rtl w:val="0"/>
        </w:rPr>
      </w:r>
    </w:p>
    <w:p w:rsidR="00000000" w:rsidDel="00000000" w:rsidP="00000000" w:rsidRDefault="00000000" w:rsidRPr="00000000" w14:paraId="0000003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To know about the comfort level with adopting new technologies across different age groups and generations</w:t>
      </w: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RESEARCH METHODOLOGY</w:t>
      </w:r>
    </w:p>
    <w:p w:rsidR="00000000" w:rsidDel="00000000" w:rsidP="00000000" w:rsidRDefault="00000000" w:rsidRPr="00000000" w14:paraId="00000035">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design </w:t>
      </w:r>
    </w:p>
    <w:p w:rsidR="00000000" w:rsidDel="00000000" w:rsidP="00000000" w:rsidRDefault="00000000" w:rsidRPr="00000000" w14:paraId="0000003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research design of this study is based on descriptive research design and the research method is survey method</w:t>
      </w:r>
    </w:p>
    <w:p w:rsidR="00000000" w:rsidDel="00000000" w:rsidP="00000000" w:rsidRDefault="00000000" w:rsidRPr="00000000" w14:paraId="0000003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SAMPLING TECHNIQUE </w:t>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Census sampling, often known as census, is the collection of data from all members of a population rather than just a sample. This strategy aspires for total coverage, delivering detailed and reliable information about the whole population. Census sampling is commonly employed in national population counts, large scale organizational investigations and other situations when thorough and complete data is necessary. In this study we have covered 106 out of 120 respondents remaining 14 are incomplete responses. </w:t>
      </w:r>
    </w:p>
    <w:p w:rsidR="00000000" w:rsidDel="00000000" w:rsidP="00000000" w:rsidRDefault="00000000" w:rsidRPr="00000000" w14:paraId="00000039">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TOOLS USED IN QUESTIONNAIRE:</w:t>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questionnaire is a set of inquiries or items intended to elicit information from respondents regarding their beliefs, backgrounds, or viewpoints. The structured questionnaire consists of</w:t>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Likert 5-point scale</w:t>
      </w: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Multiple choice questions</w:t>
      </w:r>
      <w:r w:rsidDel="00000000" w:rsidR="00000000" w:rsidRPr="00000000">
        <w:rPr>
          <w:rtl w:val="0"/>
        </w:rPr>
      </w:r>
    </w:p>
    <w:p w:rsidR="00000000" w:rsidDel="00000000" w:rsidP="00000000" w:rsidRDefault="00000000" w:rsidRPr="00000000" w14:paraId="0000003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Ranking questions</w:t>
      </w: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Dichotomous questions</w:t>
      </w: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Numerical scale</w:t>
      </w: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STATISTICAL TOOLS</w:t>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PERCENTAGE ANALYSIS</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used to find out percentage of respondents from the total number of respondents.</w:t>
      </w:r>
    </w:p>
    <w:p w:rsidR="00000000" w:rsidDel="00000000" w:rsidP="00000000" w:rsidRDefault="00000000" w:rsidRPr="00000000" w14:paraId="00000044">
      <w:pPr>
        <w:tabs>
          <w:tab w:val="left" w:leader="none" w:pos="548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PERCENTAGE = NUMBER OF RESPONDENTS</w:t>
        <w:tab/>
        <w:t xml:space="preserve">× 100</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1155700</wp:posOffset>
                </wp:positionH>
                <wp:positionV relativeFrom="paragraph">
                  <wp:posOffset>190500</wp:posOffset>
                </wp:positionV>
                <wp:extent cx="0" cy="12700"/>
                <wp:effectExtent b="0" l="0" r="0" t="0"/>
                <wp:wrapNone/>
                <wp:docPr id="11" name=""/>
                <a:graphic>
                  <a:graphicData uri="http://schemas.microsoft.com/office/word/2010/wordprocessingShape">
                    <wps:wsp>
                      <wps:cNvCnPr/>
                      <wps:spPr>
                        <a:xfrm>
                          <a:off x="4244910" y="3780000"/>
                          <a:ext cx="2202180" cy="0"/>
                        </a:xfrm>
                        <a:prstGeom prst="straightConnector1">
                          <a:avLst/>
                        </a:prstGeom>
                        <a:noFill/>
                        <a:ln cap="flat" cmpd="sng" w="9525">
                          <a:solidFill>
                            <a:schemeClr val="dk1"/>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1155700</wp:posOffset>
                </wp:positionH>
                <wp:positionV relativeFrom="paragraph">
                  <wp:posOffset>190500</wp:posOffset>
                </wp:positionV>
                <wp:extent cx="0" cy="12700"/>
                <wp:effectExtent b="0" l="0" r="0" t="0"/>
                <wp:wrapNone/>
                <wp:docPr id="1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5">
      <w:pPr>
        <w:tabs>
          <w:tab w:val="left" w:leader="none" w:pos="1944"/>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TOTAL NUMBER OF SAMPLES</w:t>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WAY ANOVA</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helps in identifying whether a single categorical independent variable significantly affects a continuous dependent variable. In the study we have studied the relationship between the age group and the job searching platform.</w:t>
      </w:r>
    </w:p>
    <w:p w:rsidR="00000000" w:rsidDel="00000000" w:rsidP="00000000" w:rsidRDefault="00000000" w:rsidRPr="00000000" w14:paraId="00000048">
      <w:pPr>
        <w:tabs>
          <w:tab w:val="left" w:leader="none" w:pos="1092"/>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 = Mean sum of squares between the groups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927100</wp:posOffset>
                </wp:positionH>
                <wp:positionV relativeFrom="paragraph">
                  <wp:posOffset>177800</wp:posOffset>
                </wp:positionV>
                <wp:extent cx="2640330" cy="34290"/>
                <wp:effectExtent b="0" l="0" r="0" t="0"/>
                <wp:wrapNone/>
                <wp:docPr id="10" name=""/>
                <a:graphic>
                  <a:graphicData uri="http://schemas.microsoft.com/office/word/2010/wordprocessingShape">
                    <wps:wsp>
                      <wps:cNvCnPr/>
                      <wps:spPr>
                        <a:xfrm flipH="1" rot="10800000">
                          <a:off x="4035360" y="3772380"/>
                          <a:ext cx="2621280" cy="1524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927100</wp:posOffset>
                </wp:positionH>
                <wp:positionV relativeFrom="paragraph">
                  <wp:posOffset>177800</wp:posOffset>
                </wp:positionV>
                <wp:extent cx="2640330" cy="34290"/>
                <wp:effectExtent b="0" l="0" r="0" t="0"/>
                <wp:wrapNone/>
                <wp:docPr id="10"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2640330" cy="34290"/>
                        </a:xfrm>
                        <a:prstGeom prst="rect"/>
                        <a:ln/>
                      </pic:spPr>
                    </pic:pic>
                  </a:graphicData>
                </a:graphic>
              </wp:anchor>
            </w:drawing>
          </mc:Fallback>
        </mc:AlternateContent>
      </w:r>
    </w:p>
    <w:p w:rsidR="00000000" w:rsidDel="00000000" w:rsidP="00000000" w:rsidRDefault="00000000" w:rsidRPr="00000000" w14:paraId="00000049">
      <w:pPr>
        <w:tabs>
          <w:tab w:val="left" w:leader="none" w:pos="1476"/>
        </w:tabs>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Mean sum of squares within groups</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 – SQUARE </w:t>
      </w:r>
    </w:p>
    <w:p w:rsidR="00000000" w:rsidDel="00000000" w:rsidP="00000000" w:rsidRDefault="00000000" w:rsidRPr="00000000" w14:paraId="0000004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higher chi-square value indicates greater deviation from expected values, suggesting a significant relationship between variables. In this study we have studied the relationship between the generation and the comfortability to adopt the technology</w:t>
      </w:r>
    </w:p>
    <w:p w:rsidR="00000000" w:rsidDel="00000000" w:rsidP="00000000" w:rsidRDefault="00000000" w:rsidRPr="00000000" w14:paraId="0000004C">
      <w:pPr>
        <w:spacing w:line="360" w:lineRule="auto"/>
        <w:jc w:val="center"/>
        <w:rPr>
          <w:rFonts w:ascii="Times New Roman" w:cs="Times New Roman" w:eastAsia="Times New Roman" w:hAnsi="Times New Roman"/>
          <w:sz w:val="24"/>
          <w:szCs w:val="24"/>
          <w:vertAlign w:val="superscript"/>
        </w:rPr>
      </w:pPr>
      <m:oMath>
        <m:sSup>
          <m:sSupPr>
            <m:ctrlPr>
              <w:rPr>
                <w:rFonts w:ascii="Times New Roman" w:cs="Times New Roman" w:eastAsia="Times New Roman" w:hAnsi="Times New Roman"/>
                <w:sz w:val="24"/>
                <w:szCs w:val="24"/>
              </w:rPr>
            </m:ctrlPr>
          </m:sSupPr>
          <m:e>
            <m:r>
              <w:rPr>
                <w:rFonts w:ascii="Times New Roman" w:cs="Times New Roman" w:eastAsia="Times New Roman" w:hAnsi="Times New Roman"/>
                <w:sz w:val="24"/>
                <w:szCs w:val="24"/>
              </w:rPr>
              <m:t xml:space="preserve">x</m:t>
            </m:r>
          </m:e>
          <m:sup>
            <m:r>
              <w:rPr>
                <w:rFonts w:ascii="Times New Roman" w:cs="Times New Roman" w:eastAsia="Times New Roman" w:hAnsi="Times New Roman"/>
                <w:sz w:val="24"/>
                <w:szCs w:val="24"/>
              </w:rPr>
              <m:t xml:space="preserve">2</m:t>
            </m:r>
          </m:sup>
        </m:sSup>
      </m:oMath>
      <w:r w:rsidDel="00000000" w:rsidR="00000000" w:rsidRPr="00000000">
        <w:rPr>
          <w:rFonts w:ascii="Times New Roman" w:cs="Times New Roman" w:eastAsia="Times New Roman" w:hAnsi="Times New Roman"/>
          <w:sz w:val="24"/>
          <w:szCs w:val="24"/>
          <w:rtl w:val="0"/>
        </w:rPr>
        <w:t xml:space="preserve"> = </w:t>
      </w:r>
      <m:oMath>
        <m:nary>
          <m:naryPr>
            <m:chr m:val="∑"/>
          </m:naryPr>
          <m:sub/>
          <m:sup/>
        </m:nary>
        <m:r>
          <w:rPr>
            <w:rFonts w:ascii="Times New Roman" w:cs="Times New Roman" w:eastAsia="Times New Roman" w:hAnsi="Times New Roman"/>
            <w:sz w:val="24"/>
            <w:szCs w:val="24"/>
          </w:rPr>
          <m:t xml:space="preserve">(Oi-Ei)</m:t>
        </m:r>
      </m:oMath>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2679700</wp:posOffset>
                </wp:positionH>
                <wp:positionV relativeFrom="paragraph">
                  <wp:posOffset>279400</wp:posOffset>
                </wp:positionV>
                <wp:extent cx="0" cy="12700"/>
                <wp:effectExtent b="0" l="0" r="0" t="0"/>
                <wp:wrapNone/>
                <wp:docPr id="12" name=""/>
                <a:graphic>
                  <a:graphicData uri="http://schemas.microsoft.com/office/word/2010/wordprocessingShape">
                    <wps:wsp>
                      <wps:cNvCnPr/>
                      <wps:spPr>
                        <a:xfrm>
                          <a:off x="5010720" y="3780000"/>
                          <a:ext cx="670560" cy="0"/>
                        </a:xfrm>
                        <a:prstGeom prst="straightConnector1">
                          <a:avLst/>
                        </a:prstGeom>
                        <a:noFill/>
                        <a:ln cap="flat" cmpd="sng" w="9525">
                          <a:solidFill>
                            <a:srgbClr val="4A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2679700</wp:posOffset>
                </wp:positionH>
                <wp:positionV relativeFrom="paragraph">
                  <wp:posOffset>279400</wp:posOffset>
                </wp:positionV>
                <wp:extent cx="0" cy="12700"/>
                <wp:effectExtent b="0" l="0" r="0" t="0"/>
                <wp:wrapNone/>
                <wp:docPr id="1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4D">
      <w:pPr>
        <w:tabs>
          <w:tab w:val="left" w:leader="none" w:pos="804"/>
        </w:tabs>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Ei</w:t>
      </w:r>
    </w:p>
    <w:p w:rsidR="00000000" w:rsidDel="00000000" w:rsidP="00000000" w:rsidRDefault="00000000" w:rsidRPr="00000000" w14:paraId="0000004E">
      <w:pPr>
        <w:spacing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of generational differences in the workplace emphasizes the need of identifying and accepting diversity among of all ages. This research has shed light on the varied preferences, values and work style of Generation X, Millennials, and Generation Z, emphasizing the importance of personalized approaches to management, communication, and organization culture. One of the most important results is that each generation has unique motives and expectations. Combining older workers’ experience and institutional knowledge with younger generations’ new perspectives and technological abilities can result in improved creativity, problem-solving and overall organizational success. Technology training for older personnel and leadership development for younger employees may help guarantee that all generations stay adaptive and prepared to prosper in an ever-changing work environment. In the end , embracing generational diversity entails not just accepting differences, but also utilizing them for strategic benefit. Organizations that promote inclusion, flexibility, and intergenerational cooperation are better positioned to recruit top talent, inspire innovation, and achieve long term success in today’s changing workplace.</w:t>
      </w:r>
    </w:p>
    <w:p w:rsidR="00000000" w:rsidDel="00000000" w:rsidP="00000000" w:rsidRDefault="00000000" w:rsidRPr="00000000" w14:paraId="00000050">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i w:val="0"/>
          <w:smallCaps w:val="0"/>
          <w:strike w:val="0"/>
          <w:color w:val="000000"/>
          <w:sz w:val="24"/>
          <w:szCs w:val="24"/>
          <w:shd w:fill="auto" w:val="clear"/>
          <w:vertAlign w:val="baseline"/>
        </w:rPr>
      </w:pPr>
      <w:bookmarkStart w:colFirst="0" w:colLast="0" w:name="_heading=h.gjdgxs" w:id="0"/>
      <w:bookmarkEnd w:id="0"/>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DHAYALAN, V., et al. "SAVING HABIT AND INVESTMENT PREFERENCE OF GOVERNMENT SCHOOL TEACHERS IN VELLORE DISTRICT."</w:t>
      </w:r>
      <w:r w:rsidDel="00000000" w:rsidR="00000000" w:rsidRPr="00000000">
        <w:rPr>
          <w:rtl w:val="0"/>
        </w:rPr>
      </w:r>
    </w:p>
    <w:p w:rsidR="00000000" w:rsidDel="00000000" w:rsidP="00000000" w:rsidRDefault="00000000" w:rsidRPr="00000000" w14:paraId="00000053">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Dr.P.Venkatesh (2021). A Study on School Children’s Perception Towards Frequency 0f Visits And Selection Of Junk Food Retail Chain Store. Natural Volatiles &amp; Essential Oils, ISSN: 2148-9637, Vol.8 (5), 8181-8190.  </w:t>
      </w:r>
    </w:p>
    <w:p w:rsidR="00000000" w:rsidDel="00000000" w:rsidP="00000000" w:rsidRDefault="00000000" w:rsidRPr="00000000" w14:paraId="00000054">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Dr.P.Venkatesh (2021). A Study On Technical Analysis Of The Commodity Market With Special Reference To Gold And Silver. Natural Volatiles &amp; Essential Oils, ISSN: 2148-9637, Vol.8 (4), 366-379.</w:t>
      </w:r>
    </w:p>
    <w:p w:rsidR="00000000" w:rsidDel="00000000" w:rsidP="00000000" w:rsidRDefault="00000000" w:rsidRPr="00000000" w14:paraId="00000055">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Dr.P.Venkatesh (2021). A Study on Technical Analysis Using Candlestick Pattern of Selected Large Cap Stocks Listed in National Stock Exchange (NSE), India with Reference to Steel Sector. GSI Journals Serie B: Advancements in Business and Economics, 3 (2), 62-71. DOI: 10.5281/zenodo.4972495</w:t>
      </w:r>
    </w:p>
    <w:p w:rsidR="00000000" w:rsidDel="00000000" w:rsidP="00000000" w:rsidRDefault="00000000" w:rsidRPr="00000000" w14:paraId="00000056">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Dr.P.Venkatesh (2021). A Study on the Weak Form Efficiency of Metals &amp; Mining Sector in BSE. Natural Volatiles &amp; Essential Oils, ISSN: 2148-9637, Vol.8 (4), 287-296. </w:t>
      </w:r>
    </w:p>
    <w:p w:rsidR="00000000" w:rsidDel="00000000" w:rsidP="00000000" w:rsidRDefault="00000000" w:rsidRPr="00000000" w14:paraId="00000057">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Dr.P.Venkatesh (2021). Study on Price Discovery of Selected Indian Agriculture Commodity with Special Reference to NCDEX. International Journal of Advance and Innovative Research, ISSN: 2394-7780, Vol.8 (3), 76-84.</w:t>
      </w:r>
    </w:p>
    <w:p w:rsidR="00000000" w:rsidDel="00000000" w:rsidP="00000000" w:rsidRDefault="00000000" w:rsidRPr="00000000" w14:paraId="00000058">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 Maran, C. R. Senthilnathan, S. Usha and P. Venkatesh, "Business Analytics Contribution in the Growth of Indian Digital Business," 2022 1st International Conference on Computational Science and Technology (ICCST), CHENNAI, India, 2022, pp. 497-500, doi: 10.1109/ICCST55948.2022.10040343.</w:t>
      </w:r>
    </w:p>
    <w:p w:rsidR="00000000" w:rsidDel="00000000" w:rsidP="00000000" w:rsidRDefault="00000000" w:rsidRPr="00000000" w14:paraId="0000005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Krishnamoorthi, M., Guha, D., Nikitha Neelappa, S., Shaikh, A., Venkatesh, P. (2025). Testing the Weak-Form Market Efficiency of IT Sector: An Empirical Evidence from India. In: Hamdan, A., Braendle, U. (eds) Harnessing AI, Machine Learning, and IoT for Intelligent Business. Studies in Systems, Decision and Control, vol 555. Springer, Cham. </w:t>
      </w:r>
      <w:hyperlink r:id="rId10">
        <w:r w:rsidDel="00000000" w:rsidR="00000000" w:rsidRPr="00000000">
          <w:rPr>
            <w:rFonts w:ascii="Times New Roman" w:cs="Times New Roman" w:eastAsia="Times New Roman" w:hAnsi="Times New Roman"/>
            <w:i w:val="0"/>
            <w:smallCaps w:val="0"/>
            <w:strike w:val="0"/>
            <w:color w:val="1155cc"/>
            <w:sz w:val="24"/>
            <w:szCs w:val="24"/>
            <w:highlight w:val="white"/>
            <w:u w:val="single"/>
            <w:vertAlign w:val="baseline"/>
            <w:rtl w:val="0"/>
          </w:rPr>
          <w:t xml:space="preserve">https://doi.org/10.1007/978-3-031-67890-5_56</w:t>
        </w:r>
      </w:hyperlink>
      <w:r w:rsidDel="00000000" w:rsidR="00000000" w:rsidRPr="00000000">
        <w:rPr>
          <w:rtl w:val="0"/>
        </w:rPr>
      </w:r>
    </w:p>
    <w:p w:rsidR="00000000" w:rsidDel="00000000" w:rsidP="00000000" w:rsidRDefault="00000000" w:rsidRPr="00000000" w14:paraId="0000005A">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 K, S. C.R., U. S and V. P, "Impact of Solar Energy on Mitigating Climate changes for a Sustainable Development in India," </w:t>
      </w:r>
      <w:r w:rsidDel="00000000" w:rsidR="00000000" w:rsidRPr="00000000">
        <w:rPr>
          <w:rFonts w:ascii="Times New Roman" w:cs="Times New Roman" w:eastAsia="Times New Roman" w:hAnsi="Times New Roman"/>
          <w:i w:val="1"/>
          <w:color w:val="000000"/>
          <w:sz w:val="24"/>
          <w:szCs w:val="24"/>
          <w:rtl w:val="0"/>
        </w:rPr>
        <w:t xml:space="preserve">2022 International Conference on Power, Energy, Control and Transmission Systems (ICPECTS)</w:t>
      </w:r>
      <w:r w:rsidDel="00000000" w:rsidR="00000000" w:rsidRPr="00000000">
        <w:rPr>
          <w:rFonts w:ascii="Times New Roman" w:cs="Times New Roman" w:eastAsia="Times New Roman" w:hAnsi="Times New Roman"/>
          <w:color w:val="000000"/>
          <w:sz w:val="24"/>
          <w:szCs w:val="24"/>
          <w:rtl w:val="0"/>
        </w:rPr>
        <w:t xml:space="preserve">, Chennai, India, 2022, pp. 1-5, doi: 10.1109/ICPECTS56089.2022.10046744.</w:t>
      </w:r>
    </w:p>
    <w:p w:rsidR="00000000" w:rsidDel="00000000" w:rsidP="00000000" w:rsidRDefault="00000000" w:rsidRPr="00000000" w14:paraId="0000005B">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Maran, K., et al. "Business Analytics Contribution in the Growth of Indian Digital Business." </w:t>
      </w:r>
      <w:r w:rsidDel="00000000" w:rsidR="00000000" w:rsidRPr="00000000">
        <w:rPr>
          <w:rFonts w:ascii="Times New Roman" w:cs="Times New Roman" w:eastAsia="Times New Roman" w:hAnsi="Times New Roman"/>
          <w:i w:val="1"/>
          <w:color w:val="222222"/>
          <w:sz w:val="24"/>
          <w:szCs w:val="24"/>
          <w:highlight w:val="white"/>
          <w:rtl w:val="0"/>
        </w:rPr>
        <w:t xml:space="preserve">2022 1st International Conference on Computational Science and Technology (ICCST)</w:t>
      </w:r>
      <w:r w:rsidDel="00000000" w:rsidR="00000000" w:rsidRPr="00000000">
        <w:rPr>
          <w:rFonts w:ascii="Times New Roman" w:cs="Times New Roman" w:eastAsia="Times New Roman" w:hAnsi="Times New Roman"/>
          <w:color w:val="222222"/>
          <w:sz w:val="24"/>
          <w:szCs w:val="24"/>
          <w:highlight w:val="white"/>
          <w:rtl w:val="0"/>
        </w:rPr>
        <w:t xml:space="preserve">. IEEE, 2022.</w:t>
      </w:r>
      <w:r w:rsidDel="00000000" w:rsidR="00000000" w:rsidRPr="00000000">
        <w:rPr>
          <w:rtl w:val="0"/>
        </w:rPr>
      </w:r>
    </w:p>
    <w:p w:rsidR="00000000" w:rsidDel="00000000" w:rsidP="00000000" w:rsidRDefault="00000000" w:rsidRPr="00000000" w14:paraId="0000005C">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Maran, K., et al. "Impact of Solar Energy on Mitigating Climate changes for a Sustainable Development in India." </w:t>
      </w:r>
      <w:r w:rsidDel="00000000" w:rsidR="00000000" w:rsidRPr="00000000">
        <w:rPr>
          <w:rFonts w:ascii="Times New Roman" w:cs="Times New Roman" w:eastAsia="Times New Roman" w:hAnsi="Times New Roman"/>
          <w:i w:val="1"/>
          <w:color w:val="222222"/>
          <w:sz w:val="24"/>
          <w:szCs w:val="24"/>
          <w:highlight w:val="white"/>
          <w:rtl w:val="0"/>
        </w:rPr>
        <w:t xml:space="preserve">2022 International Conference on Power, Energy, Control and Transmission Systems (ICPECTS)</w:t>
      </w:r>
      <w:r w:rsidDel="00000000" w:rsidR="00000000" w:rsidRPr="00000000">
        <w:rPr>
          <w:rFonts w:ascii="Times New Roman" w:cs="Times New Roman" w:eastAsia="Times New Roman" w:hAnsi="Times New Roman"/>
          <w:color w:val="222222"/>
          <w:sz w:val="24"/>
          <w:szCs w:val="24"/>
          <w:highlight w:val="white"/>
          <w:rtl w:val="0"/>
        </w:rPr>
        <w:t xml:space="preserve">. IEEE, 2022.</w:t>
      </w:r>
      <w:r w:rsidDel="00000000" w:rsidR="00000000" w:rsidRPr="00000000">
        <w:rPr>
          <w:rtl w:val="0"/>
        </w:rPr>
      </w:r>
    </w:p>
    <w:p w:rsidR="00000000" w:rsidDel="00000000" w:rsidP="00000000" w:rsidRDefault="00000000" w:rsidRPr="00000000" w14:paraId="0000005D">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Maran, K., Prabaharan, T., Priyadarshini, P., &amp; Venkatesh, P. (2022). IMPACT OF ENUMERATION FACTORS ON EFFECTIVE SELF HELP GROUP (SHG) FUNCTIONING. </w:t>
      </w:r>
      <w:r w:rsidDel="00000000" w:rsidR="00000000" w:rsidRPr="00000000">
        <w:rPr>
          <w:rFonts w:ascii="Times New Roman" w:cs="Times New Roman" w:eastAsia="Times New Roman" w:hAnsi="Times New Roman"/>
          <w:i w:val="1"/>
          <w:color w:val="000000"/>
          <w:sz w:val="24"/>
          <w:szCs w:val="24"/>
          <w:rtl w:val="0"/>
        </w:rPr>
        <w:t xml:space="preserve">International Journal of Early Childhood Special Education</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i w:val="1"/>
          <w:color w:val="000000"/>
          <w:sz w:val="24"/>
          <w:szCs w:val="24"/>
          <w:rtl w:val="0"/>
        </w:rPr>
        <w:t xml:space="preserve">14</w:t>
      </w:r>
      <w:r w:rsidDel="00000000" w:rsidR="00000000" w:rsidRPr="00000000">
        <w:rPr>
          <w:rFonts w:ascii="Times New Roman" w:cs="Times New Roman" w:eastAsia="Times New Roman" w:hAnsi="Times New Roman"/>
          <w:color w:val="000000"/>
          <w:sz w:val="24"/>
          <w:szCs w:val="24"/>
          <w:rtl w:val="0"/>
        </w:rPr>
        <w:t xml:space="preserve">(3).</w:t>
      </w:r>
    </w:p>
    <w:p w:rsidR="00000000" w:rsidDel="00000000" w:rsidP="00000000" w:rsidRDefault="00000000" w:rsidRPr="00000000" w14:paraId="0000005E">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Maran, K., Priyadarshini, P., Jenifa, L., Senthilnathan, C. R., &amp; Venkatesh, P. (2021, December). Data Analysis on Mobile Payment Technology with Reference to Users’ Behaviour of Retail Goods in India. In </w:t>
      </w:r>
      <w:r w:rsidDel="00000000" w:rsidR="00000000" w:rsidRPr="00000000">
        <w:rPr>
          <w:rFonts w:ascii="Times New Roman" w:cs="Times New Roman" w:eastAsia="Times New Roman" w:hAnsi="Times New Roman"/>
          <w:i w:val="1"/>
          <w:color w:val="000000"/>
          <w:sz w:val="24"/>
          <w:szCs w:val="24"/>
          <w:rtl w:val="0"/>
        </w:rPr>
        <w:t xml:space="preserve">2021 4th International Conference on Computing and Communications Technologies (ICCCT)</w:t>
      </w:r>
      <w:r w:rsidDel="00000000" w:rsidR="00000000" w:rsidRPr="00000000">
        <w:rPr>
          <w:rFonts w:ascii="Times New Roman" w:cs="Times New Roman" w:eastAsia="Times New Roman" w:hAnsi="Times New Roman"/>
          <w:color w:val="000000"/>
          <w:sz w:val="24"/>
          <w:szCs w:val="24"/>
          <w:rtl w:val="0"/>
        </w:rPr>
        <w:t xml:space="preserve"> (pp. 267-272). IEEE.</w:t>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Murugan, K., and P. Venkatesh. "Viral Marketing of Digital Products Using Social Media."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International Journal of Information Technology &amp; Computer Sciences Perspectives</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2.1 (2013): 120.</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Murugan, K., S. Helen Roselin Gracy, and P. Venkatesh. "A Study on Customer Perception Towards Mugi Ultra Liquid Detergent."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IJMPERD</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8.3 (2018): 978-984.</w:t>
      </w:r>
      <w:r w:rsidDel="00000000" w:rsidR="00000000" w:rsidRPr="00000000">
        <w:rPr>
          <w:rtl w:val="0"/>
        </w:rPr>
      </w:r>
    </w:p>
    <w:p w:rsidR="00000000" w:rsidDel="00000000" w:rsidP="00000000" w:rsidRDefault="00000000" w:rsidRPr="00000000" w14:paraId="0000006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Murugan, K., Selvakumar, V., Venkatesh, P., Manikandan, M., Ramu, M., &amp; Krishnamoorthi, M. (2023, December). The Big Data Analytics and its Effectiveness on Bank Financial Risk Management. In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2023 6th International Conference on Recent Trends in Advance Computing (ICRTAC)</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(pp. 313-316). IEEE.</w:t>
      </w:r>
      <w:r w:rsidDel="00000000" w:rsidR="00000000" w:rsidRPr="00000000">
        <w:rPr>
          <w:rtl w:val="0"/>
        </w:rPr>
      </w:r>
    </w:p>
    <w:p w:rsidR="00000000" w:rsidDel="00000000" w:rsidP="00000000" w:rsidRDefault="00000000" w:rsidRPr="00000000" w14:paraId="0000006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Dr P. "A Study on School Children’s Perception Towards Frequency 0f Visits And Selection Of Junk Food Retail Chain Store."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Natural Volatiles &amp; Essential Oils, ISSN</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(2021): 2148-9637.</w:t>
      </w: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S. K. P. S., Krıshna SUDHEER, and Senthilmurugan Paramasivan. "A study on technical analysis using candlestick pattern of selected large cap stocks listed in National Stock Exchange (NSE), India with reference to steel sector."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GSI Journals Serie B: Advancements in Business and Economics</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3.2 (2021): 62-71.</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and D. S. Revathi. "A Study on Performance Analysis of Selected Mutual Fund Schemes in India."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Solid State Technology</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63.2S (2020).</w:t>
      </w:r>
      <w:r w:rsidDel="00000000" w:rsidR="00000000" w:rsidRPr="00000000">
        <w:rPr>
          <w:rtl w:val="0"/>
        </w:rPr>
      </w:r>
    </w:p>
    <w:p w:rsidR="00000000" w:rsidDel="00000000" w:rsidP="00000000" w:rsidRDefault="00000000" w:rsidRPr="00000000" w14:paraId="0000006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et al. "A Comprehensive Investigation to Examine the Preferences and Satisfaction Levels of Outpatients in Relation to the Quality of Services Provided by Hospitals in the Vellore District."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2023 Intelligent Computing and Control for Engineering and Business Systems (ICCEBS)</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IEEE, 2023.</w:t>
      </w:r>
      <w:r w:rsidDel="00000000" w:rsidR="00000000" w:rsidRPr="00000000">
        <w:rPr>
          <w:rtl w:val="0"/>
        </w:rPr>
      </w:r>
    </w:p>
    <w:p w:rsidR="00000000" w:rsidDel="00000000" w:rsidP="00000000" w:rsidRDefault="00000000" w:rsidRPr="00000000" w14:paraId="0000006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et al. "A STUDY ON IMPACT OF PROFIT, EARNING PER SHARE AND DIVIDEND ON EQUITY PERFORMANCE ON SELECT STEEEEL SECTOR USING DISCRIMINANT FUNCTION ANALYSIS."</w:t>
      </w:r>
      <w:r w:rsidDel="00000000" w:rsidR="00000000" w:rsidRPr="00000000">
        <w:rPr>
          <w:rtl w:val="0"/>
        </w:rPr>
      </w:r>
    </w:p>
    <w:p w:rsidR="00000000" w:rsidDel="00000000" w:rsidP="00000000" w:rsidRDefault="00000000" w:rsidRPr="00000000" w14:paraId="0000006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et al. "A Study on The Market Characteristics, Consumer Purchasing, and Behaviour Towards Footwear With Reference to Vellore Dist., Tamilnadu."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3rd International Conference on Reinventing Business Practices, Start-ups and Sustainability (ICRBSS 2023)</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Atlantis Press, 2024.</w:t>
      </w:r>
      <w:r w:rsidDel="00000000" w:rsidR="00000000" w:rsidRPr="00000000">
        <w:rPr>
          <w:rtl w:val="0"/>
        </w:rPr>
      </w:r>
    </w:p>
    <w:p w:rsidR="00000000" w:rsidDel="00000000" w:rsidP="00000000" w:rsidRDefault="00000000" w:rsidRPr="00000000" w14:paraId="0000006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et al. "An Analysis of the Strategic Approach to Utilizing Deep Learning for the Purpose of Predicting Stock Prices."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2023 Intelligent Computing and Control for Engineering and Business Systems (ICCEBS)</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IEEE, 2023.</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et al. "An Analysis of the Strategic Approach to Utilizing Deep Learning for the Purpose of Predicting Stock Prices."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2023 Intelligent Computing and Control for Engineering and Business Systems (ICCEBS)</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IEEE, 2023.</w:t>
      </w:r>
      <w:r w:rsidDel="00000000" w:rsidR="00000000" w:rsidRPr="00000000">
        <w:rPr>
          <w:rtl w:val="0"/>
        </w:rPr>
      </w:r>
    </w:p>
    <w:p w:rsidR="00000000" w:rsidDel="00000000" w:rsidP="00000000" w:rsidRDefault="00000000" w:rsidRPr="00000000" w14:paraId="0000006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et al. "An Analysis of the Strategic Approach to Utilizing Deep Learning for the Purpose of Predicting Stock Prices."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2023 Intelligent Computing and Control for Engineering and Business Systems (ICCEBS)</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IEEE, 2023.</w:t>
      </w:r>
      <w:r w:rsidDel="00000000" w:rsidR="00000000" w:rsidRPr="00000000">
        <w:rPr>
          <w:rtl w:val="0"/>
        </w:rPr>
      </w:r>
    </w:p>
    <w:p w:rsidR="00000000" w:rsidDel="00000000" w:rsidP="00000000" w:rsidRDefault="00000000" w:rsidRPr="00000000" w14:paraId="0000006B">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Venkatesh, P., et al. "An Emprical Study Towards Out Patients Perception towards Services Quality of Multi Speciality Hospitals-Scenirio of Vellore District Tamilnadu." </w:t>
      </w:r>
      <w:r w:rsidDel="00000000" w:rsidR="00000000" w:rsidRPr="00000000">
        <w:rPr>
          <w:rFonts w:ascii="Times New Roman" w:cs="Times New Roman" w:eastAsia="Times New Roman" w:hAnsi="Times New Roman"/>
          <w:i w:val="1"/>
          <w:color w:val="222222"/>
          <w:sz w:val="24"/>
          <w:szCs w:val="24"/>
          <w:highlight w:val="white"/>
          <w:rtl w:val="0"/>
        </w:rPr>
        <w:t xml:space="preserve">Journal of Pharmaceutical Negative Results</w:t>
      </w:r>
      <w:r w:rsidDel="00000000" w:rsidR="00000000" w:rsidRPr="00000000">
        <w:rPr>
          <w:rFonts w:ascii="Times New Roman" w:cs="Times New Roman" w:eastAsia="Times New Roman" w:hAnsi="Times New Roman"/>
          <w:color w:val="222222"/>
          <w:sz w:val="24"/>
          <w:szCs w:val="24"/>
          <w:highlight w:val="white"/>
          <w:rtl w:val="0"/>
        </w:rPr>
        <w:t xml:space="preserve"> (2022): 1550-1559.</w:t>
      </w:r>
      <w:r w:rsidDel="00000000" w:rsidR="00000000" w:rsidRPr="00000000">
        <w:rPr>
          <w:rtl w:val="0"/>
        </w:rPr>
      </w:r>
    </w:p>
    <w:p w:rsidR="00000000" w:rsidDel="00000000" w:rsidP="00000000" w:rsidRDefault="00000000" w:rsidRPr="00000000" w14:paraId="0000006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et al. "An Emprical Study Towards Out Patients Perception Towards Services Quality Of Multi Speciality Hospitals-Scenirio Of Vellore District Tamilnadu."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Journal of Pharmaceutical Negative Results</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(2022): 1550-1559.</w:t>
      </w: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et al. "Measure of Well-Being of Freelancers in it Sector."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2023 Intelligent Computing and Control for Engineering and Business Systems (ICCEBS)</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IEEE, 2023.</w:t>
      </w:r>
    </w:p>
    <w:p w:rsidR="00000000" w:rsidDel="00000000" w:rsidP="00000000" w:rsidRDefault="00000000" w:rsidRPr="00000000" w14:paraId="0000006E">
      <w:pPr>
        <w:numPr>
          <w:ilvl w:val="0"/>
          <w:numId w:val="3"/>
        </w:numPr>
        <w:spacing w:after="240" w:before="240" w:line="360" w:lineRule="auto"/>
        <w:ind w:left="841" w:hanging="361.0000000000001"/>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6F">
      <w:pPr>
        <w:numPr>
          <w:ilvl w:val="0"/>
          <w:numId w:val="3"/>
        </w:numPr>
        <w:spacing w:after="240" w:before="240" w:line="360" w:lineRule="auto"/>
        <w:ind w:left="841" w:hanging="361.0000000000001"/>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70">
      <w:pPr>
        <w:numPr>
          <w:ilvl w:val="0"/>
          <w:numId w:val="3"/>
        </w:numPr>
        <w:spacing w:after="240" w:before="240" w:line="360" w:lineRule="auto"/>
        <w:ind w:left="841" w:hanging="361.0000000000001"/>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 Ilakkiya, T., Manikandan, M., Ch, R. K., M, K., Ramu, M., &amp; Venkatesh, P. (2024). Neuro Computing-Based Models of Digital Marketing as a Business Strategy for Bangalore’s Startup Founders. Ieee, 1–3. </w:t>
      </w:r>
      <w:hyperlink r:id="rId11">
        <w:r w:rsidDel="00000000" w:rsidR="00000000" w:rsidRPr="00000000">
          <w:rPr>
            <w:rFonts w:ascii="Times New Roman" w:cs="Times New Roman" w:eastAsia="Times New Roman" w:hAnsi="Times New Roman"/>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71">
      <w:pPr>
        <w:numPr>
          <w:ilvl w:val="0"/>
          <w:numId w:val="3"/>
        </w:numPr>
        <w:spacing w:after="240" w:before="240" w:line="360" w:lineRule="auto"/>
        <w:ind w:left="841" w:hanging="361.0000000000001"/>
        <w:rPr>
          <w:rFonts w:ascii="Times New Roman" w:cs="Times New Roman" w:eastAsia="Times New Roman" w:hAnsi="Times New Roman"/>
          <w:color w:val="222222"/>
          <w:sz w:val="24"/>
          <w:szCs w:val="24"/>
          <w:highlight w:val="white"/>
        </w:rPr>
      </w:pPr>
      <w:r w:rsidDel="00000000" w:rsidR="00000000" w:rsidRPr="00000000">
        <w:rPr>
          <w:rFonts w:ascii="Times New Roman" w:cs="Times New Roman" w:eastAsia="Times New Roman" w:hAnsi="Times New Roman"/>
          <w:sz w:val="24"/>
          <w:szCs w:val="24"/>
          <w:rtl w:val="0"/>
        </w:rPr>
        <w:t xml:space="preserve">Venkatesh, P., Selvakumar, V., Ramu, M., Manikandan, M., &amp; Senthilnathan, C. R. (2023). Measure of Well-Being of Freelancers in it Sector. Ieee. https://doi.org/10.1109/iccebs58601.2023.10448738</w:t>
      </w:r>
      <w:r w:rsidDel="00000000" w:rsidR="00000000" w:rsidRPr="00000000">
        <w:rPr>
          <w:rtl w:val="0"/>
        </w:rPr>
      </w:r>
    </w:p>
    <w:p w:rsidR="00000000" w:rsidDel="00000000" w:rsidP="00000000" w:rsidRDefault="00000000" w:rsidRPr="00000000" w14:paraId="00000072">
      <w:pPr>
        <w:numPr>
          <w:ilvl w:val="0"/>
          <w:numId w:val="3"/>
        </w:numPr>
        <w:spacing w:after="0" w:line="360" w:lineRule="auto"/>
        <w:ind w:left="845" w:hanging="36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Venkatesh, P., et al. "PATIENTS PERCEPTIONS TOWARDS THE SERVICES OF THE HOSPITALS–A STUDY IN VELLORE DISTRICT, TAMILNADU." </w:t>
      </w:r>
      <w:r w:rsidDel="00000000" w:rsidR="00000000" w:rsidRPr="00000000">
        <w:rPr>
          <w:rFonts w:ascii="Times New Roman" w:cs="Times New Roman" w:eastAsia="Times New Roman" w:hAnsi="Times New Roman"/>
          <w:i w:val="1"/>
          <w:color w:val="222222"/>
          <w:sz w:val="24"/>
          <w:szCs w:val="24"/>
          <w:highlight w:val="white"/>
          <w:rtl w:val="0"/>
        </w:rPr>
        <w:t xml:space="preserve">World</w:t>
      </w:r>
      <w:r w:rsidDel="00000000" w:rsidR="00000000" w:rsidRPr="00000000">
        <w:rPr>
          <w:rFonts w:ascii="Times New Roman" w:cs="Times New Roman" w:eastAsia="Times New Roman" w:hAnsi="Times New Roman"/>
          <w:color w:val="222222"/>
          <w:sz w:val="24"/>
          <w:szCs w:val="24"/>
          <w:highlight w:val="white"/>
          <w:rtl w:val="0"/>
        </w:rPr>
        <w:t xml:space="preserve"> 1.3.3: 0-4.</w:t>
      </w:r>
      <w:r w:rsidDel="00000000" w:rsidR="00000000" w:rsidRPr="00000000">
        <w:rPr>
          <w:rtl w:val="0"/>
        </w:rPr>
      </w:r>
    </w:p>
    <w:p w:rsidR="00000000" w:rsidDel="00000000" w:rsidP="00000000" w:rsidRDefault="00000000" w:rsidRPr="00000000" w14:paraId="000000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et al. "PATIENTS PERCEPTIONS TOWARDS THE SERVICES OF THE HOSPITALS–A STUDY IN VELLORE DISTRICT, TAMILNADU."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World</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1.3.3: 0-4.</w:t>
      </w: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360" w:lineRule="auto"/>
        <w:ind w:left="841" w:right="0" w:hanging="36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Venkatesh, P., et al. "Patients Satisfaction Towards The Services Of The Hospitals With Reference To Vellore District, Tamilnadu." </w:t>
      </w:r>
      <w:r w:rsidDel="00000000" w:rsidR="00000000" w:rsidRPr="00000000">
        <w:rPr>
          <w:rFonts w:ascii="Times New Roman" w:cs="Times New Roman" w:eastAsia="Times New Roman" w:hAnsi="Times New Roman"/>
          <w:i w:val="1"/>
          <w:smallCaps w:val="0"/>
          <w:strike w:val="0"/>
          <w:color w:val="222222"/>
          <w:sz w:val="24"/>
          <w:szCs w:val="24"/>
          <w:highlight w:val="white"/>
          <w:u w:val="none"/>
          <w:vertAlign w:val="baseline"/>
          <w:rtl w:val="0"/>
        </w:rPr>
        <w:t xml:space="preserve">Journal of Pharmaceutical Negative Results</w:t>
      </w:r>
      <w:r w:rsidDel="00000000" w:rsidR="00000000" w:rsidRPr="00000000">
        <w:rPr>
          <w:rFonts w:ascii="Times New Roman" w:cs="Times New Roman" w:eastAsia="Times New Roman" w:hAnsi="Times New Roman"/>
          <w:i w:val="0"/>
          <w:smallCaps w:val="0"/>
          <w:strike w:val="0"/>
          <w:color w:val="222222"/>
          <w:sz w:val="24"/>
          <w:szCs w:val="24"/>
          <w:highlight w:val="white"/>
          <w:u w:val="none"/>
          <w:vertAlign w:val="baseline"/>
          <w:rtl w:val="0"/>
        </w:rPr>
        <w:t xml:space="preserve"> (2022): 1503-1510.</w:t>
      </w:r>
      <w:r w:rsidDel="00000000" w:rsidR="00000000" w:rsidRPr="00000000">
        <w:rPr>
          <w:rtl w:val="0"/>
        </w:rPr>
      </w:r>
    </w:p>
    <w:p w:rsidR="00000000" w:rsidDel="00000000" w:rsidP="00000000" w:rsidRDefault="00000000" w:rsidRPr="00000000" w14:paraId="00000075">
      <w:pPr>
        <w:tabs>
          <w:tab w:val="left" w:leader="none" w:pos="360"/>
        </w:tabs>
        <w:spacing w:line="360" w:lineRule="auto"/>
        <w:rPr>
          <w:rFonts w:ascii="Times New Roman" w:cs="Times New Roman" w:eastAsia="Times New Roman" w:hAnsi="Times New Roman"/>
          <w:sz w:val="24"/>
          <w:szCs w:val="24"/>
        </w:rPr>
      </w:pPr>
      <w:r w:rsidDel="00000000" w:rsidR="00000000" w:rsidRPr="00000000">
        <w:rPr>
          <w:rtl w:val="0"/>
        </w:rPr>
      </w:r>
    </w:p>
    <w:sectPr>
      <w:type w:val="continuous"/>
      <w:pgSz w:h="16838" w:w="11906" w:orient="portrait"/>
      <w:pgMar w:bottom="1440" w:top="1440" w:left="1440" w:right="1440"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ambria"/>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Letter"/>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841" w:hanging="361.0000000000001"/>
      </w:pPr>
      <w:rPr/>
    </w:lvl>
    <w:lvl w:ilvl="1">
      <w:start w:val="1"/>
      <w:numFmt w:val="decimal"/>
      <w:lvlText w:val="%2."/>
      <w:lvlJc w:val="left"/>
      <w:pPr>
        <w:ind w:left="1085" w:hanging="245"/>
      </w:pPr>
      <w:rPr>
        <w:rFonts w:ascii="Times New Roman" w:cs="Times New Roman" w:eastAsia="Times New Roman" w:hAnsi="Times New Roman"/>
        <w:sz w:val="24"/>
        <w:szCs w:val="24"/>
      </w:rPr>
    </w:lvl>
    <w:lvl w:ilvl="2">
      <w:start w:val="0"/>
      <w:numFmt w:val="bullet"/>
      <w:lvlText w:val="•"/>
      <w:lvlJc w:val="left"/>
      <w:pPr>
        <w:ind w:left="2026" w:hanging="245"/>
      </w:pPr>
      <w:rPr/>
    </w:lvl>
    <w:lvl w:ilvl="3">
      <w:start w:val="0"/>
      <w:numFmt w:val="bullet"/>
      <w:lvlText w:val="•"/>
      <w:lvlJc w:val="left"/>
      <w:pPr>
        <w:ind w:left="2973" w:hanging="245"/>
      </w:pPr>
      <w:rPr/>
    </w:lvl>
    <w:lvl w:ilvl="4">
      <w:start w:val="0"/>
      <w:numFmt w:val="bullet"/>
      <w:lvlText w:val="•"/>
      <w:lvlJc w:val="left"/>
      <w:pPr>
        <w:ind w:left="3920" w:hanging="245"/>
      </w:pPr>
      <w:rPr/>
    </w:lvl>
    <w:lvl w:ilvl="5">
      <w:start w:val="0"/>
      <w:numFmt w:val="bullet"/>
      <w:lvlText w:val="•"/>
      <w:lvlJc w:val="left"/>
      <w:pPr>
        <w:ind w:left="4866" w:hanging="245"/>
      </w:pPr>
      <w:rPr/>
    </w:lvl>
    <w:lvl w:ilvl="6">
      <w:start w:val="0"/>
      <w:numFmt w:val="bullet"/>
      <w:lvlText w:val="•"/>
      <w:lvlJc w:val="left"/>
      <w:pPr>
        <w:ind w:left="5813" w:hanging="245"/>
      </w:pPr>
      <w:rPr/>
    </w:lvl>
    <w:lvl w:ilvl="7">
      <w:start w:val="0"/>
      <w:numFmt w:val="bullet"/>
      <w:lvlText w:val="•"/>
      <w:lvlJc w:val="left"/>
      <w:pPr>
        <w:ind w:left="6760" w:hanging="245"/>
      </w:pPr>
      <w:rPr/>
    </w:lvl>
    <w:lvl w:ilvl="8">
      <w:start w:val="0"/>
      <w:numFmt w:val="bullet"/>
      <w:lvlText w:val="•"/>
      <w:lvlJc w:val="left"/>
      <w:pPr>
        <w:ind w:left="7706" w:hanging="245"/>
      </w:pPr>
      <w:rPr/>
    </w:lvl>
  </w:abstractNum>
  <w:abstractNum w:abstractNumId="4">
    <w:lvl w:ilvl="0">
      <w:start w:val="1"/>
      <w:numFmt w:val="upp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Times New Roman" w:cs="Times New Roman" w:eastAsia="Times New Roman" w:hAnsi="Times New Roman"/>
      <w:b w:val="1"/>
      <w:color w:val="000000"/>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Times New Roman" w:cs="Times New Roman" w:eastAsia="Times New Roman" w:hAnsi="Times New Roman"/>
      <w:b w:val="1"/>
      <w:color w:val="000000"/>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uiPriority w:val="9"/>
    <w:qFormat w:val="1"/>
    <w:rsid w:val="00725EC5"/>
    <w:pPr>
      <w:keepNext w:val="1"/>
      <w:keepLines w:val="1"/>
      <w:spacing w:after="0" w:before="480"/>
      <w:outlineLvl w:val="0"/>
    </w:pPr>
    <w:rPr>
      <w:rFonts w:ascii="Times New Roman" w:hAnsi="Times New Roman" w:cstheme="majorBidi" w:eastAsiaTheme="majorEastAsia"/>
      <w:b w:val="1"/>
      <w:bCs w:val="1"/>
      <w:color w:val="000000" w:themeColor="text1"/>
      <w:sz w:val="28"/>
      <w:szCs w:val="28"/>
    </w:rPr>
  </w:style>
  <w:style w:type="paragraph" w:styleId="Heading2">
    <w:name w:val="heading 2"/>
    <w:basedOn w:val="Normal"/>
    <w:next w:val="Normal"/>
    <w:link w:val="Heading2Char"/>
    <w:uiPriority w:val="9"/>
    <w:unhideWhenUsed w:val="1"/>
    <w:qFormat w:val="1"/>
    <w:rsid w:val="00631F0C"/>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semiHidden w:val="1"/>
    <w:unhideWhenUsed w:val="1"/>
    <w:qFormat w:val="1"/>
    <w:rsid w:val="00725EC5"/>
    <w:pPr>
      <w:keepNext w:val="1"/>
      <w:keepLines w:val="1"/>
      <w:spacing w:after="0"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papertitle" w:customStyle="1">
    <w:name w:val="paper.title"/>
    <w:basedOn w:val="Normal"/>
    <w:link w:val="papertitleChar"/>
    <w:qFormat w:val="1"/>
    <w:rsid w:val="0046361C"/>
    <w:pPr>
      <w:spacing w:after="360" w:line="240" w:lineRule="auto"/>
      <w:jc w:val="center"/>
    </w:pPr>
    <w:rPr>
      <w:rFonts w:ascii="Times New Roman" w:cs="Times New Roman" w:hAnsi="Times New Roman"/>
      <w:b w:val="1"/>
      <w:sz w:val="28"/>
      <w:szCs w:val="28"/>
    </w:rPr>
  </w:style>
  <w:style w:type="paragraph" w:styleId="author" w:customStyle="1">
    <w:name w:val="author"/>
    <w:basedOn w:val="Normal"/>
    <w:link w:val="authorChar"/>
    <w:qFormat w:val="1"/>
    <w:rsid w:val="0046361C"/>
    <w:pPr>
      <w:spacing w:after="180" w:line="240" w:lineRule="auto"/>
      <w:jc w:val="center"/>
    </w:pPr>
    <w:rPr>
      <w:rFonts w:ascii="Times New Roman" w:cs="Times New Roman" w:hAnsi="Times New Roman"/>
    </w:rPr>
  </w:style>
  <w:style w:type="character" w:styleId="papertitleChar" w:customStyle="1">
    <w:name w:val="paper.title Char"/>
    <w:basedOn w:val="DefaultParagraphFont"/>
    <w:link w:val="papertitle"/>
    <w:rsid w:val="0046361C"/>
    <w:rPr>
      <w:rFonts w:ascii="Times New Roman" w:cs="Times New Roman" w:hAnsi="Times New Roman"/>
      <w:b w:val="1"/>
      <w:sz w:val="28"/>
      <w:szCs w:val="28"/>
    </w:rPr>
  </w:style>
  <w:style w:type="paragraph" w:styleId="NormalWeb">
    <w:name w:val="Normal (Web)"/>
    <w:basedOn w:val="Normal"/>
    <w:uiPriority w:val="99"/>
    <w:unhideWhenUsed w:val="1"/>
    <w:rsid w:val="00631F0C"/>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authorChar" w:customStyle="1">
    <w:name w:val="author Char"/>
    <w:basedOn w:val="DefaultParagraphFont"/>
    <w:link w:val="author"/>
    <w:rsid w:val="0046361C"/>
    <w:rPr>
      <w:rFonts w:ascii="Times New Roman" w:cs="Times New Roman" w:hAnsi="Times New Roman"/>
    </w:rPr>
  </w:style>
  <w:style w:type="character" w:styleId="Heading2Char" w:customStyle="1">
    <w:name w:val="Heading 2 Char"/>
    <w:basedOn w:val="DefaultParagraphFont"/>
    <w:link w:val="Heading2"/>
    <w:uiPriority w:val="9"/>
    <w:rsid w:val="00631F0C"/>
    <w:rPr>
      <w:rFonts w:asciiTheme="majorHAnsi" w:cstheme="majorBidi" w:eastAsiaTheme="majorEastAsia" w:hAnsiTheme="majorHAnsi"/>
      <w:b w:val="1"/>
      <w:bCs w:val="1"/>
      <w:color w:val="4f81bd" w:themeColor="accent1"/>
      <w:sz w:val="26"/>
      <w:szCs w:val="26"/>
    </w:rPr>
  </w:style>
  <w:style w:type="paragraph" w:styleId="ListParagraph">
    <w:name w:val="List Paragraph"/>
    <w:basedOn w:val="Normal"/>
    <w:uiPriority w:val="1"/>
    <w:qFormat w:val="1"/>
    <w:rsid w:val="005F0262"/>
    <w:pPr>
      <w:widowControl w:val="0"/>
      <w:autoSpaceDE w:val="0"/>
      <w:autoSpaceDN w:val="0"/>
      <w:spacing w:after="0" w:line="240" w:lineRule="auto"/>
      <w:ind w:left="720"/>
      <w:contextualSpacing w:val="1"/>
    </w:pPr>
    <w:rPr>
      <w:rFonts w:ascii="Times New Roman" w:cs="Times New Roman" w:eastAsia="Times New Roman" w:hAnsi="Times New Roman"/>
      <w:lang w:val="en-US"/>
    </w:rPr>
  </w:style>
  <w:style w:type="paragraph" w:styleId="BodyText">
    <w:name w:val="Body Text"/>
    <w:basedOn w:val="Normal"/>
    <w:link w:val="BodyTextChar"/>
    <w:uiPriority w:val="1"/>
    <w:qFormat w:val="1"/>
    <w:rsid w:val="000E117F"/>
    <w:pPr>
      <w:widowControl w:val="0"/>
      <w:autoSpaceDE w:val="0"/>
      <w:autoSpaceDN w:val="0"/>
      <w:spacing w:after="0" w:line="240" w:lineRule="auto"/>
    </w:pPr>
    <w:rPr>
      <w:rFonts w:ascii="Times New Roman" w:cs="Times New Roman" w:eastAsia="Times New Roman" w:hAnsi="Times New Roman"/>
      <w:sz w:val="20"/>
      <w:szCs w:val="20"/>
      <w:lang w:val="en-US"/>
    </w:rPr>
  </w:style>
  <w:style w:type="character" w:styleId="BodyTextChar" w:customStyle="1">
    <w:name w:val="Body Text Char"/>
    <w:basedOn w:val="DefaultParagraphFont"/>
    <w:link w:val="BodyText"/>
    <w:uiPriority w:val="1"/>
    <w:rsid w:val="000E117F"/>
    <w:rPr>
      <w:rFonts w:ascii="Times New Roman" w:cs="Times New Roman" w:eastAsia="Times New Roman" w:hAnsi="Times New Roman"/>
      <w:sz w:val="20"/>
      <w:szCs w:val="20"/>
      <w:lang w:val="en-US"/>
    </w:rPr>
  </w:style>
  <w:style w:type="character" w:styleId="Heading1Char" w:customStyle="1">
    <w:name w:val="Heading 1 Char"/>
    <w:basedOn w:val="DefaultParagraphFont"/>
    <w:link w:val="Heading1"/>
    <w:uiPriority w:val="9"/>
    <w:rsid w:val="00725EC5"/>
    <w:rPr>
      <w:rFonts w:ascii="Times New Roman" w:hAnsi="Times New Roman" w:cstheme="majorBidi" w:eastAsiaTheme="majorEastAsia"/>
      <w:b w:val="1"/>
      <w:bCs w:val="1"/>
      <w:color w:val="000000" w:themeColor="text1"/>
      <w:sz w:val="28"/>
      <w:szCs w:val="28"/>
    </w:rPr>
  </w:style>
  <w:style w:type="character" w:styleId="Heading3Char" w:customStyle="1">
    <w:name w:val="Heading 3 Char"/>
    <w:basedOn w:val="DefaultParagraphFont"/>
    <w:link w:val="Heading3"/>
    <w:uiPriority w:val="9"/>
    <w:semiHidden w:val="1"/>
    <w:rsid w:val="00725EC5"/>
    <w:rPr>
      <w:rFonts w:asciiTheme="majorHAnsi" w:cstheme="majorBidi" w:eastAsiaTheme="majorEastAsia" w:hAnsiTheme="majorHAnsi"/>
      <w:b w:val="1"/>
      <w:bCs w:val="1"/>
      <w:color w:val="4f81bd" w:themeColor="accent1"/>
    </w:rPr>
  </w:style>
  <w:style w:type="paragraph" w:styleId="BalloonText">
    <w:name w:val="Balloon Text"/>
    <w:basedOn w:val="Normal"/>
    <w:link w:val="BalloonTextChar"/>
    <w:uiPriority w:val="99"/>
    <w:semiHidden w:val="1"/>
    <w:unhideWhenUsed w:val="1"/>
    <w:rsid w:val="000C5843"/>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0C5843"/>
    <w:rPr>
      <w:rFonts w:ascii="Tahoma" w:cs="Tahoma" w:hAnsi="Tahoma"/>
      <w:sz w:val="16"/>
      <w:szCs w:val="16"/>
    </w:rPr>
  </w:style>
  <w:style w:type="paragraph" w:styleId="Header">
    <w:name w:val="header"/>
    <w:basedOn w:val="Normal"/>
    <w:link w:val="HeaderChar"/>
    <w:uiPriority w:val="99"/>
    <w:unhideWhenUsed w:val="1"/>
    <w:rsid w:val="000C5843"/>
    <w:pPr>
      <w:tabs>
        <w:tab w:val="center" w:pos="4513"/>
        <w:tab w:val="right" w:pos="9026"/>
      </w:tabs>
      <w:spacing w:after="0" w:line="240" w:lineRule="auto"/>
    </w:pPr>
  </w:style>
  <w:style w:type="character" w:styleId="HeaderChar" w:customStyle="1">
    <w:name w:val="Header Char"/>
    <w:basedOn w:val="DefaultParagraphFont"/>
    <w:link w:val="Header"/>
    <w:uiPriority w:val="99"/>
    <w:rsid w:val="000C5843"/>
  </w:style>
  <w:style w:type="paragraph" w:styleId="Footer">
    <w:name w:val="footer"/>
    <w:basedOn w:val="Normal"/>
    <w:link w:val="FooterChar"/>
    <w:uiPriority w:val="99"/>
    <w:unhideWhenUsed w:val="1"/>
    <w:rsid w:val="000C5843"/>
    <w:pPr>
      <w:tabs>
        <w:tab w:val="center" w:pos="4513"/>
        <w:tab w:val="right" w:pos="9026"/>
      </w:tabs>
      <w:spacing w:after="0" w:line="240" w:lineRule="auto"/>
    </w:pPr>
  </w:style>
  <w:style w:type="character" w:styleId="FooterChar" w:customStyle="1">
    <w:name w:val="Footer Char"/>
    <w:basedOn w:val="DefaultParagraphFont"/>
    <w:link w:val="Footer"/>
    <w:uiPriority w:val="99"/>
    <w:rsid w:val="000C5843"/>
  </w:style>
  <w:style w:type="character" w:styleId="Hyperlink">
    <w:name w:val="Hyperlink"/>
    <w:basedOn w:val="DefaultParagraphFont"/>
    <w:uiPriority w:val="99"/>
    <w:unhideWhenUsed w:val="1"/>
    <w:rsid w:val="003D0201"/>
    <w:rPr>
      <w:color w:val="0000ff"/>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doi.org/10.1109/incos59338.2024.10527779" TargetMode="External"/><Relationship Id="rId10" Type="http://schemas.openxmlformats.org/officeDocument/2006/relationships/hyperlink" Target="https://doi.org/10.1007/978-3-031-67890-5_56" TargetMode="External"/><Relationship Id="rId9"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NMCIrjG9bZs1svF3+pXdEXuLvA==">CgMxLjAyCGguZ2pkZ3hzOAByITFQYmNVYWhrS1RJd1dJeDhEamJyYXZhbDM2YWlIUDFEaQ==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2024-11-18T05:39:00Z</dcterms:created>
  <dc:creator>LENOVO</dc:creator>
</cp:coreProperties>
</file>