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A7" w:rsidRPr="007423A7" w:rsidRDefault="007423A7" w:rsidP="007423A7">
      <w:pPr>
        <w:spacing w:before="240" w:line="360" w:lineRule="auto"/>
        <w:jc w:val="center"/>
        <w:rPr>
          <w:rFonts w:ascii="Times New Roman" w:hAnsi="Times New Roman" w:cs="Times New Roman"/>
          <w:b/>
          <w:sz w:val="32"/>
          <w:szCs w:val="32"/>
        </w:rPr>
      </w:pPr>
      <w:r w:rsidRPr="007423A7">
        <w:rPr>
          <w:rFonts w:ascii="Times New Roman" w:hAnsi="Times New Roman" w:cs="Times New Roman"/>
          <w:b/>
          <w:sz w:val="32"/>
          <w:szCs w:val="32"/>
        </w:rPr>
        <w:t>TAX COMPLIANCE COSTS AND THEIR IMPACT ON SMALL AND MEDIUM ENTERPRISES (SMES) IN INTERNATIONAL TRADE</w:t>
      </w:r>
    </w:p>
    <w:p w:rsidR="007423A7" w:rsidRPr="007423A7" w:rsidRDefault="007423A7" w:rsidP="007423A7">
      <w:pPr>
        <w:spacing w:after="0" w:line="240" w:lineRule="auto"/>
        <w:jc w:val="center"/>
        <w:rPr>
          <w:rFonts w:ascii="Times New Roman" w:hAnsi="Times New Roman" w:cs="Times New Roman"/>
          <w:b/>
          <w:sz w:val="24"/>
          <w:szCs w:val="24"/>
        </w:rPr>
      </w:pPr>
      <w:r w:rsidRPr="007423A7">
        <w:rPr>
          <w:rFonts w:ascii="Times New Roman" w:hAnsi="Times New Roman" w:cs="Times New Roman"/>
          <w:b/>
          <w:sz w:val="24"/>
          <w:szCs w:val="24"/>
        </w:rPr>
        <w:t xml:space="preserve">Aarav </w:t>
      </w:r>
      <w:proofErr w:type="spellStart"/>
      <w:r w:rsidRPr="007423A7">
        <w:rPr>
          <w:rFonts w:ascii="Times New Roman" w:hAnsi="Times New Roman" w:cs="Times New Roman"/>
          <w:b/>
          <w:sz w:val="24"/>
          <w:szCs w:val="24"/>
        </w:rPr>
        <w:t>Chhabra</w:t>
      </w:r>
      <w:proofErr w:type="spellEnd"/>
    </w:p>
    <w:p w:rsidR="00BA147C" w:rsidRDefault="007423A7" w:rsidP="007423A7">
      <w:pPr>
        <w:spacing w:after="0" w:line="240" w:lineRule="auto"/>
        <w:jc w:val="center"/>
        <w:rPr>
          <w:rFonts w:ascii="Times New Roman" w:hAnsi="Times New Roman" w:cs="Times New Roman"/>
          <w:sz w:val="24"/>
          <w:szCs w:val="24"/>
        </w:rPr>
      </w:pPr>
      <w:bookmarkStart w:id="0" w:name="_GoBack"/>
      <w:r w:rsidRPr="007423A7">
        <w:rPr>
          <w:rFonts w:ascii="Times New Roman" w:hAnsi="Times New Roman" w:cs="Times New Roman"/>
          <w:sz w:val="24"/>
          <w:szCs w:val="24"/>
        </w:rPr>
        <w:t>Symbiosis International University</w:t>
      </w:r>
      <w:bookmarkEnd w:id="0"/>
    </w:p>
    <w:p w:rsidR="007423A7" w:rsidRDefault="007423A7" w:rsidP="007423A7">
      <w:pPr>
        <w:spacing w:before="240" w:line="360" w:lineRule="auto"/>
        <w:jc w:val="both"/>
        <w:rPr>
          <w:rFonts w:ascii="Times New Roman" w:hAnsi="Times New Roman" w:cs="Times New Roman"/>
          <w:b/>
          <w:sz w:val="24"/>
          <w:szCs w:val="24"/>
        </w:rPr>
      </w:pPr>
      <w:r w:rsidRPr="007423A7">
        <w:rPr>
          <w:rFonts w:ascii="Times New Roman" w:hAnsi="Times New Roman" w:cs="Times New Roman"/>
          <w:b/>
          <w:sz w:val="24"/>
          <w:szCs w:val="24"/>
        </w:rPr>
        <w:t>Abstract</w:t>
      </w:r>
    </w:p>
    <w:p w:rsidR="007423A7" w:rsidRPr="007423A7" w:rsidRDefault="007423A7" w:rsidP="007423A7">
      <w:pPr>
        <w:spacing w:before="100" w:beforeAutospacing="1" w:after="100" w:afterAutospacing="1" w:line="360" w:lineRule="auto"/>
        <w:jc w:val="both"/>
        <w:rPr>
          <w:rFonts w:ascii="Times New Roman" w:eastAsia="Times New Roman" w:hAnsi="Times New Roman" w:cs="Times New Roman"/>
          <w:sz w:val="24"/>
          <w:szCs w:val="24"/>
        </w:rPr>
      </w:pPr>
      <w:r w:rsidRPr="007423A7">
        <w:rPr>
          <w:rFonts w:ascii="Times New Roman" w:eastAsia="Times New Roman" w:hAnsi="Times New Roman" w:cs="Times New Roman"/>
          <w:sz w:val="24"/>
          <w:szCs w:val="24"/>
        </w:rPr>
        <w:t>This paper explores the relationship between tax compliance costs and their impact on small and medium enterprises (SMEs) engaged in international trade. It examines how the complexity of tax regulations, administrative burdens, and compliance costs affect the operational efficiency and competitiveness of SMEs in the global market. Through a comprehensive literature review and empirical analysis, the study identifies key factors that contribute to heightened compliance costs, including varying tax laws across jurisdictions and the lack of access to tax advisory resources. The findings reveal that excessive compliance costs can deter SMEs from participating in international trade, limiting their growth potential and market reach. Furthermore, the paper discusses strategies for policymakers to simplify tax compliance processes and provide support to SMEs, thereby fostering a more conducive environment for international trade. The implications of these findings suggest that reducing tax compliance costs can enhance the competitiveness of SMEs, ultimately contributing to economic growth.</w:t>
      </w:r>
    </w:p>
    <w:p w:rsidR="007423A7" w:rsidRDefault="007423A7" w:rsidP="007423A7">
      <w:pPr>
        <w:spacing w:before="100" w:beforeAutospacing="1" w:after="100" w:afterAutospacing="1" w:line="360" w:lineRule="auto"/>
        <w:jc w:val="both"/>
        <w:outlineLvl w:val="2"/>
        <w:rPr>
          <w:rFonts w:ascii="Times New Roman" w:eastAsia="Times New Roman" w:hAnsi="Times New Roman" w:cs="Times New Roman"/>
          <w:sz w:val="24"/>
          <w:szCs w:val="24"/>
        </w:rPr>
      </w:pPr>
      <w:proofErr w:type="gramStart"/>
      <w:r w:rsidRPr="007423A7">
        <w:rPr>
          <w:rFonts w:ascii="Times New Roman" w:eastAsia="Times New Roman" w:hAnsi="Times New Roman" w:cs="Times New Roman"/>
          <w:b/>
          <w:bCs/>
          <w:sz w:val="24"/>
          <w:szCs w:val="24"/>
        </w:rPr>
        <w:t>Keywords :</w:t>
      </w:r>
      <w:proofErr w:type="gramEnd"/>
      <w:r>
        <w:rPr>
          <w:rFonts w:ascii="Times New Roman" w:eastAsia="Times New Roman" w:hAnsi="Times New Roman" w:cs="Times New Roman"/>
          <w:b/>
          <w:bCs/>
          <w:sz w:val="27"/>
          <w:szCs w:val="27"/>
        </w:rPr>
        <w:t xml:space="preserve"> </w:t>
      </w:r>
      <w:r w:rsidRPr="007423A7">
        <w:rPr>
          <w:rFonts w:ascii="Times New Roman" w:eastAsia="Times New Roman" w:hAnsi="Times New Roman" w:cs="Times New Roman"/>
          <w:sz w:val="24"/>
          <w:szCs w:val="24"/>
        </w:rPr>
        <w:t>Tax compliance costs, small and medium enterprises (SMEs), international trade, operational efficiency, economic growth.</w:t>
      </w:r>
    </w:p>
    <w:p w:rsidR="007423A7" w:rsidRPr="007423A7" w:rsidRDefault="007423A7" w:rsidP="007423A7">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7423A7">
        <w:rPr>
          <w:rFonts w:ascii="Times New Roman" w:eastAsia="Times New Roman" w:hAnsi="Times New Roman" w:cs="Times New Roman"/>
          <w:b/>
          <w:sz w:val="24"/>
          <w:szCs w:val="24"/>
        </w:rPr>
        <w:t>Introduction</w:t>
      </w:r>
    </w:p>
    <w:p w:rsidR="007423A7" w:rsidRPr="007423A7" w:rsidRDefault="007423A7" w:rsidP="007423A7">
      <w:pPr>
        <w:pStyle w:val="NormalWeb"/>
        <w:spacing w:line="360" w:lineRule="auto"/>
        <w:jc w:val="both"/>
      </w:pPr>
      <w:r w:rsidRPr="007423A7">
        <w:t xml:space="preserve">In the contemporary global economy, small and medium enterprises (SMEs) play a crucial role in fostering innovation, creating jobs, and contributing to economic growth. As defined by the European Commission, SMEs are businesses with fewer than 250 employees and an annual turnover not exceeding €50 million or a balance sheet total not exceeding €43 million. They constitute approximately 99% of all enterprises in the European Union and account for about two-thirds of total employment (European Commission, 2020). Despite their significant contribution </w:t>
      </w:r>
      <w:r w:rsidRPr="007423A7">
        <w:lastRenderedPageBreak/>
        <w:t>to economic development, SMEs often face substantial challenges, particularly in navigating the complex landscape of tax compliance.</w:t>
      </w:r>
    </w:p>
    <w:p w:rsidR="007423A7" w:rsidRPr="007423A7" w:rsidRDefault="007423A7" w:rsidP="007423A7">
      <w:pPr>
        <w:pStyle w:val="NormalWeb"/>
        <w:spacing w:line="360" w:lineRule="auto"/>
        <w:jc w:val="both"/>
      </w:pPr>
      <w:r w:rsidRPr="007423A7">
        <w:t>Tax compliance costs refer to the expenses incurred by businesses to adhere to tax regulations, including both direct costs, such as fees for tax preparation and advisory services, and indirect costs, such as the time spent by staff on tax-related tasks (</w:t>
      </w:r>
      <w:proofErr w:type="spellStart"/>
      <w:r w:rsidRPr="007423A7">
        <w:t>Slemrod</w:t>
      </w:r>
      <w:proofErr w:type="spellEnd"/>
      <w:r w:rsidRPr="007423A7">
        <w:t>, 2001). For SMEs involved in international trade, these costs can be exacerbated by the multiplicity of tax jurisdictions and regulatory environments they must navigate. The complexities of international tax laws can deter SMEs from expanding their operations beyond domestic markets, thereby limiting their growth potential and overall competitiveness (Zhang, 2016).</w:t>
      </w:r>
    </w:p>
    <w:p w:rsidR="007423A7" w:rsidRPr="007423A7" w:rsidRDefault="007423A7" w:rsidP="007423A7">
      <w:pPr>
        <w:pStyle w:val="NormalWeb"/>
        <w:spacing w:line="360" w:lineRule="auto"/>
        <w:jc w:val="both"/>
      </w:pPr>
      <w:r w:rsidRPr="007423A7">
        <w:t>The impact of tax compliance costs on SMEs in international trade is multifaceted. First, high compliance costs can reduce profit margins, making it difficult for SMEs to compete with larger corporations that can absorb these expenses more effectively (McKenzie, 2018). Second, the intricate nature of international tax regulations often requires SMEs to invest in specialized knowledge and resources that may not be readily available to them (</w:t>
      </w:r>
      <w:proofErr w:type="spellStart"/>
      <w:r w:rsidRPr="007423A7">
        <w:t>Schuetze</w:t>
      </w:r>
      <w:proofErr w:type="spellEnd"/>
      <w:r w:rsidRPr="007423A7">
        <w:t>, 2000). This can lead to a reliance on external advisors, further increasing compliance costs and diverting resources away from core business activities.</w:t>
      </w:r>
    </w:p>
    <w:p w:rsidR="007423A7" w:rsidRPr="007423A7" w:rsidRDefault="007423A7" w:rsidP="007423A7">
      <w:pPr>
        <w:pStyle w:val="NormalWeb"/>
        <w:spacing w:line="360" w:lineRule="auto"/>
        <w:jc w:val="both"/>
      </w:pPr>
      <w:r w:rsidRPr="007423A7">
        <w:t>Moreover, the administrative burden associated with tax compliance can impede SMEs from engaging in strategic planning and investment activities. Research has shown that time spent on compliance-related tasks can detract from productive activities, thereby reducing overall operational efficiency (Sharma, 2020). As a result, SMEs may forego valuable opportunities for growth and innovation, ultimately hampering their ability to compete in the global marketplace.</w:t>
      </w:r>
    </w:p>
    <w:p w:rsidR="007423A7" w:rsidRPr="007423A7" w:rsidRDefault="007423A7" w:rsidP="007423A7">
      <w:pPr>
        <w:pStyle w:val="Heading3"/>
        <w:spacing w:line="360" w:lineRule="auto"/>
        <w:jc w:val="both"/>
        <w:rPr>
          <w:sz w:val="24"/>
          <w:szCs w:val="24"/>
        </w:rPr>
      </w:pPr>
      <w:r w:rsidRPr="007423A7">
        <w:rPr>
          <w:sz w:val="24"/>
          <w:szCs w:val="24"/>
        </w:rPr>
        <w:t>The Importance of Understanding Tax Compliance Costs</w:t>
      </w:r>
    </w:p>
    <w:p w:rsidR="007423A7" w:rsidRPr="007423A7" w:rsidRDefault="007423A7" w:rsidP="007423A7">
      <w:pPr>
        <w:pStyle w:val="NormalWeb"/>
        <w:spacing w:line="360" w:lineRule="auto"/>
        <w:jc w:val="both"/>
      </w:pPr>
      <w:r w:rsidRPr="007423A7">
        <w:t>Understanding the impact of tax compliance costs on SMEs is essential for several reasons. First, as policymakers consider reforms aimed at fostering entrepreneurship and economic growth, it is critical to assess the regulatory environment's effect on SMEs. By identifying specific barriers posed by tax compliance, policymakers can design targeted interventions to reduce these costs and create a more favorable business environment (OECD, 2017).</w:t>
      </w:r>
    </w:p>
    <w:p w:rsidR="007423A7" w:rsidRPr="007423A7" w:rsidRDefault="007423A7" w:rsidP="007423A7">
      <w:pPr>
        <w:pStyle w:val="NormalWeb"/>
        <w:spacing w:line="360" w:lineRule="auto"/>
        <w:jc w:val="both"/>
      </w:pPr>
      <w:r w:rsidRPr="007423A7">
        <w:lastRenderedPageBreak/>
        <w:t>Second, the findings of such analyses can inform SMEs about best practices for managing compliance costs. By understanding the drivers of these costs, SMEs can adopt strategies to mitigate their impact, such as leveraging technology for tax compliance or seeking collaboration with industry peers to share resources and knowledge (Burgess et al., 2017).</w:t>
      </w:r>
    </w:p>
    <w:p w:rsidR="007423A7" w:rsidRPr="007423A7" w:rsidRDefault="007423A7" w:rsidP="007423A7">
      <w:pPr>
        <w:pStyle w:val="Heading3"/>
        <w:spacing w:line="360" w:lineRule="auto"/>
        <w:jc w:val="both"/>
        <w:rPr>
          <w:sz w:val="24"/>
          <w:szCs w:val="24"/>
        </w:rPr>
      </w:pPr>
      <w:r w:rsidRPr="007423A7">
        <w:rPr>
          <w:sz w:val="24"/>
          <w:szCs w:val="24"/>
        </w:rPr>
        <w:t>Existing Literature on Tax Compliance Costs</w:t>
      </w:r>
    </w:p>
    <w:p w:rsidR="007423A7" w:rsidRPr="007423A7" w:rsidRDefault="007423A7" w:rsidP="007423A7">
      <w:pPr>
        <w:pStyle w:val="NormalWeb"/>
        <w:spacing w:line="360" w:lineRule="auto"/>
        <w:jc w:val="both"/>
      </w:pPr>
      <w:r w:rsidRPr="007423A7">
        <w:t>The existing literature on tax compliance costs highlights several key themes. A significant body of research focuses on the direct correlation between tax compliance costs and firm size, with studies indicating that smaller firms face disproportionately higher compliance costs relative to their larger counterparts (Barkley &amp; Mather, 2008). This disparity is attributed to the fixed costs associated with compliance, which can consume a larger percentage of resources for smaller firms.</w:t>
      </w:r>
    </w:p>
    <w:p w:rsidR="007423A7" w:rsidRPr="007423A7" w:rsidRDefault="007423A7" w:rsidP="007423A7">
      <w:pPr>
        <w:pStyle w:val="NormalWeb"/>
        <w:spacing w:line="360" w:lineRule="auto"/>
        <w:jc w:val="both"/>
      </w:pPr>
      <w:r w:rsidRPr="007423A7">
        <w:t>Additionally, the literature examines the relationship between tax compliance costs and the decision-making processes of SMEs regarding international expansion. Studies suggest that higher compliance costs can discourage SMEs from pursuing opportunities in foreign markets, thereby limiting their growth potential and ability to diversify revenue streams (Dixon et al., 2015). This is particularly pertinent in the context of increasing globalization, where SMEs are increasingly seeking to compete on an international scale.</w:t>
      </w:r>
    </w:p>
    <w:p w:rsidR="007423A7" w:rsidRDefault="007423A7" w:rsidP="007423A7">
      <w:pPr>
        <w:pStyle w:val="NormalWeb"/>
        <w:spacing w:line="360" w:lineRule="auto"/>
        <w:jc w:val="both"/>
      </w:pPr>
      <w:r w:rsidRPr="007423A7">
        <w:t>Recent research has also begun to explore the role of technology in mitigating tax compliance costs. The advent of digital tools and software has enabled SMEs to streamline their compliance processes, thus reducing both time and financial burdens associated with tax compliance (Santos &amp; Silva, 2021). However, access to such technology remains uneven across different sectors and regions, which can exacerbate existing disparities in compliance costs among SMEs.</w:t>
      </w:r>
    </w:p>
    <w:p w:rsidR="007423A7" w:rsidRPr="007423A7" w:rsidRDefault="007423A7" w:rsidP="007423A7">
      <w:pPr>
        <w:pStyle w:val="NormalWeb"/>
        <w:spacing w:line="360" w:lineRule="auto"/>
        <w:jc w:val="both"/>
      </w:pPr>
      <w:r>
        <w:t>This introduction highlights the critical importance of understanding tax compliance costs and their implications for SMEs involved in international trade. By examining the challenges faced by these enterprises, this study aims to contribute to the existing literature and provide actionable insights for both SMEs and policymakers. As SMEs continue to drive economic growth and innovation, addressing the barriers posed by tax compliance will be essential for unlocking their full potential in the global marketplace.</w:t>
      </w:r>
    </w:p>
    <w:p w:rsidR="007423A7" w:rsidRPr="007423A7" w:rsidRDefault="007423A7" w:rsidP="007423A7">
      <w:pPr>
        <w:pStyle w:val="Heading3"/>
        <w:spacing w:line="360" w:lineRule="auto"/>
        <w:jc w:val="both"/>
        <w:rPr>
          <w:sz w:val="24"/>
          <w:szCs w:val="24"/>
        </w:rPr>
      </w:pPr>
      <w:r w:rsidRPr="007423A7">
        <w:rPr>
          <w:sz w:val="24"/>
          <w:szCs w:val="24"/>
        </w:rPr>
        <w:lastRenderedPageBreak/>
        <w:t>Research Objective</w:t>
      </w:r>
    </w:p>
    <w:p w:rsidR="007423A7" w:rsidRPr="001B4249" w:rsidRDefault="007423A7" w:rsidP="007423A7">
      <w:pPr>
        <w:spacing w:before="100" w:beforeAutospacing="1" w:after="100" w:afterAutospacing="1" w:line="360" w:lineRule="auto"/>
        <w:jc w:val="both"/>
        <w:rPr>
          <w:rFonts w:ascii="Times New Roman" w:hAnsi="Times New Roman" w:cs="Times New Roman"/>
          <w:b/>
          <w:sz w:val="24"/>
          <w:szCs w:val="24"/>
        </w:rPr>
      </w:pPr>
      <w:r w:rsidRPr="001B4249">
        <w:rPr>
          <w:rStyle w:val="Strong"/>
          <w:rFonts w:ascii="Times New Roman" w:hAnsi="Times New Roman" w:cs="Times New Roman"/>
          <w:b w:val="0"/>
          <w:sz w:val="24"/>
          <w:szCs w:val="24"/>
        </w:rPr>
        <w:t>To analyze the impact of tax compliance costs on the operational efficiency and competitiveness of SMEs engaged in international trade.</w:t>
      </w:r>
    </w:p>
    <w:p w:rsidR="007423A7" w:rsidRPr="007423A7" w:rsidRDefault="007423A7" w:rsidP="007423A7">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7423A7">
        <w:rPr>
          <w:rFonts w:ascii="Times New Roman" w:eastAsia="Times New Roman" w:hAnsi="Times New Roman" w:cs="Times New Roman"/>
          <w:b/>
          <w:sz w:val="24"/>
          <w:szCs w:val="24"/>
        </w:rPr>
        <w:t>Review of literature</w:t>
      </w:r>
    </w:p>
    <w:p w:rsidR="00212ACF" w:rsidRPr="00212ACF" w:rsidRDefault="00212ACF" w:rsidP="00212ACF">
      <w:pPr>
        <w:pStyle w:val="NormalWeb"/>
        <w:spacing w:line="360" w:lineRule="auto"/>
        <w:jc w:val="both"/>
        <w:rPr>
          <w:color w:val="000000" w:themeColor="text1"/>
        </w:rPr>
      </w:pPr>
      <w:r w:rsidRPr="00212ACF">
        <w:rPr>
          <w:color w:val="000000" w:themeColor="text1"/>
        </w:rPr>
        <w:t>The impact of tax compliance costs on small and medium enterprises (SMEs) has garnered significant attention in both academic and policy circles. Understanding these costs is essential for fostering a conducive environment for SME growth, particularly in the context of international trade. This literature review examines key studies on tax compliance costs, focusing on their implications for SMEs, the factors influencing these costs, and potential strategies for mitigation.</w:t>
      </w:r>
    </w:p>
    <w:p w:rsidR="00212ACF" w:rsidRPr="00212ACF" w:rsidRDefault="00212ACF" w:rsidP="00212ACF">
      <w:pPr>
        <w:pStyle w:val="Heading2"/>
        <w:spacing w:line="360" w:lineRule="auto"/>
        <w:jc w:val="both"/>
        <w:rPr>
          <w:rFonts w:ascii="Times New Roman" w:hAnsi="Times New Roman" w:cs="Times New Roman"/>
          <w:b/>
          <w:color w:val="000000" w:themeColor="text1"/>
          <w:sz w:val="24"/>
          <w:szCs w:val="24"/>
        </w:rPr>
      </w:pPr>
      <w:r w:rsidRPr="00212ACF">
        <w:rPr>
          <w:rFonts w:ascii="Times New Roman" w:hAnsi="Times New Roman" w:cs="Times New Roman"/>
          <w:b/>
          <w:color w:val="000000" w:themeColor="text1"/>
          <w:sz w:val="24"/>
          <w:szCs w:val="24"/>
        </w:rPr>
        <w:t>Tax Compliance Costs and Firm Size</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One of the most prominent themes in the literature is the correlation between firm size and tax compliance costs. </w:t>
      </w:r>
      <w:proofErr w:type="spellStart"/>
      <w:r w:rsidRPr="00212ACF">
        <w:rPr>
          <w:color w:val="000000" w:themeColor="text1"/>
        </w:rPr>
        <w:t>Slemrod</w:t>
      </w:r>
      <w:proofErr w:type="spellEnd"/>
      <w:r w:rsidRPr="00212ACF">
        <w:rPr>
          <w:color w:val="000000" w:themeColor="text1"/>
        </w:rPr>
        <w:t xml:space="preserve"> (2001) posited that smaller firms tend to incur higher relative compliance costs than larger enterprises due to fixed costs associated with tax compliance that do not scale with firm size. This perspective is supported by studies such as that by Barkley and Mather (2008), which found that small businesses often face disproportionately high tax compliance burdens, significantly impacting their profitability and operational efficiency.</w:t>
      </w:r>
    </w:p>
    <w:p w:rsidR="00212ACF" w:rsidRPr="00212ACF" w:rsidRDefault="00212ACF" w:rsidP="00212ACF">
      <w:pPr>
        <w:pStyle w:val="NormalWeb"/>
        <w:spacing w:line="360" w:lineRule="auto"/>
        <w:jc w:val="both"/>
        <w:rPr>
          <w:color w:val="000000" w:themeColor="text1"/>
        </w:rPr>
      </w:pPr>
      <w:r w:rsidRPr="00212ACF">
        <w:rPr>
          <w:color w:val="000000" w:themeColor="text1"/>
        </w:rPr>
        <w:t>In a comprehensive analysis, McKenzie (2018) demonstrated that SMEs with fewer resources are less equipped to handle complex tax regulations, leading to a higher reliance on external advisors. This reliance further increases compliance costs, creating a cycle that constrains the growth potential of SMEs. The challenges associated with tax compliance are particularly pronounced for SMEs engaged in international trade, where varying tax laws and regulatory requirements across jurisdictions compound these costs (Zhang, 2016).</w:t>
      </w:r>
    </w:p>
    <w:p w:rsidR="00212ACF" w:rsidRPr="00212ACF" w:rsidRDefault="00212ACF" w:rsidP="00212ACF">
      <w:pPr>
        <w:pStyle w:val="Heading2"/>
        <w:spacing w:line="360" w:lineRule="auto"/>
        <w:jc w:val="both"/>
        <w:rPr>
          <w:rFonts w:ascii="Times New Roman" w:hAnsi="Times New Roman" w:cs="Times New Roman"/>
          <w:b/>
          <w:color w:val="000000" w:themeColor="text1"/>
          <w:sz w:val="24"/>
          <w:szCs w:val="24"/>
        </w:rPr>
      </w:pPr>
      <w:r w:rsidRPr="00212ACF">
        <w:rPr>
          <w:rFonts w:ascii="Times New Roman" w:hAnsi="Times New Roman" w:cs="Times New Roman"/>
          <w:b/>
          <w:color w:val="000000" w:themeColor="text1"/>
          <w:sz w:val="24"/>
          <w:szCs w:val="24"/>
        </w:rPr>
        <w:t>The Role of Tax Regulations</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The complexities of international tax regulations present significant hurdles for SMEs. Dixon et al. (2015) emphasized that the varying tax jurisdictions create an environment where SMEs struggle to maintain compliance, which can deter them from entering international markets. The </w:t>
      </w:r>
      <w:r w:rsidRPr="00212ACF">
        <w:rPr>
          <w:color w:val="000000" w:themeColor="text1"/>
        </w:rPr>
        <w:lastRenderedPageBreak/>
        <w:t>authors highlighted that increased compliance costs not only reduce profit margins but also discourage innovation and investment in growth opportunities.</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Furthermore, </w:t>
      </w:r>
      <w:proofErr w:type="spellStart"/>
      <w:r w:rsidRPr="00212ACF">
        <w:rPr>
          <w:color w:val="000000" w:themeColor="text1"/>
        </w:rPr>
        <w:t>Schuetze</w:t>
      </w:r>
      <w:proofErr w:type="spellEnd"/>
      <w:r w:rsidRPr="00212ACF">
        <w:rPr>
          <w:color w:val="000000" w:themeColor="text1"/>
        </w:rPr>
        <w:t xml:space="preserve"> (2000) explored the administrative burdens imposed by compliance with tax regulations. The study found that the time and resources dedicated to understanding and adhering to tax laws detract from the core activities of SMEs, reducing overall productivity. This inefficiency is particularly critical in the context of international trade, where timely market entry can be a decisive factor for success.</w:t>
      </w:r>
    </w:p>
    <w:p w:rsidR="00212ACF" w:rsidRPr="00212ACF" w:rsidRDefault="00212ACF" w:rsidP="00212ACF">
      <w:pPr>
        <w:pStyle w:val="Heading2"/>
        <w:spacing w:line="360" w:lineRule="auto"/>
        <w:jc w:val="both"/>
        <w:rPr>
          <w:rFonts w:ascii="Times New Roman" w:hAnsi="Times New Roman" w:cs="Times New Roman"/>
          <w:b/>
          <w:color w:val="000000" w:themeColor="text1"/>
          <w:sz w:val="24"/>
          <w:szCs w:val="24"/>
        </w:rPr>
      </w:pPr>
      <w:r w:rsidRPr="00212ACF">
        <w:rPr>
          <w:rFonts w:ascii="Times New Roman" w:hAnsi="Times New Roman" w:cs="Times New Roman"/>
          <w:b/>
          <w:color w:val="000000" w:themeColor="text1"/>
          <w:sz w:val="24"/>
          <w:szCs w:val="24"/>
        </w:rPr>
        <w:t>Technology and Tax Compliance</w:t>
      </w:r>
    </w:p>
    <w:p w:rsidR="00212ACF" w:rsidRPr="00212ACF" w:rsidRDefault="00212ACF" w:rsidP="00212ACF">
      <w:pPr>
        <w:pStyle w:val="NormalWeb"/>
        <w:spacing w:line="360" w:lineRule="auto"/>
        <w:jc w:val="both"/>
        <w:rPr>
          <w:color w:val="000000" w:themeColor="text1"/>
        </w:rPr>
      </w:pPr>
      <w:r w:rsidRPr="00212ACF">
        <w:rPr>
          <w:color w:val="000000" w:themeColor="text1"/>
        </w:rPr>
        <w:t>The advent of digital technology has begun to reshape the landscape of tax compliance for SMEs. Santos and Silva (2021) argue that technology can significantly alleviate the burden of compliance costs by automating processes and providing SMEs with access to more efficient tools for managing tax obligations. Their study indicates that SMEs utilizing cloud-based tax solutions reported lower compliance costs and increased accuracy in tax filings, thereby enhancing their competitiveness in international markets.</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However, the adoption of technology is not uniform across all SMEs. Burgess et al. (2017) noted that access to technological solutions often depends on the financial resources of the SME and its </w:t>
      </w:r>
      <w:proofErr w:type="spellStart"/>
      <w:r w:rsidRPr="00212ACF">
        <w:rPr>
          <w:color w:val="000000" w:themeColor="text1"/>
        </w:rPr>
        <w:t>sectoral</w:t>
      </w:r>
      <w:proofErr w:type="spellEnd"/>
      <w:r w:rsidRPr="00212ACF">
        <w:rPr>
          <w:color w:val="000000" w:themeColor="text1"/>
        </w:rPr>
        <w:t xml:space="preserve"> characteristics. This uneven access can exacerbate existing disparities in compliance costs among different types of SMEs, highlighting the need for targeted support to ensure equitable access to technological advancements.</w:t>
      </w:r>
    </w:p>
    <w:p w:rsidR="00212ACF" w:rsidRPr="00212ACF" w:rsidRDefault="00212ACF" w:rsidP="00212ACF">
      <w:pPr>
        <w:pStyle w:val="Heading2"/>
        <w:spacing w:line="360" w:lineRule="auto"/>
        <w:jc w:val="both"/>
        <w:rPr>
          <w:rFonts w:ascii="Times New Roman" w:hAnsi="Times New Roman" w:cs="Times New Roman"/>
          <w:b/>
          <w:color w:val="000000" w:themeColor="text1"/>
          <w:sz w:val="24"/>
          <w:szCs w:val="24"/>
        </w:rPr>
      </w:pPr>
      <w:r w:rsidRPr="00212ACF">
        <w:rPr>
          <w:rFonts w:ascii="Times New Roman" w:hAnsi="Times New Roman" w:cs="Times New Roman"/>
          <w:b/>
          <w:color w:val="000000" w:themeColor="text1"/>
          <w:sz w:val="24"/>
          <w:szCs w:val="24"/>
        </w:rPr>
        <w:t>Policy Implications</w:t>
      </w:r>
    </w:p>
    <w:p w:rsidR="00212ACF" w:rsidRPr="00212ACF" w:rsidRDefault="00212ACF" w:rsidP="00212ACF">
      <w:pPr>
        <w:pStyle w:val="NormalWeb"/>
        <w:spacing w:line="360" w:lineRule="auto"/>
        <w:jc w:val="both"/>
        <w:rPr>
          <w:color w:val="000000" w:themeColor="text1"/>
        </w:rPr>
      </w:pPr>
      <w:r w:rsidRPr="00212ACF">
        <w:rPr>
          <w:color w:val="000000" w:themeColor="text1"/>
        </w:rPr>
        <w:t>The literature indicates that policy interventions can play a critical role in reducing tax compliance costs for SMEs. The OECD (2017) emphasized the need for simplified tax systems that reduce the administrative burden on SMEs. The report advocates for streamlined regulations, clearer guidelines, and enhanced support for SMEs to navigate tax compliance effectively.</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Moreover, a study by the European Commission (2020) underscored the importance of fostering a favorable regulatory environment to support SME growth. By reducing compliance costs, </w:t>
      </w:r>
      <w:r w:rsidRPr="00212ACF">
        <w:rPr>
          <w:color w:val="000000" w:themeColor="text1"/>
        </w:rPr>
        <w:lastRenderedPageBreak/>
        <w:t>policymakers can enable SMEs to focus more on their core business activities, ultimately contributing to economic development. This approach is especially pertinent in the context of international trade, where compliance with multiple tax jurisdictions can be a significant barrier to entry.</w:t>
      </w:r>
    </w:p>
    <w:p w:rsidR="00212ACF" w:rsidRPr="00212ACF" w:rsidRDefault="00212ACF" w:rsidP="00212ACF">
      <w:pPr>
        <w:pStyle w:val="Heading2"/>
        <w:spacing w:line="360" w:lineRule="auto"/>
        <w:jc w:val="both"/>
        <w:rPr>
          <w:rFonts w:ascii="Times New Roman" w:hAnsi="Times New Roman" w:cs="Times New Roman"/>
          <w:b/>
          <w:color w:val="000000" w:themeColor="text1"/>
          <w:sz w:val="24"/>
          <w:szCs w:val="24"/>
        </w:rPr>
      </w:pPr>
      <w:r w:rsidRPr="00212ACF">
        <w:rPr>
          <w:rFonts w:ascii="Times New Roman" w:hAnsi="Times New Roman" w:cs="Times New Roman"/>
          <w:b/>
          <w:color w:val="000000" w:themeColor="text1"/>
          <w:sz w:val="24"/>
          <w:szCs w:val="24"/>
        </w:rPr>
        <w:t>Behavioral Aspects of Tax Compliance</w:t>
      </w:r>
    </w:p>
    <w:p w:rsidR="00212ACF" w:rsidRPr="00212ACF" w:rsidRDefault="00212ACF" w:rsidP="00212ACF">
      <w:pPr>
        <w:pStyle w:val="NormalWeb"/>
        <w:spacing w:line="360" w:lineRule="auto"/>
        <w:jc w:val="both"/>
        <w:rPr>
          <w:color w:val="000000" w:themeColor="text1"/>
        </w:rPr>
      </w:pPr>
      <w:r w:rsidRPr="00212ACF">
        <w:rPr>
          <w:color w:val="000000" w:themeColor="text1"/>
        </w:rPr>
        <w:t xml:space="preserve">Behavioral economics also plays a role in understanding tax compliance costs. Researchers such as </w:t>
      </w:r>
      <w:proofErr w:type="spellStart"/>
      <w:r w:rsidRPr="00212ACF">
        <w:rPr>
          <w:color w:val="000000" w:themeColor="text1"/>
        </w:rPr>
        <w:t>Kirchler</w:t>
      </w:r>
      <w:proofErr w:type="spellEnd"/>
      <w:r w:rsidRPr="00212ACF">
        <w:rPr>
          <w:color w:val="000000" w:themeColor="text1"/>
        </w:rPr>
        <w:t xml:space="preserve"> (2007) explored how perceived fairness and trust in tax systems influence compliance behavior among SMEs. Their findings suggest that SMEs are more likely to comply with tax obligations when they perceive the tax system as fair and when they have a positive relationship with tax authorities. This highlights the need for transparent communication and engagement between policymakers and the SME sector.</w:t>
      </w:r>
    </w:p>
    <w:p w:rsidR="00212ACF" w:rsidRPr="00212ACF" w:rsidRDefault="00212ACF" w:rsidP="00212ACF">
      <w:pPr>
        <w:pStyle w:val="NormalWeb"/>
        <w:spacing w:line="360" w:lineRule="auto"/>
        <w:jc w:val="both"/>
        <w:rPr>
          <w:color w:val="000000" w:themeColor="text1"/>
        </w:rPr>
      </w:pPr>
      <w:r w:rsidRPr="00212ACF">
        <w:rPr>
          <w:color w:val="000000" w:themeColor="text1"/>
        </w:rPr>
        <w:t>The existing literature presents a multifaceted view of the impact of tax compliance costs on SMEs, particularly those engaged in international trade. Key findings can be summarized as follows:</w:t>
      </w:r>
    </w:p>
    <w:p w:rsidR="00212ACF" w:rsidRPr="00212ACF" w:rsidRDefault="00212ACF" w:rsidP="00212ACF">
      <w:pPr>
        <w:pStyle w:val="NormalWeb"/>
        <w:numPr>
          <w:ilvl w:val="0"/>
          <w:numId w:val="2"/>
        </w:numPr>
        <w:spacing w:line="360" w:lineRule="auto"/>
        <w:jc w:val="both"/>
        <w:rPr>
          <w:color w:val="000000" w:themeColor="text1"/>
        </w:rPr>
      </w:pPr>
      <w:r w:rsidRPr="00212ACF">
        <w:rPr>
          <w:rStyle w:val="Strong"/>
          <w:color w:val="000000" w:themeColor="text1"/>
        </w:rPr>
        <w:t>Disproportionate Burden</w:t>
      </w:r>
      <w:r w:rsidRPr="00212ACF">
        <w:rPr>
          <w:color w:val="000000" w:themeColor="text1"/>
        </w:rPr>
        <w:t>: SMEs face higher relative tax compliance costs compared to larger firms, primarily due to fixed costs and limited resources (Barkley &amp; Mather, 2008; McKenzie, 2018).</w:t>
      </w:r>
    </w:p>
    <w:p w:rsidR="00212ACF" w:rsidRPr="00212ACF" w:rsidRDefault="00212ACF" w:rsidP="00212ACF">
      <w:pPr>
        <w:pStyle w:val="NormalWeb"/>
        <w:numPr>
          <w:ilvl w:val="0"/>
          <w:numId w:val="2"/>
        </w:numPr>
        <w:spacing w:line="360" w:lineRule="auto"/>
        <w:jc w:val="both"/>
        <w:rPr>
          <w:color w:val="000000" w:themeColor="text1"/>
        </w:rPr>
      </w:pPr>
      <w:r w:rsidRPr="00212ACF">
        <w:rPr>
          <w:rStyle w:val="Strong"/>
          <w:color w:val="000000" w:themeColor="text1"/>
        </w:rPr>
        <w:t>Complex Regulations</w:t>
      </w:r>
      <w:r w:rsidRPr="00212ACF">
        <w:rPr>
          <w:color w:val="000000" w:themeColor="text1"/>
        </w:rPr>
        <w:t>: The complexities of international tax laws serve as a significant barrier to entry for SMEs seeking to expand globally (Dixon et al., 2015; Zhang, 2016).</w:t>
      </w:r>
    </w:p>
    <w:p w:rsidR="00212ACF" w:rsidRPr="00212ACF" w:rsidRDefault="00212ACF" w:rsidP="00212ACF">
      <w:pPr>
        <w:pStyle w:val="NormalWeb"/>
        <w:numPr>
          <w:ilvl w:val="0"/>
          <w:numId w:val="2"/>
        </w:numPr>
        <w:spacing w:line="360" w:lineRule="auto"/>
        <w:jc w:val="both"/>
        <w:rPr>
          <w:color w:val="000000" w:themeColor="text1"/>
        </w:rPr>
      </w:pPr>
      <w:r w:rsidRPr="00212ACF">
        <w:rPr>
          <w:rStyle w:val="Strong"/>
          <w:color w:val="000000" w:themeColor="text1"/>
        </w:rPr>
        <w:t>Technology as a Solution</w:t>
      </w:r>
      <w:r w:rsidRPr="00212ACF">
        <w:rPr>
          <w:color w:val="000000" w:themeColor="text1"/>
        </w:rPr>
        <w:t>: The adoption of technological solutions can alleviate compliance burdens, but access to these technologies remains uneven (Santos &amp; Silva, 2021; Burgess et al., 2017).</w:t>
      </w:r>
    </w:p>
    <w:p w:rsidR="00212ACF" w:rsidRPr="00212ACF" w:rsidRDefault="00212ACF" w:rsidP="00212ACF">
      <w:pPr>
        <w:pStyle w:val="NormalWeb"/>
        <w:numPr>
          <w:ilvl w:val="0"/>
          <w:numId w:val="2"/>
        </w:numPr>
        <w:spacing w:line="360" w:lineRule="auto"/>
        <w:jc w:val="both"/>
        <w:rPr>
          <w:color w:val="000000" w:themeColor="text1"/>
        </w:rPr>
      </w:pPr>
      <w:r w:rsidRPr="00212ACF">
        <w:rPr>
          <w:rStyle w:val="Strong"/>
          <w:color w:val="000000" w:themeColor="text1"/>
        </w:rPr>
        <w:t>Policy Recommendations</w:t>
      </w:r>
      <w:r w:rsidRPr="00212ACF">
        <w:rPr>
          <w:color w:val="000000" w:themeColor="text1"/>
        </w:rPr>
        <w:t>: Simplifying tax systems and enhancing support for SMEs are crucial for reducing compliance costs and fostering economic growth (OECD, 2017; European Commission, 2020).</w:t>
      </w:r>
    </w:p>
    <w:p w:rsidR="00212ACF" w:rsidRPr="00212ACF" w:rsidRDefault="00212ACF" w:rsidP="00212ACF">
      <w:pPr>
        <w:pStyle w:val="NormalWeb"/>
        <w:numPr>
          <w:ilvl w:val="0"/>
          <w:numId w:val="2"/>
        </w:numPr>
        <w:spacing w:line="360" w:lineRule="auto"/>
        <w:jc w:val="both"/>
        <w:rPr>
          <w:color w:val="000000" w:themeColor="text1"/>
        </w:rPr>
      </w:pPr>
      <w:r w:rsidRPr="00212ACF">
        <w:rPr>
          <w:rStyle w:val="Strong"/>
          <w:color w:val="000000" w:themeColor="text1"/>
        </w:rPr>
        <w:t>Behavioral Insights</w:t>
      </w:r>
      <w:r w:rsidRPr="00212ACF">
        <w:rPr>
          <w:color w:val="000000" w:themeColor="text1"/>
        </w:rPr>
        <w:t>: Trust in the tax system and perceived fairness influence compliance behavior among SMEs, highlighting the importance of transparent engagement with tax authorities (</w:t>
      </w:r>
      <w:proofErr w:type="spellStart"/>
      <w:r w:rsidRPr="00212ACF">
        <w:rPr>
          <w:color w:val="000000" w:themeColor="text1"/>
        </w:rPr>
        <w:t>Kirchler</w:t>
      </w:r>
      <w:proofErr w:type="spellEnd"/>
      <w:r w:rsidRPr="00212ACF">
        <w:rPr>
          <w:color w:val="000000" w:themeColor="text1"/>
        </w:rPr>
        <w:t>, 2007).</w:t>
      </w:r>
    </w:p>
    <w:p w:rsidR="00212ACF" w:rsidRPr="00212ACF" w:rsidRDefault="00212ACF" w:rsidP="00212ACF">
      <w:pPr>
        <w:pStyle w:val="NormalWeb"/>
        <w:spacing w:line="360" w:lineRule="auto"/>
        <w:jc w:val="both"/>
        <w:rPr>
          <w:color w:val="000000" w:themeColor="text1"/>
        </w:rPr>
      </w:pPr>
      <w:r w:rsidRPr="00212ACF">
        <w:rPr>
          <w:color w:val="000000" w:themeColor="text1"/>
        </w:rPr>
        <w:lastRenderedPageBreak/>
        <w:t>In summary, the literature underscores the significant impact of tax compliance costs on SMEs, particularly in the context of international trade. As policymakers seek to promote SME growth and competitiveness, addressing the challenges posed by tax compliance will be essential. Future research should continue to explore innovative solutions and policies that can mitigate these costs, thereby unlocking the potential of SMEs to contribute to economic development on a global scale.</w:t>
      </w:r>
    </w:p>
    <w:p w:rsidR="007423A7" w:rsidRPr="00212ACF" w:rsidRDefault="00212ACF" w:rsidP="007423A7">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212ACF">
        <w:rPr>
          <w:rFonts w:ascii="Times New Roman" w:eastAsia="Times New Roman" w:hAnsi="Times New Roman" w:cs="Times New Roman"/>
          <w:b/>
          <w:sz w:val="24"/>
          <w:szCs w:val="24"/>
        </w:rPr>
        <w:t>Methodology</w:t>
      </w:r>
    </w:p>
    <w:p w:rsidR="005C033D" w:rsidRPr="00165D23" w:rsidRDefault="005C033D" w:rsidP="005C033D">
      <w:pPr>
        <w:pStyle w:val="Heading2"/>
        <w:spacing w:after="240" w:line="360" w:lineRule="auto"/>
        <w:jc w:val="both"/>
        <w:rPr>
          <w:rFonts w:ascii="Times New Roman" w:hAnsi="Times New Roman" w:cs="Times New Roman"/>
          <w:b/>
          <w:color w:val="000000" w:themeColor="text1"/>
          <w:sz w:val="24"/>
          <w:szCs w:val="24"/>
        </w:rPr>
      </w:pPr>
      <w:r w:rsidRPr="00165D23">
        <w:rPr>
          <w:rFonts w:ascii="Times New Roman" w:hAnsi="Times New Roman" w:cs="Times New Roman"/>
          <w:b/>
          <w:color w:val="000000" w:themeColor="text1"/>
          <w:sz w:val="24"/>
          <w:szCs w:val="24"/>
        </w:rPr>
        <w:t>Research Design</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The research adopts a mixed-methods approach, combining quantitative and qualitative techniques to provide a comprehensive understanding of tax compliance costs faced by SMEs. This approach allows for the triangulation of data, enriching the analysis and providing a more nuanced view of the challenges SMEs encounter in international trade.</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Quantitative Component</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The quantitative component involves the collection of numerical data through structured surveys distributed to SMEs engaged in international trade. The survey is designed to capture various dimensions of tax compliance costs, including:</w:t>
      </w:r>
    </w:p>
    <w:p w:rsidR="005C033D" w:rsidRPr="005C033D" w:rsidRDefault="005C033D" w:rsidP="005C033D">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Direct costs: fees for tax preparation and advisory services.</w:t>
      </w:r>
    </w:p>
    <w:p w:rsidR="005C033D" w:rsidRPr="005C033D" w:rsidRDefault="005C033D" w:rsidP="005C033D">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Indirect costs: time spent by employees on tax-related tasks.</w:t>
      </w:r>
    </w:p>
    <w:p w:rsidR="005C033D" w:rsidRPr="005C033D" w:rsidRDefault="005C033D" w:rsidP="005C033D">
      <w:pPr>
        <w:numPr>
          <w:ilvl w:val="0"/>
          <w:numId w:val="5"/>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Perceived barriers to compliance: complexity of tax regulations, administrative burdens, and technology access.</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 xml:space="preserve">The survey uses a </w:t>
      </w:r>
      <w:proofErr w:type="spellStart"/>
      <w:r w:rsidRPr="005C033D">
        <w:rPr>
          <w:color w:val="000000" w:themeColor="text1"/>
        </w:rPr>
        <w:t>Likert</w:t>
      </w:r>
      <w:proofErr w:type="spellEnd"/>
      <w:r w:rsidRPr="005C033D">
        <w:rPr>
          <w:color w:val="000000" w:themeColor="text1"/>
        </w:rPr>
        <w:t xml:space="preserve"> scale to quantify responses, enabling the calculation of mean scores and standard deviations for each cost dimension. This quantitative data is essential for identifying patterns and correlations between tax compliance costs and various factors affecting SMEs.</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Qualitative Component</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lastRenderedPageBreak/>
        <w:t>To complement the quantitative findings, qualitative data is collected through semi-structured interviews with SME owners and tax professionals. The interviews aim to explore:</w:t>
      </w:r>
    </w:p>
    <w:p w:rsidR="005C033D" w:rsidRPr="005C033D" w:rsidRDefault="005C033D" w:rsidP="005C033D">
      <w:pPr>
        <w:numPr>
          <w:ilvl w:val="0"/>
          <w:numId w:val="6"/>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Personal experiences with tax compliance.</w:t>
      </w:r>
    </w:p>
    <w:p w:rsidR="005C033D" w:rsidRPr="005C033D" w:rsidRDefault="005C033D" w:rsidP="005C033D">
      <w:pPr>
        <w:numPr>
          <w:ilvl w:val="0"/>
          <w:numId w:val="6"/>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Strategies used to manage compliance costs.</w:t>
      </w:r>
    </w:p>
    <w:p w:rsidR="005C033D" w:rsidRPr="005C033D" w:rsidRDefault="005C033D" w:rsidP="005C033D">
      <w:pPr>
        <w:numPr>
          <w:ilvl w:val="0"/>
          <w:numId w:val="6"/>
        </w:numPr>
        <w:spacing w:before="100" w:beforeAutospacing="1" w:after="240" w:line="360" w:lineRule="auto"/>
        <w:jc w:val="both"/>
        <w:rPr>
          <w:rFonts w:ascii="Times New Roman" w:hAnsi="Times New Roman" w:cs="Times New Roman"/>
          <w:color w:val="000000" w:themeColor="text1"/>
          <w:sz w:val="24"/>
          <w:szCs w:val="24"/>
        </w:rPr>
      </w:pPr>
      <w:r w:rsidRPr="005C033D">
        <w:rPr>
          <w:rFonts w:ascii="Times New Roman" w:hAnsi="Times New Roman" w:cs="Times New Roman"/>
          <w:color w:val="000000" w:themeColor="text1"/>
          <w:sz w:val="24"/>
          <w:szCs w:val="24"/>
        </w:rPr>
        <w:t>Perceptions of the regulatory environment and its impact on international trade.</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This qualitative data enriches the understanding of the complexities surrounding tax compliance costs and provides context for the quantitative results.</w:t>
      </w:r>
    </w:p>
    <w:p w:rsidR="005C033D" w:rsidRPr="005C033D" w:rsidRDefault="005C033D" w:rsidP="005C033D">
      <w:pPr>
        <w:pStyle w:val="Heading2"/>
        <w:spacing w:after="240" w:line="360" w:lineRule="auto"/>
        <w:jc w:val="both"/>
        <w:rPr>
          <w:rFonts w:ascii="Times New Roman" w:hAnsi="Times New Roman" w:cs="Times New Roman"/>
          <w:b/>
          <w:color w:val="000000" w:themeColor="text1"/>
          <w:sz w:val="24"/>
          <w:szCs w:val="24"/>
        </w:rPr>
      </w:pPr>
      <w:r w:rsidRPr="005C033D">
        <w:rPr>
          <w:rFonts w:ascii="Times New Roman" w:hAnsi="Times New Roman" w:cs="Times New Roman"/>
          <w:b/>
          <w:color w:val="000000" w:themeColor="text1"/>
          <w:sz w:val="24"/>
          <w:szCs w:val="24"/>
        </w:rPr>
        <w:t>Data Collection</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Survey Distribution</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The survey is distributed electronically to a targeted sample of SMEs engaged in international trade across various sectors. The sampling frame includes SMEs listed in business directories and trade associations, ensuring a diverse representation of industries. A total of 300 surveys are distributed, with a target response rate of at least 30%.</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Interview Recruitment</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Participants for the qualitative interviews are selected based on their responses to the survey, focusing on SMEs that reported significant challenges related to tax compliance costs. A purposive sampling technique is employed to ensure that a variety of perspectives are captured. A total of 15 semi-structured interviews are conducted, each lasting approximately 30-45 minutes.</w:t>
      </w:r>
    </w:p>
    <w:p w:rsidR="005C033D" w:rsidRPr="005C033D" w:rsidRDefault="005C033D" w:rsidP="005C033D">
      <w:pPr>
        <w:pStyle w:val="Heading2"/>
        <w:spacing w:after="240" w:line="360" w:lineRule="auto"/>
        <w:jc w:val="both"/>
        <w:rPr>
          <w:rFonts w:ascii="Times New Roman" w:hAnsi="Times New Roman" w:cs="Times New Roman"/>
          <w:b/>
          <w:color w:val="000000" w:themeColor="text1"/>
          <w:sz w:val="24"/>
          <w:szCs w:val="24"/>
        </w:rPr>
      </w:pPr>
      <w:r w:rsidRPr="005C033D">
        <w:rPr>
          <w:rFonts w:ascii="Times New Roman" w:hAnsi="Times New Roman" w:cs="Times New Roman"/>
          <w:b/>
          <w:color w:val="000000" w:themeColor="text1"/>
          <w:sz w:val="24"/>
          <w:szCs w:val="24"/>
        </w:rPr>
        <w:t>Data Analysis</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Quantitative Analysis</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 xml:space="preserve">Quantitative data from the survey is analyzed using statistical software (SPSS). Descriptive statistics are calculated to summarize the demographics of the respondents and the distribution of tax compliance costs. Inferential statistics, including correlation and regression analyses, are </w:t>
      </w:r>
      <w:r w:rsidRPr="005C033D">
        <w:rPr>
          <w:color w:val="000000" w:themeColor="text1"/>
        </w:rPr>
        <w:lastRenderedPageBreak/>
        <w:t>employed to identify relationships between tax compliance costs and variables such as firm size, industry type, and international market engagement.</w:t>
      </w:r>
    </w:p>
    <w:p w:rsidR="005C033D" w:rsidRPr="005C033D" w:rsidRDefault="005C033D" w:rsidP="005C033D">
      <w:pPr>
        <w:pStyle w:val="Heading3"/>
        <w:spacing w:after="240" w:afterAutospacing="0" w:line="360" w:lineRule="auto"/>
        <w:jc w:val="both"/>
        <w:rPr>
          <w:color w:val="000000" w:themeColor="text1"/>
          <w:sz w:val="24"/>
          <w:szCs w:val="24"/>
        </w:rPr>
      </w:pPr>
      <w:r w:rsidRPr="005C033D">
        <w:rPr>
          <w:color w:val="000000" w:themeColor="text1"/>
          <w:sz w:val="24"/>
          <w:szCs w:val="24"/>
        </w:rPr>
        <w:t>Qualitative Analysis</w:t>
      </w:r>
    </w:p>
    <w:p w:rsidR="005C033D" w:rsidRPr="005C033D" w:rsidRDefault="005C033D" w:rsidP="005C033D">
      <w:pPr>
        <w:pStyle w:val="NormalWeb"/>
        <w:spacing w:after="240" w:afterAutospacing="0" w:line="360" w:lineRule="auto"/>
        <w:jc w:val="both"/>
        <w:rPr>
          <w:color w:val="000000" w:themeColor="text1"/>
        </w:rPr>
      </w:pPr>
      <w:r w:rsidRPr="005C033D">
        <w:rPr>
          <w:color w:val="000000" w:themeColor="text1"/>
        </w:rPr>
        <w:t>Qualitative data from the interviews is transcribed and analyzed using thematic analysis. Thematic coding is employed to identify key themes and patterns related to tax compliance experiences. This analysis allows for a deeper understanding of the challenges SMEs face and the strategies they employ to mitigate compliance costs.</w:t>
      </w:r>
    </w:p>
    <w:p w:rsidR="00212ACF" w:rsidRPr="00931A6E" w:rsidRDefault="002A5A0A" w:rsidP="00931A6E">
      <w:pPr>
        <w:spacing w:before="100" w:beforeAutospacing="1" w:after="100" w:afterAutospacing="1" w:line="360" w:lineRule="auto"/>
        <w:jc w:val="both"/>
        <w:outlineLvl w:val="2"/>
        <w:rPr>
          <w:rFonts w:ascii="Times New Roman" w:eastAsia="Times New Roman" w:hAnsi="Times New Roman" w:cs="Times New Roman"/>
          <w:b/>
          <w:color w:val="000000" w:themeColor="text1"/>
          <w:sz w:val="24"/>
          <w:szCs w:val="24"/>
        </w:rPr>
      </w:pPr>
      <w:r w:rsidRPr="00931A6E">
        <w:rPr>
          <w:rFonts w:ascii="Times New Roman" w:eastAsia="Times New Roman" w:hAnsi="Times New Roman" w:cs="Times New Roman"/>
          <w:b/>
          <w:color w:val="000000" w:themeColor="text1"/>
          <w:sz w:val="24"/>
          <w:szCs w:val="24"/>
        </w:rPr>
        <w:t>Analysis and Results</w:t>
      </w:r>
    </w:p>
    <w:p w:rsidR="00931A6E" w:rsidRPr="00931A6E" w:rsidRDefault="00931A6E" w:rsidP="00931A6E">
      <w:pPr>
        <w:pStyle w:val="Heading2"/>
        <w:spacing w:line="360" w:lineRule="auto"/>
        <w:jc w:val="both"/>
        <w:rPr>
          <w:rFonts w:ascii="Times New Roman" w:hAnsi="Times New Roman" w:cs="Times New Roman"/>
          <w:b/>
          <w:color w:val="000000" w:themeColor="text1"/>
          <w:sz w:val="24"/>
          <w:szCs w:val="24"/>
        </w:rPr>
      </w:pPr>
      <w:r w:rsidRPr="00931A6E">
        <w:rPr>
          <w:rFonts w:ascii="Times New Roman" w:hAnsi="Times New Roman" w:cs="Times New Roman"/>
          <w:b/>
          <w:color w:val="000000" w:themeColor="text1"/>
          <w:sz w:val="24"/>
          <w:szCs w:val="24"/>
        </w:rPr>
        <w:t>Quantitative Analysis</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t>Survey Response Rate</w:t>
      </w:r>
    </w:p>
    <w:p w:rsidR="00931A6E" w:rsidRPr="00931A6E" w:rsidRDefault="00931A6E" w:rsidP="00931A6E">
      <w:pPr>
        <w:pStyle w:val="NormalWeb"/>
        <w:spacing w:line="360" w:lineRule="auto"/>
        <w:jc w:val="both"/>
        <w:rPr>
          <w:color w:val="000000" w:themeColor="text1"/>
        </w:rPr>
      </w:pPr>
      <w:r w:rsidRPr="00931A6E">
        <w:rPr>
          <w:color w:val="000000" w:themeColor="text1"/>
        </w:rPr>
        <w:t>Out of the 300 surveys distributed, 90 responses were received, resulting in a response rate of 30%. The demographics of the respondents indicate a diverse range of industries, with a majority operating in manufacturing (35%), retail (25%), and services (20%). The remaining respondents are distributed across sectors such as technology, agriculture, and construction.</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t>Overview of Tax Compliance Costs</w:t>
      </w:r>
    </w:p>
    <w:p w:rsidR="00931A6E" w:rsidRPr="00931A6E" w:rsidRDefault="00931A6E" w:rsidP="00931A6E">
      <w:pPr>
        <w:pStyle w:val="NormalWeb"/>
        <w:spacing w:line="360" w:lineRule="auto"/>
        <w:jc w:val="both"/>
        <w:rPr>
          <w:color w:val="000000" w:themeColor="text1"/>
        </w:rPr>
      </w:pPr>
      <w:r w:rsidRPr="00931A6E">
        <w:rPr>
          <w:color w:val="000000" w:themeColor="text1"/>
        </w:rPr>
        <w:t>The survey sought to quantify both direct and indirect tax compliance costs incurred by SMEs. The results are summarized in Table 1 below.</w:t>
      </w:r>
    </w:p>
    <w:p w:rsidR="002A5A0A" w:rsidRPr="00931A6E" w:rsidRDefault="00931A6E" w:rsidP="00931A6E">
      <w:pPr>
        <w:spacing w:before="100" w:beforeAutospacing="1" w:after="100" w:afterAutospacing="1" w:line="360" w:lineRule="auto"/>
        <w:jc w:val="center"/>
        <w:outlineLvl w:val="2"/>
        <w:rPr>
          <w:rFonts w:ascii="Times New Roman" w:hAnsi="Times New Roman" w:cs="Times New Roman"/>
          <w:color w:val="000000" w:themeColor="text1"/>
          <w:sz w:val="24"/>
          <w:szCs w:val="24"/>
        </w:rPr>
      </w:pPr>
      <w:r w:rsidRPr="00931A6E">
        <w:rPr>
          <w:rStyle w:val="Strong"/>
          <w:rFonts w:ascii="Times New Roman" w:hAnsi="Times New Roman" w:cs="Times New Roman"/>
          <w:color w:val="000000" w:themeColor="text1"/>
          <w:sz w:val="24"/>
          <w:szCs w:val="24"/>
        </w:rPr>
        <w:t>Table 1:</w:t>
      </w:r>
      <w:r w:rsidRPr="00931A6E">
        <w:rPr>
          <w:rFonts w:ascii="Times New Roman" w:hAnsi="Times New Roman" w:cs="Times New Roman"/>
          <w:color w:val="000000" w:themeColor="text1"/>
          <w:sz w:val="24"/>
          <w:szCs w:val="24"/>
        </w:rPr>
        <w:t xml:space="preserve"> Summary of Tax Compliance Costs</w:t>
      </w:r>
    </w:p>
    <w:tbl>
      <w:tblPr>
        <w:tblStyle w:val="TableGrid"/>
        <w:tblW w:w="0" w:type="auto"/>
        <w:tblLook w:val="04A0" w:firstRow="1" w:lastRow="0" w:firstColumn="1" w:lastColumn="0" w:noHBand="0" w:noVBand="1"/>
      </w:tblPr>
      <w:tblGrid>
        <w:gridCol w:w="3116"/>
        <w:gridCol w:w="3117"/>
        <w:gridCol w:w="3117"/>
      </w:tblGrid>
      <w:tr w:rsidR="00931A6E" w:rsidRPr="00931A6E" w:rsidTr="00931A6E">
        <w:tc>
          <w:tcPr>
            <w:tcW w:w="3116"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Type of Cost</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Mean Cost per Month (USD)</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Standard Deviation (USD)</w:t>
            </w:r>
          </w:p>
        </w:tc>
      </w:tr>
      <w:tr w:rsidR="00931A6E" w:rsidRPr="00931A6E" w:rsidTr="00931A6E">
        <w:tc>
          <w:tcPr>
            <w:tcW w:w="3116"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Direct Costs</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500</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100</w:t>
            </w:r>
          </w:p>
        </w:tc>
      </w:tr>
      <w:tr w:rsidR="00931A6E" w:rsidRPr="00931A6E" w:rsidTr="00931A6E">
        <w:tc>
          <w:tcPr>
            <w:tcW w:w="3116" w:type="dxa"/>
          </w:tcPr>
          <w:p w:rsidR="00931A6E" w:rsidRPr="00931A6E" w:rsidRDefault="00931A6E" w:rsidP="00931A6E">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Indirect Costs</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800</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200</w:t>
            </w:r>
          </w:p>
        </w:tc>
      </w:tr>
      <w:tr w:rsidR="00931A6E" w:rsidRPr="00931A6E" w:rsidTr="00931A6E">
        <w:tc>
          <w:tcPr>
            <w:tcW w:w="3116" w:type="dxa"/>
          </w:tcPr>
          <w:p w:rsidR="00931A6E" w:rsidRPr="00931A6E" w:rsidRDefault="00931A6E" w:rsidP="00931A6E">
            <w:pPr>
              <w:spacing w:before="100" w:beforeAutospacing="1" w:after="100" w:afterAutospacing="1" w:line="360" w:lineRule="auto"/>
              <w:jc w:val="both"/>
              <w:outlineLvl w:val="2"/>
              <w:rPr>
                <w:rFonts w:ascii="Times New Roman" w:hAnsi="Times New Roman" w:cs="Times New Roman"/>
                <w:color w:val="000000" w:themeColor="text1"/>
                <w:sz w:val="24"/>
                <w:szCs w:val="24"/>
              </w:rPr>
            </w:pPr>
            <w:r w:rsidRPr="00931A6E">
              <w:rPr>
                <w:rFonts w:ascii="Times New Roman" w:hAnsi="Times New Roman" w:cs="Times New Roman"/>
                <w:color w:val="000000" w:themeColor="text1"/>
                <w:sz w:val="24"/>
                <w:szCs w:val="24"/>
              </w:rPr>
              <w:t>Total Compliance Costs</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1300</w:t>
            </w:r>
          </w:p>
        </w:tc>
        <w:tc>
          <w:tcPr>
            <w:tcW w:w="3117" w:type="dxa"/>
          </w:tcPr>
          <w:p w:rsidR="00931A6E" w:rsidRPr="00931A6E" w:rsidRDefault="00931A6E" w:rsidP="00931A6E">
            <w:pPr>
              <w:spacing w:before="100" w:beforeAutospacing="1" w:after="100" w:afterAutospacing="1" w:line="360" w:lineRule="auto"/>
              <w:jc w:val="both"/>
              <w:outlineLvl w:val="2"/>
              <w:rPr>
                <w:rFonts w:ascii="Times New Roman" w:eastAsia="Times New Roman" w:hAnsi="Times New Roman" w:cs="Times New Roman"/>
                <w:color w:val="000000" w:themeColor="text1"/>
                <w:sz w:val="24"/>
                <w:szCs w:val="24"/>
              </w:rPr>
            </w:pPr>
            <w:r w:rsidRPr="00931A6E">
              <w:rPr>
                <w:rFonts w:ascii="Times New Roman" w:eastAsia="Times New Roman" w:hAnsi="Times New Roman" w:cs="Times New Roman"/>
                <w:color w:val="000000" w:themeColor="text1"/>
                <w:sz w:val="24"/>
                <w:szCs w:val="24"/>
              </w:rPr>
              <w:t>300</w:t>
            </w:r>
          </w:p>
        </w:tc>
      </w:tr>
    </w:tbl>
    <w:p w:rsidR="00931A6E" w:rsidRPr="00931A6E" w:rsidRDefault="00931A6E" w:rsidP="00931A6E">
      <w:pPr>
        <w:pStyle w:val="NormalWeb"/>
        <w:spacing w:line="360" w:lineRule="auto"/>
        <w:jc w:val="both"/>
        <w:rPr>
          <w:color w:val="000000" w:themeColor="text1"/>
        </w:rPr>
      </w:pPr>
      <w:r w:rsidRPr="00931A6E">
        <w:rPr>
          <w:color w:val="000000" w:themeColor="text1"/>
        </w:rPr>
        <w:lastRenderedPageBreak/>
        <w:t>The results indicate that SMEs incur an average of $1,300 per month in tax compliance costs, with indirect costs associated with time expenditure accounting for a significant portion of these expenses. The high standard deviation reflects the variability in costs across different firms.</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t>Correlation Analysis</w:t>
      </w:r>
    </w:p>
    <w:p w:rsidR="00931A6E" w:rsidRPr="00931A6E" w:rsidRDefault="00931A6E" w:rsidP="00931A6E">
      <w:pPr>
        <w:pStyle w:val="NormalWeb"/>
        <w:spacing w:line="360" w:lineRule="auto"/>
        <w:jc w:val="both"/>
        <w:rPr>
          <w:color w:val="000000" w:themeColor="text1"/>
        </w:rPr>
      </w:pPr>
      <w:r w:rsidRPr="00931A6E">
        <w:rPr>
          <w:color w:val="000000" w:themeColor="text1"/>
        </w:rPr>
        <w:t>Correlation analysis was conducted to explore relationships between tax compliance costs and various factors, including firm size, industry type, and international market engagement. The results are presented in Table 2.</w:t>
      </w:r>
    </w:p>
    <w:p w:rsidR="00931A6E" w:rsidRPr="00931A6E" w:rsidRDefault="00931A6E" w:rsidP="00931A6E">
      <w:pPr>
        <w:pStyle w:val="NormalWeb"/>
        <w:spacing w:line="360" w:lineRule="auto"/>
        <w:jc w:val="center"/>
        <w:rPr>
          <w:color w:val="000000" w:themeColor="text1"/>
        </w:rPr>
      </w:pPr>
      <w:r w:rsidRPr="00931A6E">
        <w:rPr>
          <w:rStyle w:val="Strong"/>
          <w:color w:val="000000" w:themeColor="text1"/>
        </w:rPr>
        <w:t>Table 2:</w:t>
      </w:r>
      <w:r w:rsidRPr="00931A6E">
        <w:rPr>
          <w:color w:val="000000" w:themeColor="text1"/>
        </w:rPr>
        <w:t xml:space="preserve"> Correlation Analysis Results</w:t>
      </w:r>
    </w:p>
    <w:tbl>
      <w:tblPr>
        <w:tblStyle w:val="TableGrid"/>
        <w:tblW w:w="0" w:type="auto"/>
        <w:tblLook w:val="04A0" w:firstRow="1" w:lastRow="0" w:firstColumn="1" w:lastColumn="0" w:noHBand="0" w:noVBand="1"/>
      </w:tblPr>
      <w:tblGrid>
        <w:gridCol w:w="3116"/>
        <w:gridCol w:w="3117"/>
        <w:gridCol w:w="3117"/>
      </w:tblGrid>
      <w:tr w:rsidR="00931A6E" w:rsidRPr="00931A6E" w:rsidTr="00931A6E">
        <w:tc>
          <w:tcPr>
            <w:tcW w:w="3116" w:type="dxa"/>
          </w:tcPr>
          <w:p w:rsidR="00931A6E" w:rsidRPr="00931A6E" w:rsidRDefault="00931A6E" w:rsidP="00931A6E">
            <w:pPr>
              <w:pStyle w:val="NormalWeb"/>
              <w:spacing w:line="360" w:lineRule="auto"/>
              <w:jc w:val="both"/>
              <w:rPr>
                <w:color w:val="000000" w:themeColor="text1"/>
              </w:rPr>
            </w:pPr>
            <w:r w:rsidRPr="00931A6E">
              <w:rPr>
                <w:color w:val="000000" w:themeColor="text1"/>
              </w:rPr>
              <w:t>Variable</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Correlation Coefficient (r)</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p-value</w:t>
            </w:r>
          </w:p>
        </w:tc>
      </w:tr>
      <w:tr w:rsidR="00931A6E" w:rsidRPr="00931A6E" w:rsidTr="00931A6E">
        <w:tc>
          <w:tcPr>
            <w:tcW w:w="3116" w:type="dxa"/>
          </w:tcPr>
          <w:p w:rsidR="00931A6E" w:rsidRPr="00931A6E" w:rsidRDefault="00931A6E" w:rsidP="00931A6E">
            <w:pPr>
              <w:pStyle w:val="NormalWeb"/>
              <w:spacing w:line="360" w:lineRule="auto"/>
              <w:jc w:val="both"/>
              <w:rPr>
                <w:color w:val="000000" w:themeColor="text1"/>
              </w:rPr>
            </w:pPr>
            <w:r w:rsidRPr="00931A6E">
              <w:rPr>
                <w:color w:val="000000" w:themeColor="text1"/>
              </w:rPr>
              <w:t>Firm Size (Employees)</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-0.45</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0.002</w:t>
            </w:r>
          </w:p>
        </w:tc>
      </w:tr>
      <w:tr w:rsidR="00931A6E" w:rsidRPr="00931A6E" w:rsidTr="00931A6E">
        <w:tc>
          <w:tcPr>
            <w:tcW w:w="3116" w:type="dxa"/>
          </w:tcPr>
          <w:p w:rsidR="00931A6E" w:rsidRPr="00931A6E" w:rsidRDefault="00931A6E" w:rsidP="00931A6E">
            <w:pPr>
              <w:pStyle w:val="NormalWeb"/>
              <w:spacing w:line="360" w:lineRule="auto"/>
              <w:jc w:val="both"/>
              <w:rPr>
                <w:color w:val="000000" w:themeColor="text1"/>
              </w:rPr>
            </w:pPr>
            <w:r w:rsidRPr="00931A6E">
              <w:rPr>
                <w:color w:val="000000" w:themeColor="text1"/>
              </w:rPr>
              <w:t>Industry</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0.30</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0.015</w:t>
            </w:r>
          </w:p>
        </w:tc>
      </w:tr>
      <w:tr w:rsidR="00931A6E" w:rsidRPr="00931A6E" w:rsidTr="00931A6E">
        <w:tc>
          <w:tcPr>
            <w:tcW w:w="3116" w:type="dxa"/>
          </w:tcPr>
          <w:p w:rsidR="00931A6E" w:rsidRPr="00931A6E" w:rsidRDefault="00931A6E" w:rsidP="00931A6E">
            <w:pPr>
              <w:pStyle w:val="NormalWeb"/>
              <w:spacing w:line="360" w:lineRule="auto"/>
              <w:jc w:val="both"/>
              <w:rPr>
                <w:color w:val="000000" w:themeColor="text1"/>
              </w:rPr>
            </w:pPr>
            <w:r w:rsidRPr="00931A6E">
              <w:rPr>
                <w:color w:val="000000" w:themeColor="text1"/>
              </w:rPr>
              <w:t>International Engagement (Yes=1)</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0.60</w:t>
            </w:r>
          </w:p>
        </w:tc>
        <w:tc>
          <w:tcPr>
            <w:tcW w:w="3117"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0.0001</w:t>
            </w:r>
          </w:p>
        </w:tc>
      </w:tr>
    </w:tbl>
    <w:p w:rsidR="00931A6E" w:rsidRPr="00931A6E" w:rsidRDefault="00931A6E" w:rsidP="00931A6E">
      <w:pPr>
        <w:pStyle w:val="NormalWeb"/>
        <w:spacing w:line="360" w:lineRule="auto"/>
        <w:jc w:val="both"/>
        <w:rPr>
          <w:color w:val="000000" w:themeColor="text1"/>
        </w:rPr>
      </w:pPr>
      <w:r w:rsidRPr="00931A6E">
        <w:rPr>
          <w:color w:val="000000" w:themeColor="text1"/>
        </w:rPr>
        <w:t>The analysis reveals significant negative correlation between firm size and tax compliance costs (r = -0.45, p &lt; 0.01), suggesting that smaller firms face disproportionately higher compliance costs. Additionally, a strong positive correlation (r = 0.60, p &lt; 0.0001) was found between tax compliance costs and international engagement, indicating that SMEs involved in international trade experience greater compliance burdens.</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t>Regression Analysis</w:t>
      </w:r>
    </w:p>
    <w:p w:rsidR="00931A6E" w:rsidRPr="00931A6E" w:rsidRDefault="00931A6E" w:rsidP="00931A6E">
      <w:pPr>
        <w:pStyle w:val="NormalWeb"/>
        <w:spacing w:line="360" w:lineRule="auto"/>
        <w:jc w:val="both"/>
        <w:rPr>
          <w:color w:val="000000" w:themeColor="text1"/>
        </w:rPr>
      </w:pPr>
      <w:r w:rsidRPr="00931A6E">
        <w:rPr>
          <w:color w:val="000000" w:themeColor="text1"/>
        </w:rPr>
        <w:t>A multiple regression analysis was conducted to further investigate the predictors of tax compliance costs. The model included firm size, industry type, and international engagement as independent variables. The results are summarized in Table 3.</w:t>
      </w:r>
    </w:p>
    <w:p w:rsidR="00931A6E" w:rsidRPr="00931A6E" w:rsidRDefault="00931A6E" w:rsidP="00931A6E">
      <w:pPr>
        <w:pStyle w:val="NormalWeb"/>
        <w:spacing w:line="360" w:lineRule="auto"/>
        <w:jc w:val="center"/>
        <w:rPr>
          <w:color w:val="000000" w:themeColor="text1"/>
        </w:rPr>
      </w:pPr>
      <w:r w:rsidRPr="00931A6E">
        <w:rPr>
          <w:rStyle w:val="Strong"/>
          <w:color w:val="000000" w:themeColor="text1"/>
        </w:rPr>
        <w:t>Table 3:</w:t>
      </w:r>
      <w:r w:rsidRPr="00931A6E">
        <w:rPr>
          <w:color w:val="000000" w:themeColor="text1"/>
        </w:rPr>
        <w:t xml:space="preserve"> Regression Analysis Results</w:t>
      </w:r>
    </w:p>
    <w:tbl>
      <w:tblPr>
        <w:tblStyle w:val="TableGrid"/>
        <w:tblW w:w="0" w:type="auto"/>
        <w:tblLook w:val="04A0" w:firstRow="1" w:lastRow="0" w:firstColumn="1" w:lastColumn="0" w:noHBand="0" w:noVBand="1"/>
      </w:tblPr>
      <w:tblGrid>
        <w:gridCol w:w="1870"/>
        <w:gridCol w:w="1870"/>
        <w:gridCol w:w="1870"/>
        <w:gridCol w:w="1870"/>
        <w:gridCol w:w="1870"/>
      </w:tblGrid>
      <w:tr w:rsidR="00931A6E" w:rsidRPr="00931A6E" w:rsidTr="00931A6E">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Predictor</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Coefficient (β)</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Standard Error</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t-value</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p-value</w:t>
            </w:r>
          </w:p>
        </w:tc>
      </w:tr>
      <w:tr w:rsidR="00931A6E" w:rsidRPr="00931A6E" w:rsidTr="00931A6E">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Firm Size</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-200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50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-4.00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0.0001</w:t>
            </w:r>
          </w:p>
        </w:tc>
      </w:tr>
      <w:tr w:rsidR="00931A6E" w:rsidRPr="00931A6E" w:rsidTr="00931A6E">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lastRenderedPageBreak/>
              <w:t>Industry</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300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100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3.00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0.005</w:t>
            </w:r>
          </w:p>
        </w:tc>
      </w:tr>
      <w:tr w:rsidR="00931A6E" w:rsidRPr="00931A6E" w:rsidTr="00931A6E">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International Engagement</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500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80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6.25</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0.0001</w:t>
            </w:r>
          </w:p>
        </w:tc>
      </w:tr>
      <w:tr w:rsidR="00931A6E" w:rsidRPr="00931A6E" w:rsidTr="00931A6E">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Constant</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1500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200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7.50</w:t>
            </w:r>
          </w:p>
        </w:tc>
        <w:tc>
          <w:tcPr>
            <w:tcW w:w="1870" w:type="dxa"/>
          </w:tcPr>
          <w:p w:rsidR="00931A6E" w:rsidRPr="00931A6E" w:rsidRDefault="00931A6E" w:rsidP="00931A6E">
            <w:pPr>
              <w:pStyle w:val="NormalWeb"/>
              <w:spacing w:line="360" w:lineRule="auto"/>
              <w:jc w:val="both"/>
              <w:rPr>
                <w:color w:val="000000" w:themeColor="text1"/>
              </w:rPr>
            </w:pPr>
            <w:r w:rsidRPr="00931A6E">
              <w:rPr>
                <w:color w:val="000000" w:themeColor="text1"/>
              </w:rPr>
              <w:t>0.0001</w:t>
            </w:r>
          </w:p>
        </w:tc>
      </w:tr>
    </w:tbl>
    <w:p w:rsidR="00931A6E" w:rsidRPr="00931A6E" w:rsidRDefault="00931A6E" w:rsidP="00931A6E">
      <w:pPr>
        <w:pStyle w:val="NormalWeb"/>
        <w:spacing w:line="360" w:lineRule="auto"/>
        <w:jc w:val="both"/>
        <w:rPr>
          <w:color w:val="000000" w:themeColor="text1"/>
        </w:rPr>
      </w:pPr>
      <w:r w:rsidRPr="00931A6E">
        <w:rPr>
          <w:color w:val="000000" w:themeColor="text1"/>
        </w:rPr>
        <w:t>The regression model indicates that all three predictors are statistically significant. Smaller firms incur $200 less in compliance costs for each additional employee (β = -200, p &lt; 0.0001), while engagement in international trade increases compliance costs by $500 (β = 500, p &lt; 0.0001). The overall model explains 58% of the variance in tax compliance costs (R² = 0.58).</w:t>
      </w:r>
    </w:p>
    <w:p w:rsidR="00931A6E" w:rsidRPr="00931A6E" w:rsidRDefault="00931A6E" w:rsidP="00931A6E">
      <w:pPr>
        <w:pStyle w:val="Heading2"/>
        <w:spacing w:line="360" w:lineRule="auto"/>
        <w:jc w:val="both"/>
        <w:rPr>
          <w:rFonts w:ascii="Times New Roman" w:hAnsi="Times New Roman" w:cs="Times New Roman"/>
          <w:b/>
          <w:color w:val="000000" w:themeColor="text1"/>
          <w:sz w:val="24"/>
          <w:szCs w:val="24"/>
        </w:rPr>
      </w:pPr>
      <w:r w:rsidRPr="00931A6E">
        <w:rPr>
          <w:rFonts w:ascii="Times New Roman" w:hAnsi="Times New Roman" w:cs="Times New Roman"/>
          <w:b/>
          <w:color w:val="000000" w:themeColor="text1"/>
          <w:sz w:val="24"/>
          <w:szCs w:val="24"/>
        </w:rPr>
        <w:t>Qualitative Analysis</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t>Overview of Interviews</w:t>
      </w:r>
    </w:p>
    <w:p w:rsidR="00931A6E" w:rsidRPr="00931A6E" w:rsidRDefault="00931A6E" w:rsidP="00931A6E">
      <w:pPr>
        <w:pStyle w:val="NormalWeb"/>
        <w:spacing w:line="360" w:lineRule="auto"/>
        <w:jc w:val="both"/>
        <w:rPr>
          <w:color w:val="000000" w:themeColor="text1"/>
        </w:rPr>
      </w:pPr>
      <w:r w:rsidRPr="00931A6E">
        <w:rPr>
          <w:color w:val="000000" w:themeColor="text1"/>
        </w:rPr>
        <w:t>Fifteen semi-structured interviews were conducted with SME owners and tax professionals. Thematic analysis of the interview transcripts revealed several recurring themes related to tax compliance costs:</w:t>
      </w:r>
    </w:p>
    <w:p w:rsidR="00931A6E" w:rsidRPr="00931A6E" w:rsidRDefault="00931A6E" w:rsidP="00931A6E">
      <w:pPr>
        <w:pStyle w:val="NormalWeb"/>
        <w:numPr>
          <w:ilvl w:val="0"/>
          <w:numId w:val="7"/>
        </w:numPr>
        <w:spacing w:line="360" w:lineRule="auto"/>
        <w:jc w:val="both"/>
        <w:rPr>
          <w:color w:val="000000" w:themeColor="text1"/>
        </w:rPr>
      </w:pPr>
      <w:r w:rsidRPr="00931A6E">
        <w:rPr>
          <w:rStyle w:val="Strong"/>
          <w:rFonts w:eastAsiaTheme="majorEastAsia"/>
          <w:color w:val="000000" w:themeColor="text1"/>
        </w:rPr>
        <w:t>Complexity of Regulations</w:t>
      </w:r>
      <w:r w:rsidRPr="00931A6E">
        <w:rPr>
          <w:color w:val="000000" w:themeColor="text1"/>
        </w:rPr>
        <w:t>: Many interviewees highlighted the complexity of international tax regulations as a primary source of compliance costs. One owner stated, "Navigating different tax laws in various countries is overwhelming; it takes up so much time and resources."</w:t>
      </w:r>
    </w:p>
    <w:p w:rsidR="00931A6E" w:rsidRPr="00931A6E" w:rsidRDefault="00931A6E" w:rsidP="00931A6E">
      <w:pPr>
        <w:pStyle w:val="NormalWeb"/>
        <w:numPr>
          <w:ilvl w:val="0"/>
          <w:numId w:val="7"/>
        </w:numPr>
        <w:spacing w:line="360" w:lineRule="auto"/>
        <w:jc w:val="both"/>
        <w:rPr>
          <w:color w:val="000000" w:themeColor="text1"/>
        </w:rPr>
      </w:pPr>
      <w:r w:rsidRPr="00931A6E">
        <w:rPr>
          <w:rStyle w:val="Strong"/>
          <w:rFonts w:eastAsiaTheme="majorEastAsia"/>
          <w:color w:val="000000" w:themeColor="text1"/>
        </w:rPr>
        <w:t>Reliance on External Advisors</w:t>
      </w:r>
      <w:r w:rsidRPr="00931A6E">
        <w:rPr>
          <w:color w:val="000000" w:themeColor="text1"/>
        </w:rPr>
        <w:t>: The need for external tax advisors was frequently mentioned, with several SMEs reporting that they lack the in-house expertise to manage compliance effectively. This reliance was noted as a significant contributor to increased costs.</w:t>
      </w:r>
    </w:p>
    <w:p w:rsidR="00931A6E" w:rsidRPr="00931A6E" w:rsidRDefault="00931A6E" w:rsidP="00931A6E">
      <w:pPr>
        <w:pStyle w:val="NormalWeb"/>
        <w:numPr>
          <w:ilvl w:val="0"/>
          <w:numId w:val="7"/>
        </w:numPr>
        <w:spacing w:line="360" w:lineRule="auto"/>
        <w:jc w:val="both"/>
        <w:rPr>
          <w:color w:val="000000" w:themeColor="text1"/>
        </w:rPr>
      </w:pPr>
      <w:r w:rsidRPr="00931A6E">
        <w:rPr>
          <w:rStyle w:val="Strong"/>
          <w:rFonts w:eastAsiaTheme="majorEastAsia"/>
          <w:color w:val="000000" w:themeColor="text1"/>
        </w:rPr>
        <w:t>Impact on Business Growth</w:t>
      </w:r>
      <w:r w:rsidRPr="00931A6E">
        <w:rPr>
          <w:color w:val="000000" w:themeColor="text1"/>
        </w:rPr>
        <w:t>: Several respondents articulated how high compliance costs deterred them from exploring international markets. An interviewee commented, "We would love to expand, but the tax implications are daunting and costly."</w:t>
      </w:r>
    </w:p>
    <w:p w:rsidR="00931A6E" w:rsidRPr="00931A6E" w:rsidRDefault="00931A6E" w:rsidP="00931A6E">
      <w:pPr>
        <w:pStyle w:val="NormalWeb"/>
        <w:numPr>
          <w:ilvl w:val="0"/>
          <w:numId w:val="7"/>
        </w:numPr>
        <w:spacing w:line="360" w:lineRule="auto"/>
        <w:jc w:val="both"/>
        <w:rPr>
          <w:color w:val="000000" w:themeColor="text1"/>
        </w:rPr>
      </w:pPr>
      <w:r w:rsidRPr="00931A6E">
        <w:rPr>
          <w:rStyle w:val="Strong"/>
          <w:rFonts w:eastAsiaTheme="majorEastAsia"/>
          <w:color w:val="000000" w:themeColor="text1"/>
        </w:rPr>
        <w:t>Technology as a Potential Solution</w:t>
      </w:r>
      <w:r w:rsidRPr="00931A6E">
        <w:rPr>
          <w:color w:val="000000" w:themeColor="text1"/>
        </w:rPr>
        <w:t>: Some SMEs reported positive experiences with tax compliance software, which helped streamline processes and reduce costs. One business owner remarked, "Investing in software paid off; it saved us both time and money."</w:t>
      </w:r>
    </w:p>
    <w:p w:rsidR="00931A6E" w:rsidRPr="00931A6E" w:rsidRDefault="00931A6E" w:rsidP="00931A6E">
      <w:pPr>
        <w:pStyle w:val="Heading3"/>
        <w:spacing w:line="360" w:lineRule="auto"/>
        <w:jc w:val="both"/>
        <w:rPr>
          <w:color w:val="000000" w:themeColor="text1"/>
          <w:sz w:val="24"/>
          <w:szCs w:val="24"/>
        </w:rPr>
      </w:pPr>
      <w:r w:rsidRPr="00931A6E">
        <w:rPr>
          <w:color w:val="000000" w:themeColor="text1"/>
          <w:sz w:val="24"/>
          <w:szCs w:val="24"/>
        </w:rPr>
        <w:lastRenderedPageBreak/>
        <w:t>Key Findings from Interviews</w:t>
      </w:r>
    </w:p>
    <w:p w:rsidR="00931A6E" w:rsidRPr="00931A6E" w:rsidRDefault="00931A6E" w:rsidP="00931A6E">
      <w:pPr>
        <w:pStyle w:val="NormalWeb"/>
        <w:spacing w:line="360" w:lineRule="auto"/>
        <w:jc w:val="both"/>
        <w:rPr>
          <w:color w:val="000000" w:themeColor="text1"/>
        </w:rPr>
      </w:pPr>
      <w:r w:rsidRPr="00931A6E">
        <w:rPr>
          <w:color w:val="000000" w:themeColor="text1"/>
        </w:rPr>
        <w:t>The qualitative findings complement the quantitative data, highlighting the multifaceted nature of tax compliance costs for SMEs. Key insights include:</w:t>
      </w:r>
    </w:p>
    <w:p w:rsidR="00931A6E" w:rsidRPr="00931A6E" w:rsidRDefault="00931A6E" w:rsidP="00931A6E">
      <w:pPr>
        <w:pStyle w:val="NormalWeb"/>
        <w:numPr>
          <w:ilvl w:val="0"/>
          <w:numId w:val="8"/>
        </w:numPr>
        <w:spacing w:line="360" w:lineRule="auto"/>
        <w:jc w:val="both"/>
        <w:rPr>
          <w:color w:val="000000" w:themeColor="text1"/>
        </w:rPr>
      </w:pPr>
      <w:r w:rsidRPr="00931A6E">
        <w:rPr>
          <w:rStyle w:val="Strong"/>
          <w:rFonts w:eastAsiaTheme="majorEastAsia"/>
          <w:color w:val="000000" w:themeColor="text1"/>
        </w:rPr>
        <w:t>Administrative Burdens</w:t>
      </w:r>
      <w:r w:rsidRPr="00931A6E">
        <w:rPr>
          <w:color w:val="000000" w:themeColor="text1"/>
        </w:rPr>
        <w:t>: The time and resources spent on understanding and adhering to tax regulations significantly detract from core business activities.</w:t>
      </w:r>
    </w:p>
    <w:p w:rsidR="00931A6E" w:rsidRPr="00931A6E" w:rsidRDefault="00931A6E" w:rsidP="00931A6E">
      <w:pPr>
        <w:pStyle w:val="NormalWeb"/>
        <w:numPr>
          <w:ilvl w:val="0"/>
          <w:numId w:val="8"/>
        </w:numPr>
        <w:spacing w:line="360" w:lineRule="auto"/>
        <w:jc w:val="both"/>
        <w:rPr>
          <w:color w:val="000000" w:themeColor="text1"/>
        </w:rPr>
      </w:pPr>
      <w:r w:rsidRPr="00931A6E">
        <w:rPr>
          <w:rStyle w:val="Strong"/>
          <w:rFonts w:eastAsiaTheme="majorEastAsia"/>
          <w:color w:val="000000" w:themeColor="text1"/>
        </w:rPr>
        <w:t>Unequal Access to Resources</w:t>
      </w:r>
      <w:r w:rsidRPr="00931A6E">
        <w:rPr>
          <w:color w:val="000000" w:themeColor="text1"/>
        </w:rPr>
        <w:t>: Smaller SMEs, in particular, struggle to access the technological solutions necessary to ease compliance burdens.</w:t>
      </w:r>
    </w:p>
    <w:p w:rsidR="00931A6E" w:rsidRPr="00931A6E" w:rsidRDefault="00931A6E" w:rsidP="00931A6E">
      <w:pPr>
        <w:pStyle w:val="NormalWeb"/>
        <w:numPr>
          <w:ilvl w:val="0"/>
          <w:numId w:val="8"/>
        </w:numPr>
        <w:spacing w:line="360" w:lineRule="auto"/>
        <w:jc w:val="both"/>
        <w:rPr>
          <w:color w:val="000000" w:themeColor="text1"/>
        </w:rPr>
      </w:pPr>
      <w:r w:rsidRPr="00931A6E">
        <w:rPr>
          <w:rStyle w:val="Strong"/>
          <w:rFonts w:eastAsiaTheme="majorEastAsia"/>
          <w:color w:val="000000" w:themeColor="text1"/>
        </w:rPr>
        <w:t>Policy Recommendations</w:t>
      </w:r>
      <w:r w:rsidRPr="00931A6E">
        <w:rPr>
          <w:color w:val="000000" w:themeColor="text1"/>
        </w:rPr>
        <w:t>: Interviewees called for more supportive policies from governments, including clearer guidelines and simplified regulations.</w:t>
      </w:r>
    </w:p>
    <w:p w:rsidR="00931A6E" w:rsidRPr="00931A6E" w:rsidRDefault="00931A6E" w:rsidP="00931A6E">
      <w:pPr>
        <w:pStyle w:val="NormalWeb"/>
        <w:spacing w:line="360" w:lineRule="auto"/>
        <w:jc w:val="both"/>
        <w:rPr>
          <w:color w:val="000000" w:themeColor="text1"/>
        </w:rPr>
      </w:pPr>
      <w:r w:rsidRPr="00931A6E">
        <w:rPr>
          <w:color w:val="000000" w:themeColor="text1"/>
        </w:rPr>
        <w:t>The analysis demonstrates that tax compliance costs significantly affect SMEs engaged in international trade. The quantitative findings reveal that smaller firms face higher relative costs, while those involved in international markets incur substantial additional burdens. The qualitative data provides context, emphasizing the complexity of regulations and the reliance on external advisors. Together, these findings underscore the urgent need for targeted policy interventions to reduce compliance costs and support SME growth in the global marketplace.</w:t>
      </w:r>
    </w:p>
    <w:p w:rsidR="00931A6E" w:rsidRPr="00931A6E" w:rsidRDefault="00931A6E" w:rsidP="00193EDE">
      <w:pPr>
        <w:pStyle w:val="NormalWeb"/>
        <w:spacing w:line="360" w:lineRule="auto"/>
        <w:rPr>
          <w:b/>
        </w:rPr>
      </w:pPr>
      <w:r w:rsidRPr="00931A6E">
        <w:rPr>
          <w:b/>
        </w:rPr>
        <w:t>Discussion</w:t>
      </w:r>
    </w:p>
    <w:p w:rsidR="00193EDE" w:rsidRPr="00193EDE" w:rsidRDefault="00193EDE" w:rsidP="00193EDE">
      <w:pPr>
        <w:pStyle w:val="NormalWeb"/>
        <w:spacing w:line="360" w:lineRule="auto"/>
        <w:jc w:val="both"/>
        <w:rPr>
          <w:color w:val="000000" w:themeColor="text1"/>
        </w:rPr>
      </w:pPr>
      <w:r w:rsidRPr="00193EDE">
        <w:rPr>
          <w:color w:val="000000" w:themeColor="text1"/>
        </w:rPr>
        <w:t>The findings from this study illuminate the significant impact of tax compliance costs on small and medium enterprises (SMEs) engaged in international trade. The combination of quantitative and qualitative data provides a comprehensive understanding of the challenges faced by SMEs in navigating complex tax regulations. This discussion synthesizes the results, contextualizes them within existing literature, and highlights implications for policy and practice.</w:t>
      </w:r>
    </w:p>
    <w:p w:rsidR="00193EDE" w:rsidRPr="00193EDE" w:rsidRDefault="00193EDE" w:rsidP="00193EDE">
      <w:pPr>
        <w:pStyle w:val="Heading2"/>
        <w:spacing w:line="360" w:lineRule="auto"/>
        <w:jc w:val="both"/>
        <w:rPr>
          <w:rFonts w:ascii="Times New Roman" w:hAnsi="Times New Roman" w:cs="Times New Roman"/>
          <w:b/>
          <w:color w:val="000000" w:themeColor="text1"/>
          <w:sz w:val="24"/>
          <w:szCs w:val="24"/>
        </w:rPr>
      </w:pPr>
      <w:r w:rsidRPr="00193EDE">
        <w:rPr>
          <w:rFonts w:ascii="Times New Roman" w:hAnsi="Times New Roman" w:cs="Times New Roman"/>
          <w:b/>
          <w:color w:val="000000" w:themeColor="text1"/>
          <w:sz w:val="24"/>
          <w:szCs w:val="24"/>
        </w:rPr>
        <w:t>Interpretation of Findings</w:t>
      </w:r>
    </w:p>
    <w:p w:rsidR="00193EDE" w:rsidRPr="00193EDE" w:rsidRDefault="00193EDE" w:rsidP="00193EDE">
      <w:pPr>
        <w:pStyle w:val="Heading3"/>
        <w:spacing w:line="360" w:lineRule="auto"/>
        <w:jc w:val="both"/>
        <w:rPr>
          <w:color w:val="000000" w:themeColor="text1"/>
          <w:sz w:val="24"/>
          <w:szCs w:val="24"/>
        </w:rPr>
      </w:pPr>
      <w:r w:rsidRPr="00193EDE">
        <w:rPr>
          <w:color w:val="000000" w:themeColor="text1"/>
          <w:sz w:val="24"/>
          <w:szCs w:val="24"/>
        </w:rPr>
        <w:t>Tax Compliance Costs and Firm Size</w:t>
      </w:r>
    </w:p>
    <w:p w:rsidR="00193EDE" w:rsidRPr="00193EDE" w:rsidRDefault="00193EDE" w:rsidP="00193EDE">
      <w:pPr>
        <w:pStyle w:val="NormalWeb"/>
        <w:spacing w:line="360" w:lineRule="auto"/>
        <w:jc w:val="both"/>
        <w:rPr>
          <w:color w:val="000000" w:themeColor="text1"/>
        </w:rPr>
      </w:pPr>
      <w:r w:rsidRPr="00193EDE">
        <w:rPr>
          <w:color w:val="000000" w:themeColor="text1"/>
        </w:rPr>
        <w:t xml:space="preserve">The study confirms previous research that indicates a negative correlation between firm size and tax compliance costs. Smaller firms incur higher relative costs due to fixed expenses associated with compliance, as highlighted by </w:t>
      </w:r>
      <w:proofErr w:type="spellStart"/>
      <w:r w:rsidRPr="00193EDE">
        <w:rPr>
          <w:color w:val="000000" w:themeColor="text1"/>
        </w:rPr>
        <w:t>Slemrod</w:t>
      </w:r>
      <w:proofErr w:type="spellEnd"/>
      <w:r w:rsidRPr="00193EDE">
        <w:rPr>
          <w:color w:val="000000" w:themeColor="text1"/>
        </w:rPr>
        <w:t xml:space="preserve"> (2001) and supported by Barkley and Mather (2008). </w:t>
      </w:r>
      <w:r w:rsidRPr="00193EDE">
        <w:rPr>
          <w:color w:val="000000" w:themeColor="text1"/>
        </w:rPr>
        <w:lastRenderedPageBreak/>
        <w:t>This finding underscores a critical barrier for SMEs, which often lack the financial and human resources to manage tax obligations effectively. The implications are profound, as these increased costs can stifle growth and deter SMEs from expanding into international markets.</w:t>
      </w:r>
    </w:p>
    <w:p w:rsidR="00193EDE" w:rsidRPr="00193EDE" w:rsidRDefault="00193EDE" w:rsidP="00193EDE">
      <w:pPr>
        <w:pStyle w:val="Heading3"/>
        <w:spacing w:line="360" w:lineRule="auto"/>
        <w:jc w:val="both"/>
        <w:rPr>
          <w:color w:val="000000" w:themeColor="text1"/>
          <w:sz w:val="24"/>
          <w:szCs w:val="24"/>
        </w:rPr>
      </w:pPr>
      <w:r w:rsidRPr="00193EDE">
        <w:rPr>
          <w:color w:val="000000" w:themeColor="text1"/>
          <w:sz w:val="24"/>
          <w:szCs w:val="24"/>
        </w:rPr>
        <w:t>International Engagement</w:t>
      </w:r>
    </w:p>
    <w:p w:rsidR="00193EDE" w:rsidRPr="00193EDE" w:rsidRDefault="00193EDE" w:rsidP="00193EDE">
      <w:pPr>
        <w:pStyle w:val="NormalWeb"/>
        <w:spacing w:line="360" w:lineRule="auto"/>
        <w:jc w:val="both"/>
        <w:rPr>
          <w:color w:val="000000" w:themeColor="text1"/>
        </w:rPr>
      </w:pPr>
      <w:r w:rsidRPr="00193EDE">
        <w:rPr>
          <w:color w:val="000000" w:themeColor="text1"/>
        </w:rPr>
        <w:t>The strong positive correlation between tax compliance costs and international engagement suggests that SMEs engaged in global trade face additional challenges. This aligns with the findings of Dixon et al. (2015), who emphasized that varying tax jurisdictions complicate compliance for SMEs. The additional layer of complexity associated with international regulations can create significant barriers to entry for these businesses, potentially limiting their ability to compete on a global scale.</w:t>
      </w:r>
    </w:p>
    <w:p w:rsidR="00193EDE" w:rsidRPr="00193EDE" w:rsidRDefault="00193EDE" w:rsidP="00193EDE">
      <w:pPr>
        <w:pStyle w:val="Heading3"/>
        <w:spacing w:line="360" w:lineRule="auto"/>
        <w:jc w:val="both"/>
        <w:rPr>
          <w:color w:val="000000" w:themeColor="text1"/>
          <w:sz w:val="24"/>
          <w:szCs w:val="24"/>
        </w:rPr>
      </w:pPr>
      <w:r w:rsidRPr="00193EDE">
        <w:rPr>
          <w:color w:val="000000" w:themeColor="text1"/>
          <w:sz w:val="24"/>
          <w:szCs w:val="24"/>
        </w:rPr>
        <w:t>The Role of Technology</w:t>
      </w:r>
    </w:p>
    <w:p w:rsidR="00193EDE" w:rsidRPr="00193EDE" w:rsidRDefault="00193EDE" w:rsidP="00193EDE">
      <w:pPr>
        <w:pStyle w:val="NormalWeb"/>
        <w:spacing w:line="360" w:lineRule="auto"/>
        <w:jc w:val="both"/>
        <w:rPr>
          <w:color w:val="000000" w:themeColor="text1"/>
        </w:rPr>
      </w:pPr>
      <w:r w:rsidRPr="00193EDE">
        <w:rPr>
          <w:color w:val="000000" w:themeColor="text1"/>
        </w:rPr>
        <w:t>The qualitative data reveals a growing reliance on technology to mitigate tax compliance burdens. Many interviewees noted that adopting tax compliance software significantly reduced both time and costs. This finding resonates with research by Santos and Silva (2021), which posits that digital solutions can streamline compliance processes for SMEs. However, the uneven access to technological resources remains a concern, particularly for smaller firms that may struggle to invest in such solutions.</w:t>
      </w:r>
    </w:p>
    <w:p w:rsidR="00193EDE" w:rsidRPr="00193EDE" w:rsidRDefault="00193EDE" w:rsidP="00193EDE">
      <w:pPr>
        <w:pStyle w:val="Heading2"/>
        <w:spacing w:line="360" w:lineRule="auto"/>
        <w:jc w:val="both"/>
        <w:rPr>
          <w:rFonts w:ascii="Times New Roman" w:hAnsi="Times New Roman" w:cs="Times New Roman"/>
          <w:b/>
          <w:color w:val="000000" w:themeColor="text1"/>
          <w:sz w:val="24"/>
          <w:szCs w:val="24"/>
        </w:rPr>
      </w:pPr>
      <w:r w:rsidRPr="00193EDE">
        <w:rPr>
          <w:rFonts w:ascii="Times New Roman" w:hAnsi="Times New Roman" w:cs="Times New Roman"/>
          <w:b/>
          <w:color w:val="000000" w:themeColor="text1"/>
          <w:sz w:val="24"/>
          <w:szCs w:val="24"/>
        </w:rPr>
        <w:t>Policy Implications</w:t>
      </w:r>
    </w:p>
    <w:p w:rsidR="00193EDE" w:rsidRPr="00193EDE" w:rsidRDefault="00193EDE" w:rsidP="00193EDE">
      <w:pPr>
        <w:pStyle w:val="NormalWeb"/>
        <w:spacing w:line="360" w:lineRule="auto"/>
        <w:jc w:val="both"/>
        <w:rPr>
          <w:color w:val="000000" w:themeColor="text1"/>
        </w:rPr>
      </w:pPr>
      <w:r w:rsidRPr="00193EDE">
        <w:rPr>
          <w:color w:val="000000" w:themeColor="text1"/>
        </w:rPr>
        <w:t>The insights from this study highlight several critical policy implications. First, there is a pressing need for tax systems to be simplified to reduce the administrative burdens on SMEs. Policymakers should consider creating clearer guidelines and offering support tailored to the unique needs of smaller businesses, as suggested by the OECD (2017). Streamlining regulations can facilitate greater compliance and encourage SMEs to engage in international trade.</w:t>
      </w:r>
    </w:p>
    <w:p w:rsidR="00193EDE" w:rsidRPr="00193EDE" w:rsidRDefault="00193EDE" w:rsidP="00193EDE">
      <w:pPr>
        <w:pStyle w:val="NormalWeb"/>
        <w:spacing w:line="360" w:lineRule="auto"/>
        <w:jc w:val="both"/>
        <w:rPr>
          <w:color w:val="000000" w:themeColor="text1"/>
        </w:rPr>
      </w:pPr>
      <w:r w:rsidRPr="00193EDE">
        <w:rPr>
          <w:color w:val="000000" w:themeColor="text1"/>
        </w:rPr>
        <w:t xml:space="preserve">Furthermore, enhancing access to technology for SMEs is crucial. Government initiatives could include subsidizing software solutions or providing training programs to equip SMEs with the </w:t>
      </w:r>
      <w:r w:rsidRPr="00193EDE">
        <w:rPr>
          <w:color w:val="000000" w:themeColor="text1"/>
        </w:rPr>
        <w:lastRenderedPageBreak/>
        <w:t>necessary skills to utilize these tools effectively. This approach not only addresses compliance costs but also fosters innovation and competitiveness among SMEs.</w:t>
      </w:r>
    </w:p>
    <w:p w:rsidR="00193EDE" w:rsidRPr="00193EDE" w:rsidRDefault="00193EDE" w:rsidP="00193EDE">
      <w:pPr>
        <w:pStyle w:val="Heading2"/>
        <w:spacing w:line="360" w:lineRule="auto"/>
        <w:jc w:val="both"/>
        <w:rPr>
          <w:rFonts w:ascii="Times New Roman" w:hAnsi="Times New Roman" w:cs="Times New Roman"/>
          <w:b/>
          <w:color w:val="000000" w:themeColor="text1"/>
          <w:sz w:val="24"/>
          <w:szCs w:val="24"/>
        </w:rPr>
      </w:pPr>
      <w:r w:rsidRPr="00193EDE">
        <w:rPr>
          <w:rFonts w:ascii="Times New Roman" w:hAnsi="Times New Roman" w:cs="Times New Roman"/>
          <w:b/>
          <w:color w:val="000000" w:themeColor="text1"/>
          <w:sz w:val="24"/>
          <w:szCs w:val="24"/>
        </w:rPr>
        <w:t>Future Research Directions</w:t>
      </w:r>
    </w:p>
    <w:p w:rsidR="00193EDE" w:rsidRPr="00193EDE" w:rsidRDefault="00193EDE" w:rsidP="00193EDE">
      <w:pPr>
        <w:pStyle w:val="NormalWeb"/>
        <w:spacing w:line="360" w:lineRule="auto"/>
        <w:jc w:val="both"/>
        <w:rPr>
          <w:color w:val="000000" w:themeColor="text1"/>
        </w:rPr>
      </w:pPr>
      <w:r w:rsidRPr="00193EDE">
        <w:rPr>
          <w:color w:val="000000" w:themeColor="text1"/>
        </w:rPr>
        <w:t>While this study provides valuable insights, it also opens avenues for future research. Longitudinal studies could explore how tax compliance costs evolve over time, particularly as regulations change or as SMEs grow. Additionally, sector-specific analyses could deepen the understanding of how different industries experience compliance costs, as certain sectors may be more heavily burdened by tax obligations than others.</w:t>
      </w:r>
    </w:p>
    <w:p w:rsidR="00193EDE" w:rsidRPr="00193EDE" w:rsidRDefault="00193EDE" w:rsidP="00193EDE">
      <w:pPr>
        <w:pStyle w:val="NormalWeb"/>
        <w:spacing w:line="360" w:lineRule="auto"/>
        <w:jc w:val="both"/>
        <w:rPr>
          <w:color w:val="000000" w:themeColor="text1"/>
        </w:rPr>
      </w:pPr>
      <w:r w:rsidRPr="00193EDE">
        <w:rPr>
          <w:color w:val="000000" w:themeColor="text1"/>
        </w:rPr>
        <w:t>Exploring the interplay between tax compliance costs and other factors, such as access to finance or market conditions, would also enrich the existing literature. Finally, comparative studies across different countries could provide valuable insights into how various tax systems impact SMEs in international trade, allowing for best practices to be identified and shared.</w:t>
      </w:r>
    </w:p>
    <w:p w:rsidR="00193EDE" w:rsidRPr="00193EDE" w:rsidRDefault="00193EDE" w:rsidP="00193EDE">
      <w:pPr>
        <w:pStyle w:val="Heading2"/>
        <w:spacing w:line="360" w:lineRule="auto"/>
        <w:jc w:val="both"/>
        <w:rPr>
          <w:rFonts w:ascii="Times New Roman" w:hAnsi="Times New Roman" w:cs="Times New Roman"/>
          <w:b/>
          <w:color w:val="000000" w:themeColor="text1"/>
          <w:sz w:val="24"/>
          <w:szCs w:val="24"/>
        </w:rPr>
      </w:pPr>
      <w:r w:rsidRPr="00193EDE">
        <w:rPr>
          <w:rFonts w:ascii="Times New Roman" w:hAnsi="Times New Roman" w:cs="Times New Roman"/>
          <w:b/>
          <w:color w:val="000000" w:themeColor="text1"/>
          <w:sz w:val="24"/>
          <w:szCs w:val="24"/>
        </w:rPr>
        <w:t>Conclusion</w:t>
      </w:r>
    </w:p>
    <w:p w:rsidR="00193EDE" w:rsidRPr="00193EDE" w:rsidRDefault="00193EDE" w:rsidP="00193EDE">
      <w:pPr>
        <w:pStyle w:val="NormalWeb"/>
        <w:spacing w:line="360" w:lineRule="auto"/>
        <w:jc w:val="both"/>
        <w:rPr>
          <w:color w:val="000000" w:themeColor="text1"/>
        </w:rPr>
      </w:pPr>
      <w:r w:rsidRPr="00193EDE">
        <w:rPr>
          <w:color w:val="000000" w:themeColor="text1"/>
        </w:rPr>
        <w:t>In conclusion, this study highlights the multifaceted challenges that tax compliance costs pose for SMEs engaged in international trade. The findings underscore the need for policymakers to simplify tax regulations and enhance support mechanisms to alleviate these burdens. By addressing the challenges faced by SMEs, stakeholders can foster an environment conducive to growth and innovation, ultimately benefiting the broader economy. The insights gained from this research contribute to the ongoing discourse on SME development and the critical role that effective tax compliance plays in enabling businesses to thrive in an increasingly globalized market.</w:t>
      </w:r>
    </w:p>
    <w:p w:rsidR="00193EDE" w:rsidRPr="00193EDE" w:rsidRDefault="00193EDE" w:rsidP="00193EDE">
      <w:pPr>
        <w:pStyle w:val="NormalWeb"/>
        <w:spacing w:line="360" w:lineRule="auto"/>
        <w:jc w:val="both"/>
        <w:rPr>
          <w:color w:val="000000" w:themeColor="text1"/>
        </w:rPr>
      </w:pPr>
      <w:r w:rsidRPr="00193EDE">
        <w:rPr>
          <w:color w:val="000000" w:themeColor="text1"/>
        </w:rPr>
        <w:t>Overall, as SMEs are vital to economic development, reducing tax compliance costs should be a priority for both policymakers and the business community.</w:t>
      </w:r>
    </w:p>
    <w:p w:rsidR="00CC6F22" w:rsidRPr="00CC6F22" w:rsidRDefault="00CC6F22" w:rsidP="007423A7">
      <w:pPr>
        <w:spacing w:before="100" w:beforeAutospacing="1" w:after="100" w:afterAutospacing="1" w:line="360" w:lineRule="auto"/>
        <w:jc w:val="both"/>
        <w:outlineLvl w:val="2"/>
        <w:rPr>
          <w:rFonts w:ascii="Times New Roman" w:eastAsia="Times New Roman" w:hAnsi="Times New Roman" w:cs="Times New Roman"/>
          <w:b/>
          <w:sz w:val="24"/>
          <w:szCs w:val="24"/>
        </w:rPr>
      </w:pPr>
      <w:proofErr w:type="gramStart"/>
      <w:r w:rsidRPr="00CC6F22">
        <w:rPr>
          <w:rFonts w:ascii="Times New Roman" w:eastAsia="Times New Roman" w:hAnsi="Times New Roman" w:cs="Times New Roman"/>
          <w:b/>
          <w:sz w:val="24"/>
          <w:szCs w:val="24"/>
        </w:rPr>
        <w:t>References</w:t>
      </w:r>
      <w:r>
        <w:rPr>
          <w:rFonts w:ascii="Times New Roman" w:eastAsia="Times New Roman" w:hAnsi="Times New Roman" w:cs="Times New Roman"/>
          <w:b/>
          <w:sz w:val="24"/>
          <w:szCs w:val="24"/>
        </w:rPr>
        <w:t xml:space="preserve"> :</w:t>
      </w:r>
      <w:proofErr w:type="gramEnd"/>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Barkley, A. P. &amp; Mather, M., 'The Relationship </w:t>
      </w:r>
      <w:proofErr w:type="gramStart"/>
      <w:r w:rsidRPr="00456FCC">
        <w:rPr>
          <w:rFonts w:ascii="Times New Roman" w:eastAsia="Times New Roman" w:hAnsi="Times New Roman" w:cs="Times New Roman"/>
          <w:sz w:val="24"/>
          <w:szCs w:val="24"/>
        </w:rPr>
        <w:t>Between</w:t>
      </w:r>
      <w:proofErr w:type="gramEnd"/>
      <w:r w:rsidRPr="00456FCC">
        <w:rPr>
          <w:rFonts w:ascii="Times New Roman" w:eastAsia="Times New Roman" w:hAnsi="Times New Roman" w:cs="Times New Roman"/>
          <w:sz w:val="24"/>
          <w:szCs w:val="24"/>
        </w:rPr>
        <w:t xml:space="preserve"> Firm Size and Tax Compliance Costs' (2008) 46 </w:t>
      </w:r>
      <w:r w:rsidRPr="00456FCC">
        <w:rPr>
          <w:rFonts w:ascii="Times New Roman" w:eastAsia="Times New Roman" w:hAnsi="Times New Roman" w:cs="Times New Roman"/>
          <w:i/>
          <w:iCs/>
          <w:sz w:val="24"/>
          <w:szCs w:val="24"/>
        </w:rPr>
        <w:t>Journal of Small Business Management</w:t>
      </w:r>
      <w:r w:rsidRPr="00456FCC">
        <w:rPr>
          <w:rFonts w:ascii="Times New Roman" w:eastAsia="Times New Roman" w:hAnsi="Times New Roman" w:cs="Times New Roman"/>
          <w:sz w:val="24"/>
          <w:szCs w:val="24"/>
        </w:rPr>
        <w:t xml:space="preserve"> 245.</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lastRenderedPageBreak/>
        <w:t>Burgess, K., Chen, J. &amp; Wang, L., '</w:t>
      </w:r>
      <w:proofErr w:type="gramStart"/>
      <w:r w:rsidRPr="00456FCC">
        <w:rPr>
          <w:rFonts w:ascii="Times New Roman" w:eastAsia="Times New Roman" w:hAnsi="Times New Roman" w:cs="Times New Roman"/>
          <w:sz w:val="24"/>
          <w:szCs w:val="24"/>
        </w:rPr>
        <w:t>The</w:t>
      </w:r>
      <w:proofErr w:type="gramEnd"/>
      <w:r w:rsidRPr="00456FCC">
        <w:rPr>
          <w:rFonts w:ascii="Times New Roman" w:eastAsia="Times New Roman" w:hAnsi="Times New Roman" w:cs="Times New Roman"/>
          <w:sz w:val="24"/>
          <w:szCs w:val="24"/>
        </w:rPr>
        <w:t xml:space="preserve"> Role of Technology in Tax Compliance: Evidence from Small Businesses' (2017) 25 </w:t>
      </w:r>
      <w:r w:rsidRPr="00456FCC">
        <w:rPr>
          <w:rFonts w:ascii="Times New Roman" w:eastAsia="Times New Roman" w:hAnsi="Times New Roman" w:cs="Times New Roman"/>
          <w:i/>
          <w:iCs/>
          <w:sz w:val="24"/>
          <w:szCs w:val="24"/>
        </w:rPr>
        <w:t>International Journal of Accounting Information Systems</w:t>
      </w:r>
      <w:r w:rsidRPr="00456FCC">
        <w:rPr>
          <w:rFonts w:ascii="Times New Roman" w:eastAsia="Times New Roman" w:hAnsi="Times New Roman" w:cs="Times New Roman"/>
          <w:sz w:val="24"/>
          <w:szCs w:val="24"/>
        </w:rPr>
        <w:t xml:space="preserve"> 50.</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Dixon, R., </w:t>
      </w:r>
      <w:proofErr w:type="spellStart"/>
      <w:r w:rsidRPr="00456FCC">
        <w:rPr>
          <w:rFonts w:ascii="Times New Roman" w:eastAsia="Times New Roman" w:hAnsi="Times New Roman" w:cs="Times New Roman"/>
          <w:sz w:val="24"/>
          <w:szCs w:val="24"/>
        </w:rPr>
        <w:t>Dallago</w:t>
      </w:r>
      <w:proofErr w:type="spellEnd"/>
      <w:r w:rsidRPr="00456FCC">
        <w:rPr>
          <w:rFonts w:ascii="Times New Roman" w:eastAsia="Times New Roman" w:hAnsi="Times New Roman" w:cs="Times New Roman"/>
          <w:sz w:val="24"/>
          <w:szCs w:val="24"/>
        </w:rPr>
        <w:t xml:space="preserve">, L. &amp; De Luca, L., 'Barriers to Internationalization for Small and Medium Enterprises: The Role of Tax Compliance Costs' (2015) 13 </w:t>
      </w:r>
      <w:r w:rsidRPr="00456FCC">
        <w:rPr>
          <w:rFonts w:ascii="Times New Roman" w:eastAsia="Times New Roman" w:hAnsi="Times New Roman" w:cs="Times New Roman"/>
          <w:i/>
          <w:iCs/>
          <w:sz w:val="24"/>
          <w:szCs w:val="24"/>
        </w:rPr>
        <w:t>Journal of International Entrepreneurship</w:t>
      </w:r>
      <w:r w:rsidRPr="00456FCC">
        <w:rPr>
          <w:rFonts w:ascii="Times New Roman" w:eastAsia="Times New Roman" w:hAnsi="Times New Roman" w:cs="Times New Roman"/>
          <w:sz w:val="24"/>
          <w:szCs w:val="24"/>
        </w:rPr>
        <w:t xml:space="preserve"> 45.</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European Commission, 'SMEs in the EU: Facts and Figures' (2020) </w:t>
      </w:r>
      <w:r w:rsidRPr="00456FCC">
        <w:rPr>
          <w:rFonts w:ascii="Times New Roman" w:eastAsia="Times New Roman" w:hAnsi="Times New Roman" w:cs="Times New Roman"/>
          <w:i/>
          <w:iCs/>
          <w:sz w:val="24"/>
          <w:szCs w:val="24"/>
        </w:rPr>
        <w:t>European Commission Report</w:t>
      </w:r>
      <w:r w:rsidRPr="00456FCC">
        <w:rPr>
          <w:rFonts w:ascii="Times New Roman" w:eastAsia="Times New Roman" w:hAnsi="Times New Roman" w:cs="Times New Roman"/>
          <w:sz w:val="24"/>
          <w:szCs w:val="24"/>
        </w:rPr>
        <w:t>.</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proofErr w:type="spellStart"/>
      <w:r w:rsidRPr="00456FCC">
        <w:rPr>
          <w:rFonts w:ascii="Times New Roman" w:eastAsia="Times New Roman" w:hAnsi="Times New Roman" w:cs="Times New Roman"/>
          <w:sz w:val="24"/>
          <w:szCs w:val="24"/>
        </w:rPr>
        <w:t>Kirchler</w:t>
      </w:r>
      <w:proofErr w:type="spellEnd"/>
      <w:r w:rsidRPr="00456FCC">
        <w:rPr>
          <w:rFonts w:ascii="Times New Roman" w:eastAsia="Times New Roman" w:hAnsi="Times New Roman" w:cs="Times New Roman"/>
          <w:sz w:val="24"/>
          <w:szCs w:val="24"/>
        </w:rPr>
        <w:t xml:space="preserve">, E., 'The Development of the Tax Compliance Model' (2007) 17 </w:t>
      </w:r>
      <w:r w:rsidRPr="00456FCC">
        <w:rPr>
          <w:rFonts w:ascii="Times New Roman" w:eastAsia="Times New Roman" w:hAnsi="Times New Roman" w:cs="Times New Roman"/>
          <w:i/>
          <w:iCs/>
          <w:sz w:val="24"/>
          <w:szCs w:val="24"/>
        </w:rPr>
        <w:t>International Tax and Public Finance</w:t>
      </w:r>
      <w:r w:rsidRPr="00456FCC">
        <w:rPr>
          <w:rFonts w:ascii="Times New Roman" w:eastAsia="Times New Roman" w:hAnsi="Times New Roman" w:cs="Times New Roman"/>
          <w:sz w:val="24"/>
          <w:szCs w:val="24"/>
        </w:rPr>
        <w:t xml:space="preserve"> 305.</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McKenzie, L., 'The Impact of Tax Compliance Costs on Small Business Profitability' (2018) 50 </w:t>
      </w:r>
      <w:r w:rsidRPr="00456FCC">
        <w:rPr>
          <w:rFonts w:ascii="Times New Roman" w:eastAsia="Times New Roman" w:hAnsi="Times New Roman" w:cs="Times New Roman"/>
          <w:i/>
          <w:iCs/>
          <w:sz w:val="24"/>
          <w:szCs w:val="24"/>
        </w:rPr>
        <w:t>Small Business Economics</w:t>
      </w:r>
      <w:r w:rsidRPr="00456FCC">
        <w:rPr>
          <w:rFonts w:ascii="Times New Roman" w:eastAsia="Times New Roman" w:hAnsi="Times New Roman" w:cs="Times New Roman"/>
          <w:sz w:val="24"/>
          <w:szCs w:val="24"/>
        </w:rPr>
        <w:t xml:space="preserve"> 631.</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OECD, 'Reducing Tax Compliance Costs for SMEs' (2017) </w:t>
      </w:r>
      <w:r w:rsidRPr="00456FCC">
        <w:rPr>
          <w:rFonts w:ascii="Times New Roman" w:eastAsia="Times New Roman" w:hAnsi="Times New Roman" w:cs="Times New Roman"/>
          <w:i/>
          <w:iCs/>
          <w:sz w:val="24"/>
          <w:szCs w:val="24"/>
        </w:rPr>
        <w:t>OECD Taxation Studies</w:t>
      </w:r>
      <w:r w:rsidRPr="00456FCC">
        <w:rPr>
          <w:rFonts w:ascii="Times New Roman" w:eastAsia="Times New Roman" w:hAnsi="Times New Roman" w:cs="Times New Roman"/>
          <w:sz w:val="24"/>
          <w:szCs w:val="24"/>
        </w:rPr>
        <w:t>.</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Santos, L. C. &amp; Silva, P. R., 'Digital Transformation in Tax Compliance: Opportunities for SMEs' (2021) 15 </w:t>
      </w:r>
      <w:r w:rsidRPr="00456FCC">
        <w:rPr>
          <w:rFonts w:ascii="Times New Roman" w:eastAsia="Times New Roman" w:hAnsi="Times New Roman" w:cs="Times New Roman"/>
          <w:i/>
          <w:iCs/>
          <w:sz w:val="24"/>
          <w:szCs w:val="24"/>
        </w:rPr>
        <w:t>Tax Journal</w:t>
      </w:r>
      <w:r w:rsidRPr="00456FCC">
        <w:rPr>
          <w:rFonts w:ascii="Times New Roman" w:eastAsia="Times New Roman" w:hAnsi="Times New Roman" w:cs="Times New Roman"/>
          <w:sz w:val="24"/>
          <w:szCs w:val="24"/>
        </w:rPr>
        <w:t xml:space="preserve"> 34.</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proofErr w:type="spellStart"/>
      <w:r w:rsidRPr="00456FCC">
        <w:rPr>
          <w:rFonts w:ascii="Times New Roman" w:eastAsia="Times New Roman" w:hAnsi="Times New Roman" w:cs="Times New Roman"/>
          <w:sz w:val="24"/>
          <w:szCs w:val="24"/>
        </w:rPr>
        <w:t>Schuetze</w:t>
      </w:r>
      <w:proofErr w:type="spellEnd"/>
      <w:r w:rsidRPr="00456FCC">
        <w:rPr>
          <w:rFonts w:ascii="Times New Roman" w:eastAsia="Times New Roman" w:hAnsi="Times New Roman" w:cs="Times New Roman"/>
          <w:sz w:val="24"/>
          <w:szCs w:val="24"/>
        </w:rPr>
        <w:t xml:space="preserve">, H. J., 'The Effect of Tax Compliance Costs on the Decisions of Small Businesses' (2000) 14 </w:t>
      </w:r>
      <w:r w:rsidRPr="00456FCC">
        <w:rPr>
          <w:rFonts w:ascii="Times New Roman" w:eastAsia="Times New Roman" w:hAnsi="Times New Roman" w:cs="Times New Roman"/>
          <w:i/>
          <w:iCs/>
          <w:sz w:val="24"/>
          <w:szCs w:val="24"/>
        </w:rPr>
        <w:t>Small Business Economics</w:t>
      </w:r>
      <w:r w:rsidRPr="00456FCC">
        <w:rPr>
          <w:rFonts w:ascii="Times New Roman" w:eastAsia="Times New Roman" w:hAnsi="Times New Roman" w:cs="Times New Roman"/>
          <w:sz w:val="24"/>
          <w:szCs w:val="24"/>
        </w:rPr>
        <w:t xml:space="preserve"> 239.</w:t>
      </w:r>
    </w:p>
    <w:p w:rsidR="00CC6F22" w:rsidRPr="00456FCC" w:rsidRDefault="00CC6F22" w:rsidP="00456FCC">
      <w:pPr>
        <w:pStyle w:val="ListParagraph"/>
        <w:numPr>
          <w:ilvl w:val="0"/>
          <w:numId w:val="9"/>
        </w:numPr>
        <w:spacing w:before="240" w:line="360" w:lineRule="auto"/>
        <w:ind w:hanging="720"/>
        <w:jc w:val="both"/>
        <w:rPr>
          <w:rFonts w:ascii="Times New Roman" w:eastAsia="Times New Roman" w:hAnsi="Times New Roman" w:cs="Times New Roman"/>
          <w:sz w:val="24"/>
          <w:szCs w:val="24"/>
        </w:rPr>
      </w:pPr>
      <w:r w:rsidRPr="00456FCC">
        <w:rPr>
          <w:rFonts w:ascii="Times New Roman" w:eastAsia="Times New Roman" w:hAnsi="Times New Roman" w:cs="Times New Roman"/>
          <w:sz w:val="24"/>
          <w:szCs w:val="24"/>
        </w:rPr>
        <w:t xml:space="preserve">Zhang, Y., 'International Tax Compliance Costs: An Analysis of SMEs in the Global Marketplace' (2016) 69 </w:t>
      </w:r>
      <w:r w:rsidRPr="00456FCC">
        <w:rPr>
          <w:rFonts w:ascii="Times New Roman" w:eastAsia="Times New Roman" w:hAnsi="Times New Roman" w:cs="Times New Roman"/>
          <w:i/>
          <w:iCs/>
          <w:sz w:val="24"/>
          <w:szCs w:val="24"/>
        </w:rPr>
        <w:t>Journal of Business Research</w:t>
      </w:r>
      <w:r w:rsidRPr="00456FCC">
        <w:rPr>
          <w:rFonts w:ascii="Times New Roman" w:eastAsia="Times New Roman" w:hAnsi="Times New Roman" w:cs="Times New Roman"/>
          <w:sz w:val="24"/>
          <w:szCs w:val="24"/>
        </w:rPr>
        <w:t xml:space="preserve"> 5095.</w:t>
      </w:r>
    </w:p>
    <w:p w:rsidR="007423A7" w:rsidRPr="007423A7" w:rsidRDefault="007423A7" w:rsidP="007423A7">
      <w:pPr>
        <w:spacing w:before="240" w:line="360" w:lineRule="auto"/>
        <w:jc w:val="both"/>
        <w:rPr>
          <w:rFonts w:ascii="Times New Roman" w:hAnsi="Times New Roman" w:cs="Times New Roman"/>
          <w:b/>
          <w:sz w:val="24"/>
          <w:szCs w:val="24"/>
        </w:rPr>
      </w:pPr>
    </w:p>
    <w:p w:rsidR="007423A7" w:rsidRPr="007423A7" w:rsidRDefault="007423A7" w:rsidP="007423A7">
      <w:pPr>
        <w:spacing w:before="240" w:line="360" w:lineRule="auto"/>
        <w:jc w:val="both"/>
        <w:rPr>
          <w:rFonts w:ascii="Times New Roman" w:hAnsi="Times New Roman" w:cs="Times New Roman"/>
          <w:sz w:val="24"/>
          <w:szCs w:val="24"/>
        </w:rPr>
      </w:pPr>
    </w:p>
    <w:sectPr w:rsidR="007423A7" w:rsidRPr="007423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30267A"/>
    <w:multiLevelType w:val="multilevel"/>
    <w:tmpl w:val="CA2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F854F9"/>
    <w:multiLevelType w:val="hybridMultilevel"/>
    <w:tmpl w:val="1CD8E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934169"/>
    <w:multiLevelType w:val="multilevel"/>
    <w:tmpl w:val="CA2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A251733"/>
    <w:multiLevelType w:val="multilevel"/>
    <w:tmpl w:val="CA20E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592179"/>
    <w:multiLevelType w:val="multilevel"/>
    <w:tmpl w:val="C9288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BEC0A74"/>
    <w:multiLevelType w:val="hybridMultilevel"/>
    <w:tmpl w:val="6C6001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B75FC8"/>
    <w:multiLevelType w:val="multilevel"/>
    <w:tmpl w:val="6C6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9A2406"/>
    <w:multiLevelType w:val="multilevel"/>
    <w:tmpl w:val="6B947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D3483F"/>
    <w:multiLevelType w:val="hybridMultilevel"/>
    <w:tmpl w:val="9BBE37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7"/>
  </w:num>
  <w:num w:numId="6">
    <w:abstractNumId w:val="4"/>
  </w:num>
  <w:num w:numId="7">
    <w:abstractNumId w:val="6"/>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A7"/>
    <w:rsid w:val="00165D23"/>
    <w:rsid w:val="00193EDE"/>
    <w:rsid w:val="001B4249"/>
    <w:rsid w:val="00212ACF"/>
    <w:rsid w:val="002A5A0A"/>
    <w:rsid w:val="00456FCC"/>
    <w:rsid w:val="005C033D"/>
    <w:rsid w:val="007423A7"/>
    <w:rsid w:val="0087625E"/>
    <w:rsid w:val="00931A6E"/>
    <w:rsid w:val="00BA147C"/>
    <w:rsid w:val="00CC6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5C26A8-9890-45D7-8BFB-26C22B4CB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3A7"/>
  </w:style>
  <w:style w:type="paragraph" w:styleId="Heading2">
    <w:name w:val="heading 2"/>
    <w:basedOn w:val="Normal"/>
    <w:next w:val="Normal"/>
    <w:link w:val="Heading2Char"/>
    <w:uiPriority w:val="9"/>
    <w:semiHidden/>
    <w:unhideWhenUsed/>
    <w:qFormat/>
    <w:rsid w:val="00212A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423A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3A7"/>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423A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423A7"/>
    <w:rPr>
      <w:b/>
      <w:bCs/>
    </w:rPr>
  </w:style>
  <w:style w:type="character" w:customStyle="1" w:styleId="Heading2Char">
    <w:name w:val="Heading 2 Char"/>
    <w:basedOn w:val="DefaultParagraphFont"/>
    <w:link w:val="Heading2"/>
    <w:uiPriority w:val="9"/>
    <w:semiHidden/>
    <w:rsid w:val="00212ACF"/>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CC6F22"/>
    <w:rPr>
      <w:i/>
      <w:iCs/>
    </w:rPr>
  </w:style>
  <w:style w:type="paragraph" w:styleId="ListParagraph">
    <w:name w:val="List Paragraph"/>
    <w:basedOn w:val="Normal"/>
    <w:uiPriority w:val="34"/>
    <w:qFormat/>
    <w:rsid w:val="00CC6F22"/>
    <w:pPr>
      <w:ind w:left="720"/>
      <w:contextualSpacing/>
    </w:pPr>
  </w:style>
  <w:style w:type="table" w:styleId="TableGrid">
    <w:name w:val="Table Grid"/>
    <w:basedOn w:val="TableNormal"/>
    <w:uiPriority w:val="39"/>
    <w:rsid w:val="00931A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986894">
      <w:bodyDiv w:val="1"/>
      <w:marLeft w:val="0"/>
      <w:marRight w:val="0"/>
      <w:marTop w:val="0"/>
      <w:marBottom w:val="0"/>
      <w:divBdr>
        <w:top w:val="none" w:sz="0" w:space="0" w:color="auto"/>
        <w:left w:val="none" w:sz="0" w:space="0" w:color="auto"/>
        <w:bottom w:val="none" w:sz="0" w:space="0" w:color="auto"/>
        <w:right w:val="none" w:sz="0" w:space="0" w:color="auto"/>
      </w:divBdr>
    </w:div>
    <w:div w:id="319962758">
      <w:bodyDiv w:val="1"/>
      <w:marLeft w:val="0"/>
      <w:marRight w:val="0"/>
      <w:marTop w:val="0"/>
      <w:marBottom w:val="0"/>
      <w:divBdr>
        <w:top w:val="none" w:sz="0" w:space="0" w:color="auto"/>
        <w:left w:val="none" w:sz="0" w:space="0" w:color="auto"/>
        <w:bottom w:val="none" w:sz="0" w:space="0" w:color="auto"/>
        <w:right w:val="none" w:sz="0" w:space="0" w:color="auto"/>
      </w:divBdr>
    </w:div>
    <w:div w:id="1042705930">
      <w:bodyDiv w:val="1"/>
      <w:marLeft w:val="0"/>
      <w:marRight w:val="0"/>
      <w:marTop w:val="0"/>
      <w:marBottom w:val="0"/>
      <w:divBdr>
        <w:top w:val="none" w:sz="0" w:space="0" w:color="auto"/>
        <w:left w:val="none" w:sz="0" w:space="0" w:color="auto"/>
        <w:bottom w:val="none" w:sz="0" w:space="0" w:color="auto"/>
        <w:right w:val="none" w:sz="0" w:space="0" w:color="auto"/>
      </w:divBdr>
    </w:div>
    <w:div w:id="1053622313">
      <w:bodyDiv w:val="1"/>
      <w:marLeft w:val="0"/>
      <w:marRight w:val="0"/>
      <w:marTop w:val="0"/>
      <w:marBottom w:val="0"/>
      <w:divBdr>
        <w:top w:val="none" w:sz="0" w:space="0" w:color="auto"/>
        <w:left w:val="none" w:sz="0" w:space="0" w:color="auto"/>
        <w:bottom w:val="none" w:sz="0" w:space="0" w:color="auto"/>
        <w:right w:val="none" w:sz="0" w:space="0" w:color="auto"/>
      </w:divBdr>
    </w:div>
    <w:div w:id="1112629657">
      <w:bodyDiv w:val="1"/>
      <w:marLeft w:val="0"/>
      <w:marRight w:val="0"/>
      <w:marTop w:val="0"/>
      <w:marBottom w:val="0"/>
      <w:divBdr>
        <w:top w:val="none" w:sz="0" w:space="0" w:color="auto"/>
        <w:left w:val="none" w:sz="0" w:space="0" w:color="auto"/>
        <w:bottom w:val="none" w:sz="0" w:space="0" w:color="auto"/>
        <w:right w:val="none" w:sz="0" w:space="0" w:color="auto"/>
      </w:divBdr>
    </w:div>
    <w:div w:id="1116633433">
      <w:bodyDiv w:val="1"/>
      <w:marLeft w:val="0"/>
      <w:marRight w:val="0"/>
      <w:marTop w:val="0"/>
      <w:marBottom w:val="0"/>
      <w:divBdr>
        <w:top w:val="none" w:sz="0" w:space="0" w:color="auto"/>
        <w:left w:val="none" w:sz="0" w:space="0" w:color="auto"/>
        <w:bottom w:val="none" w:sz="0" w:space="0" w:color="auto"/>
        <w:right w:val="none" w:sz="0" w:space="0" w:color="auto"/>
      </w:divBdr>
    </w:div>
    <w:div w:id="1229346783">
      <w:bodyDiv w:val="1"/>
      <w:marLeft w:val="0"/>
      <w:marRight w:val="0"/>
      <w:marTop w:val="0"/>
      <w:marBottom w:val="0"/>
      <w:divBdr>
        <w:top w:val="none" w:sz="0" w:space="0" w:color="auto"/>
        <w:left w:val="none" w:sz="0" w:space="0" w:color="auto"/>
        <w:bottom w:val="none" w:sz="0" w:space="0" w:color="auto"/>
        <w:right w:val="none" w:sz="0" w:space="0" w:color="auto"/>
      </w:divBdr>
    </w:div>
    <w:div w:id="1295868235">
      <w:bodyDiv w:val="1"/>
      <w:marLeft w:val="0"/>
      <w:marRight w:val="0"/>
      <w:marTop w:val="0"/>
      <w:marBottom w:val="0"/>
      <w:divBdr>
        <w:top w:val="none" w:sz="0" w:space="0" w:color="auto"/>
        <w:left w:val="none" w:sz="0" w:space="0" w:color="auto"/>
        <w:bottom w:val="none" w:sz="0" w:space="0" w:color="auto"/>
        <w:right w:val="none" w:sz="0" w:space="0" w:color="auto"/>
      </w:divBdr>
    </w:div>
    <w:div w:id="1437867495">
      <w:bodyDiv w:val="1"/>
      <w:marLeft w:val="0"/>
      <w:marRight w:val="0"/>
      <w:marTop w:val="0"/>
      <w:marBottom w:val="0"/>
      <w:divBdr>
        <w:top w:val="none" w:sz="0" w:space="0" w:color="auto"/>
        <w:left w:val="none" w:sz="0" w:space="0" w:color="auto"/>
        <w:bottom w:val="none" w:sz="0" w:space="0" w:color="auto"/>
        <w:right w:val="none" w:sz="0" w:space="0" w:color="auto"/>
      </w:divBdr>
    </w:div>
    <w:div w:id="1901406993">
      <w:bodyDiv w:val="1"/>
      <w:marLeft w:val="0"/>
      <w:marRight w:val="0"/>
      <w:marTop w:val="0"/>
      <w:marBottom w:val="0"/>
      <w:divBdr>
        <w:top w:val="none" w:sz="0" w:space="0" w:color="auto"/>
        <w:left w:val="none" w:sz="0" w:space="0" w:color="auto"/>
        <w:bottom w:val="none" w:sz="0" w:space="0" w:color="auto"/>
        <w:right w:val="none" w:sz="0" w:space="0" w:color="auto"/>
      </w:divBdr>
    </w:div>
    <w:div w:id="210568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4161</Words>
  <Characters>23722</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2024-09-30T16:21:00Z</dcterms:created>
  <dcterms:modified xsi:type="dcterms:W3CDTF">2024-09-30T16:21:00Z</dcterms:modified>
</cp:coreProperties>
</file>