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67" w:rsidRPr="00B34E67" w:rsidRDefault="00B34E67" w:rsidP="00B34E67">
      <w:pPr>
        <w:spacing w:before="240" w:line="360" w:lineRule="auto"/>
        <w:jc w:val="center"/>
        <w:rPr>
          <w:rFonts w:ascii="Times New Roman" w:hAnsi="Times New Roman" w:cs="Times New Roman"/>
          <w:b/>
          <w:sz w:val="32"/>
          <w:szCs w:val="32"/>
        </w:rPr>
      </w:pPr>
      <w:r w:rsidRPr="00B34E67">
        <w:rPr>
          <w:rFonts w:ascii="Times New Roman" w:hAnsi="Times New Roman" w:cs="Times New Roman"/>
          <w:b/>
          <w:sz w:val="32"/>
          <w:szCs w:val="32"/>
        </w:rPr>
        <w:t>GST ACCOUNTING AND TAX COLLECTION HAS LED TO TREASURY BUILD UP IN INDIA IN PAST 5 YEARS</w:t>
      </w:r>
    </w:p>
    <w:p w:rsidR="00B34E67" w:rsidRPr="00B34E67" w:rsidRDefault="00B34E67" w:rsidP="00B34E67">
      <w:pPr>
        <w:spacing w:before="240" w:line="360" w:lineRule="auto"/>
        <w:jc w:val="center"/>
        <w:rPr>
          <w:rFonts w:ascii="Times New Roman" w:hAnsi="Times New Roman" w:cs="Times New Roman"/>
          <w:b/>
          <w:sz w:val="24"/>
          <w:szCs w:val="24"/>
        </w:rPr>
      </w:pPr>
      <w:proofErr w:type="spellStart"/>
      <w:r w:rsidRPr="00B34E67">
        <w:rPr>
          <w:rFonts w:ascii="Times New Roman" w:hAnsi="Times New Roman" w:cs="Times New Roman"/>
          <w:b/>
          <w:sz w:val="24"/>
          <w:szCs w:val="24"/>
        </w:rPr>
        <w:t>Aasia</w:t>
      </w:r>
      <w:proofErr w:type="spellEnd"/>
      <w:r w:rsidRPr="00B34E67">
        <w:rPr>
          <w:rFonts w:ascii="Times New Roman" w:hAnsi="Times New Roman" w:cs="Times New Roman"/>
          <w:b/>
          <w:sz w:val="24"/>
          <w:szCs w:val="24"/>
        </w:rPr>
        <w:t xml:space="preserve"> Bhatia</w:t>
      </w:r>
    </w:p>
    <w:p w:rsidR="0008149A" w:rsidRDefault="00B34E67" w:rsidP="00B34E67">
      <w:pPr>
        <w:spacing w:before="240" w:line="360" w:lineRule="auto"/>
        <w:jc w:val="center"/>
        <w:rPr>
          <w:rFonts w:ascii="Times New Roman" w:hAnsi="Times New Roman" w:cs="Times New Roman"/>
          <w:sz w:val="24"/>
          <w:szCs w:val="24"/>
        </w:rPr>
      </w:pPr>
      <w:bookmarkStart w:id="0" w:name="_GoBack"/>
      <w:r w:rsidRPr="00B34E67">
        <w:rPr>
          <w:rFonts w:ascii="Times New Roman" w:hAnsi="Times New Roman" w:cs="Times New Roman"/>
          <w:sz w:val="24"/>
          <w:szCs w:val="24"/>
        </w:rPr>
        <w:t xml:space="preserve">G. D. </w:t>
      </w:r>
      <w:proofErr w:type="spellStart"/>
      <w:r w:rsidRPr="00B34E67">
        <w:rPr>
          <w:rFonts w:ascii="Times New Roman" w:hAnsi="Times New Roman" w:cs="Times New Roman"/>
          <w:sz w:val="24"/>
          <w:szCs w:val="24"/>
        </w:rPr>
        <w:t>Goenka</w:t>
      </w:r>
      <w:proofErr w:type="spellEnd"/>
      <w:r w:rsidRPr="00B34E67">
        <w:rPr>
          <w:rFonts w:ascii="Times New Roman" w:hAnsi="Times New Roman" w:cs="Times New Roman"/>
          <w:sz w:val="24"/>
          <w:szCs w:val="24"/>
        </w:rPr>
        <w:t xml:space="preserve"> Public School</w:t>
      </w:r>
      <w:bookmarkEnd w:id="0"/>
    </w:p>
    <w:p w:rsidR="00B34E67" w:rsidRPr="00B34E67" w:rsidRDefault="00B34E67" w:rsidP="00B34E67">
      <w:pPr>
        <w:spacing w:before="240" w:line="360" w:lineRule="auto"/>
        <w:jc w:val="both"/>
        <w:rPr>
          <w:rFonts w:ascii="Times New Roman" w:hAnsi="Times New Roman" w:cs="Times New Roman"/>
          <w:b/>
          <w:sz w:val="24"/>
          <w:szCs w:val="24"/>
        </w:rPr>
      </w:pPr>
      <w:r w:rsidRPr="00B34E67">
        <w:rPr>
          <w:rFonts w:ascii="Times New Roman" w:hAnsi="Times New Roman" w:cs="Times New Roman"/>
          <w:b/>
          <w:sz w:val="24"/>
          <w:szCs w:val="24"/>
        </w:rPr>
        <w:t>Abstract</w:t>
      </w:r>
    </w:p>
    <w:p w:rsidR="00B34E67" w:rsidRPr="00B34E67" w:rsidRDefault="00B34E67" w:rsidP="00B34E67">
      <w:pPr>
        <w:spacing w:before="100" w:beforeAutospacing="1" w:after="100" w:afterAutospacing="1" w:line="360" w:lineRule="auto"/>
        <w:jc w:val="both"/>
        <w:rPr>
          <w:rFonts w:ascii="Times New Roman" w:eastAsia="Times New Roman" w:hAnsi="Times New Roman" w:cs="Times New Roman"/>
          <w:sz w:val="24"/>
          <w:szCs w:val="24"/>
        </w:rPr>
      </w:pPr>
      <w:r w:rsidRPr="00B34E67">
        <w:rPr>
          <w:rFonts w:ascii="Times New Roman" w:eastAsia="Times New Roman" w:hAnsi="Times New Roman" w:cs="Times New Roman"/>
          <w:sz w:val="24"/>
          <w:szCs w:val="24"/>
        </w:rPr>
        <w:t>This paper examines the impact of Goods and Services Tax (GST) accounting and tax collection on treasury buildup in India over the past five years. Implemented in July 2017, GST was designed to streamline the tax structure by consolidating multiple indirect taxes into a single, unified system. This study analyzes the efficiency of GST in enhancing tax compliance, broadening the tax base, and increasing overall tax revenues. Through a comprehensive review of government reports, financial statements, and economic data, the findings indicate that GST has significantly improved revenue collection, contributing to a robust treasury buildup.</w:t>
      </w:r>
    </w:p>
    <w:p w:rsidR="00B34E67" w:rsidRPr="00B34E67" w:rsidRDefault="00B34E67" w:rsidP="00B34E67">
      <w:pPr>
        <w:spacing w:before="100" w:beforeAutospacing="1" w:after="100" w:afterAutospacing="1" w:line="360" w:lineRule="auto"/>
        <w:jc w:val="both"/>
        <w:rPr>
          <w:rFonts w:ascii="Times New Roman" w:eastAsia="Times New Roman" w:hAnsi="Times New Roman" w:cs="Times New Roman"/>
          <w:sz w:val="24"/>
          <w:szCs w:val="24"/>
        </w:rPr>
      </w:pPr>
      <w:r w:rsidRPr="00B34E67">
        <w:rPr>
          <w:rFonts w:ascii="Times New Roman" w:eastAsia="Times New Roman" w:hAnsi="Times New Roman" w:cs="Times New Roman"/>
          <w:sz w:val="24"/>
          <w:szCs w:val="24"/>
        </w:rPr>
        <w:t>The paper highlights key factors that facilitated this growth, including advancements in technology, such as the GST Network (GSTN), which streamlined tax filing and compliance processes. It also discusses the role of various measures implemented by the government to promote awareness and encourage adherence among taxpayers. Additionally, the study explores the challenges faced during the implementation of GST, including initial disruptions in the market and compliance issues among small businesses.</w:t>
      </w:r>
    </w:p>
    <w:p w:rsidR="00B34E67" w:rsidRPr="00B34E67" w:rsidRDefault="00B34E67" w:rsidP="00B34E67">
      <w:pPr>
        <w:spacing w:before="100" w:beforeAutospacing="1" w:after="100" w:afterAutospacing="1" w:line="360" w:lineRule="auto"/>
        <w:jc w:val="both"/>
        <w:rPr>
          <w:rFonts w:ascii="Times New Roman" w:eastAsia="Times New Roman" w:hAnsi="Times New Roman" w:cs="Times New Roman"/>
          <w:sz w:val="24"/>
          <w:szCs w:val="24"/>
        </w:rPr>
      </w:pPr>
      <w:r w:rsidRPr="00B34E67">
        <w:rPr>
          <w:rFonts w:ascii="Times New Roman" w:eastAsia="Times New Roman" w:hAnsi="Times New Roman" w:cs="Times New Roman"/>
          <w:sz w:val="24"/>
          <w:szCs w:val="24"/>
        </w:rPr>
        <w:t>Furthermore, the analysis presents statistical data showing trends in GST revenue collections, indicating a steady increase in government revenues that have bolstered the treasury. This revenue enhancement has allowed for increased public spending on infrastructure, welfare programs, and other critical sectors, thus fostering economic growth.</w:t>
      </w:r>
    </w:p>
    <w:p w:rsidR="00B34E67" w:rsidRPr="00B34E67" w:rsidRDefault="00B34E67" w:rsidP="00B34E67">
      <w:pPr>
        <w:spacing w:before="100" w:beforeAutospacing="1" w:after="100" w:afterAutospacing="1" w:line="360" w:lineRule="auto"/>
        <w:jc w:val="both"/>
        <w:rPr>
          <w:rFonts w:ascii="Times New Roman" w:eastAsia="Times New Roman" w:hAnsi="Times New Roman" w:cs="Times New Roman"/>
          <w:sz w:val="24"/>
          <w:szCs w:val="24"/>
        </w:rPr>
      </w:pPr>
      <w:r w:rsidRPr="00B34E67">
        <w:rPr>
          <w:rFonts w:ascii="Times New Roman" w:eastAsia="Times New Roman" w:hAnsi="Times New Roman" w:cs="Times New Roman"/>
          <w:sz w:val="24"/>
          <w:szCs w:val="24"/>
        </w:rPr>
        <w:t xml:space="preserve">The conclusion emphasizes the transformative role of GST in reshaping the tax landscape in India and its significant contribution to fiscal stability. This paper ultimately advocates for ongoing </w:t>
      </w:r>
      <w:r w:rsidRPr="00B34E67">
        <w:rPr>
          <w:rFonts w:ascii="Times New Roman" w:eastAsia="Times New Roman" w:hAnsi="Times New Roman" w:cs="Times New Roman"/>
          <w:sz w:val="24"/>
          <w:szCs w:val="24"/>
        </w:rPr>
        <w:lastRenderedPageBreak/>
        <w:t>improvements in GST compliance mechanisms and taxpayer education to sustain and further enhance treasury buildup in the future.</w:t>
      </w:r>
    </w:p>
    <w:p w:rsidR="00B34E67" w:rsidRDefault="00B34E67" w:rsidP="00B34E67">
      <w:pPr>
        <w:spacing w:before="100" w:beforeAutospacing="1" w:after="100" w:afterAutospacing="1" w:line="360" w:lineRule="auto"/>
        <w:jc w:val="both"/>
        <w:outlineLvl w:val="2"/>
        <w:rPr>
          <w:rFonts w:ascii="Times New Roman" w:eastAsia="Times New Roman" w:hAnsi="Times New Roman" w:cs="Times New Roman"/>
          <w:sz w:val="24"/>
          <w:szCs w:val="24"/>
        </w:rPr>
      </w:pPr>
      <w:proofErr w:type="gramStart"/>
      <w:r w:rsidRPr="00B34E67">
        <w:rPr>
          <w:rFonts w:ascii="Times New Roman" w:eastAsia="Times New Roman" w:hAnsi="Times New Roman" w:cs="Times New Roman"/>
          <w:b/>
          <w:bCs/>
          <w:sz w:val="24"/>
          <w:szCs w:val="27"/>
        </w:rPr>
        <w:t>Keywords</w:t>
      </w:r>
      <w:r>
        <w:rPr>
          <w:rFonts w:ascii="Times New Roman" w:eastAsia="Times New Roman" w:hAnsi="Times New Roman" w:cs="Times New Roman"/>
          <w:b/>
          <w:bCs/>
          <w:sz w:val="24"/>
          <w:szCs w:val="27"/>
        </w:rPr>
        <w:t xml:space="preserve"> :</w:t>
      </w:r>
      <w:proofErr w:type="gramEnd"/>
      <w:r>
        <w:rPr>
          <w:rFonts w:ascii="Times New Roman" w:eastAsia="Times New Roman" w:hAnsi="Times New Roman" w:cs="Times New Roman"/>
          <w:b/>
          <w:bCs/>
          <w:sz w:val="24"/>
          <w:szCs w:val="27"/>
        </w:rPr>
        <w:t xml:space="preserve"> </w:t>
      </w:r>
      <w:r w:rsidRPr="00B34E67">
        <w:rPr>
          <w:rFonts w:ascii="Times New Roman" w:eastAsia="Times New Roman" w:hAnsi="Times New Roman" w:cs="Times New Roman"/>
          <w:sz w:val="24"/>
          <w:szCs w:val="24"/>
        </w:rPr>
        <w:t>Goods and Services Tax, GST accounting, tax collection, treasury buildup, India, fiscal stability, tax compliance, economic growth.</w:t>
      </w:r>
    </w:p>
    <w:p w:rsidR="00B34E67" w:rsidRPr="00B34E67" w:rsidRDefault="00B34E67" w:rsidP="00B34E67">
      <w:pPr>
        <w:spacing w:before="100" w:beforeAutospacing="1" w:after="100" w:afterAutospacing="1" w:line="360" w:lineRule="auto"/>
        <w:jc w:val="both"/>
        <w:outlineLvl w:val="2"/>
        <w:rPr>
          <w:rFonts w:ascii="Times New Roman" w:eastAsia="Times New Roman" w:hAnsi="Times New Roman" w:cs="Times New Roman"/>
          <w:b/>
          <w:sz w:val="24"/>
          <w:szCs w:val="24"/>
        </w:rPr>
      </w:pPr>
      <w:r w:rsidRPr="00B34E67">
        <w:rPr>
          <w:rFonts w:ascii="Times New Roman" w:eastAsia="Times New Roman" w:hAnsi="Times New Roman" w:cs="Times New Roman"/>
          <w:b/>
          <w:sz w:val="24"/>
          <w:szCs w:val="24"/>
        </w:rPr>
        <w:t>Introduction</w:t>
      </w:r>
    </w:p>
    <w:p w:rsidR="000D1B3F" w:rsidRDefault="000D1B3F" w:rsidP="000D1B3F">
      <w:pPr>
        <w:pStyle w:val="NormalWeb"/>
        <w:spacing w:line="360" w:lineRule="auto"/>
        <w:jc w:val="both"/>
      </w:pPr>
      <w:r>
        <w:t>The Goods and Services Tax (GST) was introduced in India on 1 July 2017, marking a significant shift in the country's tax structure. This comprehensive indirect tax regime aimed to unify multiple taxes into a single system, enhancing efficiency in tax collection and compliance. The introduction of GST was seen as a major reform intended to improve the ease of doing business in India, stimulate economic growth, and increase government revenues. Over the past five years, GST has played a pivotal role in building up the treasury, contributing to fiscal stability and enhanced public expenditure.</w:t>
      </w:r>
    </w:p>
    <w:p w:rsidR="000D1B3F" w:rsidRDefault="000D1B3F" w:rsidP="000D1B3F">
      <w:pPr>
        <w:pStyle w:val="NormalWeb"/>
        <w:spacing w:line="360" w:lineRule="auto"/>
        <w:jc w:val="both"/>
      </w:pPr>
      <w:r>
        <w:t>The concept of GST is rooted in the principle of 'One Nation, One Tax', which seeks to eliminate the cascading effect of taxes on goods and services. Prior to its implementation, the Indian taxation system was complex, comprising various indirect taxes such as Value Added Tax (VAT), Service Tax, Central Excise Duty, and others, leading to inefficiencies and compliance challenges (</w:t>
      </w:r>
      <w:proofErr w:type="spellStart"/>
      <w:r>
        <w:t>Bahl</w:t>
      </w:r>
      <w:proofErr w:type="spellEnd"/>
      <w:r>
        <w:t xml:space="preserve"> &amp; </w:t>
      </w:r>
      <w:proofErr w:type="spellStart"/>
      <w:r>
        <w:t>Wallack</w:t>
      </w:r>
      <w:proofErr w:type="spellEnd"/>
      <w:r>
        <w:t>, 2015). The transition to a unified GST framework has simplified the tax structure, making it easier for businesses to comply with tax regulations.</w:t>
      </w:r>
    </w:p>
    <w:p w:rsidR="000D1B3F" w:rsidRDefault="000D1B3F" w:rsidP="000D1B3F">
      <w:pPr>
        <w:pStyle w:val="NormalWeb"/>
        <w:spacing w:line="360" w:lineRule="auto"/>
        <w:jc w:val="both"/>
      </w:pPr>
      <w:r>
        <w:t>A significant advantage of GST is its potential to broaden the tax base. By integrating both goods and services under a single taxation regime, the government aimed to include more taxpayers, particularly from the informal sector, into the tax net. According to a report by the Ministry of Finance, the number of GST registered taxpayers surged from 8 million at the time of implementation to over 12 million by 2022 (Ministry of Finance, 2022). This expansion has not only increased tax compliance but has also resulted in higher revenue collections.</w:t>
      </w:r>
    </w:p>
    <w:p w:rsidR="000D1B3F" w:rsidRDefault="000D1B3F" w:rsidP="000D1B3F">
      <w:pPr>
        <w:pStyle w:val="NormalWeb"/>
        <w:spacing w:line="360" w:lineRule="auto"/>
        <w:jc w:val="both"/>
      </w:pPr>
      <w:r>
        <w:t xml:space="preserve">Moreover, the introduction of technology, particularly through the GST Network (GSTN), has revolutionized tax administration in India. GSTN provides a robust IT infrastructure that facilitates smooth tax filing and payment processes. The online portal allows taxpayers to easily register, file </w:t>
      </w:r>
      <w:r>
        <w:lastRenderedPageBreak/>
        <w:t>returns, and make payments, thus reducing the compliance burden on businesses (Singh &amp; Sinha, 2020). The transparency and efficiency offered by GSTN have contributed significantly to improved tax collection.</w:t>
      </w:r>
    </w:p>
    <w:p w:rsidR="000D1B3F" w:rsidRDefault="000D1B3F" w:rsidP="000D1B3F">
      <w:pPr>
        <w:pStyle w:val="NormalWeb"/>
        <w:spacing w:line="360" w:lineRule="auto"/>
        <w:jc w:val="both"/>
      </w:pPr>
      <w:r>
        <w:t>Despite its advantages, the implementation of GST was not without challenges. The initial phase saw disruptions in supply chains, confusion regarding compliance, and resistance from various sectors, particularly small and medium enterprises (SMEs) (Kumar, 2018). However, the government undertook several initiatives to address these issues, such as awareness campaigns and simplified compliance procedures, which eventually led to smoother implementation and increased acceptance among taxpayers.</w:t>
      </w:r>
    </w:p>
    <w:p w:rsidR="000D1B3F" w:rsidRDefault="000D1B3F" w:rsidP="000D1B3F">
      <w:pPr>
        <w:pStyle w:val="NormalWeb"/>
        <w:spacing w:line="360" w:lineRule="auto"/>
        <w:jc w:val="both"/>
      </w:pPr>
      <w:r>
        <w:t xml:space="preserve">The growth in GST revenue collection has been noteworthy, providing a crucial source of funds for the government. According to the Ministry of Finance, the average monthly GST revenue collection increased from ₹97,000 </w:t>
      </w:r>
      <w:proofErr w:type="spellStart"/>
      <w:r>
        <w:t>crores</w:t>
      </w:r>
      <w:proofErr w:type="spellEnd"/>
      <w:r>
        <w:t xml:space="preserve"> in 2017-18 to over ₹1.25 lakh </w:t>
      </w:r>
      <w:proofErr w:type="spellStart"/>
      <w:r>
        <w:t>crores</w:t>
      </w:r>
      <w:proofErr w:type="spellEnd"/>
      <w:r>
        <w:t xml:space="preserve"> in 2021-22 (Ministry of Finance, 2022). This revenue has been instrumental in financing public expenditure in various sectors, including infrastructure development, healthcare, and education, thus contributing to overall economic growth.</w:t>
      </w:r>
    </w:p>
    <w:p w:rsidR="000D1B3F" w:rsidRDefault="000D1B3F" w:rsidP="000D1B3F">
      <w:pPr>
        <w:pStyle w:val="NormalWeb"/>
        <w:spacing w:line="360" w:lineRule="auto"/>
        <w:jc w:val="both"/>
      </w:pPr>
      <w:r>
        <w:t>The success of GST in building up the treasury can also be attributed to various measures taken by the government to enhance compliance. These include the introduction of e-invoicing, strict penalties for non-compliance, and periodic audits to ensure adherence to GST regulations (Bansal, 2021). Such measures have instilled a sense of discipline among taxpayers, thereby enhancing the overall compliance rate.</w:t>
      </w:r>
    </w:p>
    <w:p w:rsidR="000D1B3F" w:rsidRDefault="000D1B3F" w:rsidP="000D1B3F">
      <w:pPr>
        <w:pStyle w:val="NormalWeb"/>
        <w:spacing w:line="360" w:lineRule="auto"/>
        <w:jc w:val="both"/>
      </w:pPr>
      <w:r>
        <w:t>In addition to direct fiscal benefits, GST has also had a positive impact on inter-state trade. By eliminating the complex web of inter-state taxation, GST has simplified the movement of goods across state borders. This simplification has not only reduced the cost of doing business but has also encouraged more robust economic activity among states (</w:t>
      </w:r>
      <w:proofErr w:type="spellStart"/>
      <w:r>
        <w:t>Jha</w:t>
      </w:r>
      <w:proofErr w:type="spellEnd"/>
      <w:r>
        <w:t>, 2019). The seamless flow of goods has enhanced competition and efficiency, further stimulating economic growth.</w:t>
      </w:r>
    </w:p>
    <w:p w:rsidR="000D1B3F" w:rsidRDefault="000D1B3F" w:rsidP="000D1B3F">
      <w:pPr>
        <w:pStyle w:val="NormalWeb"/>
        <w:spacing w:line="360" w:lineRule="auto"/>
        <w:jc w:val="both"/>
      </w:pPr>
      <w:r>
        <w:t xml:space="preserve">As India continues to navigate the post-pandemic economic landscape, the importance of GST as a fiscal tool has become even more pronounced. The government’s ability to sustain revenue collections through GST will be vital for financing recovery initiatives and ensuring fiscal stability. </w:t>
      </w:r>
      <w:r>
        <w:lastRenderedPageBreak/>
        <w:t>Moreover, as global economic conditions remain uncertain, a resilient GST framework can provide a buffer against revenue shocks.</w:t>
      </w:r>
    </w:p>
    <w:p w:rsidR="000D1B3F" w:rsidRDefault="000D1B3F" w:rsidP="000D1B3F">
      <w:pPr>
        <w:pStyle w:val="NormalWeb"/>
        <w:spacing w:line="360" w:lineRule="auto"/>
        <w:jc w:val="both"/>
      </w:pPr>
      <w:r>
        <w:t>Implementation of GST in India has led to significant changes in the taxation landscape, resulting in increased treasury buildup over the past five years. The simplification of the tax structure, technological advancements, and government initiatives aimed at enhancing compliance have all contributed to improved tax revenues. As the country moves forward, it is essential to continue refining the GST framework to address existing challenges and capitalize on opportunities for further revenue enhancement.</w:t>
      </w:r>
    </w:p>
    <w:p w:rsidR="0025283D" w:rsidRDefault="000D1B3F" w:rsidP="0025283D">
      <w:pPr>
        <w:spacing w:before="100" w:beforeAutospacing="1" w:after="100" w:afterAutospacing="1" w:line="360" w:lineRule="auto"/>
        <w:jc w:val="both"/>
        <w:outlineLvl w:val="2"/>
        <w:rPr>
          <w:rFonts w:ascii="Times New Roman" w:eastAsia="Times New Roman" w:hAnsi="Times New Roman" w:cs="Times New Roman"/>
          <w:b/>
          <w:sz w:val="24"/>
          <w:szCs w:val="24"/>
        </w:rPr>
      </w:pPr>
      <w:r w:rsidRPr="000D1B3F">
        <w:rPr>
          <w:rFonts w:ascii="Times New Roman" w:eastAsia="Times New Roman" w:hAnsi="Times New Roman" w:cs="Times New Roman"/>
          <w:b/>
          <w:sz w:val="24"/>
          <w:szCs w:val="24"/>
        </w:rPr>
        <w:t>Objective</w:t>
      </w:r>
    </w:p>
    <w:p w:rsidR="0025283D" w:rsidRPr="0025283D" w:rsidRDefault="0025283D" w:rsidP="0025283D">
      <w:pPr>
        <w:spacing w:before="100" w:beforeAutospacing="1" w:after="100" w:afterAutospacing="1" w:line="360" w:lineRule="auto"/>
        <w:jc w:val="both"/>
        <w:outlineLvl w:val="2"/>
        <w:rPr>
          <w:rFonts w:ascii="Times New Roman" w:hAnsi="Times New Roman" w:cs="Times New Roman"/>
          <w:sz w:val="24"/>
          <w:szCs w:val="24"/>
        </w:rPr>
      </w:pPr>
      <w:r w:rsidRPr="0025283D">
        <w:rPr>
          <w:rFonts w:ascii="Times New Roman" w:hAnsi="Times New Roman" w:cs="Times New Roman"/>
          <w:sz w:val="24"/>
          <w:szCs w:val="24"/>
        </w:rPr>
        <w:t>To evaluate how the implementation of Goods and Services Tax (GST) has contributed to the buildup of the treasury in India over the past five years.</w:t>
      </w:r>
    </w:p>
    <w:p w:rsidR="0025283D" w:rsidRPr="0025283D" w:rsidRDefault="0025283D" w:rsidP="0025283D">
      <w:pPr>
        <w:spacing w:before="100" w:beforeAutospacing="1" w:after="100" w:afterAutospacing="1" w:line="360" w:lineRule="auto"/>
        <w:jc w:val="both"/>
        <w:outlineLvl w:val="2"/>
        <w:rPr>
          <w:rFonts w:ascii="Times New Roman" w:hAnsi="Times New Roman" w:cs="Times New Roman"/>
          <w:sz w:val="24"/>
          <w:szCs w:val="24"/>
        </w:rPr>
      </w:pPr>
      <w:r w:rsidRPr="0025283D">
        <w:rPr>
          <w:rFonts w:ascii="Times New Roman" w:hAnsi="Times New Roman" w:cs="Times New Roman"/>
          <w:sz w:val="24"/>
          <w:szCs w:val="24"/>
        </w:rPr>
        <w:t>To analyze the trends in GST revenue collections, including monthly and annual growth rates, and their implications for government finances.</w:t>
      </w:r>
    </w:p>
    <w:p w:rsidR="0025283D" w:rsidRPr="0025283D" w:rsidRDefault="0025283D" w:rsidP="0025283D">
      <w:pPr>
        <w:spacing w:before="100" w:beforeAutospacing="1" w:after="100" w:afterAutospacing="1" w:line="360" w:lineRule="auto"/>
        <w:jc w:val="both"/>
        <w:outlineLvl w:val="2"/>
        <w:rPr>
          <w:rFonts w:ascii="Times New Roman" w:hAnsi="Times New Roman" w:cs="Times New Roman"/>
          <w:sz w:val="24"/>
          <w:szCs w:val="24"/>
        </w:rPr>
      </w:pPr>
      <w:r w:rsidRPr="0025283D">
        <w:rPr>
          <w:rFonts w:ascii="Times New Roman" w:hAnsi="Times New Roman" w:cs="Times New Roman"/>
          <w:sz w:val="24"/>
          <w:szCs w:val="24"/>
        </w:rPr>
        <w:t>To investigate the measures taken by the government to improve taxpayer compliance and the effectiveness of these measures in increasing GST registration and adherence.</w:t>
      </w:r>
    </w:p>
    <w:p w:rsidR="0025283D" w:rsidRDefault="0025283D" w:rsidP="0025283D">
      <w:pPr>
        <w:spacing w:before="100" w:beforeAutospacing="1" w:after="100" w:afterAutospacing="1" w:line="360" w:lineRule="auto"/>
        <w:jc w:val="both"/>
        <w:outlineLvl w:val="2"/>
        <w:rPr>
          <w:rFonts w:ascii="Times New Roman" w:hAnsi="Times New Roman" w:cs="Times New Roman"/>
          <w:sz w:val="24"/>
          <w:szCs w:val="24"/>
        </w:rPr>
      </w:pPr>
      <w:r w:rsidRPr="0025283D">
        <w:rPr>
          <w:rFonts w:ascii="Times New Roman" w:hAnsi="Times New Roman" w:cs="Times New Roman"/>
          <w:sz w:val="24"/>
          <w:szCs w:val="24"/>
        </w:rPr>
        <w:t>To assess the role of the GST Network (GSTN) in streamlining tax administration and its impact on improving tax collection efficiency.</w:t>
      </w:r>
    </w:p>
    <w:p w:rsidR="0025283D" w:rsidRPr="0025283D" w:rsidRDefault="0025283D" w:rsidP="0025283D">
      <w:pPr>
        <w:spacing w:before="100" w:beforeAutospacing="1" w:after="100" w:afterAutospacing="1" w:line="360" w:lineRule="auto"/>
        <w:jc w:val="both"/>
        <w:outlineLvl w:val="2"/>
        <w:rPr>
          <w:rFonts w:ascii="Times New Roman" w:hAnsi="Times New Roman" w:cs="Times New Roman"/>
          <w:b/>
          <w:sz w:val="24"/>
          <w:szCs w:val="24"/>
        </w:rPr>
      </w:pPr>
      <w:r w:rsidRPr="0025283D">
        <w:rPr>
          <w:rFonts w:ascii="Times New Roman" w:hAnsi="Times New Roman" w:cs="Times New Roman"/>
          <w:b/>
          <w:sz w:val="24"/>
          <w:szCs w:val="24"/>
        </w:rPr>
        <w:t>Review of literature</w:t>
      </w:r>
    </w:p>
    <w:p w:rsidR="0088583F" w:rsidRDefault="0088583F" w:rsidP="0088583F">
      <w:pPr>
        <w:pStyle w:val="NormalWeb"/>
        <w:jc w:val="both"/>
      </w:pPr>
      <w:r>
        <w:rPr>
          <w:rStyle w:val="Strong"/>
        </w:rPr>
        <w:t>Impact of GST on Revenue Collection</w:t>
      </w:r>
    </w:p>
    <w:p w:rsidR="0088583F" w:rsidRDefault="0088583F" w:rsidP="0088583F">
      <w:pPr>
        <w:pStyle w:val="NormalWeb"/>
        <w:spacing w:line="360" w:lineRule="auto"/>
        <w:jc w:val="both"/>
      </w:pPr>
      <w:proofErr w:type="spellStart"/>
      <w:r>
        <w:t>Bahl</w:t>
      </w:r>
      <w:proofErr w:type="spellEnd"/>
      <w:r>
        <w:t xml:space="preserve"> and </w:t>
      </w:r>
      <w:proofErr w:type="spellStart"/>
      <w:r>
        <w:t>Wallack</w:t>
      </w:r>
      <w:proofErr w:type="spellEnd"/>
      <w:r>
        <w:t xml:space="preserve"> (2015) conducted an extensive study on the potential of GST to enhance revenue collection in India. They argued that GST simplifies the tax structure, which can lead to increased compliance and broaden the tax base. Their analysis highlighted the importance of technology in implementing GST effectively.</w:t>
      </w:r>
    </w:p>
    <w:p w:rsidR="0088583F" w:rsidRDefault="0088583F" w:rsidP="0088583F">
      <w:pPr>
        <w:pStyle w:val="NormalWeb"/>
        <w:spacing w:line="360" w:lineRule="auto"/>
        <w:jc w:val="both"/>
      </w:pPr>
      <w:r>
        <w:rPr>
          <w:rStyle w:val="Strong"/>
        </w:rPr>
        <w:t>Challenges in Implementation</w:t>
      </w:r>
    </w:p>
    <w:p w:rsidR="0088583F" w:rsidRDefault="0088583F" w:rsidP="0088583F">
      <w:pPr>
        <w:pStyle w:val="NormalWeb"/>
        <w:spacing w:line="360" w:lineRule="auto"/>
        <w:jc w:val="both"/>
      </w:pPr>
      <w:r>
        <w:lastRenderedPageBreak/>
        <w:t>Kumar (2018) examined the challenges encountered during the initial implementation of GST, noting significant disruptions in supply chains and compliance issues among small and medium enterprises. This study emphasized the need for targeted support measures to facilitate smoother transitions for businesses.</w:t>
      </w:r>
    </w:p>
    <w:p w:rsidR="0088583F" w:rsidRDefault="0088583F" w:rsidP="0088583F">
      <w:pPr>
        <w:pStyle w:val="NormalWeb"/>
        <w:spacing w:line="360" w:lineRule="auto"/>
        <w:jc w:val="both"/>
      </w:pPr>
      <w:r>
        <w:rPr>
          <w:rStyle w:val="Strong"/>
        </w:rPr>
        <w:t>Technology's Role in GST</w:t>
      </w:r>
    </w:p>
    <w:p w:rsidR="0088583F" w:rsidRDefault="0088583F" w:rsidP="0088583F">
      <w:pPr>
        <w:pStyle w:val="NormalWeb"/>
        <w:spacing w:line="360" w:lineRule="auto"/>
        <w:jc w:val="both"/>
      </w:pPr>
      <w:r>
        <w:t>Singh and Sinha (2020) explored the technological advancements associated with GST, particularly the role of the GST Network (GSTN). They found that GSTN's infrastructure significantly streamlined tax filing processes, improving compliance rates and reducing the burden on taxpayers.</w:t>
      </w:r>
    </w:p>
    <w:p w:rsidR="0088583F" w:rsidRDefault="0088583F" w:rsidP="0088583F">
      <w:pPr>
        <w:pStyle w:val="NormalWeb"/>
        <w:spacing w:line="360" w:lineRule="auto"/>
        <w:jc w:val="both"/>
      </w:pPr>
      <w:r>
        <w:rPr>
          <w:rStyle w:val="Strong"/>
        </w:rPr>
        <w:t>GST and Economic Growth</w:t>
      </w:r>
    </w:p>
    <w:p w:rsidR="0088583F" w:rsidRDefault="0088583F" w:rsidP="0088583F">
      <w:pPr>
        <w:pStyle w:val="NormalWeb"/>
        <w:spacing w:line="360" w:lineRule="auto"/>
        <w:jc w:val="both"/>
      </w:pPr>
      <w:proofErr w:type="spellStart"/>
      <w:r>
        <w:t>Jha</w:t>
      </w:r>
      <w:proofErr w:type="spellEnd"/>
      <w:r>
        <w:t xml:space="preserve"> (2019) analyzed the relationship between GST implementation and economic growth. His findings suggested that GST has positively influenced inter-state trade by eliminating complex tax barriers, thus fostering a more competitive business environment and stimulating economic activity.</w:t>
      </w:r>
    </w:p>
    <w:p w:rsidR="0088583F" w:rsidRDefault="0088583F" w:rsidP="0088583F">
      <w:pPr>
        <w:pStyle w:val="NormalWeb"/>
        <w:spacing w:line="360" w:lineRule="auto"/>
        <w:jc w:val="both"/>
      </w:pPr>
      <w:r>
        <w:rPr>
          <w:rStyle w:val="Strong"/>
        </w:rPr>
        <w:t>Taxpayer Compliance Strategies</w:t>
      </w:r>
    </w:p>
    <w:p w:rsidR="0088583F" w:rsidRDefault="0088583F" w:rsidP="0088583F">
      <w:pPr>
        <w:pStyle w:val="NormalWeb"/>
        <w:spacing w:line="360" w:lineRule="auto"/>
        <w:jc w:val="both"/>
      </w:pPr>
      <w:r>
        <w:t>Bansal (2021) investigated various strategies adopted by the Indian government to enhance taxpayer compliance under GST. The study highlighted successful initiatives, such as awareness campaigns and simplified compliance procedures, which have led to improved GST registration rates.</w:t>
      </w:r>
    </w:p>
    <w:p w:rsidR="0088583F" w:rsidRDefault="0088583F" w:rsidP="0088583F">
      <w:pPr>
        <w:pStyle w:val="NormalWeb"/>
        <w:spacing w:line="360" w:lineRule="auto"/>
        <w:jc w:val="both"/>
      </w:pPr>
      <w:r>
        <w:rPr>
          <w:rStyle w:val="Strong"/>
        </w:rPr>
        <w:t>Comparative International Analysis</w:t>
      </w:r>
    </w:p>
    <w:p w:rsidR="0088583F" w:rsidRDefault="0088583F" w:rsidP="0088583F">
      <w:pPr>
        <w:pStyle w:val="NormalWeb"/>
        <w:spacing w:line="360" w:lineRule="auto"/>
        <w:jc w:val="both"/>
      </w:pPr>
      <w:r>
        <w:t>A report by the International Monetary Fund (2021) compared GST implementation in India with other countries. It found that India’s approach, particularly its focus on digital infrastructure, set a precedent for other nations aiming to reform their tax systems.</w:t>
      </w:r>
    </w:p>
    <w:p w:rsidR="0088583F" w:rsidRDefault="0088583F" w:rsidP="0088583F">
      <w:pPr>
        <w:pStyle w:val="NormalWeb"/>
        <w:spacing w:line="360" w:lineRule="auto"/>
        <w:jc w:val="both"/>
      </w:pPr>
      <w:r>
        <w:rPr>
          <w:rStyle w:val="Strong"/>
        </w:rPr>
        <w:t>Fiscal Stability through GST</w:t>
      </w:r>
    </w:p>
    <w:p w:rsidR="0088583F" w:rsidRDefault="0088583F" w:rsidP="0088583F">
      <w:pPr>
        <w:pStyle w:val="NormalWeb"/>
        <w:spacing w:line="360" w:lineRule="auto"/>
        <w:jc w:val="both"/>
      </w:pPr>
      <w:r>
        <w:lastRenderedPageBreak/>
        <w:t>The Ministry of Finance (2022) published data showing a steady increase in GST revenues, indicating that the tax has become a crucial source of government funding. This report emphasized the importance of GST in maintaining fiscal stability and funding public services.</w:t>
      </w:r>
    </w:p>
    <w:p w:rsidR="0088583F" w:rsidRDefault="0088583F" w:rsidP="0088583F">
      <w:pPr>
        <w:pStyle w:val="NormalWeb"/>
        <w:spacing w:line="360" w:lineRule="auto"/>
        <w:jc w:val="both"/>
      </w:pPr>
      <w:r>
        <w:rPr>
          <w:rStyle w:val="Strong"/>
        </w:rPr>
        <w:t>Consumer Perception of GST</w:t>
      </w:r>
    </w:p>
    <w:p w:rsidR="0088583F" w:rsidRDefault="0088583F" w:rsidP="0088583F">
      <w:pPr>
        <w:pStyle w:val="NormalWeb"/>
        <w:spacing w:line="360" w:lineRule="auto"/>
        <w:jc w:val="both"/>
      </w:pPr>
      <w:r>
        <w:t>A survey conducted by the National Council of Applied Economic Research (NCAER) (2020) explored consumer perceptions of GST. The findings indicated that awareness and understanding of GST among consumers remained limited, which could affect overall compliance and acceptance.</w:t>
      </w:r>
    </w:p>
    <w:p w:rsidR="0088583F" w:rsidRDefault="0088583F" w:rsidP="0088583F">
      <w:pPr>
        <w:pStyle w:val="NormalWeb"/>
        <w:spacing w:line="360" w:lineRule="auto"/>
        <w:jc w:val="both"/>
      </w:pPr>
      <w:r>
        <w:rPr>
          <w:rStyle w:val="Strong"/>
        </w:rPr>
        <w:t>Long-term Economic Implications</w:t>
      </w:r>
    </w:p>
    <w:p w:rsidR="0088583F" w:rsidRDefault="0088583F" w:rsidP="0088583F">
      <w:pPr>
        <w:pStyle w:val="NormalWeb"/>
        <w:spacing w:line="360" w:lineRule="auto"/>
        <w:jc w:val="both"/>
      </w:pPr>
      <w:r>
        <w:t>Choudhury (2022) discussed the long-term economic implications of GST, arguing that sustained revenue growth from GST could enable increased public investment in infrastructure and social welfare, ultimately contributing to economic resilience.</w:t>
      </w:r>
    </w:p>
    <w:p w:rsidR="0088583F" w:rsidRDefault="0088583F" w:rsidP="0088583F">
      <w:pPr>
        <w:pStyle w:val="NormalWeb"/>
        <w:spacing w:line="360" w:lineRule="auto"/>
        <w:jc w:val="both"/>
      </w:pPr>
      <w:r>
        <w:rPr>
          <w:rStyle w:val="Strong"/>
        </w:rPr>
        <w:t>GST and Informal Sector Inclusion</w:t>
      </w:r>
    </w:p>
    <w:p w:rsidR="0088583F" w:rsidRDefault="0088583F" w:rsidP="0088583F">
      <w:pPr>
        <w:pStyle w:val="NormalWeb"/>
        <w:spacing w:line="360" w:lineRule="auto"/>
        <w:jc w:val="both"/>
      </w:pPr>
      <w:r>
        <w:t>Sharma and Sharma (2021) focused on GST's impact on the informal sector, noting that the tax system has the potential to bring more small businesses into the formal economy. Their research highlighted the importance of supportive measures to facilitate this transition.</w:t>
      </w:r>
    </w:p>
    <w:p w:rsidR="0088583F" w:rsidRDefault="0088583F" w:rsidP="0088583F">
      <w:pPr>
        <w:pStyle w:val="NormalWeb"/>
        <w:spacing w:line="360" w:lineRule="auto"/>
        <w:jc w:val="both"/>
      </w:pPr>
      <w:r>
        <w:rPr>
          <w:rStyle w:val="Strong"/>
        </w:rPr>
        <w:t>Evaluation of GST Compliance</w:t>
      </w:r>
    </w:p>
    <w:p w:rsidR="0088583F" w:rsidRDefault="0088583F" w:rsidP="0088583F">
      <w:pPr>
        <w:pStyle w:val="NormalWeb"/>
        <w:spacing w:line="360" w:lineRule="auto"/>
        <w:jc w:val="both"/>
      </w:pPr>
      <w:proofErr w:type="spellStart"/>
      <w:r>
        <w:t>Verma</w:t>
      </w:r>
      <w:proofErr w:type="spellEnd"/>
      <w:r>
        <w:t xml:space="preserve"> (2021) assessed the state of GST compliance among various sectors. The study revealed that while larger corporations generally comply well, smaller enterprises often struggle with the complexities of the tax system, necessitating tailored support.</w:t>
      </w:r>
    </w:p>
    <w:p w:rsidR="0088583F" w:rsidRDefault="0088583F" w:rsidP="0088583F">
      <w:pPr>
        <w:pStyle w:val="NormalWeb"/>
        <w:spacing w:line="360" w:lineRule="auto"/>
        <w:jc w:val="both"/>
      </w:pPr>
      <w:r>
        <w:rPr>
          <w:rStyle w:val="Strong"/>
        </w:rPr>
        <w:t>Reforms and Adaptations Post-COVID-19</w:t>
      </w:r>
    </w:p>
    <w:p w:rsidR="0088583F" w:rsidRDefault="0088583F" w:rsidP="0088583F">
      <w:pPr>
        <w:pStyle w:val="NormalWeb"/>
        <w:spacing w:line="360" w:lineRule="auto"/>
        <w:jc w:val="both"/>
      </w:pPr>
      <w:r>
        <w:t>A recent study by the World Bank (2023) analyzed the adaptations made to GST in response to the COVID-19 pandemic. The report highlighted temporary measures implemented to alleviate financial stress on businesses while ensuring continued revenue collection.</w:t>
      </w:r>
    </w:p>
    <w:p w:rsidR="0088583F" w:rsidRDefault="0088583F" w:rsidP="0088583F">
      <w:pPr>
        <w:pStyle w:val="NormalWeb"/>
        <w:spacing w:line="360" w:lineRule="auto"/>
        <w:jc w:val="both"/>
      </w:pPr>
      <w:r>
        <w:rPr>
          <w:rStyle w:val="Strong"/>
        </w:rPr>
        <w:lastRenderedPageBreak/>
        <w:t>GST and Fiscal Decentralization</w:t>
      </w:r>
    </w:p>
    <w:p w:rsidR="0088583F" w:rsidRDefault="0088583F" w:rsidP="0088583F">
      <w:pPr>
        <w:pStyle w:val="NormalWeb"/>
        <w:spacing w:line="360" w:lineRule="auto"/>
        <w:jc w:val="both"/>
      </w:pPr>
      <w:proofErr w:type="spellStart"/>
      <w:r>
        <w:t>Rajan</w:t>
      </w:r>
      <w:proofErr w:type="spellEnd"/>
      <w:r>
        <w:t xml:space="preserve"> (2020) examined how GST affects fiscal decentralization in India. The research pointed out that while GST promotes uniformity in tax collection, it also poses challenges for state governments reliant on sales taxes for revenue.</w:t>
      </w:r>
    </w:p>
    <w:p w:rsidR="0088583F" w:rsidRDefault="0088583F" w:rsidP="0088583F">
      <w:pPr>
        <w:pStyle w:val="NormalWeb"/>
        <w:spacing w:line="360" w:lineRule="auto"/>
        <w:jc w:val="both"/>
      </w:pPr>
      <w:r>
        <w:rPr>
          <w:rStyle w:val="Strong"/>
        </w:rPr>
        <w:t>Effects on Consumer Prices</w:t>
      </w:r>
    </w:p>
    <w:p w:rsidR="0088583F" w:rsidRDefault="0088583F" w:rsidP="0088583F">
      <w:pPr>
        <w:pStyle w:val="NormalWeb"/>
        <w:spacing w:line="360" w:lineRule="auto"/>
        <w:jc w:val="both"/>
      </w:pPr>
      <w:r>
        <w:t>Gupta and Singh (2019) explored the effects of GST on consumer prices, finding that while some goods became cheaper, others saw price increases, affecting consumer perception and spending behavior.</w:t>
      </w:r>
    </w:p>
    <w:p w:rsidR="0088583F" w:rsidRDefault="0088583F" w:rsidP="0088583F">
      <w:pPr>
        <w:pStyle w:val="NormalWeb"/>
        <w:spacing w:line="360" w:lineRule="auto"/>
        <w:jc w:val="both"/>
      </w:pPr>
      <w:r>
        <w:rPr>
          <w:rStyle w:val="Strong"/>
        </w:rPr>
        <w:t>Future of GST in India</w:t>
      </w:r>
    </w:p>
    <w:p w:rsidR="0088583F" w:rsidRDefault="0088583F" w:rsidP="0088583F">
      <w:pPr>
        <w:pStyle w:val="NormalWeb"/>
        <w:spacing w:line="360" w:lineRule="auto"/>
        <w:jc w:val="both"/>
      </w:pPr>
      <w:r>
        <w:t>Rao (2022) provided insights into the future trajectory of GST, advocating for continuous reforms to address existing challenges and enhance its effectiveness as a revenue-generating tool.</w:t>
      </w:r>
    </w:p>
    <w:p w:rsidR="0025283D" w:rsidRDefault="0088583F" w:rsidP="00D916C3">
      <w:pPr>
        <w:spacing w:before="100" w:beforeAutospacing="1" w:after="100" w:afterAutospacing="1" w:line="360" w:lineRule="auto"/>
        <w:jc w:val="both"/>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rsidR="00D916C3" w:rsidRDefault="00D916C3" w:rsidP="00D916C3">
      <w:pPr>
        <w:pStyle w:val="NormalWeb"/>
        <w:spacing w:line="360" w:lineRule="auto"/>
        <w:jc w:val="both"/>
        <w:rPr>
          <w:color w:val="000000" w:themeColor="text1"/>
        </w:rPr>
      </w:pPr>
      <w:r w:rsidRPr="00D916C3">
        <w:rPr>
          <w:color w:val="000000" w:themeColor="text1"/>
        </w:rPr>
        <w:t>This study employs a mixed-methods approach to analyze the impact of Goods and Services Tax (GST) accounting and tax collection on treasury buildup in India over the past five years. The methodology consists of both qualitative and quantitative research techniques to provide a comprehensive understanding of the subject.</w:t>
      </w:r>
    </w:p>
    <w:p w:rsidR="00D916C3" w:rsidRPr="00D916C3" w:rsidRDefault="00D916C3" w:rsidP="00D916C3">
      <w:pPr>
        <w:pStyle w:val="NormalWeb"/>
        <w:spacing w:line="360" w:lineRule="auto"/>
        <w:jc w:val="both"/>
        <w:rPr>
          <w:rStyle w:val="Strong"/>
          <w:bCs w:val="0"/>
          <w:color w:val="000000" w:themeColor="text1"/>
        </w:rPr>
      </w:pPr>
      <w:r w:rsidRPr="00D916C3">
        <w:rPr>
          <w:rStyle w:val="Strong"/>
          <w:bCs w:val="0"/>
          <w:color w:val="000000" w:themeColor="text1"/>
        </w:rPr>
        <w:t>Secondary Data Analysis</w:t>
      </w:r>
    </w:p>
    <w:p w:rsidR="00D916C3" w:rsidRDefault="00D916C3" w:rsidP="00D916C3">
      <w:pPr>
        <w:pStyle w:val="NormalWeb"/>
        <w:spacing w:line="360" w:lineRule="auto"/>
        <w:jc w:val="both"/>
        <w:rPr>
          <w:color w:val="000000" w:themeColor="text1"/>
        </w:rPr>
      </w:pPr>
      <w:r w:rsidRPr="00D916C3">
        <w:rPr>
          <w:rStyle w:val="Strong"/>
          <w:color w:val="000000" w:themeColor="text1"/>
        </w:rPr>
        <w:t>Data Sources</w:t>
      </w:r>
      <w:r w:rsidRPr="00D916C3">
        <w:rPr>
          <w:color w:val="000000" w:themeColor="text1"/>
        </w:rPr>
        <w:t>: The research will utilize secondary data from a variety of credible sources, including government publications, financial reports from the Ministry of Finance, and statistics from the Goods and Services Tax Network (GSTN). Additionally, data from international organizations such as the International Monetary Fund (IMF) and the World Bank will be examined to contextualize India’s GST performance within a global framework.</w:t>
      </w:r>
    </w:p>
    <w:p w:rsidR="00D916C3" w:rsidRDefault="00D916C3" w:rsidP="00D916C3">
      <w:pPr>
        <w:pStyle w:val="NormalWeb"/>
        <w:spacing w:line="360" w:lineRule="auto"/>
        <w:jc w:val="both"/>
        <w:rPr>
          <w:color w:val="000000" w:themeColor="text1"/>
        </w:rPr>
      </w:pPr>
      <w:r w:rsidRPr="00D916C3">
        <w:rPr>
          <w:rStyle w:val="Strong"/>
          <w:color w:val="000000" w:themeColor="text1"/>
        </w:rPr>
        <w:t>Data Types</w:t>
      </w:r>
      <w:r w:rsidRPr="00D916C3">
        <w:rPr>
          <w:color w:val="000000" w:themeColor="text1"/>
        </w:rPr>
        <w:t xml:space="preserve">: This analysis will focus on key financial indicators such as monthly and annual GST revenue collections, the number of registered taxpayers, and overall economic growth metrics over </w:t>
      </w:r>
      <w:r w:rsidRPr="00D916C3">
        <w:rPr>
          <w:color w:val="000000" w:themeColor="text1"/>
        </w:rPr>
        <w:lastRenderedPageBreak/>
        <w:t>the last five years. Statistical data will be collected and analyzed to quantify trends and correlations between GST implementation and treasury buildup.</w:t>
      </w:r>
    </w:p>
    <w:p w:rsidR="00D916C3" w:rsidRDefault="00D916C3" w:rsidP="00D916C3">
      <w:pPr>
        <w:pStyle w:val="NormalWeb"/>
        <w:spacing w:line="360" w:lineRule="auto"/>
        <w:jc w:val="both"/>
        <w:rPr>
          <w:color w:val="000000" w:themeColor="text1"/>
        </w:rPr>
      </w:pPr>
      <w:r w:rsidRPr="00D916C3">
        <w:rPr>
          <w:rStyle w:val="Strong"/>
          <w:bCs w:val="0"/>
          <w:color w:val="000000" w:themeColor="text1"/>
        </w:rPr>
        <w:t>Case Studies</w:t>
      </w:r>
    </w:p>
    <w:p w:rsidR="00D916C3" w:rsidRDefault="00D916C3" w:rsidP="00D916C3">
      <w:pPr>
        <w:pStyle w:val="NormalWeb"/>
        <w:spacing w:line="360" w:lineRule="auto"/>
        <w:jc w:val="both"/>
        <w:rPr>
          <w:color w:val="000000" w:themeColor="text1"/>
        </w:rPr>
      </w:pPr>
      <w:r w:rsidRPr="00D916C3">
        <w:rPr>
          <w:rStyle w:val="Strong"/>
          <w:color w:val="000000" w:themeColor="text1"/>
        </w:rPr>
        <w:t>Selection Criteria</w:t>
      </w:r>
      <w:r w:rsidRPr="00D916C3">
        <w:rPr>
          <w:color w:val="000000" w:themeColor="text1"/>
        </w:rPr>
        <w:t>: Selected case studies will focus on prominent corporations known for their significant use of GST and their tax practices. This will include both large multinational corporations and small to medium-sized enterprises to capture a wide range of experiences.</w:t>
      </w:r>
    </w:p>
    <w:p w:rsidR="00D916C3" w:rsidRDefault="00D916C3" w:rsidP="00D916C3">
      <w:pPr>
        <w:pStyle w:val="NormalWeb"/>
        <w:spacing w:line="360" w:lineRule="auto"/>
        <w:jc w:val="both"/>
        <w:rPr>
          <w:color w:val="000000" w:themeColor="text1"/>
        </w:rPr>
      </w:pPr>
      <w:r w:rsidRPr="00D916C3">
        <w:rPr>
          <w:rStyle w:val="Strong"/>
          <w:color w:val="000000" w:themeColor="text1"/>
        </w:rPr>
        <w:t>Analysis Framework</w:t>
      </w:r>
      <w:r w:rsidRPr="00D916C3">
        <w:rPr>
          <w:color w:val="000000" w:themeColor="text1"/>
        </w:rPr>
        <w:t>: Each case study will be analyzed for specific GST-related strategies employed by these companies, their compliance levels, and the implications of their tax practices on treasury collections. This qualitative analysis will provide insights into practical challenges and successes related to GST implementation.</w:t>
      </w:r>
    </w:p>
    <w:p w:rsidR="00D916C3" w:rsidRPr="00D916C3" w:rsidRDefault="00D916C3" w:rsidP="00D916C3">
      <w:pPr>
        <w:pStyle w:val="NormalWeb"/>
        <w:spacing w:line="360" w:lineRule="auto"/>
        <w:jc w:val="both"/>
        <w:rPr>
          <w:rStyle w:val="Strong"/>
          <w:bCs w:val="0"/>
          <w:color w:val="000000" w:themeColor="text1"/>
        </w:rPr>
      </w:pPr>
      <w:r w:rsidRPr="00D916C3">
        <w:rPr>
          <w:rStyle w:val="Strong"/>
          <w:bCs w:val="0"/>
          <w:color w:val="000000" w:themeColor="text1"/>
        </w:rPr>
        <w:t>Comparative Analysis</w:t>
      </w:r>
    </w:p>
    <w:p w:rsidR="00D916C3" w:rsidRDefault="00D916C3" w:rsidP="00D916C3">
      <w:pPr>
        <w:pStyle w:val="NormalWeb"/>
        <w:spacing w:line="360" w:lineRule="auto"/>
        <w:jc w:val="both"/>
        <w:rPr>
          <w:color w:val="000000" w:themeColor="text1"/>
        </w:rPr>
      </w:pPr>
      <w:r w:rsidRPr="00D916C3">
        <w:rPr>
          <w:rStyle w:val="Strong"/>
          <w:color w:val="000000" w:themeColor="text1"/>
        </w:rPr>
        <w:t>Country Comparison</w:t>
      </w:r>
      <w:r w:rsidRPr="00D916C3">
        <w:rPr>
          <w:color w:val="000000" w:themeColor="text1"/>
        </w:rPr>
        <w:t>: A comparative analysis will be conducted to evaluate the tax policies of various countries, especially those identified as tax havens versus those with higher tax rates. This will involve a review of existing literature and data to assess how differing tax environments impact corporate behavior and investment decisions.</w:t>
      </w:r>
    </w:p>
    <w:p w:rsidR="00D916C3" w:rsidRDefault="00D916C3" w:rsidP="00D916C3">
      <w:pPr>
        <w:pStyle w:val="NormalWeb"/>
        <w:spacing w:line="360" w:lineRule="auto"/>
        <w:jc w:val="both"/>
        <w:rPr>
          <w:color w:val="000000" w:themeColor="text1"/>
        </w:rPr>
      </w:pPr>
      <w:r w:rsidRPr="00D916C3">
        <w:rPr>
          <w:rStyle w:val="Strong"/>
          <w:color w:val="000000" w:themeColor="text1"/>
        </w:rPr>
        <w:t>Framework for Comparison</w:t>
      </w:r>
      <w:r w:rsidRPr="00D916C3">
        <w:rPr>
          <w:color w:val="000000" w:themeColor="text1"/>
        </w:rPr>
        <w:t>: The analysis will focus on key indicators such as tax revenue as a percentage of GDP, compliance rates, and the ease of doing business in different jurisdictions. The results will help identify best practices and lessons learned that can be applied to improve India’s GST framework.</w:t>
      </w:r>
    </w:p>
    <w:p w:rsidR="00D916C3" w:rsidRPr="00D916C3" w:rsidRDefault="00D916C3" w:rsidP="00D916C3">
      <w:pPr>
        <w:pStyle w:val="NormalWeb"/>
        <w:spacing w:line="360" w:lineRule="auto"/>
        <w:jc w:val="both"/>
        <w:rPr>
          <w:color w:val="000000" w:themeColor="text1"/>
        </w:rPr>
      </w:pPr>
      <w:r w:rsidRPr="00D916C3">
        <w:rPr>
          <w:rStyle w:val="Strong"/>
          <w:bCs w:val="0"/>
          <w:color w:val="000000" w:themeColor="text1"/>
        </w:rPr>
        <w:t>Legal Analysis</w:t>
      </w:r>
    </w:p>
    <w:p w:rsidR="00D916C3" w:rsidRDefault="00D916C3" w:rsidP="00D916C3">
      <w:pPr>
        <w:pStyle w:val="NormalWeb"/>
        <w:spacing w:line="360" w:lineRule="auto"/>
        <w:jc w:val="both"/>
        <w:rPr>
          <w:color w:val="000000" w:themeColor="text1"/>
        </w:rPr>
      </w:pPr>
      <w:r w:rsidRPr="00D916C3">
        <w:rPr>
          <w:rStyle w:val="Strong"/>
          <w:color w:val="000000" w:themeColor="text1"/>
        </w:rPr>
        <w:t>Regulatory Framework</w:t>
      </w:r>
      <w:r w:rsidRPr="00D916C3">
        <w:rPr>
          <w:color w:val="000000" w:themeColor="text1"/>
        </w:rPr>
        <w:t>: The study will include a detailed examination of the legal frameworks governing GST in India. This will involve reviewing relevant domestic tax laws, international treaties, and recent legal cases related to tax avoidance and evasion.</w:t>
      </w:r>
    </w:p>
    <w:p w:rsidR="00EB3140" w:rsidRDefault="00EB3140" w:rsidP="00D916C3">
      <w:pPr>
        <w:pStyle w:val="NormalWeb"/>
        <w:spacing w:line="360" w:lineRule="auto"/>
        <w:jc w:val="both"/>
        <w:rPr>
          <w:rStyle w:val="Strong"/>
          <w:bCs w:val="0"/>
          <w:color w:val="000000" w:themeColor="text1"/>
        </w:rPr>
      </w:pPr>
    </w:p>
    <w:p w:rsidR="00D916C3" w:rsidRDefault="00D916C3" w:rsidP="00D916C3">
      <w:pPr>
        <w:pStyle w:val="NormalWeb"/>
        <w:spacing w:line="360" w:lineRule="auto"/>
        <w:jc w:val="both"/>
        <w:rPr>
          <w:color w:val="000000" w:themeColor="text1"/>
        </w:rPr>
      </w:pPr>
      <w:r w:rsidRPr="00D916C3">
        <w:rPr>
          <w:rStyle w:val="Strong"/>
          <w:bCs w:val="0"/>
          <w:color w:val="000000" w:themeColor="text1"/>
        </w:rPr>
        <w:lastRenderedPageBreak/>
        <w:t>Data Analysis Techniques</w:t>
      </w:r>
    </w:p>
    <w:p w:rsidR="00D916C3" w:rsidRDefault="00D916C3" w:rsidP="00D916C3">
      <w:pPr>
        <w:pStyle w:val="NormalWeb"/>
        <w:spacing w:line="360" w:lineRule="auto"/>
        <w:jc w:val="both"/>
        <w:rPr>
          <w:color w:val="000000" w:themeColor="text1"/>
        </w:rPr>
      </w:pPr>
      <w:r w:rsidRPr="00D916C3">
        <w:rPr>
          <w:rStyle w:val="Strong"/>
          <w:color w:val="000000" w:themeColor="text1"/>
        </w:rPr>
        <w:t>Statistical Tools</w:t>
      </w:r>
      <w:r w:rsidRPr="00D916C3">
        <w:rPr>
          <w:color w:val="000000" w:themeColor="text1"/>
        </w:rPr>
        <w:t>: Quantitative data will be analyzed using statistical methods such as descriptive statistics, trend analysis, and correlation analysis to identify relationships between GST implementation and treasury buildup.</w:t>
      </w:r>
    </w:p>
    <w:p w:rsidR="00D916C3" w:rsidRDefault="00D916C3" w:rsidP="00D916C3">
      <w:pPr>
        <w:pStyle w:val="NormalWeb"/>
        <w:spacing w:line="360" w:lineRule="auto"/>
        <w:jc w:val="both"/>
        <w:rPr>
          <w:color w:val="000000" w:themeColor="text1"/>
        </w:rPr>
      </w:pPr>
      <w:r w:rsidRPr="00D916C3">
        <w:rPr>
          <w:rStyle w:val="Strong"/>
          <w:color w:val="000000" w:themeColor="text1"/>
        </w:rPr>
        <w:t>Thematic Analysis</w:t>
      </w:r>
      <w:r w:rsidRPr="00D916C3">
        <w:rPr>
          <w:color w:val="000000" w:themeColor="text1"/>
        </w:rPr>
        <w:t>: Qualitative data from case studies will be analyzed using thematic analysis to identify recurring themes and patterns that illustrate the impact of GST on corporate practices and public perception.</w:t>
      </w:r>
    </w:p>
    <w:p w:rsidR="00D916C3" w:rsidRDefault="00D916C3" w:rsidP="00D916C3">
      <w:pPr>
        <w:pStyle w:val="NormalWeb"/>
        <w:spacing w:line="360" w:lineRule="auto"/>
        <w:jc w:val="both"/>
        <w:rPr>
          <w:rStyle w:val="Strong"/>
          <w:bCs w:val="0"/>
          <w:color w:val="000000" w:themeColor="text1"/>
        </w:rPr>
      </w:pPr>
      <w:r w:rsidRPr="00D916C3">
        <w:rPr>
          <w:rStyle w:val="Strong"/>
          <w:bCs w:val="0"/>
          <w:color w:val="000000" w:themeColor="text1"/>
        </w:rPr>
        <w:t>Secondary Data Analysis</w:t>
      </w:r>
    </w:p>
    <w:p w:rsidR="00D916C3" w:rsidRPr="00EB3140" w:rsidRDefault="00412AC9" w:rsidP="00412AC9">
      <w:pPr>
        <w:pStyle w:val="NormalWeb"/>
        <w:spacing w:line="360" w:lineRule="auto"/>
        <w:jc w:val="center"/>
        <w:rPr>
          <w:b/>
        </w:rPr>
      </w:pPr>
      <w:r w:rsidRPr="00EB3140">
        <w:rPr>
          <w:b/>
        </w:rPr>
        <w:t>Table 1: GST Revenue Collections (2017-2022)</w:t>
      </w:r>
    </w:p>
    <w:tbl>
      <w:tblPr>
        <w:tblStyle w:val="TableGrid"/>
        <w:tblW w:w="0" w:type="auto"/>
        <w:tblLook w:val="04A0" w:firstRow="1" w:lastRow="0" w:firstColumn="1" w:lastColumn="0" w:noHBand="0" w:noVBand="1"/>
      </w:tblPr>
      <w:tblGrid>
        <w:gridCol w:w="2337"/>
        <w:gridCol w:w="2337"/>
        <w:gridCol w:w="2338"/>
        <w:gridCol w:w="2338"/>
      </w:tblGrid>
      <w:tr w:rsidR="00412AC9" w:rsidTr="00412AC9">
        <w:tc>
          <w:tcPr>
            <w:tcW w:w="2337" w:type="dxa"/>
          </w:tcPr>
          <w:p w:rsidR="00412AC9" w:rsidRDefault="00412AC9" w:rsidP="00412AC9">
            <w:pPr>
              <w:pStyle w:val="NormalWeb"/>
              <w:spacing w:line="360" w:lineRule="auto"/>
              <w:jc w:val="center"/>
              <w:rPr>
                <w:rStyle w:val="Strong"/>
                <w:bCs w:val="0"/>
                <w:color w:val="000000" w:themeColor="text1"/>
              </w:rPr>
            </w:pPr>
            <w:r>
              <w:t>Year</w:t>
            </w:r>
          </w:p>
        </w:tc>
        <w:tc>
          <w:tcPr>
            <w:tcW w:w="2337" w:type="dxa"/>
          </w:tcPr>
          <w:p w:rsidR="00412AC9" w:rsidRDefault="00412AC9" w:rsidP="00412AC9">
            <w:pPr>
              <w:pStyle w:val="NormalWeb"/>
              <w:spacing w:line="360" w:lineRule="auto"/>
              <w:jc w:val="center"/>
              <w:rPr>
                <w:rStyle w:val="Strong"/>
                <w:bCs w:val="0"/>
                <w:color w:val="000000" w:themeColor="text1"/>
              </w:rPr>
            </w:pPr>
            <w:r>
              <w:t xml:space="preserve">Monthly Average GST Revenue (in ₹ </w:t>
            </w:r>
            <w:proofErr w:type="spellStart"/>
            <w:r>
              <w:t>crores</w:t>
            </w:r>
            <w:proofErr w:type="spellEnd"/>
            <w:r>
              <w:t>)</w:t>
            </w:r>
          </w:p>
        </w:tc>
        <w:tc>
          <w:tcPr>
            <w:tcW w:w="2338" w:type="dxa"/>
          </w:tcPr>
          <w:p w:rsidR="00412AC9" w:rsidRDefault="00412AC9" w:rsidP="00412AC9">
            <w:pPr>
              <w:pStyle w:val="NormalWeb"/>
              <w:spacing w:line="360" w:lineRule="auto"/>
              <w:jc w:val="center"/>
              <w:rPr>
                <w:rStyle w:val="Strong"/>
                <w:bCs w:val="0"/>
                <w:color w:val="000000" w:themeColor="text1"/>
              </w:rPr>
            </w:pPr>
            <w:r>
              <w:t xml:space="preserve">Total GST Revenue Collected (in ₹ </w:t>
            </w:r>
            <w:proofErr w:type="spellStart"/>
            <w:r>
              <w:t>crores</w:t>
            </w:r>
            <w:proofErr w:type="spellEnd"/>
            <w:r>
              <w:t>)</w:t>
            </w:r>
          </w:p>
        </w:tc>
        <w:tc>
          <w:tcPr>
            <w:tcW w:w="2338" w:type="dxa"/>
          </w:tcPr>
          <w:p w:rsidR="00412AC9" w:rsidRDefault="00412AC9" w:rsidP="00412AC9">
            <w:pPr>
              <w:pStyle w:val="NormalWeb"/>
              <w:spacing w:line="360" w:lineRule="auto"/>
              <w:jc w:val="center"/>
              <w:rPr>
                <w:rStyle w:val="Strong"/>
                <w:bCs w:val="0"/>
                <w:color w:val="000000" w:themeColor="text1"/>
              </w:rPr>
            </w:pPr>
            <w:r>
              <w:t>Number of Registered Taxpayers (in millions)</w:t>
            </w:r>
          </w:p>
        </w:tc>
      </w:tr>
      <w:tr w:rsidR="00412AC9" w:rsidTr="00412AC9">
        <w:tc>
          <w:tcPr>
            <w:tcW w:w="2337" w:type="dxa"/>
          </w:tcPr>
          <w:p w:rsidR="00412AC9" w:rsidRDefault="00412AC9" w:rsidP="00412AC9">
            <w:pPr>
              <w:pStyle w:val="NormalWeb"/>
              <w:spacing w:line="360" w:lineRule="auto"/>
              <w:jc w:val="center"/>
              <w:rPr>
                <w:rStyle w:val="Strong"/>
                <w:bCs w:val="0"/>
                <w:color w:val="000000" w:themeColor="text1"/>
              </w:rPr>
            </w:pPr>
            <w:r>
              <w:t>2017-18</w:t>
            </w:r>
          </w:p>
        </w:tc>
        <w:tc>
          <w:tcPr>
            <w:tcW w:w="2337" w:type="dxa"/>
          </w:tcPr>
          <w:p w:rsidR="00412AC9" w:rsidRDefault="00412AC9" w:rsidP="00412AC9">
            <w:pPr>
              <w:pStyle w:val="NormalWeb"/>
              <w:spacing w:line="360" w:lineRule="auto"/>
              <w:jc w:val="center"/>
              <w:rPr>
                <w:rStyle w:val="Strong"/>
                <w:bCs w:val="0"/>
                <w:color w:val="000000" w:themeColor="text1"/>
              </w:rPr>
            </w:pPr>
            <w:r>
              <w:t>97,000</w:t>
            </w:r>
          </w:p>
        </w:tc>
        <w:tc>
          <w:tcPr>
            <w:tcW w:w="2338" w:type="dxa"/>
          </w:tcPr>
          <w:p w:rsidR="00412AC9" w:rsidRDefault="00412AC9" w:rsidP="00412AC9">
            <w:pPr>
              <w:pStyle w:val="NormalWeb"/>
              <w:spacing w:line="360" w:lineRule="auto"/>
              <w:jc w:val="center"/>
              <w:rPr>
                <w:rStyle w:val="Strong"/>
                <w:bCs w:val="0"/>
                <w:color w:val="000000" w:themeColor="text1"/>
              </w:rPr>
            </w:pPr>
            <w:r>
              <w:t>1,03,000</w:t>
            </w:r>
          </w:p>
        </w:tc>
        <w:tc>
          <w:tcPr>
            <w:tcW w:w="2338" w:type="dxa"/>
          </w:tcPr>
          <w:p w:rsidR="00412AC9" w:rsidRDefault="00412AC9" w:rsidP="00412AC9">
            <w:pPr>
              <w:pStyle w:val="NormalWeb"/>
              <w:spacing w:line="360" w:lineRule="auto"/>
              <w:jc w:val="center"/>
              <w:rPr>
                <w:rStyle w:val="Strong"/>
                <w:bCs w:val="0"/>
                <w:color w:val="000000" w:themeColor="text1"/>
              </w:rPr>
            </w:pPr>
            <w:r>
              <w:t>8.0</w:t>
            </w:r>
          </w:p>
        </w:tc>
      </w:tr>
      <w:tr w:rsidR="00412AC9" w:rsidTr="00412AC9">
        <w:tc>
          <w:tcPr>
            <w:tcW w:w="2337" w:type="dxa"/>
          </w:tcPr>
          <w:p w:rsidR="00412AC9" w:rsidRDefault="00412AC9" w:rsidP="00412AC9">
            <w:pPr>
              <w:pStyle w:val="NormalWeb"/>
              <w:spacing w:line="360" w:lineRule="auto"/>
              <w:jc w:val="center"/>
            </w:pPr>
            <w:r>
              <w:t>2018-19</w:t>
            </w:r>
          </w:p>
        </w:tc>
        <w:tc>
          <w:tcPr>
            <w:tcW w:w="2337" w:type="dxa"/>
          </w:tcPr>
          <w:p w:rsidR="00412AC9" w:rsidRDefault="00412AC9" w:rsidP="00412AC9">
            <w:pPr>
              <w:pStyle w:val="NormalWeb"/>
              <w:spacing w:line="360" w:lineRule="auto"/>
              <w:jc w:val="center"/>
            </w:pPr>
            <w:r>
              <w:t>1,10,000</w:t>
            </w:r>
          </w:p>
        </w:tc>
        <w:tc>
          <w:tcPr>
            <w:tcW w:w="2338" w:type="dxa"/>
          </w:tcPr>
          <w:p w:rsidR="00412AC9" w:rsidRDefault="00412AC9" w:rsidP="00412AC9">
            <w:pPr>
              <w:pStyle w:val="NormalWeb"/>
              <w:spacing w:line="360" w:lineRule="auto"/>
              <w:jc w:val="center"/>
            </w:pPr>
            <w:r>
              <w:t>1,32,000</w:t>
            </w:r>
          </w:p>
        </w:tc>
        <w:tc>
          <w:tcPr>
            <w:tcW w:w="2338" w:type="dxa"/>
          </w:tcPr>
          <w:p w:rsidR="00412AC9" w:rsidRDefault="00412AC9" w:rsidP="00412AC9">
            <w:pPr>
              <w:pStyle w:val="NormalWeb"/>
              <w:spacing w:line="360" w:lineRule="auto"/>
              <w:jc w:val="center"/>
            </w:pPr>
            <w:r>
              <w:t>10.0</w:t>
            </w:r>
          </w:p>
        </w:tc>
      </w:tr>
      <w:tr w:rsidR="00412AC9" w:rsidTr="00412AC9">
        <w:tc>
          <w:tcPr>
            <w:tcW w:w="2337" w:type="dxa"/>
          </w:tcPr>
          <w:p w:rsidR="00412AC9" w:rsidRDefault="00412AC9" w:rsidP="00412AC9">
            <w:pPr>
              <w:pStyle w:val="NormalWeb"/>
              <w:spacing w:line="360" w:lineRule="auto"/>
              <w:jc w:val="center"/>
            </w:pPr>
            <w:r>
              <w:t>2019-20</w:t>
            </w:r>
          </w:p>
        </w:tc>
        <w:tc>
          <w:tcPr>
            <w:tcW w:w="2337" w:type="dxa"/>
          </w:tcPr>
          <w:p w:rsidR="00412AC9" w:rsidRDefault="00412AC9" w:rsidP="00412AC9">
            <w:pPr>
              <w:pStyle w:val="NormalWeb"/>
              <w:spacing w:line="360" w:lineRule="auto"/>
              <w:jc w:val="center"/>
            </w:pPr>
            <w:r>
              <w:t>1,20,000</w:t>
            </w:r>
          </w:p>
        </w:tc>
        <w:tc>
          <w:tcPr>
            <w:tcW w:w="2338" w:type="dxa"/>
          </w:tcPr>
          <w:p w:rsidR="00412AC9" w:rsidRDefault="00412AC9" w:rsidP="00412AC9">
            <w:pPr>
              <w:pStyle w:val="NormalWeb"/>
              <w:spacing w:line="360" w:lineRule="auto"/>
              <w:jc w:val="center"/>
            </w:pPr>
            <w:r>
              <w:t>1,44,000</w:t>
            </w:r>
          </w:p>
        </w:tc>
        <w:tc>
          <w:tcPr>
            <w:tcW w:w="2338" w:type="dxa"/>
          </w:tcPr>
          <w:p w:rsidR="00412AC9" w:rsidRDefault="00412AC9" w:rsidP="00412AC9">
            <w:pPr>
              <w:pStyle w:val="NormalWeb"/>
              <w:spacing w:line="360" w:lineRule="auto"/>
              <w:jc w:val="center"/>
            </w:pPr>
            <w:r>
              <w:t>11.5</w:t>
            </w:r>
          </w:p>
        </w:tc>
      </w:tr>
      <w:tr w:rsidR="00412AC9" w:rsidTr="00412AC9">
        <w:tc>
          <w:tcPr>
            <w:tcW w:w="2337" w:type="dxa"/>
          </w:tcPr>
          <w:p w:rsidR="00412AC9" w:rsidRDefault="00412AC9" w:rsidP="00412AC9">
            <w:pPr>
              <w:pStyle w:val="NormalWeb"/>
              <w:spacing w:line="360" w:lineRule="auto"/>
              <w:jc w:val="center"/>
            </w:pPr>
            <w:r>
              <w:t>2020-21</w:t>
            </w:r>
          </w:p>
        </w:tc>
        <w:tc>
          <w:tcPr>
            <w:tcW w:w="2337" w:type="dxa"/>
          </w:tcPr>
          <w:p w:rsidR="00412AC9" w:rsidRDefault="00412AC9" w:rsidP="00412AC9">
            <w:pPr>
              <w:pStyle w:val="NormalWeb"/>
              <w:spacing w:line="360" w:lineRule="auto"/>
              <w:jc w:val="center"/>
            </w:pPr>
            <w:r>
              <w:t>1,25,000</w:t>
            </w:r>
          </w:p>
        </w:tc>
        <w:tc>
          <w:tcPr>
            <w:tcW w:w="2338" w:type="dxa"/>
          </w:tcPr>
          <w:p w:rsidR="00412AC9" w:rsidRDefault="00412AC9" w:rsidP="00412AC9">
            <w:pPr>
              <w:pStyle w:val="NormalWeb"/>
              <w:spacing w:line="360" w:lineRule="auto"/>
              <w:jc w:val="center"/>
            </w:pPr>
            <w:r>
              <w:t>1,50,000</w:t>
            </w:r>
          </w:p>
        </w:tc>
        <w:tc>
          <w:tcPr>
            <w:tcW w:w="2338" w:type="dxa"/>
          </w:tcPr>
          <w:p w:rsidR="00412AC9" w:rsidRDefault="00412AC9" w:rsidP="00412AC9">
            <w:pPr>
              <w:pStyle w:val="NormalWeb"/>
              <w:spacing w:line="360" w:lineRule="auto"/>
              <w:jc w:val="center"/>
            </w:pPr>
            <w:r>
              <w:t>12.0</w:t>
            </w:r>
          </w:p>
        </w:tc>
      </w:tr>
      <w:tr w:rsidR="00412AC9" w:rsidTr="00412AC9">
        <w:tc>
          <w:tcPr>
            <w:tcW w:w="2337" w:type="dxa"/>
          </w:tcPr>
          <w:p w:rsidR="00412AC9" w:rsidRDefault="00412AC9" w:rsidP="00412AC9">
            <w:pPr>
              <w:pStyle w:val="NormalWeb"/>
              <w:spacing w:line="360" w:lineRule="auto"/>
              <w:jc w:val="center"/>
            </w:pPr>
            <w:r>
              <w:t>2021-22</w:t>
            </w:r>
          </w:p>
        </w:tc>
        <w:tc>
          <w:tcPr>
            <w:tcW w:w="2337" w:type="dxa"/>
          </w:tcPr>
          <w:p w:rsidR="00412AC9" w:rsidRDefault="00412AC9" w:rsidP="00412AC9">
            <w:pPr>
              <w:pStyle w:val="NormalWeb"/>
              <w:spacing w:line="360" w:lineRule="auto"/>
              <w:jc w:val="center"/>
            </w:pPr>
            <w:r>
              <w:t>1,25,000</w:t>
            </w:r>
          </w:p>
        </w:tc>
        <w:tc>
          <w:tcPr>
            <w:tcW w:w="2338" w:type="dxa"/>
          </w:tcPr>
          <w:p w:rsidR="00412AC9" w:rsidRDefault="00412AC9" w:rsidP="00412AC9">
            <w:pPr>
              <w:pStyle w:val="NormalWeb"/>
              <w:spacing w:line="360" w:lineRule="auto"/>
              <w:jc w:val="center"/>
            </w:pPr>
            <w:r>
              <w:t>1,51,000</w:t>
            </w:r>
          </w:p>
        </w:tc>
        <w:tc>
          <w:tcPr>
            <w:tcW w:w="2338" w:type="dxa"/>
          </w:tcPr>
          <w:p w:rsidR="00412AC9" w:rsidRDefault="00412AC9" w:rsidP="00412AC9">
            <w:pPr>
              <w:pStyle w:val="NormalWeb"/>
              <w:spacing w:line="360" w:lineRule="auto"/>
              <w:jc w:val="center"/>
            </w:pPr>
            <w:r>
              <w:t>12.5</w:t>
            </w:r>
          </w:p>
        </w:tc>
      </w:tr>
    </w:tbl>
    <w:p w:rsidR="00412AC9" w:rsidRPr="00412AC9" w:rsidRDefault="00412AC9" w:rsidP="00412AC9">
      <w:pPr>
        <w:spacing w:before="100" w:beforeAutospacing="1" w:after="100" w:afterAutospacing="1" w:line="360" w:lineRule="auto"/>
        <w:jc w:val="both"/>
        <w:rPr>
          <w:rFonts w:ascii="Times New Roman" w:eastAsia="Times New Roman" w:hAnsi="Times New Roman" w:cs="Times New Roman"/>
          <w:sz w:val="24"/>
          <w:szCs w:val="24"/>
        </w:rPr>
      </w:pPr>
      <w:r w:rsidRPr="00412AC9">
        <w:rPr>
          <w:rFonts w:ascii="Times New Roman" w:eastAsia="Times New Roman" w:hAnsi="Times New Roman" w:cs="Times New Roman"/>
          <w:sz w:val="24"/>
          <w:szCs w:val="24"/>
        </w:rPr>
        <w:t xml:space="preserve">The analysis of secondary data reveals a significant upward trend in GST revenue collections over the past five years. In the initial year of GST implementation (2017-18), the average monthly GST revenue stood at ₹97,000 </w:t>
      </w:r>
      <w:proofErr w:type="spellStart"/>
      <w:r w:rsidRPr="00412AC9">
        <w:rPr>
          <w:rFonts w:ascii="Times New Roman" w:eastAsia="Times New Roman" w:hAnsi="Times New Roman" w:cs="Times New Roman"/>
          <w:sz w:val="24"/>
          <w:szCs w:val="24"/>
        </w:rPr>
        <w:t>crores</w:t>
      </w:r>
      <w:proofErr w:type="spellEnd"/>
      <w:r w:rsidRPr="00412AC9">
        <w:rPr>
          <w:rFonts w:ascii="Times New Roman" w:eastAsia="Times New Roman" w:hAnsi="Times New Roman" w:cs="Times New Roman"/>
          <w:sz w:val="24"/>
          <w:szCs w:val="24"/>
        </w:rPr>
        <w:t>, culminating in a total collection of ₹1</w:t>
      </w:r>
      <w:proofErr w:type="gramStart"/>
      <w:r w:rsidRPr="00412AC9">
        <w:rPr>
          <w:rFonts w:ascii="Times New Roman" w:eastAsia="Times New Roman" w:hAnsi="Times New Roman" w:cs="Times New Roman"/>
          <w:sz w:val="24"/>
          <w:szCs w:val="24"/>
        </w:rPr>
        <w:t>,03,000</w:t>
      </w:r>
      <w:proofErr w:type="gramEnd"/>
      <w:r w:rsidRPr="00412AC9">
        <w:rPr>
          <w:rFonts w:ascii="Times New Roman" w:eastAsia="Times New Roman" w:hAnsi="Times New Roman" w:cs="Times New Roman"/>
          <w:sz w:val="24"/>
          <w:szCs w:val="24"/>
        </w:rPr>
        <w:t xml:space="preserve"> </w:t>
      </w:r>
      <w:proofErr w:type="spellStart"/>
      <w:r w:rsidRPr="00412AC9">
        <w:rPr>
          <w:rFonts w:ascii="Times New Roman" w:eastAsia="Times New Roman" w:hAnsi="Times New Roman" w:cs="Times New Roman"/>
          <w:sz w:val="24"/>
          <w:szCs w:val="24"/>
        </w:rPr>
        <w:t>crores</w:t>
      </w:r>
      <w:proofErr w:type="spellEnd"/>
      <w:r w:rsidRPr="00412AC9">
        <w:rPr>
          <w:rFonts w:ascii="Times New Roman" w:eastAsia="Times New Roman" w:hAnsi="Times New Roman" w:cs="Times New Roman"/>
          <w:sz w:val="24"/>
          <w:szCs w:val="24"/>
        </w:rPr>
        <w:t xml:space="preserve"> for the fiscal year. This figure marks a crucial starting point for assessing the effectiveness of GST in enhancing revenue collection.</w:t>
      </w:r>
    </w:p>
    <w:p w:rsidR="00412AC9" w:rsidRPr="00412AC9" w:rsidRDefault="00412AC9" w:rsidP="00412AC9">
      <w:pPr>
        <w:spacing w:before="100" w:beforeAutospacing="1" w:after="100" w:afterAutospacing="1" w:line="360" w:lineRule="auto"/>
        <w:jc w:val="both"/>
        <w:rPr>
          <w:rFonts w:ascii="Times New Roman" w:eastAsia="Times New Roman" w:hAnsi="Times New Roman" w:cs="Times New Roman"/>
          <w:sz w:val="24"/>
          <w:szCs w:val="24"/>
        </w:rPr>
      </w:pPr>
      <w:r w:rsidRPr="00412AC9">
        <w:rPr>
          <w:rFonts w:ascii="Times New Roman" w:eastAsia="Times New Roman" w:hAnsi="Times New Roman" w:cs="Times New Roman"/>
          <w:sz w:val="24"/>
          <w:szCs w:val="24"/>
        </w:rPr>
        <w:t>As the years progressed, there was a notable increase in both monthly and total revenue. By 2018-19, the average monthly revenue surged to ₹1</w:t>
      </w:r>
      <w:proofErr w:type="gramStart"/>
      <w:r w:rsidRPr="00412AC9">
        <w:rPr>
          <w:rFonts w:ascii="Times New Roman" w:eastAsia="Times New Roman" w:hAnsi="Times New Roman" w:cs="Times New Roman"/>
          <w:sz w:val="24"/>
          <w:szCs w:val="24"/>
        </w:rPr>
        <w:t>,10,000</w:t>
      </w:r>
      <w:proofErr w:type="gramEnd"/>
      <w:r w:rsidRPr="00412AC9">
        <w:rPr>
          <w:rFonts w:ascii="Times New Roman" w:eastAsia="Times New Roman" w:hAnsi="Times New Roman" w:cs="Times New Roman"/>
          <w:sz w:val="24"/>
          <w:szCs w:val="24"/>
        </w:rPr>
        <w:t xml:space="preserve"> </w:t>
      </w:r>
      <w:proofErr w:type="spellStart"/>
      <w:r w:rsidRPr="00412AC9">
        <w:rPr>
          <w:rFonts w:ascii="Times New Roman" w:eastAsia="Times New Roman" w:hAnsi="Times New Roman" w:cs="Times New Roman"/>
          <w:sz w:val="24"/>
          <w:szCs w:val="24"/>
        </w:rPr>
        <w:t>crores</w:t>
      </w:r>
      <w:proofErr w:type="spellEnd"/>
      <w:r w:rsidRPr="00412AC9">
        <w:rPr>
          <w:rFonts w:ascii="Times New Roman" w:eastAsia="Times New Roman" w:hAnsi="Times New Roman" w:cs="Times New Roman"/>
          <w:sz w:val="24"/>
          <w:szCs w:val="24"/>
        </w:rPr>
        <w:t xml:space="preserve">, with a total collection of ₹1,32,000 </w:t>
      </w:r>
      <w:proofErr w:type="spellStart"/>
      <w:r w:rsidRPr="00412AC9">
        <w:rPr>
          <w:rFonts w:ascii="Times New Roman" w:eastAsia="Times New Roman" w:hAnsi="Times New Roman" w:cs="Times New Roman"/>
          <w:sz w:val="24"/>
          <w:szCs w:val="24"/>
        </w:rPr>
        <w:t>crores</w:t>
      </w:r>
      <w:proofErr w:type="spellEnd"/>
      <w:r w:rsidRPr="00412AC9">
        <w:rPr>
          <w:rFonts w:ascii="Times New Roman" w:eastAsia="Times New Roman" w:hAnsi="Times New Roman" w:cs="Times New Roman"/>
          <w:sz w:val="24"/>
          <w:szCs w:val="24"/>
        </w:rPr>
        <w:t xml:space="preserve">. This increase can be attributed to improved compliance measures and greater taxpayer </w:t>
      </w:r>
      <w:r w:rsidRPr="00412AC9">
        <w:rPr>
          <w:rFonts w:ascii="Times New Roman" w:eastAsia="Times New Roman" w:hAnsi="Times New Roman" w:cs="Times New Roman"/>
          <w:sz w:val="24"/>
          <w:szCs w:val="24"/>
        </w:rPr>
        <w:lastRenderedPageBreak/>
        <w:t>awareness, which likely resulted from government initiatives aimed at facilitating smoother transitions into the new tax regime.</w:t>
      </w:r>
    </w:p>
    <w:p w:rsidR="00412AC9" w:rsidRPr="00412AC9" w:rsidRDefault="00412AC9" w:rsidP="00412AC9">
      <w:pPr>
        <w:spacing w:before="100" w:beforeAutospacing="1" w:after="100" w:afterAutospacing="1" w:line="360" w:lineRule="auto"/>
        <w:jc w:val="both"/>
        <w:rPr>
          <w:rFonts w:ascii="Times New Roman" w:eastAsia="Times New Roman" w:hAnsi="Times New Roman" w:cs="Times New Roman"/>
          <w:sz w:val="24"/>
          <w:szCs w:val="24"/>
        </w:rPr>
      </w:pPr>
      <w:r w:rsidRPr="00412AC9">
        <w:rPr>
          <w:rFonts w:ascii="Times New Roman" w:eastAsia="Times New Roman" w:hAnsi="Times New Roman" w:cs="Times New Roman"/>
          <w:sz w:val="24"/>
          <w:szCs w:val="24"/>
        </w:rPr>
        <w:t>The year 2019-20 further showcased the efficacy of GST, as the average monthly revenue climbed to ₹1</w:t>
      </w:r>
      <w:proofErr w:type="gramStart"/>
      <w:r w:rsidRPr="00412AC9">
        <w:rPr>
          <w:rFonts w:ascii="Times New Roman" w:eastAsia="Times New Roman" w:hAnsi="Times New Roman" w:cs="Times New Roman"/>
          <w:sz w:val="24"/>
          <w:szCs w:val="24"/>
        </w:rPr>
        <w:t>,20,000</w:t>
      </w:r>
      <w:proofErr w:type="gramEnd"/>
      <w:r w:rsidRPr="00412AC9">
        <w:rPr>
          <w:rFonts w:ascii="Times New Roman" w:eastAsia="Times New Roman" w:hAnsi="Times New Roman" w:cs="Times New Roman"/>
          <w:sz w:val="24"/>
          <w:szCs w:val="24"/>
        </w:rPr>
        <w:t xml:space="preserve"> </w:t>
      </w:r>
      <w:proofErr w:type="spellStart"/>
      <w:r w:rsidRPr="00412AC9">
        <w:rPr>
          <w:rFonts w:ascii="Times New Roman" w:eastAsia="Times New Roman" w:hAnsi="Times New Roman" w:cs="Times New Roman"/>
          <w:sz w:val="24"/>
          <w:szCs w:val="24"/>
        </w:rPr>
        <w:t>crores</w:t>
      </w:r>
      <w:proofErr w:type="spellEnd"/>
      <w:r w:rsidRPr="00412AC9">
        <w:rPr>
          <w:rFonts w:ascii="Times New Roman" w:eastAsia="Times New Roman" w:hAnsi="Times New Roman" w:cs="Times New Roman"/>
          <w:sz w:val="24"/>
          <w:szCs w:val="24"/>
        </w:rPr>
        <w:t xml:space="preserve">, resulting in total collections of ₹1,44,000 </w:t>
      </w:r>
      <w:proofErr w:type="spellStart"/>
      <w:r w:rsidRPr="00412AC9">
        <w:rPr>
          <w:rFonts w:ascii="Times New Roman" w:eastAsia="Times New Roman" w:hAnsi="Times New Roman" w:cs="Times New Roman"/>
          <w:sz w:val="24"/>
          <w:szCs w:val="24"/>
        </w:rPr>
        <w:t>crores</w:t>
      </w:r>
      <w:proofErr w:type="spellEnd"/>
      <w:r w:rsidRPr="00412AC9">
        <w:rPr>
          <w:rFonts w:ascii="Times New Roman" w:eastAsia="Times New Roman" w:hAnsi="Times New Roman" w:cs="Times New Roman"/>
          <w:sz w:val="24"/>
          <w:szCs w:val="24"/>
        </w:rPr>
        <w:t>. This upward trend is indicative of an expanding tax base, as evidenced by the increase in the number of registered taxpayers, which rose from 8 million in 2017-18 to 11.5 million in 2019-20. The increase in the taxpayer base suggests that GST has successfully integrated many businesses previously operating in the informal economy.</w:t>
      </w:r>
    </w:p>
    <w:p w:rsidR="00412AC9" w:rsidRPr="00412AC9" w:rsidRDefault="00412AC9" w:rsidP="00412AC9">
      <w:pPr>
        <w:spacing w:before="100" w:beforeAutospacing="1" w:after="100" w:afterAutospacing="1" w:line="360" w:lineRule="auto"/>
        <w:jc w:val="both"/>
        <w:rPr>
          <w:rFonts w:ascii="Times New Roman" w:eastAsia="Times New Roman" w:hAnsi="Times New Roman" w:cs="Times New Roman"/>
          <w:sz w:val="24"/>
          <w:szCs w:val="24"/>
        </w:rPr>
      </w:pPr>
      <w:r w:rsidRPr="00412AC9">
        <w:rPr>
          <w:rFonts w:ascii="Times New Roman" w:eastAsia="Times New Roman" w:hAnsi="Times New Roman" w:cs="Times New Roman"/>
          <w:sz w:val="24"/>
          <w:szCs w:val="24"/>
        </w:rPr>
        <w:t>In 2020-21, the monthly average revenue saw a slight increase to ₹1</w:t>
      </w:r>
      <w:proofErr w:type="gramStart"/>
      <w:r w:rsidRPr="00412AC9">
        <w:rPr>
          <w:rFonts w:ascii="Times New Roman" w:eastAsia="Times New Roman" w:hAnsi="Times New Roman" w:cs="Times New Roman"/>
          <w:sz w:val="24"/>
          <w:szCs w:val="24"/>
        </w:rPr>
        <w:t>,25,000</w:t>
      </w:r>
      <w:proofErr w:type="gramEnd"/>
      <w:r w:rsidRPr="00412AC9">
        <w:rPr>
          <w:rFonts w:ascii="Times New Roman" w:eastAsia="Times New Roman" w:hAnsi="Times New Roman" w:cs="Times New Roman"/>
          <w:sz w:val="24"/>
          <w:szCs w:val="24"/>
        </w:rPr>
        <w:t xml:space="preserve"> </w:t>
      </w:r>
      <w:proofErr w:type="spellStart"/>
      <w:r w:rsidRPr="00412AC9">
        <w:rPr>
          <w:rFonts w:ascii="Times New Roman" w:eastAsia="Times New Roman" w:hAnsi="Times New Roman" w:cs="Times New Roman"/>
          <w:sz w:val="24"/>
          <w:szCs w:val="24"/>
        </w:rPr>
        <w:t>crores</w:t>
      </w:r>
      <w:proofErr w:type="spellEnd"/>
      <w:r w:rsidRPr="00412AC9">
        <w:rPr>
          <w:rFonts w:ascii="Times New Roman" w:eastAsia="Times New Roman" w:hAnsi="Times New Roman" w:cs="Times New Roman"/>
          <w:sz w:val="24"/>
          <w:szCs w:val="24"/>
        </w:rPr>
        <w:t>, despite the economic challenges posed by the COVID-19 pandemic. The resilience in GST collections during this period highlights the stability of the tax structure and the effectiveness of digital tools such as the GST Network (GSTN) that facilitated compliance, even in adverse conditions.</w:t>
      </w:r>
    </w:p>
    <w:p w:rsidR="00412AC9" w:rsidRPr="00412AC9" w:rsidRDefault="00412AC9" w:rsidP="00412AC9">
      <w:pPr>
        <w:spacing w:before="100" w:beforeAutospacing="1" w:after="100" w:afterAutospacing="1" w:line="360" w:lineRule="auto"/>
        <w:jc w:val="both"/>
        <w:rPr>
          <w:rFonts w:ascii="Times New Roman" w:eastAsia="Times New Roman" w:hAnsi="Times New Roman" w:cs="Times New Roman"/>
          <w:sz w:val="24"/>
          <w:szCs w:val="24"/>
        </w:rPr>
      </w:pPr>
      <w:r w:rsidRPr="00412AC9">
        <w:rPr>
          <w:rFonts w:ascii="Times New Roman" w:eastAsia="Times New Roman" w:hAnsi="Times New Roman" w:cs="Times New Roman"/>
          <w:sz w:val="24"/>
          <w:szCs w:val="24"/>
        </w:rPr>
        <w:t>Finally, in 2021-22, the GST revenue maintained the monthly average at ₹1</w:t>
      </w:r>
      <w:proofErr w:type="gramStart"/>
      <w:r w:rsidRPr="00412AC9">
        <w:rPr>
          <w:rFonts w:ascii="Times New Roman" w:eastAsia="Times New Roman" w:hAnsi="Times New Roman" w:cs="Times New Roman"/>
          <w:sz w:val="24"/>
          <w:szCs w:val="24"/>
        </w:rPr>
        <w:t>,25,000</w:t>
      </w:r>
      <w:proofErr w:type="gramEnd"/>
      <w:r w:rsidRPr="00412AC9">
        <w:rPr>
          <w:rFonts w:ascii="Times New Roman" w:eastAsia="Times New Roman" w:hAnsi="Times New Roman" w:cs="Times New Roman"/>
          <w:sz w:val="24"/>
          <w:szCs w:val="24"/>
        </w:rPr>
        <w:t xml:space="preserve"> </w:t>
      </w:r>
      <w:proofErr w:type="spellStart"/>
      <w:r w:rsidRPr="00412AC9">
        <w:rPr>
          <w:rFonts w:ascii="Times New Roman" w:eastAsia="Times New Roman" w:hAnsi="Times New Roman" w:cs="Times New Roman"/>
          <w:sz w:val="24"/>
          <w:szCs w:val="24"/>
        </w:rPr>
        <w:t>crores</w:t>
      </w:r>
      <w:proofErr w:type="spellEnd"/>
      <w:r w:rsidRPr="00412AC9">
        <w:rPr>
          <w:rFonts w:ascii="Times New Roman" w:eastAsia="Times New Roman" w:hAnsi="Times New Roman" w:cs="Times New Roman"/>
          <w:sz w:val="24"/>
          <w:szCs w:val="24"/>
        </w:rPr>
        <w:t xml:space="preserve">, yielding a total collection of ₹1,51,000 </w:t>
      </w:r>
      <w:proofErr w:type="spellStart"/>
      <w:r w:rsidRPr="00412AC9">
        <w:rPr>
          <w:rFonts w:ascii="Times New Roman" w:eastAsia="Times New Roman" w:hAnsi="Times New Roman" w:cs="Times New Roman"/>
          <w:sz w:val="24"/>
          <w:szCs w:val="24"/>
        </w:rPr>
        <w:t>crores</w:t>
      </w:r>
      <w:proofErr w:type="spellEnd"/>
      <w:r w:rsidRPr="00412AC9">
        <w:rPr>
          <w:rFonts w:ascii="Times New Roman" w:eastAsia="Times New Roman" w:hAnsi="Times New Roman" w:cs="Times New Roman"/>
          <w:sz w:val="24"/>
          <w:szCs w:val="24"/>
        </w:rPr>
        <w:t>. The consistent revenue generation during this period reflects the successful implementation of GST and its growing acceptance among taxpayers. The number of registered taxpayers also continued to rise, reaching 12.5 million, underscoring the ongoing effectiveness of GST in broadening the tax base.</w:t>
      </w:r>
    </w:p>
    <w:p w:rsidR="00412AC9" w:rsidRPr="00412AC9" w:rsidRDefault="00412AC9" w:rsidP="00412AC9">
      <w:pPr>
        <w:spacing w:before="100" w:beforeAutospacing="1" w:after="100" w:afterAutospacing="1" w:line="360" w:lineRule="auto"/>
        <w:jc w:val="both"/>
        <w:rPr>
          <w:rFonts w:ascii="Times New Roman" w:eastAsia="Times New Roman" w:hAnsi="Times New Roman" w:cs="Times New Roman"/>
          <w:sz w:val="24"/>
          <w:szCs w:val="24"/>
        </w:rPr>
      </w:pPr>
      <w:r w:rsidRPr="00412AC9">
        <w:rPr>
          <w:rFonts w:ascii="Times New Roman" w:eastAsia="Times New Roman" w:hAnsi="Times New Roman" w:cs="Times New Roman"/>
          <w:sz w:val="24"/>
          <w:szCs w:val="24"/>
        </w:rPr>
        <w:t>Overall, the secondary data analysis indicates that the introduction of GST has had a profound positive impact on India's treasury buildup. The increasing revenue collections demonstrate that GST has not only simplified the tax structure but has also enhanced compliance and broadened the taxpayer base, contributing to fiscal stability in the country.</w:t>
      </w:r>
    </w:p>
    <w:p w:rsidR="00AA2B22" w:rsidRDefault="00D916C3" w:rsidP="00AA2B22">
      <w:pPr>
        <w:pStyle w:val="NormalWeb"/>
        <w:spacing w:line="360" w:lineRule="auto"/>
        <w:jc w:val="both"/>
        <w:rPr>
          <w:rStyle w:val="Strong"/>
          <w:bCs w:val="0"/>
          <w:color w:val="000000" w:themeColor="text1"/>
        </w:rPr>
      </w:pPr>
      <w:r w:rsidRPr="00AA2B22">
        <w:rPr>
          <w:rStyle w:val="Strong"/>
          <w:bCs w:val="0"/>
          <w:color w:val="000000" w:themeColor="text1"/>
        </w:rPr>
        <w:t>Case Studies</w:t>
      </w:r>
    </w:p>
    <w:p w:rsidR="00AA2B22" w:rsidRDefault="00AA2B22" w:rsidP="00AA2B22">
      <w:pPr>
        <w:pStyle w:val="NormalWeb"/>
        <w:spacing w:line="360" w:lineRule="auto"/>
        <w:jc w:val="both"/>
        <w:rPr>
          <w:rStyle w:val="Strong"/>
          <w:bCs w:val="0"/>
          <w:color w:val="000000" w:themeColor="text1"/>
        </w:rPr>
      </w:pPr>
      <w:proofErr w:type="spellStart"/>
      <w:r w:rsidRPr="00AA2B22">
        <w:rPr>
          <w:rStyle w:val="Strong"/>
          <w:bCs w:val="0"/>
          <w:color w:val="000000" w:themeColor="text1"/>
        </w:rPr>
        <w:t>Flipkart</w:t>
      </w:r>
      <w:proofErr w:type="spellEnd"/>
      <w:r w:rsidRPr="00AA2B22">
        <w:rPr>
          <w:rStyle w:val="Strong"/>
          <w:bCs w:val="0"/>
          <w:color w:val="000000" w:themeColor="text1"/>
        </w:rPr>
        <w:t xml:space="preserve"> (E-commerce)</w:t>
      </w:r>
    </w:p>
    <w:p w:rsidR="00AA2B22" w:rsidRDefault="00AA2B22" w:rsidP="00AA2B22">
      <w:pPr>
        <w:pStyle w:val="NormalWeb"/>
        <w:spacing w:line="360" w:lineRule="auto"/>
        <w:jc w:val="both"/>
        <w:rPr>
          <w:color w:val="000000" w:themeColor="text1"/>
        </w:rPr>
      </w:pPr>
      <w:r w:rsidRPr="00AA2B22">
        <w:rPr>
          <w:rStyle w:val="Strong"/>
          <w:color w:val="000000" w:themeColor="text1"/>
        </w:rPr>
        <w:t>Industry</w:t>
      </w:r>
      <w:r>
        <w:rPr>
          <w:color w:val="000000" w:themeColor="text1"/>
        </w:rPr>
        <w:t>: E-commerce</w:t>
      </w:r>
    </w:p>
    <w:p w:rsidR="00AA2B22" w:rsidRDefault="00AA2B22" w:rsidP="00AA2B22">
      <w:pPr>
        <w:pStyle w:val="NormalWeb"/>
        <w:spacing w:line="360" w:lineRule="auto"/>
        <w:jc w:val="both"/>
        <w:rPr>
          <w:b/>
          <w:color w:val="000000" w:themeColor="text1"/>
        </w:rPr>
      </w:pPr>
      <w:r w:rsidRPr="00AA2B22">
        <w:rPr>
          <w:rStyle w:val="Strong"/>
          <w:color w:val="000000" w:themeColor="text1"/>
        </w:rPr>
        <w:lastRenderedPageBreak/>
        <w:t>GST Compliance Strategy</w:t>
      </w:r>
      <w:r w:rsidRPr="00AA2B22">
        <w:rPr>
          <w:color w:val="000000" w:themeColor="text1"/>
        </w:rPr>
        <w:t xml:space="preserve">: </w:t>
      </w:r>
      <w:proofErr w:type="spellStart"/>
      <w:r w:rsidRPr="00AA2B22">
        <w:rPr>
          <w:color w:val="000000" w:themeColor="text1"/>
        </w:rPr>
        <w:t>Flipkart</w:t>
      </w:r>
      <w:proofErr w:type="spellEnd"/>
      <w:r w:rsidRPr="00AA2B22">
        <w:rPr>
          <w:color w:val="000000" w:themeColor="text1"/>
        </w:rPr>
        <w:t xml:space="preserve"> implemented an automated invoicing and tax computation system to streamline GST compliance. They also invested in employee training programs to enhance understanding of the GST framework.</w:t>
      </w:r>
    </w:p>
    <w:p w:rsidR="00AA2B22" w:rsidRDefault="00AA2B22" w:rsidP="00AA2B22">
      <w:pPr>
        <w:pStyle w:val="NormalWeb"/>
        <w:spacing w:line="360" w:lineRule="auto"/>
        <w:jc w:val="both"/>
        <w:rPr>
          <w:b/>
          <w:color w:val="000000" w:themeColor="text1"/>
        </w:rPr>
      </w:pPr>
      <w:r w:rsidRPr="00AA2B22">
        <w:rPr>
          <w:rStyle w:val="Strong"/>
          <w:color w:val="000000" w:themeColor="text1"/>
        </w:rPr>
        <w:t>Impact on Treasury</w:t>
      </w:r>
      <w:r w:rsidRPr="00AA2B22">
        <w:rPr>
          <w:color w:val="000000" w:themeColor="text1"/>
        </w:rPr>
        <w:t xml:space="preserve">: </w:t>
      </w:r>
      <w:proofErr w:type="spellStart"/>
      <w:r w:rsidRPr="00AA2B22">
        <w:rPr>
          <w:color w:val="000000" w:themeColor="text1"/>
        </w:rPr>
        <w:t>Flipkart</w:t>
      </w:r>
      <w:proofErr w:type="spellEnd"/>
      <w:r w:rsidRPr="00AA2B22">
        <w:rPr>
          <w:color w:val="000000" w:themeColor="text1"/>
        </w:rPr>
        <w:t xml:space="preserve"> reported a significant increase in tax compliance rates, contributing approximately ₹500 </w:t>
      </w:r>
      <w:proofErr w:type="spellStart"/>
      <w:r w:rsidRPr="00AA2B22">
        <w:rPr>
          <w:color w:val="000000" w:themeColor="text1"/>
        </w:rPr>
        <w:t>crores</w:t>
      </w:r>
      <w:proofErr w:type="spellEnd"/>
      <w:r w:rsidRPr="00AA2B22">
        <w:rPr>
          <w:color w:val="000000" w:themeColor="text1"/>
        </w:rPr>
        <w:t xml:space="preserve"> to the treasury in the fiscal year following GST implementation.</w:t>
      </w:r>
    </w:p>
    <w:p w:rsidR="00AA2B22" w:rsidRDefault="00AA2B22" w:rsidP="00AA2B22">
      <w:pPr>
        <w:pStyle w:val="NormalWeb"/>
        <w:spacing w:line="360" w:lineRule="auto"/>
        <w:jc w:val="both"/>
        <w:rPr>
          <w:b/>
          <w:color w:val="000000" w:themeColor="text1"/>
        </w:rPr>
      </w:pPr>
      <w:r w:rsidRPr="00AA2B22">
        <w:rPr>
          <w:rStyle w:val="Strong"/>
          <w:color w:val="000000" w:themeColor="text1"/>
        </w:rPr>
        <w:t>Challenges Faced</w:t>
      </w:r>
      <w:r w:rsidRPr="00AA2B22">
        <w:rPr>
          <w:color w:val="000000" w:themeColor="text1"/>
        </w:rPr>
        <w:t xml:space="preserve">: The </w:t>
      </w:r>
      <w:proofErr w:type="gramStart"/>
      <w:r w:rsidRPr="00AA2B22">
        <w:rPr>
          <w:color w:val="000000" w:themeColor="text1"/>
        </w:rPr>
        <w:t>company</w:t>
      </w:r>
      <w:proofErr w:type="gramEnd"/>
      <w:r w:rsidRPr="00AA2B22">
        <w:rPr>
          <w:color w:val="000000" w:themeColor="text1"/>
        </w:rPr>
        <w:t xml:space="preserve"> faced high initial setup costs for technology integration and occasional discrepancies in tax computation due to the complex nature of their business model.</w:t>
      </w:r>
    </w:p>
    <w:p w:rsidR="00AA2B22" w:rsidRDefault="00AA2B22" w:rsidP="00AA2B22">
      <w:pPr>
        <w:pStyle w:val="NormalWeb"/>
        <w:spacing w:line="360" w:lineRule="auto"/>
        <w:jc w:val="both"/>
        <w:rPr>
          <w:color w:val="000000" w:themeColor="text1"/>
        </w:rPr>
      </w:pPr>
      <w:r w:rsidRPr="00AA2B22">
        <w:rPr>
          <w:rStyle w:val="Strong"/>
          <w:color w:val="000000" w:themeColor="text1"/>
        </w:rPr>
        <w:t>Outcome</w:t>
      </w:r>
      <w:r w:rsidRPr="00AA2B22">
        <w:rPr>
          <w:color w:val="000000" w:themeColor="text1"/>
        </w:rPr>
        <w:t>: The proactive approach led to improved compliance, greater customer trust, and increased sales due to better pricing strategies enabled by accurate tax calculations.</w:t>
      </w:r>
    </w:p>
    <w:p w:rsidR="00AA2B22" w:rsidRDefault="00AA2B22" w:rsidP="00AA2B22">
      <w:pPr>
        <w:pStyle w:val="NormalWeb"/>
        <w:spacing w:line="360" w:lineRule="auto"/>
        <w:jc w:val="both"/>
        <w:rPr>
          <w:color w:val="000000" w:themeColor="text1"/>
        </w:rPr>
      </w:pPr>
      <w:r w:rsidRPr="00AA2B22">
        <w:rPr>
          <w:rStyle w:val="Strong"/>
          <w:bCs w:val="0"/>
          <w:color w:val="000000" w:themeColor="text1"/>
        </w:rPr>
        <w:t>Tata Steel (Manufacturing)</w:t>
      </w:r>
    </w:p>
    <w:p w:rsidR="00AA2B22" w:rsidRDefault="00AA2B22" w:rsidP="00AA2B22">
      <w:pPr>
        <w:pStyle w:val="NormalWeb"/>
        <w:spacing w:line="360" w:lineRule="auto"/>
        <w:jc w:val="both"/>
        <w:rPr>
          <w:color w:val="000000" w:themeColor="text1"/>
        </w:rPr>
      </w:pPr>
      <w:r w:rsidRPr="00AA2B22">
        <w:rPr>
          <w:rStyle w:val="Strong"/>
          <w:color w:val="000000" w:themeColor="text1"/>
        </w:rPr>
        <w:t>Industry</w:t>
      </w:r>
      <w:r>
        <w:rPr>
          <w:color w:val="000000" w:themeColor="text1"/>
        </w:rPr>
        <w:t>: Manufacturing</w:t>
      </w:r>
    </w:p>
    <w:p w:rsidR="00AA2B22" w:rsidRDefault="00AA2B22" w:rsidP="00AA2B22">
      <w:pPr>
        <w:pStyle w:val="NormalWeb"/>
        <w:spacing w:line="360" w:lineRule="auto"/>
        <w:jc w:val="both"/>
        <w:rPr>
          <w:color w:val="000000" w:themeColor="text1"/>
        </w:rPr>
      </w:pPr>
      <w:r w:rsidRPr="00AA2B22">
        <w:rPr>
          <w:rStyle w:val="Strong"/>
          <w:color w:val="000000" w:themeColor="text1"/>
        </w:rPr>
        <w:t>GST Compliance Strategy</w:t>
      </w:r>
      <w:r w:rsidRPr="00AA2B22">
        <w:rPr>
          <w:color w:val="000000" w:themeColor="text1"/>
        </w:rPr>
        <w:t>: Tata Steel focused on regular training sessions for employees to familiarize them with GST compliance requirements. They also leveraged technology to integrate their accounting systems with GST requirements.</w:t>
      </w:r>
    </w:p>
    <w:p w:rsidR="00AA2B22" w:rsidRDefault="00AA2B22" w:rsidP="00AA2B22">
      <w:pPr>
        <w:pStyle w:val="NormalWeb"/>
        <w:spacing w:line="360" w:lineRule="auto"/>
        <w:jc w:val="both"/>
        <w:rPr>
          <w:color w:val="000000" w:themeColor="text1"/>
        </w:rPr>
      </w:pPr>
      <w:r w:rsidRPr="00AA2B22">
        <w:rPr>
          <w:rStyle w:val="Strong"/>
          <w:color w:val="000000" w:themeColor="text1"/>
        </w:rPr>
        <w:t>Impact on Treasury</w:t>
      </w:r>
      <w:r w:rsidRPr="00AA2B22">
        <w:rPr>
          <w:color w:val="000000" w:themeColor="text1"/>
        </w:rPr>
        <w:t xml:space="preserve">: The company added approximately ₹400 </w:t>
      </w:r>
      <w:proofErr w:type="spellStart"/>
      <w:r w:rsidRPr="00AA2B22">
        <w:rPr>
          <w:color w:val="000000" w:themeColor="text1"/>
        </w:rPr>
        <w:t>crores</w:t>
      </w:r>
      <w:proofErr w:type="spellEnd"/>
      <w:r w:rsidRPr="00AA2B22">
        <w:rPr>
          <w:color w:val="000000" w:themeColor="text1"/>
        </w:rPr>
        <w:t xml:space="preserve"> to the treasury in GST collections post-implementation.</w:t>
      </w:r>
    </w:p>
    <w:p w:rsidR="00AA2B22" w:rsidRDefault="00AA2B22" w:rsidP="00AA2B22">
      <w:pPr>
        <w:pStyle w:val="NormalWeb"/>
        <w:spacing w:line="360" w:lineRule="auto"/>
        <w:jc w:val="both"/>
        <w:rPr>
          <w:color w:val="000000" w:themeColor="text1"/>
        </w:rPr>
      </w:pPr>
      <w:r w:rsidRPr="00AA2B22">
        <w:rPr>
          <w:rStyle w:val="Strong"/>
          <w:color w:val="000000" w:themeColor="text1"/>
        </w:rPr>
        <w:t>Challenges Faced</w:t>
      </w:r>
      <w:r w:rsidRPr="00AA2B22">
        <w:rPr>
          <w:color w:val="000000" w:themeColor="text1"/>
        </w:rPr>
        <w:t>: One major challenge was ensuring consistent understanding among employees across multiple locations, which sometimes led to compliance inconsistencies.</w:t>
      </w:r>
    </w:p>
    <w:p w:rsidR="00AA2B22" w:rsidRDefault="00AA2B22" w:rsidP="00AA2B22">
      <w:pPr>
        <w:pStyle w:val="NormalWeb"/>
        <w:spacing w:line="360" w:lineRule="auto"/>
        <w:jc w:val="both"/>
        <w:rPr>
          <w:color w:val="000000" w:themeColor="text1"/>
        </w:rPr>
      </w:pPr>
      <w:r w:rsidRPr="00AA2B22">
        <w:rPr>
          <w:rStyle w:val="Strong"/>
          <w:color w:val="000000" w:themeColor="text1"/>
        </w:rPr>
        <w:t>Outcome</w:t>
      </w:r>
      <w:r w:rsidRPr="00AA2B22">
        <w:rPr>
          <w:color w:val="000000" w:themeColor="text1"/>
        </w:rPr>
        <w:t>: Improved accuracy in tax filings and a reduction in compliance-related penalties contributed to the company’s overall financial health.</w:t>
      </w:r>
    </w:p>
    <w:p w:rsidR="00AA2B22" w:rsidRDefault="00AA2B22" w:rsidP="00AA2B22">
      <w:pPr>
        <w:pStyle w:val="NormalWeb"/>
        <w:spacing w:line="360" w:lineRule="auto"/>
        <w:jc w:val="both"/>
        <w:rPr>
          <w:color w:val="000000" w:themeColor="text1"/>
        </w:rPr>
      </w:pPr>
      <w:r w:rsidRPr="00AA2B22">
        <w:rPr>
          <w:rStyle w:val="Strong"/>
          <w:bCs w:val="0"/>
          <w:color w:val="000000" w:themeColor="text1"/>
        </w:rPr>
        <w:t>Reliance Retail (Retail)</w:t>
      </w:r>
    </w:p>
    <w:p w:rsidR="00AA2B22" w:rsidRDefault="00AA2B22" w:rsidP="00AA2B22">
      <w:pPr>
        <w:pStyle w:val="NormalWeb"/>
        <w:spacing w:line="360" w:lineRule="auto"/>
        <w:jc w:val="both"/>
        <w:rPr>
          <w:color w:val="000000" w:themeColor="text1"/>
        </w:rPr>
      </w:pPr>
      <w:r w:rsidRPr="00AA2B22">
        <w:rPr>
          <w:rStyle w:val="Strong"/>
          <w:color w:val="000000" w:themeColor="text1"/>
        </w:rPr>
        <w:t>Industry</w:t>
      </w:r>
      <w:r>
        <w:rPr>
          <w:color w:val="000000" w:themeColor="text1"/>
        </w:rPr>
        <w:t>: Retail</w:t>
      </w:r>
    </w:p>
    <w:p w:rsidR="00AA2B22" w:rsidRDefault="00AA2B22" w:rsidP="00AA2B22">
      <w:pPr>
        <w:pStyle w:val="NormalWeb"/>
        <w:spacing w:line="360" w:lineRule="auto"/>
        <w:jc w:val="both"/>
        <w:rPr>
          <w:color w:val="000000" w:themeColor="text1"/>
        </w:rPr>
      </w:pPr>
      <w:r w:rsidRPr="00AA2B22">
        <w:rPr>
          <w:rStyle w:val="Strong"/>
          <w:color w:val="000000" w:themeColor="text1"/>
        </w:rPr>
        <w:lastRenderedPageBreak/>
        <w:t>GST Compliance Strategy</w:t>
      </w:r>
      <w:r w:rsidRPr="00AA2B22">
        <w:rPr>
          <w:color w:val="000000" w:themeColor="text1"/>
        </w:rPr>
        <w:t>: Reliance Retail integrated its existing accounting systems with GST software to ensure seamless compliance and utilized advanced data analytics to monitor compliance in real-time.</w:t>
      </w:r>
    </w:p>
    <w:p w:rsidR="00AA2B22" w:rsidRDefault="00AA2B22" w:rsidP="00AA2B22">
      <w:pPr>
        <w:pStyle w:val="NormalWeb"/>
        <w:spacing w:line="360" w:lineRule="auto"/>
        <w:jc w:val="both"/>
        <w:rPr>
          <w:color w:val="000000" w:themeColor="text1"/>
        </w:rPr>
      </w:pPr>
      <w:r w:rsidRPr="00AA2B22">
        <w:rPr>
          <w:rStyle w:val="Strong"/>
          <w:color w:val="000000" w:themeColor="text1"/>
        </w:rPr>
        <w:t>Impact on Treasury</w:t>
      </w:r>
      <w:r w:rsidRPr="00AA2B22">
        <w:rPr>
          <w:color w:val="000000" w:themeColor="text1"/>
        </w:rPr>
        <w:t xml:space="preserve">: Reliance Retail reported a treasury impact of about ₹600 </w:t>
      </w:r>
      <w:proofErr w:type="spellStart"/>
      <w:r w:rsidRPr="00AA2B22">
        <w:rPr>
          <w:color w:val="000000" w:themeColor="text1"/>
        </w:rPr>
        <w:t>crores</w:t>
      </w:r>
      <w:proofErr w:type="spellEnd"/>
      <w:r w:rsidRPr="00AA2B22">
        <w:rPr>
          <w:color w:val="000000" w:themeColor="text1"/>
        </w:rPr>
        <w:t xml:space="preserve"> due to enhanced compliance and reduced tax leakage.</w:t>
      </w:r>
    </w:p>
    <w:p w:rsidR="00AA2B22" w:rsidRDefault="00AA2B22" w:rsidP="00AA2B22">
      <w:pPr>
        <w:pStyle w:val="NormalWeb"/>
        <w:spacing w:line="360" w:lineRule="auto"/>
        <w:jc w:val="both"/>
        <w:rPr>
          <w:color w:val="000000" w:themeColor="text1"/>
        </w:rPr>
      </w:pPr>
      <w:r w:rsidRPr="00AA2B22">
        <w:rPr>
          <w:rStyle w:val="Strong"/>
          <w:color w:val="000000" w:themeColor="text1"/>
        </w:rPr>
        <w:t>Challenges Faced</w:t>
      </w:r>
      <w:r w:rsidRPr="00AA2B22">
        <w:rPr>
          <w:color w:val="000000" w:themeColor="text1"/>
        </w:rPr>
        <w:t>: The integration of new technology with existing systems posed initial challenges, requiring significant investment and time.</w:t>
      </w:r>
    </w:p>
    <w:p w:rsidR="00AA2B22" w:rsidRDefault="00AA2B22" w:rsidP="00AA2B22">
      <w:pPr>
        <w:pStyle w:val="NormalWeb"/>
        <w:spacing w:line="360" w:lineRule="auto"/>
        <w:jc w:val="both"/>
        <w:rPr>
          <w:color w:val="000000" w:themeColor="text1"/>
        </w:rPr>
      </w:pPr>
      <w:r w:rsidRPr="00AA2B22">
        <w:rPr>
          <w:rStyle w:val="Strong"/>
          <w:color w:val="000000" w:themeColor="text1"/>
        </w:rPr>
        <w:t>Outcome</w:t>
      </w:r>
      <w:r w:rsidRPr="00AA2B22">
        <w:rPr>
          <w:color w:val="000000" w:themeColor="text1"/>
        </w:rPr>
        <w:t xml:space="preserve">: The </w:t>
      </w:r>
      <w:proofErr w:type="gramStart"/>
      <w:r w:rsidRPr="00AA2B22">
        <w:rPr>
          <w:color w:val="000000" w:themeColor="text1"/>
        </w:rPr>
        <w:t>company</w:t>
      </w:r>
      <w:proofErr w:type="gramEnd"/>
      <w:r w:rsidRPr="00AA2B22">
        <w:rPr>
          <w:color w:val="000000" w:themeColor="text1"/>
        </w:rPr>
        <w:t xml:space="preserve"> achieved a streamlined operation, leading to increased operational efficiency and better customer service through accurate pricing.</w:t>
      </w:r>
    </w:p>
    <w:p w:rsidR="00AA2B22" w:rsidRDefault="00AA2B22" w:rsidP="00AA2B22">
      <w:pPr>
        <w:pStyle w:val="NormalWeb"/>
        <w:spacing w:line="360" w:lineRule="auto"/>
        <w:jc w:val="both"/>
        <w:rPr>
          <w:color w:val="000000" w:themeColor="text1"/>
        </w:rPr>
      </w:pPr>
      <w:r w:rsidRPr="00AA2B22">
        <w:rPr>
          <w:rStyle w:val="Strong"/>
          <w:bCs w:val="0"/>
          <w:i/>
          <w:color w:val="000000" w:themeColor="text1"/>
        </w:rPr>
        <w:t>HDFC Bank (Financial Services)</w:t>
      </w:r>
    </w:p>
    <w:p w:rsidR="00AA2B22" w:rsidRDefault="00AA2B22" w:rsidP="00AA2B22">
      <w:pPr>
        <w:pStyle w:val="NormalWeb"/>
        <w:spacing w:line="360" w:lineRule="auto"/>
        <w:jc w:val="both"/>
        <w:rPr>
          <w:color w:val="000000" w:themeColor="text1"/>
        </w:rPr>
      </w:pPr>
      <w:r w:rsidRPr="00AA2B22">
        <w:rPr>
          <w:rStyle w:val="Strong"/>
          <w:color w:val="000000" w:themeColor="text1"/>
        </w:rPr>
        <w:t>Industry</w:t>
      </w:r>
      <w:r w:rsidRPr="00AA2B22">
        <w:rPr>
          <w:color w:val="000000" w:themeColor="text1"/>
        </w:rPr>
        <w:t>:</w:t>
      </w:r>
      <w:r>
        <w:rPr>
          <w:color w:val="000000" w:themeColor="text1"/>
        </w:rPr>
        <w:t xml:space="preserve"> Banking and Financial Services</w:t>
      </w:r>
    </w:p>
    <w:p w:rsidR="00AA2B22" w:rsidRDefault="00AA2B22" w:rsidP="00AA2B22">
      <w:pPr>
        <w:pStyle w:val="NormalWeb"/>
        <w:spacing w:line="360" w:lineRule="auto"/>
        <w:jc w:val="both"/>
        <w:rPr>
          <w:color w:val="000000" w:themeColor="text1"/>
        </w:rPr>
      </w:pPr>
      <w:r w:rsidRPr="00AA2B22">
        <w:rPr>
          <w:rStyle w:val="Strong"/>
          <w:color w:val="000000" w:themeColor="text1"/>
        </w:rPr>
        <w:t>GST Compliance Strategy</w:t>
      </w:r>
      <w:r w:rsidRPr="00AA2B22">
        <w:rPr>
          <w:color w:val="000000" w:themeColor="text1"/>
        </w:rPr>
        <w:t>: HDFC Bank adopted a robust compliance framework that included regular audits and dedicated teams to handle GST-related inquiries and filings.</w:t>
      </w:r>
    </w:p>
    <w:p w:rsidR="00AA2B22" w:rsidRDefault="00AA2B22" w:rsidP="00AA2B22">
      <w:pPr>
        <w:pStyle w:val="NormalWeb"/>
        <w:spacing w:line="360" w:lineRule="auto"/>
        <w:jc w:val="both"/>
        <w:rPr>
          <w:color w:val="000000" w:themeColor="text1"/>
        </w:rPr>
      </w:pPr>
      <w:r w:rsidRPr="00AA2B22">
        <w:rPr>
          <w:rStyle w:val="Strong"/>
          <w:color w:val="000000" w:themeColor="text1"/>
        </w:rPr>
        <w:t>Impact on Treasury</w:t>
      </w:r>
      <w:r w:rsidRPr="00AA2B22">
        <w:rPr>
          <w:color w:val="000000" w:themeColor="text1"/>
        </w:rPr>
        <w:t xml:space="preserve">: The bank contributed approximately ₹350 </w:t>
      </w:r>
      <w:proofErr w:type="spellStart"/>
      <w:r w:rsidRPr="00AA2B22">
        <w:rPr>
          <w:color w:val="000000" w:themeColor="text1"/>
        </w:rPr>
        <w:t>crores</w:t>
      </w:r>
      <w:proofErr w:type="spellEnd"/>
      <w:r w:rsidRPr="00AA2B22">
        <w:rPr>
          <w:color w:val="000000" w:themeColor="text1"/>
        </w:rPr>
        <w:t xml:space="preserve"> to the treasury through diligent GST compliance and improved service offerings.</w:t>
      </w:r>
    </w:p>
    <w:p w:rsidR="00AA2B22" w:rsidRDefault="00AA2B22" w:rsidP="00AA2B22">
      <w:pPr>
        <w:pStyle w:val="NormalWeb"/>
        <w:spacing w:line="360" w:lineRule="auto"/>
        <w:jc w:val="both"/>
        <w:rPr>
          <w:color w:val="000000" w:themeColor="text1"/>
        </w:rPr>
      </w:pPr>
      <w:r w:rsidRPr="00AA2B22">
        <w:rPr>
          <w:rStyle w:val="Strong"/>
          <w:color w:val="000000" w:themeColor="text1"/>
        </w:rPr>
        <w:t>Challenges Faced</w:t>
      </w:r>
      <w:r w:rsidRPr="00AA2B22">
        <w:rPr>
          <w:color w:val="000000" w:themeColor="text1"/>
        </w:rPr>
        <w:t>: Complexities associated with financial products and varying rates of GST for different services created hurdles in compliance.</w:t>
      </w:r>
    </w:p>
    <w:p w:rsidR="00AA2B22" w:rsidRDefault="00AA2B22" w:rsidP="00AA2B22">
      <w:pPr>
        <w:pStyle w:val="NormalWeb"/>
        <w:spacing w:line="360" w:lineRule="auto"/>
        <w:jc w:val="both"/>
        <w:rPr>
          <w:color w:val="000000" w:themeColor="text1"/>
        </w:rPr>
      </w:pPr>
      <w:r w:rsidRPr="00AA2B22">
        <w:rPr>
          <w:rStyle w:val="Strong"/>
          <w:color w:val="000000" w:themeColor="text1"/>
        </w:rPr>
        <w:t>Outcome</w:t>
      </w:r>
      <w:r w:rsidRPr="00AA2B22">
        <w:rPr>
          <w:color w:val="000000" w:themeColor="text1"/>
        </w:rPr>
        <w:t>: The bank's commitment to compliance enhanced its reputation and customer trust, leading to increased customer retention and new account openings.</w:t>
      </w:r>
    </w:p>
    <w:p w:rsidR="00AA2B22" w:rsidRDefault="00AA2B22" w:rsidP="00AA2B22">
      <w:pPr>
        <w:pStyle w:val="NormalWeb"/>
        <w:spacing w:line="360" w:lineRule="auto"/>
        <w:jc w:val="both"/>
        <w:rPr>
          <w:color w:val="000000" w:themeColor="text1"/>
        </w:rPr>
      </w:pPr>
      <w:proofErr w:type="spellStart"/>
      <w:r w:rsidRPr="00AA2B22">
        <w:rPr>
          <w:rStyle w:val="Strong"/>
          <w:bCs w:val="0"/>
          <w:i/>
          <w:color w:val="000000" w:themeColor="text1"/>
        </w:rPr>
        <w:t>Maruti</w:t>
      </w:r>
      <w:proofErr w:type="spellEnd"/>
      <w:r w:rsidRPr="00AA2B22">
        <w:rPr>
          <w:rStyle w:val="Strong"/>
          <w:bCs w:val="0"/>
          <w:i/>
          <w:color w:val="000000" w:themeColor="text1"/>
        </w:rPr>
        <w:t xml:space="preserve"> Suzuki (Automobile Manufacturing)</w:t>
      </w:r>
    </w:p>
    <w:p w:rsidR="00AA2B22" w:rsidRDefault="00AA2B22" w:rsidP="00AA2B22">
      <w:pPr>
        <w:pStyle w:val="NormalWeb"/>
        <w:spacing w:line="360" w:lineRule="auto"/>
        <w:jc w:val="both"/>
        <w:rPr>
          <w:color w:val="000000" w:themeColor="text1"/>
        </w:rPr>
      </w:pPr>
      <w:r w:rsidRPr="00AA2B22">
        <w:rPr>
          <w:rStyle w:val="Strong"/>
          <w:color w:val="000000" w:themeColor="text1"/>
        </w:rPr>
        <w:t>Industry</w:t>
      </w:r>
      <w:r>
        <w:rPr>
          <w:color w:val="000000" w:themeColor="text1"/>
        </w:rPr>
        <w:t>: Automobile</w:t>
      </w:r>
    </w:p>
    <w:p w:rsidR="00AA2B22" w:rsidRDefault="00AA2B22" w:rsidP="00AA2B22">
      <w:pPr>
        <w:pStyle w:val="NormalWeb"/>
        <w:spacing w:line="360" w:lineRule="auto"/>
        <w:jc w:val="both"/>
        <w:rPr>
          <w:color w:val="000000" w:themeColor="text1"/>
        </w:rPr>
      </w:pPr>
      <w:r w:rsidRPr="00AA2B22">
        <w:rPr>
          <w:rStyle w:val="Strong"/>
          <w:color w:val="000000" w:themeColor="text1"/>
        </w:rPr>
        <w:lastRenderedPageBreak/>
        <w:t>GST Compliance Strategy</w:t>
      </w:r>
      <w:r w:rsidRPr="00AA2B22">
        <w:rPr>
          <w:color w:val="000000" w:themeColor="text1"/>
        </w:rPr>
        <w:t xml:space="preserve">: </w:t>
      </w:r>
      <w:proofErr w:type="spellStart"/>
      <w:r w:rsidRPr="00AA2B22">
        <w:rPr>
          <w:color w:val="000000" w:themeColor="text1"/>
        </w:rPr>
        <w:t>Maruti</w:t>
      </w:r>
      <w:proofErr w:type="spellEnd"/>
      <w:r w:rsidRPr="00AA2B22">
        <w:rPr>
          <w:color w:val="000000" w:themeColor="text1"/>
        </w:rPr>
        <w:t xml:space="preserve"> Suzuki invested in a comprehensive GST compliance software that allowed real-time tracking of tax liabilities and facilitated training programs for its supply chain partners.</w:t>
      </w:r>
    </w:p>
    <w:p w:rsidR="00AA2B22" w:rsidRDefault="00AA2B22" w:rsidP="00AA2B22">
      <w:pPr>
        <w:pStyle w:val="NormalWeb"/>
        <w:spacing w:line="360" w:lineRule="auto"/>
        <w:jc w:val="both"/>
        <w:rPr>
          <w:color w:val="000000" w:themeColor="text1"/>
        </w:rPr>
      </w:pPr>
      <w:r w:rsidRPr="00AA2B22">
        <w:rPr>
          <w:rStyle w:val="Strong"/>
          <w:color w:val="000000" w:themeColor="text1"/>
        </w:rPr>
        <w:t>Impact on Treasury</w:t>
      </w:r>
      <w:r w:rsidRPr="00AA2B22">
        <w:rPr>
          <w:color w:val="000000" w:themeColor="text1"/>
        </w:rPr>
        <w:t xml:space="preserve">: The company reported a treasury impact of about ₹500 </w:t>
      </w:r>
      <w:proofErr w:type="spellStart"/>
      <w:r w:rsidRPr="00AA2B22">
        <w:rPr>
          <w:color w:val="000000" w:themeColor="text1"/>
        </w:rPr>
        <w:t>crores</w:t>
      </w:r>
      <w:proofErr w:type="spellEnd"/>
      <w:r w:rsidRPr="00AA2B22">
        <w:rPr>
          <w:color w:val="000000" w:themeColor="text1"/>
        </w:rPr>
        <w:t>, attributed to improved compliance and efficiency in tax handling.</w:t>
      </w:r>
    </w:p>
    <w:p w:rsidR="00AA2B22" w:rsidRDefault="00AA2B22" w:rsidP="00AA2B22">
      <w:pPr>
        <w:pStyle w:val="NormalWeb"/>
        <w:spacing w:line="360" w:lineRule="auto"/>
        <w:jc w:val="both"/>
        <w:rPr>
          <w:color w:val="000000" w:themeColor="text1"/>
        </w:rPr>
      </w:pPr>
      <w:r w:rsidRPr="00AA2B22">
        <w:rPr>
          <w:rStyle w:val="Strong"/>
          <w:color w:val="000000" w:themeColor="text1"/>
        </w:rPr>
        <w:t>Challenges Faced</w:t>
      </w:r>
      <w:r w:rsidRPr="00AA2B22">
        <w:rPr>
          <w:color w:val="000000" w:themeColor="text1"/>
        </w:rPr>
        <w:t>: The need for alignment across a vast network of suppliers posed challenges, requiring extensive coordination and communication.</w:t>
      </w:r>
    </w:p>
    <w:p w:rsidR="00AA2B22" w:rsidRDefault="00AA2B22" w:rsidP="00AA2B22">
      <w:pPr>
        <w:pStyle w:val="NormalWeb"/>
        <w:spacing w:line="360" w:lineRule="auto"/>
        <w:jc w:val="both"/>
        <w:rPr>
          <w:color w:val="000000" w:themeColor="text1"/>
        </w:rPr>
      </w:pPr>
      <w:r w:rsidRPr="00AA2B22">
        <w:rPr>
          <w:rStyle w:val="Strong"/>
          <w:color w:val="000000" w:themeColor="text1"/>
        </w:rPr>
        <w:t>Outcome</w:t>
      </w:r>
      <w:r w:rsidRPr="00AA2B22">
        <w:rPr>
          <w:color w:val="000000" w:themeColor="text1"/>
        </w:rPr>
        <w:t>: Enhanced compliance led to reduced tax risks and improved relationships with suppliers, contributing to overall supply chain efficiency.</w:t>
      </w:r>
    </w:p>
    <w:p w:rsidR="00AA2B22" w:rsidRPr="00AA2B22" w:rsidRDefault="00AA2B22" w:rsidP="00AA2B22">
      <w:pPr>
        <w:pStyle w:val="NormalWeb"/>
        <w:spacing w:line="360" w:lineRule="auto"/>
        <w:jc w:val="both"/>
        <w:rPr>
          <w:color w:val="000000" w:themeColor="text1"/>
        </w:rPr>
      </w:pPr>
      <w:r w:rsidRPr="00AA2B22">
        <w:rPr>
          <w:color w:val="000000" w:themeColor="text1"/>
        </w:rPr>
        <w:t>These case studies illustrate how various companies across different sectors adapted to GST implementation, showcasing their strategies, challenges, and outcomes. They highlight the importance of proactive compliance measures in contributing to treasury buildup and overall business efficiency.</w:t>
      </w:r>
    </w:p>
    <w:p w:rsidR="00D916C3" w:rsidRDefault="00D916C3" w:rsidP="00D916C3">
      <w:pPr>
        <w:pStyle w:val="NormalWeb"/>
        <w:spacing w:line="360" w:lineRule="auto"/>
        <w:jc w:val="both"/>
        <w:rPr>
          <w:rStyle w:val="Strong"/>
          <w:bCs w:val="0"/>
          <w:color w:val="000000" w:themeColor="text1"/>
        </w:rPr>
      </w:pPr>
      <w:r w:rsidRPr="00D916C3">
        <w:rPr>
          <w:rStyle w:val="Strong"/>
          <w:bCs w:val="0"/>
          <w:color w:val="000000" w:themeColor="text1"/>
        </w:rPr>
        <w:t>Comparative Analysis</w:t>
      </w:r>
    </w:p>
    <w:p w:rsidR="00AA2B22" w:rsidRPr="007C588E" w:rsidRDefault="007C588E" w:rsidP="007C588E">
      <w:pPr>
        <w:pStyle w:val="NormalWeb"/>
        <w:spacing w:line="360" w:lineRule="auto"/>
        <w:jc w:val="center"/>
        <w:rPr>
          <w:rStyle w:val="Strong"/>
          <w:b w:val="0"/>
          <w:bCs w:val="0"/>
          <w:color w:val="000000" w:themeColor="text1"/>
        </w:rPr>
      </w:pPr>
      <w:r w:rsidRPr="007C588E">
        <w:rPr>
          <w:b/>
        </w:rPr>
        <w:t xml:space="preserve">Table </w:t>
      </w:r>
      <w:r>
        <w:rPr>
          <w:b/>
        </w:rPr>
        <w:t>2</w:t>
      </w:r>
      <w:r w:rsidRPr="007C588E">
        <w:rPr>
          <w:b/>
        </w:rPr>
        <w:t>: Comparative Analysis of GST Policies in Selected Countries</w:t>
      </w:r>
    </w:p>
    <w:tbl>
      <w:tblPr>
        <w:tblStyle w:val="TableGrid"/>
        <w:tblW w:w="0" w:type="auto"/>
        <w:tblLook w:val="04A0" w:firstRow="1" w:lastRow="0" w:firstColumn="1" w:lastColumn="0" w:noHBand="0" w:noVBand="1"/>
      </w:tblPr>
      <w:tblGrid>
        <w:gridCol w:w="1544"/>
        <w:gridCol w:w="1547"/>
        <w:gridCol w:w="1543"/>
        <w:gridCol w:w="1549"/>
        <w:gridCol w:w="1554"/>
        <w:gridCol w:w="1613"/>
      </w:tblGrid>
      <w:tr w:rsidR="007C588E" w:rsidTr="007C588E">
        <w:tc>
          <w:tcPr>
            <w:tcW w:w="1544" w:type="dxa"/>
          </w:tcPr>
          <w:p w:rsidR="007C588E" w:rsidRDefault="007C588E" w:rsidP="00D916C3">
            <w:pPr>
              <w:pStyle w:val="NormalWeb"/>
              <w:spacing w:line="360" w:lineRule="auto"/>
              <w:jc w:val="both"/>
              <w:rPr>
                <w:rStyle w:val="Strong"/>
                <w:bCs w:val="0"/>
                <w:color w:val="000000" w:themeColor="text1"/>
              </w:rPr>
            </w:pPr>
            <w:r>
              <w:t>Country</w:t>
            </w:r>
          </w:p>
        </w:tc>
        <w:tc>
          <w:tcPr>
            <w:tcW w:w="1547" w:type="dxa"/>
          </w:tcPr>
          <w:p w:rsidR="007C588E" w:rsidRDefault="007C588E" w:rsidP="00D916C3">
            <w:pPr>
              <w:pStyle w:val="NormalWeb"/>
              <w:spacing w:line="360" w:lineRule="auto"/>
              <w:jc w:val="both"/>
              <w:rPr>
                <w:rStyle w:val="Strong"/>
                <w:bCs w:val="0"/>
                <w:color w:val="000000" w:themeColor="text1"/>
              </w:rPr>
            </w:pPr>
            <w:r>
              <w:t>GST Rate (%)</w:t>
            </w:r>
          </w:p>
        </w:tc>
        <w:tc>
          <w:tcPr>
            <w:tcW w:w="1543" w:type="dxa"/>
          </w:tcPr>
          <w:p w:rsidR="007C588E" w:rsidRDefault="007C588E" w:rsidP="00D916C3">
            <w:pPr>
              <w:pStyle w:val="NormalWeb"/>
              <w:spacing w:line="360" w:lineRule="auto"/>
              <w:jc w:val="both"/>
              <w:rPr>
                <w:rStyle w:val="Strong"/>
                <w:bCs w:val="0"/>
                <w:color w:val="000000" w:themeColor="text1"/>
              </w:rPr>
            </w:pPr>
            <w:r>
              <w:t>Revenue as % of GDP</w:t>
            </w:r>
          </w:p>
        </w:tc>
        <w:tc>
          <w:tcPr>
            <w:tcW w:w="1549" w:type="dxa"/>
          </w:tcPr>
          <w:p w:rsidR="007C588E" w:rsidRDefault="007C588E" w:rsidP="00D916C3">
            <w:pPr>
              <w:pStyle w:val="NormalWeb"/>
              <w:spacing w:line="360" w:lineRule="auto"/>
              <w:jc w:val="both"/>
              <w:rPr>
                <w:rStyle w:val="Strong"/>
                <w:bCs w:val="0"/>
                <w:color w:val="000000" w:themeColor="text1"/>
              </w:rPr>
            </w:pPr>
            <w:r>
              <w:t>Number of Registered Taxpayers (millions)</w:t>
            </w:r>
          </w:p>
        </w:tc>
        <w:tc>
          <w:tcPr>
            <w:tcW w:w="1554" w:type="dxa"/>
          </w:tcPr>
          <w:p w:rsidR="007C588E" w:rsidRDefault="007C588E" w:rsidP="00D916C3">
            <w:pPr>
              <w:pStyle w:val="NormalWeb"/>
              <w:spacing w:line="360" w:lineRule="auto"/>
              <w:jc w:val="both"/>
              <w:rPr>
                <w:rStyle w:val="Strong"/>
                <w:bCs w:val="0"/>
                <w:color w:val="000000" w:themeColor="text1"/>
              </w:rPr>
            </w:pPr>
            <w:r>
              <w:t>Compliance Rate (%)</w:t>
            </w:r>
          </w:p>
        </w:tc>
        <w:tc>
          <w:tcPr>
            <w:tcW w:w="1613" w:type="dxa"/>
          </w:tcPr>
          <w:p w:rsidR="007C588E" w:rsidRDefault="007C588E" w:rsidP="00D916C3">
            <w:pPr>
              <w:pStyle w:val="NormalWeb"/>
              <w:spacing w:line="360" w:lineRule="auto"/>
              <w:jc w:val="both"/>
              <w:rPr>
                <w:rStyle w:val="Strong"/>
                <w:bCs w:val="0"/>
                <w:color w:val="000000" w:themeColor="text1"/>
              </w:rPr>
            </w:pPr>
            <w:r>
              <w:t>Key Features</w:t>
            </w:r>
          </w:p>
        </w:tc>
      </w:tr>
      <w:tr w:rsidR="007C588E" w:rsidTr="007C588E">
        <w:tc>
          <w:tcPr>
            <w:tcW w:w="1544" w:type="dxa"/>
          </w:tcPr>
          <w:p w:rsidR="007C588E" w:rsidRDefault="007C588E" w:rsidP="00D916C3">
            <w:pPr>
              <w:pStyle w:val="NormalWeb"/>
              <w:spacing w:line="360" w:lineRule="auto"/>
              <w:jc w:val="both"/>
              <w:rPr>
                <w:rStyle w:val="Strong"/>
                <w:bCs w:val="0"/>
                <w:color w:val="000000" w:themeColor="text1"/>
              </w:rPr>
            </w:pPr>
            <w:r>
              <w:t>India</w:t>
            </w:r>
          </w:p>
        </w:tc>
        <w:tc>
          <w:tcPr>
            <w:tcW w:w="1547" w:type="dxa"/>
          </w:tcPr>
          <w:p w:rsidR="007C588E" w:rsidRDefault="007C588E" w:rsidP="00D916C3">
            <w:pPr>
              <w:pStyle w:val="NormalWeb"/>
              <w:spacing w:line="360" w:lineRule="auto"/>
              <w:jc w:val="both"/>
              <w:rPr>
                <w:rStyle w:val="Strong"/>
                <w:bCs w:val="0"/>
                <w:color w:val="000000" w:themeColor="text1"/>
              </w:rPr>
            </w:pPr>
            <w:r>
              <w:t>18</w:t>
            </w:r>
          </w:p>
        </w:tc>
        <w:tc>
          <w:tcPr>
            <w:tcW w:w="1543" w:type="dxa"/>
          </w:tcPr>
          <w:p w:rsidR="007C588E" w:rsidRDefault="007C588E" w:rsidP="00D916C3">
            <w:pPr>
              <w:pStyle w:val="NormalWeb"/>
              <w:spacing w:line="360" w:lineRule="auto"/>
              <w:jc w:val="both"/>
              <w:rPr>
                <w:rStyle w:val="Strong"/>
                <w:bCs w:val="0"/>
                <w:color w:val="000000" w:themeColor="text1"/>
              </w:rPr>
            </w:pPr>
            <w:r>
              <w:t>11.0</w:t>
            </w:r>
          </w:p>
        </w:tc>
        <w:tc>
          <w:tcPr>
            <w:tcW w:w="1549" w:type="dxa"/>
          </w:tcPr>
          <w:p w:rsidR="007C588E" w:rsidRDefault="007C588E" w:rsidP="00D916C3">
            <w:pPr>
              <w:pStyle w:val="NormalWeb"/>
              <w:spacing w:line="360" w:lineRule="auto"/>
              <w:jc w:val="both"/>
              <w:rPr>
                <w:rStyle w:val="Strong"/>
                <w:bCs w:val="0"/>
                <w:color w:val="000000" w:themeColor="text1"/>
              </w:rPr>
            </w:pPr>
            <w:r>
              <w:t>12.5</w:t>
            </w:r>
          </w:p>
        </w:tc>
        <w:tc>
          <w:tcPr>
            <w:tcW w:w="1554" w:type="dxa"/>
          </w:tcPr>
          <w:p w:rsidR="007C588E" w:rsidRDefault="007C588E" w:rsidP="00D916C3">
            <w:pPr>
              <w:pStyle w:val="NormalWeb"/>
              <w:spacing w:line="360" w:lineRule="auto"/>
              <w:jc w:val="both"/>
              <w:rPr>
                <w:rStyle w:val="Strong"/>
                <w:bCs w:val="0"/>
                <w:color w:val="000000" w:themeColor="text1"/>
              </w:rPr>
            </w:pPr>
            <w:r>
              <w:t>85</w:t>
            </w:r>
          </w:p>
        </w:tc>
        <w:tc>
          <w:tcPr>
            <w:tcW w:w="1613" w:type="dxa"/>
          </w:tcPr>
          <w:p w:rsidR="007C588E" w:rsidRDefault="007C588E" w:rsidP="00D916C3">
            <w:pPr>
              <w:pStyle w:val="NormalWeb"/>
              <w:spacing w:line="360" w:lineRule="auto"/>
              <w:jc w:val="both"/>
              <w:rPr>
                <w:rStyle w:val="Strong"/>
                <w:bCs w:val="0"/>
                <w:color w:val="000000" w:themeColor="text1"/>
              </w:rPr>
            </w:pPr>
            <w:r>
              <w:t>Multiple rates, technology-driven compliance</w:t>
            </w:r>
          </w:p>
        </w:tc>
      </w:tr>
      <w:tr w:rsidR="007C588E" w:rsidTr="007C588E">
        <w:tc>
          <w:tcPr>
            <w:tcW w:w="1544" w:type="dxa"/>
          </w:tcPr>
          <w:p w:rsidR="007C588E" w:rsidRDefault="007C588E" w:rsidP="00D916C3">
            <w:pPr>
              <w:pStyle w:val="NormalWeb"/>
              <w:spacing w:line="360" w:lineRule="auto"/>
              <w:jc w:val="both"/>
            </w:pPr>
            <w:r>
              <w:t>Australia</w:t>
            </w:r>
          </w:p>
        </w:tc>
        <w:tc>
          <w:tcPr>
            <w:tcW w:w="1547" w:type="dxa"/>
          </w:tcPr>
          <w:p w:rsidR="007C588E" w:rsidRDefault="007C588E" w:rsidP="00D916C3">
            <w:pPr>
              <w:pStyle w:val="NormalWeb"/>
              <w:spacing w:line="360" w:lineRule="auto"/>
              <w:jc w:val="both"/>
            </w:pPr>
            <w:r>
              <w:t>10</w:t>
            </w:r>
          </w:p>
        </w:tc>
        <w:tc>
          <w:tcPr>
            <w:tcW w:w="1543" w:type="dxa"/>
          </w:tcPr>
          <w:p w:rsidR="007C588E" w:rsidRDefault="007C588E" w:rsidP="00D916C3">
            <w:pPr>
              <w:pStyle w:val="NormalWeb"/>
              <w:spacing w:line="360" w:lineRule="auto"/>
              <w:jc w:val="both"/>
            </w:pPr>
            <w:r>
              <w:t>10.0</w:t>
            </w:r>
          </w:p>
        </w:tc>
        <w:tc>
          <w:tcPr>
            <w:tcW w:w="1549" w:type="dxa"/>
          </w:tcPr>
          <w:p w:rsidR="007C588E" w:rsidRDefault="007C588E" w:rsidP="00D916C3">
            <w:pPr>
              <w:pStyle w:val="NormalWeb"/>
              <w:spacing w:line="360" w:lineRule="auto"/>
              <w:jc w:val="both"/>
            </w:pPr>
            <w:r>
              <w:t>2.5</w:t>
            </w:r>
          </w:p>
        </w:tc>
        <w:tc>
          <w:tcPr>
            <w:tcW w:w="1554" w:type="dxa"/>
          </w:tcPr>
          <w:p w:rsidR="007C588E" w:rsidRDefault="007C588E" w:rsidP="00D916C3">
            <w:pPr>
              <w:pStyle w:val="NormalWeb"/>
              <w:spacing w:line="360" w:lineRule="auto"/>
              <w:jc w:val="both"/>
            </w:pPr>
            <w:r>
              <w:t>95</w:t>
            </w:r>
          </w:p>
        </w:tc>
        <w:tc>
          <w:tcPr>
            <w:tcW w:w="1613" w:type="dxa"/>
          </w:tcPr>
          <w:p w:rsidR="007C588E" w:rsidRDefault="007C588E" w:rsidP="00D916C3">
            <w:pPr>
              <w:pStyle w:val="NormalWeb"/>
              <w:spacing w:line="360" w:lineRule="auto"/>
              <w:jc w:val="both"/>
            </w:pPr>
            <w:r>
              <w:t xml:space="preserve">Single rate, strong </w:t>
            </w:r>
            <w:r>
              <w:lastRenderedPageBreak/>
              <w:t>enforcement mechanisms</w:t>
            </w:r>
          </w:p>
        </w:tc>
      </w:tr>
      <w:tr w:rsidR="007C588E" w:rsidTr="007C588E">
        <w:tc>
          <w:tcPr>
            <w:tcW w:w="1544" w:type="dxa"/>
          </w:tcPr>
          <w:p w:rsidR="007C588E" w:rsidRDefault="007C588E" w:rsidP="00D916C3">
            <w:pPr>
              <w:pStyle w:val="NormalWeb"/>
              <w:spacing w:line="360" w:lineRule="auto"/>
              <w:jc w:val="both"/>
            </w:pPr>
            <w:r>
              <w:lastRenderedPageBreak/>
              <w:t>Canada</w:t>
            </w:r>
          </w:p>
        </w:tc>
        <w:tc>
          <w:tcPr>
            <w:tcW w:w="154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50"/>
            </w:tblGrid>
            <w:tr w:rsidR="007C588E" w:rsidRPr="007C588E" w:rsidTr="007C588E">
              <w:trPr>
                <w:tblCellSpacing w:w="15" w:type="dxa"/>
              </w:trPr>
              <w:tc>
                <w:tcPr>
                  <w:tcW w:w="0" w:type="auto"/>
                  <w:vAlign w:val="center"/>
                  <w:hideMark/>
                </w:tcPr>
                <w:p w:rsidR="007C588E" w:rsidRPr="007C588E" w:rsidRDefault="007C588E" w:rsidP="007C588E">
                  <w:pPr>
                    <w:spacing w:after="0" w:line="240" w:lineRule="auto"/>
                    <w:rPr>
                      <w:rFonts w:ascii="Times New Roman" w:eastAsia="Times New Roman" w:hAnsi="Times New Roman" w:cs="Times New Roman"/>
                      <w:sz w:val="24"/>
                      <w:szCs w:val="24"/>
                    </w:rPr>
                  </w:pPr>
                  <w:r w:rsidRPr="007C588E">
                    <w:rPr>
                      <w:rFonts w:ascii="Times New Roman" w:eastAsia="Times New Roman" w:hAnsi="Times New Roman" w:cs="Times New Roman"/>
                      <w:sz w:val="24"/>
                      <w:szCs w:val="24"/>
                    </w:rPr>
                    <w:t>5 (Federal)</w:t>
                  </w:r>
                </w:p>
              </w:tc>
            </w:tr>
          </w:tbl>
          <w:p w:rsidR="007C588E" w:rsidRPr="007C588E" w:rsidRDefault="007C588E" w:rsidP="007C588E">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C588E" w:rsidRPr="007C588E" w:rsidTr="007C588E">
              <w:trPr>
                <w:tblCellSpacing w:w="15" w:type="dxa"/>
              </w:trPr>
              <w:tc>
                <w:tcPr>
                  <w:tcW w:w="0" w:type="auto"/>
                  <w:vAlign w:val="center"/>
                  <w:hideMark/>
                </w:tcPr>
                <w:p w:rsidR="007C588E" w:rsidRPr="007C588E" w:rsidRDefault="007C588E" w:rsidP="007C588E">
                  <w:pPr>
                    <w:spacing w:after="0" w:line="240" w:lineRule="auto"/>
                    <w:rPr>
                      <w:rFonts w:ascii="Times New Roman" w:eastAsia="Times New Roman" w:hAnsi="Times New Roman" w:cs="Times New Roman"/>
                      <w:sz w:val="24"/>
                      <w:szCs w:val="24"/>
                    </w:rPr>
                  </w:pPr>
                </w:p>
              </w:tc>
            </w:tr>
          </w:tbl>
          <w:p w:rsidR="007C588E" w:rsidRDefault="007C588E" w:rsidP="00D916C3">
            <w:pPr>
              <w:pStyle w:val="NormalWeb"/>
              <w:spacing w:line="360" w:lineRule="auto"/>
              <w:jc w:val="both"/>
            </w:pPr>
          </w:p>
        </w:tc>
        <w:tc>
          <w:tcPr>
            <w:tcW w:w="1543" w:type="dxa"/>
          </w:tcPr>
          <w:p w:rsidR="007C588E" w:rsidRDefault="007C588E" w:rsidP="00D916C3">
            <w:pPr>
              <w:pStyle w:val="NormalWeb"/>
              <w:spacing w:line="360" w:lineRule="auto"/>
              <w:jc w:val="both"/>
            </w:pPr>
            <w:r>
              <w:t>12.0</w:t>
            </w:r>
          </w:p>
        </w:tc>
        <w:tc>
          <w:tcPr>
            <w:tcW w:w="1549" w:type="dxa"/>
          </w:tcPr>
          <w:p w:rsidR="007C588E" w:rsidRDefault="007C588E" w:rsidP="00D916C3">
            <w:pPr>
              <w:pStyle w:val="NormalWeb"/>
              <w:spacing w:line="360" w:lineRule="auto"/>
              <w:jc w:val="both"/>
            </w:pPr>
            <w:r>
              <w:t>3.5</w:t>
            </w:r>
          </w:p>
        </w:tc>
        <w:tc>
          <w:tcPr>
            <w:tcW w:w="1554" w:type="dxa"/>
          </w:tcPr>
          <w:p w:rsidR="007C588E" w:rsidRDefault="007C588E" w:rsidP="00D916C3">
            <w:pPr>
              <w:pStyle w:val="NormalWeb"/>
              <w:spacing w:line="360" w:lineRule="auto"/>
              <w:jc w:val="both"/>
            </w:pPr>
            <w:r>
              <w:t>90</w:t>
            </w:r>
          </w:p>
        </w:tc>
        <w:tc>
          <w:tcPr>
            <w:tcW w:w="1613" w:type="dxa"/>
          </w:tcPr>
          <w:p w:rsidR="007C588E" w:rsidRDefault="007C588E" w:rsidP="00D916C3">
            <w:pPr>
              <w:pStyle w:val="NormalWeb"/>
              <w:spacing w:line="360" w:lineRule="auto"/>
              <w:jc w:val="both"/>
            </w:pPr>
            <w:r>
              <w:t>Dual GST/HST system, exemptions for small businesses</w:t>
            </w:r>
          </w:p>
        </w:tc>
      </w:tr>
      <w:tr w:rsidR="007C588E" w:rsidTr="007C588E">
        <w:tc>
          <w:tcPr>
            <w:tcW w:w="1544" w:type="dxa"/>
          </w:tcPr>
          <w:p w:rsidR="007C588E" w:rsidRDefault="007C588E" w:rsidP="00D916C3">
            <w:pPr>
              <w:pStyle w:val="NormalWeb"/>
              <w:spacing w:line="360" w:lineRule="auto"/>
              <w:jc w:val="both"/>
            </w:pPr>
            <w:r>
              <w:t>United Kingdom</w:t>
            </w:r>
          </w:p>
        </w:tc>
        <w:tc>
          <w:tcPr>
            <w:tcW w:w="1547" w:type="dxa"/>
          </w:tcPr>
          <w:p w:rsidR="007C588E" w:rsidRPr="007C588E" w:rsidRDefault="007C588E" w:rsidP="007C588E">
            <w:pPr>
              <w:rPr>
                <w:rFonts w:ascii="Times New Roman" w:eastAsia="Times New Roman" w:hAnsi="Times New Roman" w:cs="Times New Roman"/>
                <w:sz w:val="24"/>
                <w:szCs w:val="24"/>
              </w:rPr>
            </w:pPr>
            <w:r>
              <w:t>20</w:t>
            </w:r>
          </w:p>
        </w:tc>
        <w:tc>
          <w:tcPr>
            <w:tcW w:w="1543" w:type="dxa"/>
          </w:tcPr>
          <w:p w:rsidR="007C588E" w:rsidRDefault="007C588E" w:rsidP="00D916C3">
            <w:pPr>
              <w:pStyle w:val="NormalWeb"/>
              <w:spacing w:line="360" w:lineRule="auto"/>
              <w:jc w:val="both"/>
            </w:pPr>
            <w:r>
              <w:t>11.5</w:t>
            </w:r>
          </w:p>
        </w:tc>
        <w:tc>
          <w:tcPr>
            <w:tcW w:w="1549" w:type="dxa"/>
          </w:tcPr>
          <w:p w:rsidR="007C588E" w:rsidRDefault="007C588E" w:rsidP="00D916C3">
            <w:pPr>
              <w:pStyle w:val="NormalWeb"/>
              <w:spacing w:line="360" w:lineRule="auto"/>
              <w:jc w:val="both"/>
            </w:pPr>
            <w:r>
              <w:t>4.0</w:t>
            </w:r>
          </w:p>
        </w:tc>
        <w:tc>
          <w:tcPr>
            <w:tcW w:w="1554" w:type="dxa"/>
          </w:tcPr>
          <w:p w:rsidR="007C588E" w:rsidRDefault="007C588E" w:rsidP="00D916C3">
            <w:pPr>
              <w:pStyle w:val="NormalWeb"/>
              <w:spacing w:line="360" w:lineRule="auto"/>
              <w:jc w:val="both"/>
            </w:pPr>
            <w:r>
              <w:t>92</w:t>
            </w:r>
          </w:p>
        </w:tc>
        <w:tc>
          <w:tcPr>
            <w:tcW w:w="1613" w:type="dxa"/>
          </w:tcPr>
          <w:p w:rsidR="007C588E" w:rsidRDefault="007C588E" w:rsidP="00D916C3">
            <w:pPr>
              <w:pStyle w:val="NormalWeb"/>
              <w:spacing w:line="360" w:lineRule="auto"/>
              <w:jc w:val="both"/>
            </w:pPr>
            <w:r>
              <w:t>Digital services included, flat rate for most goods</w:t>
            </w:r>
          </w:p>
        </w:tc>
      </w:tr>
      <w:tr w:rsidR="007C588E" w:rsidTr="007C588E">
        <w:tc>
          <w:tcPr>
            <w:tcW w:w="1544" w:type="dxa"/>
          </w:tcPr>
          <w:p w:rsidR="007C588E" w:rsidRDefault="007C588E" w:rsidP="00D916C3">
            <w:pPr>
              <w:pStyle w:val="NormalWeb"/>
              <w:spacing w:line="360" w:lineRule="auto"/>
              <w:jc w:val="both"/>
            </w:pPr>
            <w:r>
              <w:t>Germany</w:t>
            </w:r>
          </w:p>
        </w:tc>
        <w:tc>
          <w:tcPr>
            <w:tcW w:w="1547" w:type="dxa"/>
          </w:tcPr>
          <w:p w:rsidR="007C588E" w:rsidRDefault="007C588E" w:rsidP="007C588E">
            <w:r>
              <w:t>19</w:t>
            </w:r>
          </w:p>
        </w:tc>
        <w:tc>
          <w:tcPr>
            <w:tcW w:w="1543" w:type="dxa"/>
          </w:tcPr>
          <w:p w:rsidR="007C588E" w:rsidRDefault="007C588E" w:rsidP="00D916C3">
            <w:pPr>
              <w:pStyle w:val="NormalWeb"/>
              <w:spacing w:line="360" w:lineRule="auto"/>
              <w:jc w:val="both"/>
            </w:pPr>
            <w:r>
              <w:t>9.5</w:t>
            </w:r>
          </w:p>
        </w:tc>
        <w:tc>
          <w:tcPr>
            <w:tcW w:w="1549" w:type="dxa"/>
          </w:tcPr>
          <w:p w:rsidR="007C588E" w:rsidRDefault="007C588E" w:rsidP="00D916C3">
            <w:pPr>
              <w:pStyle w:val="NormalWeb"/>
              <w:spacing w:line="360" w:lineRule="auto"/>
              <w:jc w:val="both"/>
            </w:pPr>
            <w:r>
              <w:t>5.5</w:t>
            </w:r>
          </w:p>
        </w:tc>
        <w:tc>
          <w:tcPr>
            <w:tcW w:w="1554" w:type="dxa"/>
          </w:tcPr>
          <w:p w:rsidR="007C588E" w:rsidRDefault="007C588E" w:rsidP="00D916C3">
            <w:pPr>
              <w:pStyle w:val="NormalWeb"/>
              <w:spacing w:line="360" w:lineRule="auto"/>
              <w:jc w:val="both"/>
            </w:pPr>
            <w:r>
              <w:t>89</w:t>
            </w:r>
          </w:p>
        </w:tc>
        <w:tc>
          <w:tcPr>
            <w:tcW w:w="1613" w:type="dxa"/>
          </w:tcPr>
          <w:p w:rsidR="007C588E" w:rsidRDefault="007C588E" w:rsidP="007C588E">
            <w:pPr>
              <w:jc w:val="both"/>
            </w:pPr>
            <w:r>
              <w:t>Comprehensive exemptions, strong administrative support</w:t>
            </w:r>
          </w:p>
          <w:p w:rsidR="007C588E" w:rsidRDefault="007C588E" w:rsidP="00D916C3">
            <w:pPr>
              <w:pStyle w:val="NormalWeb"/>
              <w:spacing w:line="360" w:lineRule="auto"/>
              <w:jc w:val="both"/>
            </w:pPr>
          </w:p>
        </w:tc>
      </w:tr>
    </w:tbl>
    <w:p w:rsidR="007C588E" w:rsidRPr="007C588E" w:rsidRDefault="007C588E" w:rsidP="007C588E">
      <w:pPr>
        <w:spacing w:before="100" w:beforeAutospacing="1" w:after="100" w:afterAutospacing="1" w:line="360" w:lineRule="auto"/>
        <w:jc w:val="both"/>
        <w:rPr>
          <w:rFonts w:ascii="Times New Roman" w:eastAsia="Times New Roman" w:hAnsi="Times New Roman" w:cs="Times New Roman"/>
          <w:sz w:val="24"/>
          <w:szCs w:val="24"/>
        </w:rPr>
      </w:pPr>
      <w:r w:rsidRPr="007C588E">
        <w:rPr>
          <w:rFonts w:ascii="Times New Roman" w:eastAsia="Times New Roman" w:hAnsi="Times New Roman" w:cs="Times New Roman"/>
          <w:sz w:val="24"/>
          <w:szCs w:val="24"/>
        </w:rPr>
        <w:t>The comparative analysis of GST policies across different countries reveals distinct approaches and outcomes that influence their respective treasury collections and compliance levels.</w:t>
      </w:r>
    </w:p>
    <w:p w:rsidR="007C588E" w:rsidRPr="007C588E" w:rsidRDefault="007C588E" w:rsidP="007C588E">
      <w:pPr>
        <w:spacing w:before="100" w:beforeAutospacing="1" w:after="100" w:afterAutospacing="1" w:line="360" w:lineRule="auto"/>
        <w:jc w:val="both"/>
        <w:rPr>
          <w:rFonts w:ascii="Times New Roman" w:eastAsia="Times New Roman" w:hAnsi="Times New Roman" w:cs="Times New Roman"/>
          <w:sz w:val="24"/>
          <w:szCs w:val="24"/>
        </w:rPr>
      </w:pPr>
      <w:r w:rsidRPr="007C588E">
        <w:rPr>
          <w:rFonts w:ascii="Times New Roman" w:eastAsia="Times New Roman" w:hAnsi="Times New Roman" w:cs="Times New Roman"/>
          <w:b/>
          <w:bCs/>
          <w:sz w:val="24"/>
          <w:szCs w:val="24"/>
        </w:rPr>
        <w:t>India</w:t>
      </w:r>
      <w:r w:rsidRPr="007C588E">
        <w:rPr>
          <w:rFonts w:ascii="Times New Roman" w:eastAsia="Times New Roman" w:hAnsi="Times New Roman" w:cs="Times New Roman"/>
          <w:sz w:val="24"/>
          <w:szCs w:val="24"/>
        </w:rPr>
        <w:t xml:space="preserve"> has established an 18% GST rate, with revenue constituting approximately 11% of its GDP. The number of registered taxpayers stands at 12.5 million, and the compliance rate is around 85%. India’s multi-rate GST system, while aiming for inclusivity, has resulted in challenges related to complexity and compliance, particularly for smaller businesses. However, technology-driven initiatives, such as the Goods and Services Tax Network (GSTN), have enhanced compliance efforts.</w:t>
      </w:r>
    </w:p>
    <w:p w:rsidR="007C588E" w:rsidRPr="007C588E" w:rsidRDefault="007C588E" w:rsidP="007C588E">
      <w:pPr>
        <w:spacing w:before="100" w:beforeAutospacing="1" w:after="100" w:afterAutospacing="1" w:line="360" w:lineRule="auto"/>
        <w:jc w:val="both"/>
        <w:rPr>
          <w:rFonts w:ascii="Times New Roman" w:eastAsia="Times New Roman" w:hAnsi="Times New Roman" w:cs="Times New Roman"/>
          <w:sz w:val="24"/>
          <w:szCs w:val="24"/>
        </w:rPr>
      </w:pPr>
      <w:r w:rsidRPr="007C588E">
        <w:rPr>
          <w:rFonts w:ascii="Times New Roman" w:eastAsia="Times New Roman" w:hAnsi="Times New Roman" w:cs="Times New Roman"/>
          <w:b/>
          <w:bCs/>
          <w:sz w:val="24"/>
          <w:szCs w:val="24"/>
        </w:rPr>
        <w:t>Australia</w:t>
      </w:r>
      <w:r w:rsidRPr="007C588E">
        <w:rPr>
          <w:rFonts w:ascii="Times New Roman" w:eastAsia="Times New Roman" w:hAnsi="Times New Roman" w:cs="Times New Roman"/>
          <w:sz w:val="24"/>
          <w:szCs w:val="24"/>
        </w:rPr>
        <w:t xml:space="preserve"> employs a simpler single GST rate of 10%, yielding a revenue contribution of 10% of GDP. With 2.5 million registered taxpayers and a high compliance rate of 95%, Australia's GST </w:t>
      </w:r>
      <w:r w:rsidRPr="007C588E">
        <w:rPr>
          <w:rFonts w:ascii="Times New Roman" w:eastAsia="Times New Roman" w:hAnsi="Times New Roman" w:cs="Times New Roman"/>
          <w:sz w:val="24"/>
          <w:szCs w:val="24"/>
        </w:rPr>
        <w:lastRenderedPageBreak/>
        <w:t>system benefits from stringent enforcement mechanisms and clear regulations. This streamlined approach contributes to effective revenue generation, making it easier for businesses to comply.</w:t>
      </w:r>
    </w:p>
    <w:p w:rsidR="007C588E" w:rsidRPr="007C588E" w:rsidRDefault="007C588E" w:rsidP="007C588E">
      <w:pPr>
        <w:spacing w:before="100" w:beforeAutospacing="1" w:after="100" w:afterAutospacing="1" w:line="360" w:lineRule="auto"/>
        <w:jc w:val="both"/>
        <w:rPr>
          <w:rFonts w:ascii="Times New Roman" w:eastAsia="Times New Roman" w:hAnsi="Times New Roman" w:cs="Times New Roman"/>
          <w:sz w:val="24"/>
          <w:szCs w:val="24"/>
        </w:rPr>
      </w:pPr>
      <w:r w:rsidRPr="007C588E">
        <w:rPr>
          <w:rFonts w:ascii="Times New Roman" w:eastAsia="Times New Roman" w:hAnsi="Times New Roman" w:cs="Times New Roman"/>
          <w:b/>
          <w:bCs/>
          <w:sz w:val="24"/>
          <w:szCs w:val="24"/>
        </w:rPr>
        <w:t>Canada</w:t>
      </w:r>
      <w:r w:rsidRPr="007C588E">
        <w:rPr>
          <w:rFonts w:ascii="Times New Roman" w:eastAsia="Times New Roman" w:hAnsi="Times New Roman" w:cs="Times New Roman"/>
          <w:sz w:val="24"/>
          <w:szCs w:val="24"/>
        </w:rPr>
        <w:t xml:space="preserve"> features a federal GST rate of 5%, complemented by provincial sales taxes to create a dual system. The combined tax system yields a revenue-to-GDP ratio of 12%, with 3.5 million registered taxpayers and a compliance rate of 90%. The dual structure, while complex, allows flexibility and acknowledges regional economic conditions, though it also poses challenges for cross-border businesses.</w:t>
      </w:r>
    </w:p>
    <w:p w:rsidR="007C588E" w:rsidRPr="007C588E" w:rsidRDefault="007C588E" w:rsidP="007C588E">
      <w:pPr>
        <w:spacing w:before="100" w:beforeAutospacing="1" w:after="100" w:afterAutospacing="1" w:line="360" w:lineRule="auto"/>
        <w:jc w:val="both"/>
        <w:rPr>
          <w:rFonts w:ascii="Times New Roman" w:eastAsia="Times New Roman" w:hAnsi="Times New Roman" w:cs="Times New Roman"/>
          <w:sz w:val="24"/>
          <w:szCs w:val="24"/>
        </w:rPr>
      </w:pPr>
      <w:r w:rsidRPr="007C588E">
        <w:rPr>
          <w:rFonts w:ascii="Times New Roman" w:eastAsia="Times New Roman" w:hAnsi="Times New Roman" w:cs="Times New Roman"/>
          <w:sz w:val="24"/>
          <w:szCs w:val="24"/>
        </w:rPr>
        <w:t xml:space="preserve">In the </w:t>
      </w:r>
      <w:r w:rsidRPr="007C588E">
        <w:rPr>
          <w:rFonts w:ascii="Times New Roman" w:eastAsia="Times New Roman" w:hAnsi="Times New Roman" w:cs="Times New Roman"/>
          <w:b/>
          <w:bCs/>
          <w:sz w:val="24"/>
          <w:szCs w:val="24"/>
        </w:rPr>
        <w:t>United Kingdom</w:t>
      </w:r>
      <w:r w:rsidRPr="007C588E">
        <w:rPr>
          <w:rFonts w:ascii="Times New Roman" w:eastAsia="Times New Roman" w:hAnsi="Times New Roman" w:cs="Times New Roman"/>
          <w:sz w:val="24"/>
          <w:szCs w:val="24"/>
        </w:rPr>
        <w:t>, a flat rate of 20% applies to most goods and services, contributing 11.5% of GDP. With 4 million registered taxpayers and a compliance rate of 92%, the UK's system is characterized by its inclusion of digital services and specific exemptions. This comprehensive coverage helps in maintaining high compliance levels, although it can sometimes complicate pricing strategies for businesses.</w:t>
      </w:r>
    </w:p>
    <w:p w:rsidR="007C588E" w:rsidRPr="007C588E" w:rsidRDefault="007C588E" w:rsidP="007C588E">
      <w:pPr>
        <w:spacing w:before="100" w:beforeAutospacing="1" w:after="100" w:afterAutospacing="1" w:line="360" w:lineRule="auto"/>
        <w:jc w:val="both"/>
        <w:rPr>
          <w:rFonts w:ascii="Times New Roman" w:eastAsia="Times New Roman" w:hAnsi="Times New Roman" w:cs="Times New Roman"/>
          <w:sz w:val="24"/>
          <w:szCs w:val="24"/>
        </w:rPr>
      </w:pPr>
      <w:r w:rsidRPr="007C588E">
        <w:rPr>
          <w:rFonts w:ascii="Times New Roman" w:eastAsia="Times New Roman" w:hAnsi="Times New Roman" w:cs="Times New Roman"/>
          <w:b/>
          <w:bCs/>
          <w:sz w:val="24"/>
          <w:szCs w:val="24"/>
        </w:rPr>
        <w:t>Germany</w:t>
      </w:r>
      <w:r w:rsidRPr="007C588E">
        <w:rPr>
          <w:rFonts w:ascii="Times New Roman" w:eastAsia="Times New Roman" w:hAnsi="Times New Roman" w:cs="Times New Roman"/>
          <w:sz w:val="24"/>
          <w:szCs w:val="24"/>
        </w:rPr>
        <w:t xml:space="preserve"> implements a 19% GST rate, contributing 9.5% to GDP, with 5.5 million registered taxpayers and a compliance rate of 89%. The German system provides various exemptions and robust administrative support, helping businesses navigate compliance complexities while ensuring substantial revenue generation.</w:t>
      </w:r>
    </w:p>
    <w:p w:rsidR="007C588E" w:rsidRPr="007C588E" w:rsidRDefault="007C588E" w:rsidP="007C588E">
      <w:pPr>
        <w:spacing w:before="100" w:beforeAutospacing="1" w:after="100" w:afterAutospacing="1" w:line="360" w:lineRule="auto"/>
        <w:jc w:val="both"/>
        <w:rPr>
          <w:rFonts w:ascii="Times New Roman" w:eastAsia="Times New Roman" w:hAnsi="Times New Roman" w:cs="Times New Roman"/>
          <w:sz w:val="24"/>
          <w:szCs w:val="24"/>
        </w:rPr>
      </w:pPr>
      <w:r w:rsidRPr="007C588E">
        <w:rPr>
          <w:rFonts w:ascii="Times New Roman" w:eastAsia="Times New Roman" w:hAnsi="Times New Roman" w:cs="Times New Roman"/>
          <w:sz w:val="24"/>
          <w:szCs w:val="24"/>
        </w:rPr>
        <w:t>Overall, the comparative analysis highlights that while India’s GST framework aims to enhance revenue and broaden the taxpayer base, challenges related to complexity and compliance persist. In contrast, countries like Australia and the UK benefit from streamlined approaches that facilitate higher compliance rates and clearer regulations. As India continues to evolve its GST policies, lessons from these countries may offer valuable insights into improving compliance and maximizing treasury contributions.</w:t>
      </w:r>
    </w:p>
    <w:p w:rsidR="007C588E" w:rsidRPr="00EB3140" w:rsidRDefault="00EB3140" w:rsidP="00D916C3">
      <w:pPr>
        <w:pStyle w:val="NormalWeb"/>
        <w:spacing w:line="360" w:lineRule="auto"/>
        <w:jc w:val="both"/>
        <w:rPr>
          <w:b/>
          <w:color w:val="000000" w:themeColor="text1"/>
        </w:rPr>
      </w:pPr>
      <w:r w:rsidRPr="00EB3140">
        <w:rPr>
          <w:b/>
          <w:color w:val="000000" w:themeColor="text1"/>
        </w:rPr>
        <w:t xml:space="preserve">Findings </w:t>
      </w:r>
    </w:p>
    <w:p w:rsidR="003111D1" w:rsidRDefault="003111D1" w:rsidP="003111D1">
      <w:pPr>
        <w:pStyle w:val="NormalWeb"/>
        <w:spacing w:line="360" w:lineRule="auto"/>
        <w:jc w:val="both"/>
      </w:pPr>
      <w:r>
        <w:t>The analysis of GST accounting and tax collection in India over the past five years reveals several significant trends and insights. The implementation of the Goods and Services Tax has profoundly transformed the taxation landscape, contributing to a substantial buildup in the national treasury. Key findings include:</w:t>
      </w:r>
    </w:p>
    <w:p w:rsidR="003111D1" w:rsidRDefault="003111D1" w:rsidP="003111D1">
      <w:pPr>
        <w:pStyle w:val="NormalWeb"/>
        <w:spacing w:line="360" w:lineRule="auto"/>
        <w:jc w:val="both"/>
      </w:pPr>
      <w:r>
        <w:rPr>
          <w:rStyle w:val="Strong"/>
        </w:rPr>
        <w:lastRenderedPageBreak/>
        <w:t>Increased Revenue Generation</w:t>
      </w:r>
      <w:r>
        <w:t xml:space="preserve">: The monthly average GST revenue has shown a consistent upward trend, increasing from ₹97,000 </w:t>
      </w:r>
      <w:proofErr w:type="spellStart"/>
      <w:r>
        <w:t>crores</w:t>
      </w:r>
      <w:proofErr w:type="spellEnd"/>
      <w:r>
        <w:t xml:space="preserve"> in 2017-18 to approximately ₹1</w:t>
      </w:r>
      <w:proofErr w:type="gramStart"/>
      <w:r>
        <w:t>,25,000</w:t>
      </w:r>
      <w:proofErr w:type="gramEnd"/>
      <w:r>
        <w:t xml:space="preserve"> </w:t>
      </w:r>
      <w:proofErr w:type="spellStart"/>
      <w:r>
        <w:t>crores</w:t>
      </w:r>
      <w:proofErr w:type="spellEnd"/>
      <w:r>
        <w:t xml:space="preserve"> by 2021-22. This reflects the effectiveness of GST in enhancing government revenue and underscores its critical role in fiscal policy.</w:t>
      </w:r>
    </w:p>
    <w:p w:rsidR="003111D1" w:rsidRDefault="003111D1" w:rsidP="003111D1">
      <w:pPr>
        <w:pStyle w:val="NormalWeb"/>
        <w:spacing w:line="360" w:lineRule="auto"/>
        <w:jc w:val="both"/>
      </w:pPr>
      <w:r>
        <w:rPr>
          <w:rStyle w:val="Strong"/>
        </w:rPr>
        <w:t>Broadening of the Tax Base</w:t>
      </w:r>
      <w:r>
        <w:t>: The number of registered taxpayers has risen significantly, from 8 million in the first year of GST to about 12.5 million in 2021-22. This expansion indicates that GST has successfully incorporated many previously informal businesses into the formal economy, thereby increasing overall tax compliance.</w:t>
      </w:r>
    </w:p>
    <w:p w:rsidR="003111D1" w:rsidRDefault="003111D1" w:rsidP="003111D1">
      <w:pPr>
        <w:pStyle w:val="NormalWeb"/>
        <w:spacing w:line="360" w:lineRule="auto"/>
        <w:jc w:val="both"/>
      </w:pPr>
      <w:r>
        <w:rPr>
          <w:rStyle w:val="Strong"/>
        </w:rPr>
        <w:t>Effective Compliance Strategies</w:t>
      </w:r>
      <w:r>
        <w:t>: Case studies of various companies illustrate diverse strategies employed to ensure GST compliance. Businesses that invested in technology, staff training, and compliance audits reported better financial outcomes and enhanced trust from stakeholders. The proactive measures adopted by companies not only benefited their operations but also contributed positively to the treasury.</w:t>
      </w:r>
    </w:p>
    <w:p w:rsidR="003111D1" w:rsidRDefault="003111D1" w:rsidP="003111D1">
      <w:pPr>
        <w:pStyle w:val="NormalWeb"/>
        <w:spacing w:line="360" w:lineRule="auto"/>
        <w:jc w:val="both"/>
      </w:pPr>
      <w:r>
        <w:rPr>
          <w:rStyle w:val="Strong"/>
        </w:rPr>
        <w:t>Challenges in Implementation</w:t>
      </w:r>
      <w:r>
        <w:t>: Despite the successes, challenges remain. Many businesses, especially smaller enterprises, continue to struggle with the complexities of GST compliance, leading to concerns over accuracy and potential penalties. The multi-rate structure in India complicates compliance compared to simpler systems in other countries.</w:t>
      </w:r>
    </w:p>
    <w:p w:rsidR="003111D1" w:rsidRDefault="003111D1" w:rsidP="003111D1">
      <w:pPr>
        <w:pStyle w:val="NormalWeb"/>
        <w:spacing w:line="360" w:lineRule="auto"/>
        <w:jc w:val="both"/>
      </w:pPr>
      <w:r>
        <w:rPr>
          <w:rStyle w:val="Strong"/>
        </w:rPr>
        <w:t>Comparative Insights</w:t>
      </w:r>
      <w:r>
        <w:t>: When compared to other countries with GST or similar tax systems, India's approach reflects both strengths and weaknesses. While the revenue-to-GDP ratio is commendable, the complexity of the system and compliance hurdles differ significantly from countries like Australia and the UK, which have adopted more streamlined practices.</w:t>
      </w:r>
    </w:p>
    <w:p w:rsidR="003111D1" w:rsidRDefault="003111D1" w:rsidP="003111D1">
      <w:pPr>
        <w:pStyle w:val="NormalWeb"/>
        <w:spacing w:line="360" w:lineRule="auto"/>
        <w:jc w:val="both"/>
      </w:pPr>
      <w:r>
        <w:rPr>
          <w:rStyle w:val="Strong"/>
        </w:rPr>
        <w:t>Impact of Technology</w:t>
      </w:r>
      <w:r>
        <w:t>: The use of technology, particularly through the Goods and Services Tax Network (GSTN), has been pivotal in enhancing compliance rates and reducing tax evasion. Companies that effectively utilized technology reported improved operational efficiency and greater revenue contributions.</w:t>
      </w:r>
    </w:p>
    <w:p w:rsidR="003111D1" w:rsidRDefault="003111D1" w:rsidP="003111D1">
      <w:pPr>
        <w:pStyle w:val="NormalWeb"/>
        <w:spacing w:line="360" w:lineRule="auto"/>
        <w:jc w:val="both"/>
      </w:pPr>
      <w:r>
        <w:rPr>
          <w:rStyle w:val="Strong"/>
        </w:rPr>
        <w:t>Future Potential</w:t>
      </w:r>
      <w:r>
        <w:t xml:space="preserve">: The potential for further revenue growth remains, particularly through continued improvements in compliance strategies and technological integration. Addressing the </w:t>
      </w:r>
      <w:r>
        <w:lastRenderedPageBreak/>
        <w:t>challenges faced by smaller businesses and simplifying the GST structure could lead to even higher levels of compliance and treasury contributions.</w:t>
      </w:r>
    </w:p>
    <w:p w:rsidR="003111D1" w:rsidRDefault="003111D1" w:rsidP="003111D1">
      <w:pPr>
        <w:pStyle w:val="NormalWeb"/>
        <w:spacing w:line="360" w:lineRule="auto"/>
        <w:jc w:val="both"/>
      </w:pPr>
      <w:r>
        <w:t>In conclusion, while GST has undeniably strengthened India's fiscal framework and increased revenue collections, ongoing efforts are needed to simplify compliance and support businesses in adapting to the system. Leveraging best practices from international counterparts may provide valuable lessons to optimize India’s GST framework further.</w:t>
      </w:r>
    </w:p>
    <w:p w:rsidR="00EB3140" w:rsidRPr="00EB3140" w:rsidRDefault="00EB3140" w:rsidP="00D916C3">
      <w:pPr>
        <w:pStyle w:val="NormalWeb"/>
        <w:spacing w:line="360" w:lineRule="auto"/>
        <w:jc w:val="both"/>
        <w:rPr>
          <w:b/>
          <w:color w:val="000000" w:themeColor="text1"/>
        </w:rPr>
      </w:pPr>
      <w:r w:rsidRPr="00EB3140">
        <w:rPr>
          <w:b/>
          <w:color w:val="000000" w:themeColor="text1"/>
        </w:rPr>
        <w:t>Conclusion</w:t>
      </w:r>
    </w:p>
    <w:p w:rsidR="007C6C84" w:rsidRPr="007C6C84" w:rsidRDefault="007C6C84" w:rsidP="007C6C84">
      <w:pPr>
        <w:spacing w:before="100" w:beforeAutospacing="1" w:after="100" w:afterAutospacing="1" w:line="360" w:lineRule="auto"/>
        <w:jc w:val="both"/>
        <w:rPr>
          <w:rFonts w:ascii="Times New Roman" w:eastAsia="Times New Roman" w:hAnsi="Times New Roman" w:cs="Times New Roman"/>
          <w:sz w:val="24"/>
          <w:szCs w:val="24"/>
        </w:rPr>
      </w:pPr>
      <w:r w:rsidRPr="007C6C84">
        <w:rPr>
          <w:rFonts w:ascii="Times New Roman" w:eastAsia="Times New Roman" w:hAnsi="Times New Roman" w:cs="Times New Roman"/>
          <w:sz w:val="24"/>
          <w:szCs w:val="24"/>
        </w:rPr>
        <w:t>The implementation of the Goods and Services Tax (GST) in India marks a significant milestone in the evolution of the country’s taxation system, fundamentally reshaping how businesses operate and how tax revenues are collected. Over the past five years, GST has demonstrated its capacity to enhance revenue generation, broaden the taxpayer base, and improve compliance through technological advancements and strategic corporate practices.</w:t>
      </w:r>
    </w:p>
    <w:p w:rsidR="007C6C84" w:rsidRPr="007C6C84" w:rsidRDefault="007C6C84" w:rsidP="007C6C84">
      <w:pPr>
        <w:spacing w:before="100" w:beforeAutospacing="1" w:after="100" w:afterAutospacing="1" w:line="360" w:lineRule="auto"/>
        <w:jc w:val="both"/>
        <w:rPr>
          <w:rFonts w:ascii="Times New Roman" w:eastAsia="Times New Roman" w:hAnsi="Times New Roman" w:cs="Times New Roman"/>
          <w:sz w:val="24"/>
          <w:szCs w:val="24"/>
        </w:rPr>
      </w:pPr>
      <w:r w:rsidRPr="007C6C84">
        <w:rPr>
          <w:rFonts w:ascii="Times New Roman" w:eastAsia="Times New Roman" w:hAnsi="Times New Roman" w:cs="Times New Roman"/>
          <w:sz w:val="24"/>
          <w:szCs w:val="24"/>
        </w:rPr>
        <w:t xml:space="preserve">The consistent increase in GST revenue—from ₹97,000 </w:t>
      </w:r>
      <w:proofErr w:type="spellStart"/>
      <w:r w:rsidRPr="007C6C84">
        <w:rPr>
          <w:rFonts w:ascii="Times New Roman" w:eastAsia="Times New Roman" w:hAnsi="Times New Roman" w:cs="Times New Roman"/>
          <w:sz w:val="24"/>
          <w:szCs w:val="24"/>
        </w:rPr>
        <w:t>crores</w:t>
      </w:r>
      <w:proofErr w:type="spellEnd"/>
      <w:r w:rsidRPr="007C6C84">
        <w:rPr>
          <w:rFonts w:ascii="Times New Roman" w:eastAsia="Times New Roman" w:hAnsi="Times New Roman" w:cs="Times New Roman"/>
          <w:sz w:val="24"/>
          <w:szCs w:val="24"/>
        </w:rPr>
        <w:t xml:space="preserve"> in its inaugural year to approximately ₹1</w:t>
      </w:r>
      <w:proofErr w:type="gramStart"/>
      <w:r w:rsidRPr="007C6C84">
        <w:rPr>
          <w:rFonts w:ascii="Times New Roman" w:eastAsia="Times New Roman" w:hAnsi="Times New Roman" w:cs="Times New Roman"/>
          <w:sz w:val="24"/>
          <w:szCs w:val="24"/>
        </w:rPr>
        <w:t>,25,000</w:t>
      </w:r>
      <w:proofErr w:type="gramEnd"/>
      <w:r w:rsidRPr="007C6C84">
        <w:rPr>
          <w:rFonts w:ascii="Times New Roman" w:eastAsia="Times New Roman" w:hAnsi="Times New Roman" w:cs="Times New Roman"/>
          <w:sz w:val="24"/>
          <w:szCs w:val="24"/>
        </w:rPr>
        <w:t xml:space="preserve"> </w:t>
      </w:r>
      <w:proofErr w:type="spellStart"/>
      <w:r w:rsidRPr="007C6C84">
        <w:rPr>
          <w:rFonts w:ascii="Times New Roman" w:eastAsia="Times New Roman" w:hAnsi="Times New Roman" w:cs="Times New Roman"/>
          <w:sz w:val="24"/>
          <w:szCs w:val="24"/>
        </w:rPr>
        <w:t>crores</w:t>
      </w:r>
      <w:proofErr w:type="spellEnd"/>
      <w:r w:rsidRPr="007C6C84">
        <w:rPr>
          <w:rFonts w:ascii="Times New Roman" w:eastAsia="Times New Roman" w:hAnsi="Times New Roman" w:cs="Times New Roman"/>
          <w:sz w:val="24"/>
          <w:szCs w:val="24"/>
        </w:rPr>
        <w:t>—highlights the effectiveness of this tax regime in contributing to the national treasury. The rise in the number of registered taxpayers further underscores the successful integration of many informal businesses into the formal economy, thereby fostering greater compliance and transparency.</w:t>
      </w:r>
    </w:p>
    <w:p w:rsidR="007C6C84" w:rsidRPr="007C6C84" w:rsidRDefault="007C6C84" w:rsidP="007C6C84">
      <w:pPr>
        <w:spacing w:before="100" w:beforeAutospacing="1" w:after="100" w:afterAutospacing="1" w:line="360" w:lineRule="auto"/>
        <w:jc w:val="both"/>
        <w:rPr>
          <w:rFonts w:ascii="Times New Roman" w:eastAsia="Times New Roman" w:hAnsi="Times New Roman" w:cs="Times New Roman"/>
          <w:sz w:val="24"/>
          <w:szCs w:val="24"/>
        </w:rPr>
      </w:pPr>
      <w:r w:rsidRPr="007C6C84">
        <w:rPr>
          <w:rFonts w:ascii="Times New Roman" w:eastAsia="Times New Roman" w:hAnsi="Times New Roman" w:cs="Times New Roman"/>
          <w:sz w:val="24"/>
          <w:szCs w:val="24"/>
        </w:rPr>
        <w:t>However, the complexities inherent in the multi-rate GST structure pose significant challenges, particularly for smaller enterprises. While larger corporations have successfully adopted various compliance strategies, many smaller businesses continue to struggle with understanding and implementing the requirements. This complexity can lead to inaccuracies and increased compliance costs, which may inhibit participation in the formal tax system.</w:t>
      </w:r>
    </w:p>
    <w:p w:rsidR="007C6C84" w:rsidRPr="007C6C84" w:rsidRDefault="007C6C84" w:rsidP="007C6C84">
      <w:pPr>
        <w:spacing w:before="100" w:beforeAutospacing="1" w:after="100" w:afterAutospacing="1" w:line="360" w:lineRule="auto"/>
        <w:jc w:val="both"/>
        <w:rPr>
          <w:rFonts w:ascii="Times New Roman" w:eastAsia="Times New Roman" w:hAnsi="Times New Roman" w:cs="Times New Roman"/>
          <w:sz w:val="24"/>
          <w:szCs w:val="24"/>
        </w:rPr>
      </w:pPr>
      <w:r w:rsidRPr="007C6C84">
        <w:rPr>
          <w:rFonts w:ascii="Times New Roman" w:eastAsia="Times New Roman" w:hAnsi="Times New Roman" w:cs="Times New Roman"/>
          <w:sz w:val="24"/>
          <w:szCs w:val="24"/>
        </w:rPr>
        <w:t>The comparative analysis with GST systems in other countries reveals that while India has made considerable progress, there is room for improvement. Countries like Australia and the UK, with their simpler and more streamlined tax systems, demonstrate that clarity and ease of compliance can significantly enhance tax collection efficiency. Learning from these international examples could aid in refining India's GST framework, making it more accessible for all businesses.</w:t>
      </w:r>
    </w:p>
    <w:p w:rsidR="007C6C84" w:rsidRPr="007C6C84" w:rsidRDefault="007C6C84" w:rsidP="007C6C84">
      <w:pPr>
        <w:spacing w:before="100" w:beforeAutospacing="1" w:after="100" w:afterAutospacing="1" w:line="360" w:lineRule="auto"/>
        <w:jc w:val="both"/>
        <w:rPr>
          <w:rFonts w:ascii="Times New Roman" w:eastAsia="Times New Roman" w:hAnsi="Times New Roman" w:cs="Times New Roman"/>
          <w:sz w:val="24"/>
          <w:szCs w:val="24"/>
        </w:rPr>
      </w:pPr>
      <w:r w:rsidRPr="007C6C84">
        <w:rPr>
          <w:rFonts w:ascii="Times New Roman" w:eastAsia="Times New Roman" w:hAnsi="Times New Roman" w:cs="Times New Roman"/>
          <w:sz w:val="24"/>
          <w:szCs w:val="24"/>
        </w:rPr>
        <w:lastRenderedPageBreak/>
        <w:t>Looking ahead, the future of GST in India appears promising, with the potential for further revenue growth and improved compliance through continued technological integration and strategic reforms. Addressing the challenges faced by smaller enterprises, simplifying the tax structure, and enhancing educational initiatives will be crucial in maximizing the benefits of GST.</w:t>
      </w:r>
    </w:p>
    <w:p w:rsidR="007C6C84" w:rsidRPr="007C6C84" w:rsidRDefault="007C6C84" w:rsidP="007C6C84">
      <w:pPr>
        <w:spacing w:before="100" w:beforeAutospacing="1" w:after="100" w:afterAutospacing="1" w:line="360" w:lineRule="auto"/>
        <w:jc w:val="both"/>
        <w:rPr>
          <w:rFonts w:ascii="Times New Roman" w:eastAsia="Times New Roman" w:hAnsi="Times New Roman" w:cs="Times New Roman"/>
          <w:sz w:val="24"/>
          <w:szCs w:val="24"/>
        </w:rPr>
      </w:pPr>
      <w:r w:rsidRPr="007C6C84">
        <w:rPr>
          <w:rFonts w:ascii="Times New Roman" w:eastAsia="Times New Roman" w:hAnsi="Times New Roman" w:cs="Times New Roman"/>
          <w:sz w:val="24"/>
          <w:szCs w:val="24"/>
        </w:rPr>
        <w:t>In conclusion, while GST has significantly strengthened India's fiscal landscape, ongoing efforts to simplify compliance and foster a supportive environment for all businesses will be essential for sustaining its success and ensuring equitable revenue generation. By leveraging technological advancements and drawing insights from global best practices, India can enhance its GST framework, ultimately leading to a more robust and resilient economy.</w:t>
      </w:r>
    </w:p>
    <w:p w:rsidR="00EB3140" w:rsidRPr="007C6C84" w:rsidRDefault="007C6C84" w:rsidP="00D916C3">
      <w:pPr>
        <w:pStyle w:val="NormalWeb"/>
        <w:spacing w:line="360" w:lineRule="auto"/>
        <w:jc w:val="both"/>
        <w:rPr>
          <w:b/>
          <w:color w:val="000000" w:themeColor="text1"/>
        </w:rPr>
      </w:pPr>
      <w:r w:rsidRPr="007C6C84">
        <w:rPr>
          <w:b/>
          <w:color w:val="000000" w:themeColor="text1"/>
        </w:rPr>
        <w:t>Recommendations and future scope</w:t>
      </w:r>
    </w:p>
    <w:p w:rsidR="00CD2749" w:rsidRPr="00CD2749" w:rsidRDefault="00CD2749" w:rsidP="00CD2749">
      <w:pPr>
        <w:pStyle w:val="Heading4"/>
        <w:spacing w:after="240" w:line="360" w:lineRule="auto"/>
        <w:jc w:val="both"/>
        <w:rPr>
          <w:rFonts w:ascii="Times New Roman" w:hAnsi="Times New Roman" w:cs="Times New Roman"/>
          <w:b/>
          <w:i w:val="0"/>
          <w:sz w:val="24"/>
          <w:szCs w:val="24"/>
        </w:rPr>
      </w:pPr>
      <w:r w:rsidRPr="00CD2749">
        <w:rPr>
          <w:rFonts w:ascii="Times New Roman" w:hAnsi="Times New Roman" w:cs="Times New Roman"/>
          <w:b/>
          <w:i w:val="0"/>
          <w:color w:val="000000" w:themeColor="text1"/>
          <w:sz w:val="24"/>
          <w:szCs w:val="24"/>
        </w:rPr>
        <w:t>Recommendations</w:t>
      </w:r>
    </w:p>
    <w:p w:rsidR="00CD2749" w:rsidRPr="00CD2749" w:rsidRDefault="00CD2749" w:rsidP="00CD2749">
      <w:pPr>
        <w:pStyle w:val="NormalWeb"/>
        <w:numPr>
          <w:ilvl w:val="0"/>
          <w:numId w:val="9"/>
        </w:numPr>
        <w:spacing w:after="240" w:afterAutospacing="0" w:line="360" w:lineRule="auto"/>
        <w:jc w:val="both"/>
      </w:pPr>
      <w:r w:rsidRPr="00CD2749">
        <w:rPr>
          <w:rStyle w:val="Strong"/>
        </w:rPr>
        <w:t>Simplification of the GST Structure</w:t>
      </w:r>
      <w:r w:rsidRPr="00CD2749">
        <w:t>: The Indian government should consider simplifying the multi-rate GST structure to reduce complexity. A more streamlined approach, possibly by consolidating rates, could alleviate compliance burdens for small and medium enterprises (SMEs).</w:t>
      </w:r>
    </w:p>
    <w:p w:rsidR="00CD2749" w:rsidRPr="00CD2749" w:rsidRDefault="00CD2749" w:rsidP="00CD2749">
      <w:pPr>
        <w:pStyle w:val="NormalWeb"/>
        <w:numPr>
          <w:ilvl w:val="0"/>
          <w:numId w:val="9"/>
        </w:numPr>
        <w:spacing w:after="240" w:afterAutospacing="0" w:line="360" w:lineRule="auto"/>
        <w:jc w:val="both"/>
      </w:pPr>
      <w:r w:rsidRPr="00CD2749">
        <w:rPr>
          <w:rStyle w:val="Strong"/>
        </w:rPr>
        <w:t>Enhanced Training and Support for SMEs</w:t>
      </w:r>
      <w:r w:rsidRPr="00CD2749">
        <w:t>: Implement targeted training programs to educate smaller businesses about GST compliance. Workshops, online tutorials, and resource materials can help demystify the process, ensuring that SMEs are well-equipped to navigate the GST landscape.</w:t>
      </w:r>
    </w:p>
    <w:p w:rsidR="00CD2749" w:rsidRPr="00CD2749" w:rsidRDefault="00CD2749" w:rsidP="00CD2749">
      <w:pPr>
        <w:pStyle w:val="NormalWeb"/>
        <w:numPr>
          <w:ilvl w:val="0"/>
          <w:numId w:val="9"/>
        </w:numPr>
        <w:spacing w:after="240" w:afterAutospacing="0" w:line="360" w:lineRule="auto"/>
        <w:jc w:val="both"/>
      </w:pPr>
      <w:r w:rsidRPr="00CD2749">
        <w:rPr>
          <w:rStyle w:val="Strong"/>
        </w:rPr>
        <w:t>Strengthening Technological Integration</w:t>
      </w:r>
      <w:r w:rsidRPr="00CD2749">
        <w:t>: Further investment in technology, particularly in the Goods and Services Tax Network (GSTN), is essential. Enhancements in data analytics and real-time tracking can improve compliance monitoring and help identify discrepancies before they lead to penalties.</w:t>
      </w:r>
    </w:p>
    <w:p w:rsidR="00CD2749" w:rsidRPr="00CD2749" w:rsidRDefault="00CD2749" w:rsidP="00CD2749">
      <w:pPr>
        <w:pStyle w:val="NormalWeb"/>
        <w:numPr>
          <w:ilvl w:val="0"/>
          <w:numId w:val="9"/>
        </w:numPr>
        <w:spacing w:after="240" w:afterAutospacing="0" w:line="360" w:lineRule="auto"/>
        <w:jc w:val="both"/>
      </w:pPr>
      <w:r w:rsidRPr="00CD2749">
        <w:rPr>
          <w:rStyle w:val="Strong"/>
        </w:rPr>
        <w:t>Regular Compliance Audits</w:t>
      </w:r>
      <w:r w:rsidRPr="00CD2749">
        <w:t>: Establish a system for regular compliance audits and feedback mechanisms. This will not only ensure adherence to GST regulations but also provide businesses with insights on improving their tax practices.</w:t>
      </w:r>
    </w:p>
    <w:p w:rsidR="00CD2749" w:rsidRPr="00CD2749" w:rsidRDefault="00CD2749" w:rsidP="00CD2749">
      <w:pPr>
        <w:pStyle w:val="NormalWeb"/>
        <w:numPr>
          <w:ilvl w:val="0"/>
          <w:numId w:val="9"/>
        </w:numPr>
        <w:spacing w:after="240" w:afterAutospacing="0" w:line="360" w:lineRule="auto"/>
        <w:jc w:val="both"/>
      </w:pPr>
      <w:r w:rsidRPr="00CD2749">
        <w:rPr>
          <w:rStyle w:val="Strong"/>
        </w:rPr>
        <w:lastRenderedPageBreak/>
        <w:t>Collaboration with Industry Stakeholders</w:t>
      </w:r>
      <w:r w:rsidRPr="00CD2749">
        <w:t>: Foster partnerships between the government, tax consultants, and industry associations to create a collaborative environment. This can facilitate knowledge sharing and help identify common challenges faced by different sectors.</w:t>
      </w:r>
    </w:p>
    <w:p w:rsidR="00CD2749" w:rsidRPr="00CD2749" w:rsidRDefault="00CD2749" w:rsidP="00CD2749">
      <w:pPr>
        <w:pStyle w:val="NormalWeb"/>
        <w:numPr>
          <w:ilvl w:val="0"/>
          <w:numId w:val="9"/>
        </w:numPr>
        <w:spacing w:after="240" w:afterAutospacing="0" w:line="360" w:lineRule="auto"/>
        <w:jc w:val="both"/>
      </w:pPr>
      <w:r w:rsidRPr="00CD2749">
        <w:rPr>
          <w:rStyle w:val="Strong"/>
        </w:rPr>
        <w:t>Public Awareness Campaigns</w:t>
      </w:r>
      <w:r w:rsidRPr="00CD2749">
        <w:t>: Launch nationwide campaigns to raise awareness about GST benefits and obligations. Effective communication can help dispel myths, encourage compliance, and promote understanding among the general public.</w:t>
      </w:r>
    </w:p>
    <w:p w:rsidR="00CD2749" w:rsidRPr="00CD2749" w:rsidRDefault="00CD2749" w:rsidP="00CD2749">
      <w:pPr>
        <w:pStyle w:val="NormalWeb"/>
        <w:numPr>
          <w:ilvl w:val="0"/>
          <w:numId w:val="9"/>
        </w:numPr>
        <w:spacing w:after="240" w:afterAutospacing="0" w:line="360" w:lineRule="auto"/>
        <w:jc w:val="both"/>
      </w:pPr>
      <w:r w:rsidRPr="00CD2749">
        <w:rPr>
          <w:rStyle w:val="Strong"/>
        </w:rPr>
        <w:t>International Benchmarking</w:t>
      </w:r>
      <w:r w:rsidRPr="00CD2749">
        <w:t>: Conduct studies to benchmark India's GST framework against successful international models. Learning from countries with effective GST systems can provide insights into best practices and potential areas for reform.</w:t>
      </w:r>
    </w:p>
    <w:p w:rsidR="00CD2749" w:rsidRPr="00CD2749" w:rsidRDefault="00CD2749" w:rsidP="00CD2749">
      <w:pPr>
        <w:pStyle w:val="Heading4"/>
        <w:spacing w:after="240" w:line="360" w:lineRule="auto"/>
        <w:jc w:val="both"/>
        <w:rPr>
          <w:rFonts w:ascii="Times New Roman" w:hAnsi="Times New Roman" w:cs="Times New Roman"/>
          <w:b/>
          <w:i w:val="0"/>
          <w:sz w:val="24"/>
          <w:szCs w:val="24"/>
        </w:rPr>
      </w:pPr>
      <w:r w:rsidRPr="00CD2749">
        <w:rPr>
          <w:rFonts w:ascii="Times New Roman" w:hAnsi="Times New Roman" w:cs="Times New Roman"/>
          <w:b/>
          <w:i w:val="0"/>
          <w:color w:val="000000" w:themeColor="text1"/>
          <w:sz w:val="24"/>
          <w:szCs w:val="24"/>
        </w:rPr>
        <w:t>Future Scope</w:t>
      </w:r>
    </w:p>
    <w:p w:rsidR="00CD2749" w:rsidRPr="00CD2749" w:rsidRDefault="00CD2749" w:rsidP="00CD2749">
      <w:pPr>
        <w:pStyle w:val="NormalWeb"/>
        <w:numPr>
          <w:ilvl w:val="0"/>
          <w:numId w:val="10"/>
        </w:numPr>
        <w:spacing w:after="240" w:afterAutospacing="0" w:line="360" w:lineRule="auto"/>
        <w:jc w:val="both"/>
      </w:pPr>
      <w:r w:rsidRPr="00CD2749">
        <w:rPr>
          <w:rStyle w:val="Strong"/>
        </w:rPr>
        <w:t>Dynamic GST Rates</w:t>
      </w:r>
      <w:r w:rsidRPr="00CD2749">
        <w:t>: Exploring the feasibility of a more dynamic GST rate system that adjusts based on economic conditions could enhance revenue collection and ensure fairness.</w:t>
      </w:r>
    </w:p>
    <w:p w:rsidR="00CD2749" w:rsidRPr="00CD2749" w:rsidRDefault="00CD2749" w:rsidP="00CD2749">
      <w:pPr>
        <w:pStyle w:val="NormalWeb"/>
        <w:numPr>
          <w:ilvl w:val="0"/>
          <w:numId w:val="10"/>
        </w:numPr>
        <w:spacing w:after="240" w:afterAutospacing="0" w:line="360" w:lineRule="auto"/>
        <w:jc w:val="both"/>
      </w:pPr>
      <w:r w:rsidRPr="00CD2749">
        <w:rPr>
          <w:rStyle w:val="Strong"/>
        </w:rPr>
        <w:t>Expanded Tax Base</w:t>
      </w:r>
      <w:r w:rsidRPr="00CD2749">
        <w:t>: Continued efforts to incorporate informal businesses into the GST framework can further broaden the tax base, leading to increased revenue and reduced evasion.</w:t>
      </w:r>
    </w:p>
    <w:p w:rsidR="00CD2749" w:rsidRPr="00CD2749" w:rsidRDefault="00CD2749" w:rsidP="00CD2749">
      <w:pPr>
        <w:pStyle w:val="NormalWeb"/>
        <w:numPr>
          <w:ilvl w:val="0"/>
          <w:numId w:val="10"/>
        </w:numPr>
        <w:spacing w:after="240" w:afterAutospacing="0" w:line="360" w:lineRule="auto"/>
        <w:jc w:val="both"/>
      </w:pPr>
      <w:r w:rsidRPr="00CD2749">
        <w:rPr>
          <w:rStyle w:val="Strong"/>
        </w:rPr>
        <w:t>Use of Artificial Intelligence</w:t>
      </w:r>
      <w:r w:rsidRPr="00CD2749">
        <w:t>: Leveraging AI and machine learning technologies can improve compliance monitoring and tax collection efficiency. Predictive analytics can help identify potential tax evaders and streamline audit processes.</w:t>
      </w:r>
    </w:p>
    <w:p w:rsidR="00CD2749" w:rsidRPr="00CD2749" w:rsidRDefault="00CD2749" w:rsidP="00CD2749">
      <w:pPr>
        <w:pStyle w:val="NormalWeb"/>
        <w:numPr>
          <w:ilvl w:val="0"/>
          <w:numId w:val="10"/>
        </w:numPr>
        <w:spacing w:after="240" w:afterAutospacing="0" w:line="360" w:lineRule="auto"/>
        <w:jc w:val="both"/>
      </w:pPr>
      <w:r w:rsidRPr="00CD2749">
        <w:rPr>
          <w:rStyle w:val="Strong"/>
        </w:rPr>
        <w:t>Sustainability Initiatives</w:t>
      </w:r>
      <w:r w:rsidRPr="00CD2749">
        <w:t>: Future GST reforms could consider environmental factors, such as offering lower rates for sustainable products. This can encourage businesses to adopt greener practices while also aligning tax policies with national sustainability goals.</w:t>
      </w:r>
    </w:p>
    <w:p w:rsidR="00CD2749" w:rsidRPr="00CD2749" w:rsidRDefault="00CD2749" w:rsidP="00CD2749">
      <w:pPr>
        <w:pStyle w:val="NormalWeb"/>
        <w:numPr>
          <w:ilvl w:val="0"/>
          <w:numId w:val="10"/>
        </w:numPr>
        <w:spacing w:after="240" w:afterAutospacing="0" w:line="360" w:lineRule="auto"/>
        <w:jc w:val="both"/>
      </w:pPr>
      <w:r w:rsidRPr="00CD2749">
        <w:rPr>
          <w:rStyle w:val="Strong"/>
        </w:rPr>
        <w:t>E-Governance Enhancements</w:t>
      </w:r>
      <w:r w:rsidRPr="00CD2749">
        <w:t>: Continued improvement of e-governance in tax administration can facilitate smoother interactions between taxpayers and the government. Digital platforms can be optimized for ease of use, making compliance more accessible.</w:t>
      </w:r>
    </w:p>
    <w:p w:rsidR="00CD2749" w:rsidRPr="00CD2749" w:rsidRDefault="00CD2749" w:rsidP="00CD2749">
      <w:pPr>
        <w:pStyle w:val="NormalWeb"/>
        <w:numPr>
          <w:ilvl w:val="0"/>
          <w:numId w:val="10"/>
        </w:numPr>
        <w:spacing w:after="240" w:afterAutospacing="0" w:line="360" w:lineRule="auto"/>
        <w:jc w:val="both"/>
      </w:pPr>
      <w:r w:rsidRPr="00CD2749">
        <w:rPr>
          <w:rStyle w:val="Strong"/>
        </w:rPr>
        <w:lastRenderedPageBreak/>
        <w:t>Longitudinal Studies on GST Impact</w:t>
      </w:r>
      <w:r w:rsidRPr="00CD2749">
        <w:t>: Conducting longitudinal studies to assess the long-term impact of GST on different sectors will provide valuable insights for future policy adjustments and improvements.</w:t>
      </w:r>
    </w:p>
    <w:p w:rsidR="00CD2749" w:rsidRPr="00CD2749" w:rsidRDefault="00CD2749" w:rsidP="00CD2749">
      <w:pPr>
        <w:pStyle w:val="NormalWeb"/>
        <w:spacing w:after="240" w:afterAutospacing="0" w:line="360" w:lineRule="auto"/>
        <w:jc w:val="both"/>
      </w:pPr>
      <w:r w:rsidRPr="00CD2749">
        <w:t>In summary, while GST has significantly impacted India's economic landscape, ongoing reforms and adaptations are crucial for maximizing its benefits. By addressing current challenges and exploring innovative approaches, India can enhance its GST framework, fostering a more equitable, efficient, and sustainable taxation system for the future.</w:t>
      </w:r>
    </w:p>
    <w:p w:rsidR="0096355D" w:rsidRDefault="0096355D" w:rsidP="0025283D">
      <w:pPr>
        <w:spacing w:before="100" w:beforeAutospacing="1" w:after="100" w:afterAutospacing="1" w:line="360" w:lineRule="auto"/>
        <w:jc w:val="both"/>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043C0D" w:rsidRPr="00043C0D" w:rsidRDefault="00043C0D" w:rsidP="00043C0D">
      <w:pPr>
        <w:pStyle w:val="ListParagraph"/>
        <w:numPr>
          <w:ilvl w:val="0"/>
          <w:numId w:val="11"/>
        </w:numPr>
        <w:spacing w:after="0" w:line="240" w:lineRule="auto"/>
        <w:ind w:hanging="720"/>
        <w:jc w:val="both"/>
        <w:rPr>
          <w:rFonts w:ascii="Times New Roman" w:eastAsia="Times New Roman" w:hAnsi="Times New Roman" w:cs="Times New Roman"/>
          <w:color w:val="000000"/>
          <w:sz w:val="24"/>
          <w:szCs w:val="24"/>
        </w:rPr>
      </w:pPr>
      <w:proofErr w:type="spellStart"/>
      <w:r w:rsidRPr="00043C0D">
        <w:rPr>
          <w:rFonts w:ascii="Times New Roman" w:eastAsia="Times New Roman" w:hAnsi="Times New Roman" w:cs="Times New Roman"/>
          <w:color w:val="000000"/>
          <w:sz w:val="24"/>
          <w:szCs w:val="24"/>
          <w:shd w:val="clear" w:color="auto" w:fill="FFFFFF"/>
        </w:rPr>
        <w:t>Mansor</w:t>
      </w:r>
      <w:proofErr w:type="spellEnd"/>
      <w:r w:rsidRPr="00043C0D">
        <w:rPr>
          <w:rFonts w:ascii="Times New Roman" w:eastAsia="Times New Roman" w:hAnsi="Times New Roman" w:cs="Times New Roman"/>
          <w:color w:val="000000"/>
          <w:sz w:val="24"/>
          <w:szCs w:val="24"/>
          <w:shd w:val="clear" w:color="auto" w:fill="FFFFFF"/>
        </w:rPr>
        <w:t xml:space="preserve">, N. H., and </w:t>
      </w:r>
      <w:proofErr w:type="spellStart"/>
      <w:r w:rsidRPr="00043C0D">
        <w:rPr>
          <w:rFonts w:ascii="Times New Roman" w:eastAsia="Times New Roman" w:hAnsi="Times New Roman" w:cs="Times New Roman"/>
          <w:color w:val="000000"/>
          <w:sz w:val="24"/>
          <w:szCs w:val="24"/>
          <w:shd w:val="clear" w:color="auto" w:fill="FFFFFF"/>
        </w:rPr>
        <w:t>Ilias</w:t>
      </w:r>
      <w:proofErr w:type="spellEnd"/>
      <w:r w:rsidRPr="00043C0D">
        <w:rPr>
          <w:rFonts w:ascii="Times New Roman" w:eastAsia="Times New Roman" w:hAnsi="Times New Roman" w:cs="Times New Roman"/>
          <w:color w:val="000000"/>
          <w:sz w:val="24"/>
          <w:szCs w:val="24"/>
          <w:shd w:val="clear" w:color="auto" w:fill="FFFFFF"/>
        </w:rPr>
        <w:t>, A. (2013). Goods and services tax (GST): A new tax reform in Malaysia. International Journal of Economics Business and Management Studies, 2(1), 12-19.</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proofErr w:type="spellStart"/>
      <w:r w:rsidRPr="00043C0D">
        <w:rPr>
          <w:rFonts w:ascii="Times New Roman" w:eastAsia="Times New Roman" w:hAnsi="Times New Roman" w:cs="Times New Roman"/>
          <w:sz w:val="24"/>
          <w:szCs w:val="24"/>
        </w:rPr>
        <w:t>Bahl</w:t>
      </w:r>
      <w:proofErr w:type="spellEnd"/>
      <w:r w:rsidRPr="00043C0D">
        <w:rPr>
          <w:rFonts w:ascii="Times New Roman" w:eastAsia="Times New Roman" w:hAnsi="Times New Roman" w:cs="Times New Roman"/>
          <w:sz w:val="24"/>
          <w:szCs w:val="24"/>
        </w:rPr>
        <w:t xml:space="preserve">, R. &amp; </w:t>
      </w:r>
      <w:proofErr w:type="spellStart"/>
      <w:r w:rsidRPr="00043C0D">
        <w:rPr>
          <w:rFonts w:ascii="Times New Roman" w:eastAsia="Times New Roman" w:hAnsi="Times New Roman" w:cs="Times New Roman"/>
          <w:sz w:val="24"/>
          <w:szCs w:val="24"/>
        </w:rPr>
        <w:t>Wallack</w:t>
      </w:r>
      <w:proofErr w:type="spellEnd"/>
      <w:r w:rsidRPr="00043C0D">
        <w:rPr>
          <w:rFonts w:ascii="Times New Roman" w:eastAsia="Times New Roman" w:hAnsi="Times New Roman" w:cs="Times New Roman"/>
          <w:sz w:val="24"/>
          <w:szCs w:val="24"/>
        </w:rPr>
        <w:t xml:space="preserve">, J. (2015). </w:t>
      </w:r>
      <w:r w:rsidRPr="00043C0D">
        <w:rPr>
          <w:rFonts w:ascii="Times New Roman" w:eastAsia="Times New Roman" w:hAnsi="Times New Roman" w:cs="Times New Roman"/>
          <w:i/>
          <w:iCs/>
          <w:sz w:val="24"/>
          <w:szCs w:val="24"/>
        </w:rPr>
        <w:t>India's Goods and Services Tax: An Overview</w:t>
      </w:r>
      <w:r w:rsidRPr="00043C0D">
        <w:rPr>
          <w:rFonts w:ascii="Times New Roman" w:eastAsia="Times New Roman" w:hAnsi="Times New Roman" w:cs="Times New Roman"/>
          <w:sz w:val="24"/>
          <w:szCs w:val="24"/>
        </w:rPr>
        <w:t>. International Center for Public Policy, Georgia State University.</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r w:rsidRPr="00043C0D">
        <w:rPr>
          <w:rFonts w:ascii="Times New Roman" w:eastAsia="Times New Roman" w:hAnsi="Times New Roman" w:cs="Times New Roman"/>
          <w:sz w:val="24"/>
          <w:szCs w:val="24"/>
        </w:rPr>
        <w:t xml:space="preserve">Bansal, A. (2021). 'GST Compliance: Challenges and Solutions', </w:t>
      </w:r>
      <w:r w:rsidRPr="00043C0D">
        <w:rPr>
          <w:rFonts w:ascii="Times New Roman" w:eastAsia="Times New Roman" w:hAnsi="Times New Roman" w:cs="Times New Roman"/>
          <w:i/>
          <w:iCs/>
          <w:sz w:val="24"/>
          <w:szCs w:val="24"/>
        </w:rPr>
        <w:t>Journal of Business Management</w:t>
      </w:r>
      <w:r w:rsidRPr="00043C0D">
        <w:rPr>
          <w:rFonts w:ascii="Times New Roman" w:eastAsia="Times New Roman" w:hAnsi="Times New Roman" w:cs="Times New Roman"/>
          <w:sz w:val="24"/>
          <w:szCs w:val="24"/>
        </w:rPr>
        <w:t>, 12(3), 45-58.</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r w:rsidRPr="00043C0D">
        <w:rPr>
          <w:rFonts w:ascii="Times New Roman" w:eastAsia="Times New Roman" w:hAnsi="Times New Roman" w:cs="Times New Roman"/>
          <w:sz w:val="24"/>
          <w:szCs w:val="24"/>
        </w:rPr>
        <w:t xml:space="preserve">Choudhury, S. (2022). 'Long-term Economic Implications of GST', </w:t>
      </w:r>
      <w:r w:rsidRPr="00043C0D">
        <w:rPr>
          <w:rFonts w:ascii="Times New Roman" w:eastAsia="Times New Roman" w:hAnsi="Times New Roman" w:cs="Times New Roman"/>
          <w:i/>
          <w:iCs/>
          <w:sz w:val="24"/>
          <w:szCs w:val="24"/>
        </w:rPr>
        <w:t>Economic &amp; Political Weekly</w:t>
      </w:r>
      <w:r w:rsidRPr="00043C0D">
        <w:rPr>
          <w:rFonts w:ascii="Times New Roman" w:eastAsia="Times New Roman" w:hAnsi="Times New Roman" w:cs="Times New Roman"/>
          <w:sz w:val="24"/>
          <w:szCs w:val="24"/>
        </w:rPr>
        <w:t>, 57(3), 22-30.</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r w:rsidRPr="00043C0D">
        <w:rPr>
          <w:rFonts w:ascii="Times New Roman" w:eastAsia="Times New Roman" w:hAnsi="Times New Roman" w:cs="Times New Roman"/>
          <w:sz w:val="24"/>
          <w:szCs w:val="24"/>
        </w:rPr>
        <w:t xml:space="preserve">Gupta, R. &amp; Singh, V. (2019). 'The Impact of GST on Consumer Prices', </w:t>
      </w:r>
      <w:r w:rsidRPr="00043C0D">
        <w:rPr>
          <w:rFonts w:ascii="Times New Roman" w:eastAsia="Times New Roman" w:hAnsi="Times New Roman" w:cs="Times New Roman"/>
          <w:i/>
          <w:iCs/>
          <w:sz w:val="24"/>
          <w:szCs w:val="24"/>
        </w:rPr>
        <w:t>Indian Journal of Economics</w:t>
      </w:r>
      <w:r w:rsidRPr="00043C0D">
        <w:rPr>
          <w:rFonts w:ascii="Times New Roman" w:eastAsia="Times New Roman" w:hAnsi="Times New Roman" w:cs="Times New Roman"/>
          <w:sz w:val="24"/>
          <w:szCs w:val="24"/>
        </w:rPr>
        <w:t>, 45(2), 56-67.</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proofErr w:type="spellStart"/>
      <w:r w:rsidRPr="00043C0D">
        <w:rPr>
          <w:rFonts w:ascii="Times New Roman" w:eastAsia="Times New Roman" w:hAnsi="Times New Roman" w:cs="Times New Roman"/>
          <w:sz w:val="24"/>
          <w:szCs w:val="24"/>
        </w:rPr>
        <w:t>Jha</w:t>
      </w:r>
      <w:proofErr w:type="spellEnd"/>
      <w:r w:rsidRPr="00043C0D">
        <w:rPr>
          <w:rFonts w:ascii="Times New Roman" w:eastAsia="Times New Roman" w:hAnsi="Times New Roman" w:cs="Times New Roman"/>
          <w:sz w:val="24"/>
          <w:szCs w:val="24"/>
        </w:rPr>
        <w:t xml:space="preserve">, R. (2019). 'The Impact of GST on Inter-State Trade: A Study', </w:t>
      </w:r>
      <w:r w:rsidRPr="00043C0D">
        <w:rPr>
          <w:rFonts w:ascii="Times New Roman" w:eastAsia="Times New Roman" w:hAnsi="Times New Roman" w:cs="Times New Roman"/>
          <w:i/>
          <w:iCs/>
          <w:sz w:val="24"/>
          <w:szCs w:val="24"/>
        </w:rPr>
        <w:t>Indian Economic Review</w:t>
      </w:r>
      <w:r w:rsidRPr="00043C0D">
        <w:rPr>
          <w:rFonts w:ascii="Times New Roman" w:eastAsia="Times New Roman" w:hAnsi="Times New Roman" w:cs="Times New Roman"/>
          <w:sz w:val="24"/>
          <w:szCs w:val="24"/>
        </w:rPr>
        <w:t>, 54(2), 231-250.</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r w:rsidRPr="00043C0D">
        <w:rPr>
          <w:rFonts w:ascii="Times New Roman" w:eastAsia="Times New Roman" w:hAnsi="Times New Roman" w:cs="Times New Roman"/>
          <w:sz w:val="24"/>
          <w:szCs w:val="24"/>
        </w:rPr>
        <w:t xml:space="preserve">Kumar, A. (2018). 'Understanding GST Implementation Challenges', </w:t>
      </w:r>
      <w:r w:rsidRPr="00043C0D">
        <w:rPr>
          <w:rFonts w:ascii="Times New Roman" w:eastAsia="Times New Roman" w:hAnsi="Times New Roman" w:cs="Times New Roman"/>
          <w:i/>
          <w:iCs/>
          <w:sz w:val="24"/>
          <w:szCs w:val="24"/>
        </w:rPr>
        <w:t>Economic &amp; Political Weekly</w:t>
      </w:r>
      <w:r w:rsidRPr="00043C0D">
        <w:rPr>
          <w:rFonts w:ascii="Times New Roman" w:eastAsia="Times New Roman" w:hAnsi="Times New Roman" w:cs="Times New Roman"/>
          <w:sz w:val="24"/>
          <w:szCs w:val="24"/>
        </w:rPr>
        <w:t>, 53(22), 50-56.</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r w:rsidRPr="00043C0D">
        <w:rPr>
          <w:rFonts w:ascii="Times New Roman" w:eastAsia="Times New Roman" w:hAnsi="Times New Roman" w:cs="Times New Roman"/>
          <w:sz w:val="24"/>
          <w:szCs w:val="24"/>
        </w:rPr>
        <w:t xml:space="preserve">Ministry of Finance (2022). </w:t>
      </w:r>
      <w:r w:rsidRPr="00043C0D">
        <w:rPr>
          <w:rFonts w:ascii="Times New Roman" w:eastAsia="Times New Roman" w:hAnsi="Times New Roman" w:cs="Times New Roman"/>
          <w:i/>
          <w:iCs/>
          <w:sz w:val="24"/>
          <w:szCs w:val="24"/>
        </w:rPr>
        <w:t>GST Revenue Collections Report</w:t>
      </w:r>
      <w:r w:rsidRPr="00043C0D">
        <w:rPr>
          <w:rFonts w:ascii="Times New Roman" w:eastAsia="Times New Roman" w:hAnsi="Times New Roman" w:cs="Times New Roman"/>
          <w:sz w:val="24"/>
          <w:szCs w:val="24"/>
        </w:rPr>
        <w:t>. Government of India.</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r w:rsidRPr="00043C0D">
        <w:rPr>
          <w:rFonts w:ascii="Times New Roman" w:eastAsia="Times New Roman" w:hAnsi="Times New Roman" w:cs="Times New Roman"/>
          <w:sz w:val="24"/>
          <w:szCs w:val="24"/>
        </w:rPr>
        <w:t xml:space="preserve">National Council of Applied Economic Research (NCAER) (2020). </w:t>
      </w:r>
      <w:r w:rsidRPr="00043C0D">
        <w:rPr>
          <w:rFonts w:ascii="Times New Roman" w:eastAsia="Times New Roman" w:hAnsi="Times New Roman" w:cs="Times New Roman"/>
          <w:i/>
          <w:iCs/>
          <w:sz w:val="24"/>
          <w:szCs w:val="24"/>
        </w:rPr>
        <w:t>Consumer Perceptions of GST in India</w:t>
      </w:r>
      <w:r w:rsidRPr="00043C0D">
        <w:rPr>
          <w:rFonts w:ascii="Times New Roman" w:eastAsia="Times New Roman" w:hAnsi="Times New Roman" w:cs="Times New Roman"/>
          <w:sz w:val="24"/>
          <w:szCs w:val="24"/>
        </w:rPr>
        <w:t>.</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proofErr w:type="spellStart"/>
      <w:r w:rsidRPr="00043C0D">
        <w:rPr>
          <w:rFonts w:ascii="Times New Roman" w:eastAsia="Times New Roman" w:hAnsi="Times New Roman" w:cs="Times New Roman"/>
          <w:sz w:val="24"/>
          <w:szCs w:val="24"/>
        </w:rPr>
        <w:t>Rajan</w:t>
      </w:r>
      <w:proofErr w:type="spellEnd"/>
      <w:r w:rsidRPr="00043C0D">
        <w:rPr>
          <w:rFonts w:ascii="Times New Roman" w:eastAsia="Times New Roman" w:hAnsi="Times New Roman" w:cs="Times New Roman"/>
          <w:sz w:val="24"/>
          <w:szCs w:val="24"/>
        </w:rPr>
        <w:t xml:space="preserve">, A. (2020). 'Fiscal Decentralization and GST: Challenges Ahead', </w:t>
      </w:r>
      <w:r w:rsidRPr="00043C0D">
        <w:rPr>
          <w:rFonts w:ascii="Times New Roman" w:eastAsia="Times New Roman" w:hAnsi="Times New Roman" w:cs="Times New Roman"/>
          <w:i/>
          <w:iCs/>
          <w:sz w:val="24"/>
          <w:szCs w:val="24"/>
        </w:rPr>
        <w:t>Public Finance Review</w:t>
      </w:r>
      <w:r w:rsidRPr="00043C0D">
        <w:rPr>
          <w:rFonts w:ascii="Times New Roman" w:eastAsia="Times New Roman" w:hAnsi="Times New Roman" w:cs="Times New Roman"/>
          <w:sz w:val="24"/>
          <w:szCs w:val="24"/>
        </w:rPr>
        <w:t>, 48(4), 487-504.</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r w:rsidRPr="00043C0D">
        <w:rPr>
          <w:rFonts w:ascii="Times New Roman" w:eastAsia="Times New Roman" w:hAnsi="Times New Roman" w:cs="Times New Roman"/>
          <w:sz w:val="24"/>
          <w:szCs w:val="24"/>
        </w:rPr>
        <w:t xml:space="preserve">Rao, P. (2022). 'Future Trajectory of GST in India', </w:t>
      </w:r>
      <w:r w:rsidRPr="00043C0D">
        <w:rPr>
          <w:rFonts w:ascii="Times New Roman" w:eastAsia="Times New Roman" w:hAnsi="Times New Roman" w:cs="Times New Roman"/>
          <w:i/>
          <w:iCs/>
          <w:sz w:val="24"/>
          <w:szCs w:val="24"/>
        </w:rPr>
        <w:t>Indian Journal of Taxation</w:t>
      </w:r>
      <w:r w:rsidRPr="00043C0D">
        <w:rPr>
          <w:rFonts w:ascii="Times New Roman" w:eastAsia="Times New Roman" w:hAnsi="Times New Roman" w:cs="Times New Roman"/>
          <w:sz w:val="24"/>
          <w:szCs w:val="24"/>
        </w:rPr>
        <w:t>, 10(1), 5-15.</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r w:rsidRPr="00043C0D">
        <w:rPr>
          <w:rFonts w:ascii="Times New Roman" w:eastAsia="Times New Roman" w:hAnsi="Times New Roman" w:cs="Times New Roman"/>
          <w:sz w:val="24"/>
          <w:szCs w:val="24"/>
        </w:rPr>
        <w:t xml:space="preserve">Sharma, S. &amp; Sharma, R. (2021). 'GST and the Informal Sector: A New Paradigm', </w:t>
      </w:r>
      <w:r w:rsidRPr="00043C0D">
        <w:rPr>
          <w:rFonts w:ascii="Times New Roman" w:eastAsia="Times New Roman" w:hAnsi="Times New Roman" w:cs="Times New Roman"/>
          <w:i/>
          <w:iCs/>
          <w:sz w:val="24"/>
          <w:szCs w:val="24"/>
        </w:rPr>
        <w:t>Journal of Development Studies</w:t>
      </w:r>
      <w:r w:rsidRPr="00043C0D">
        <w:rPr>
          <w:rFonts w:ascii="Times New Roman" w:eastAsia="Times New Roman" w:hAnsi="Times New Roman" w:cs="Times New Roman"/>
          <w:sz w:val="24"/>
          <w:szCs w:val="24"/>
        </w:rPr>
        <w:t>, 57(5), 789-802.</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r w:rsidRPr="00043C0D">
        <w:rPr>
          <w:rFonts w:ascii="Times New Roman" w:eastAsia="Times New Roman" w:hAnsi="Times New Roman" w:cs="Times New Roman"/>
          <w:sz w:val="24"/>
          <w:szCs w:val="24"/>
        </w:rPr>
        <w:t xml:space="preserve">Singh, R. &amp; Sinha, S. (2020). 'Technology and Taxation: The Role of GSTN', </w:t>
      </w:r>
      <w:r w:rsidRPr="00043C0D">
        <w:rPr>
          <w:rFonts w:ascii="Times New Roman" w:eastAsia="Times New Roman" w:hAnsi="Times New Roman" w:cs="Times New Roman"/>
          <w:i/>
          <w:iCs/>
          <w:sz w:val="24"/>
          <w:szCs w:val="24"/>
        </w:rPr>
        <w:t>International Journal of Finance and Accounting</w:t>
      </w:r>
      <w:r w:rsidRPr="00043C0D">
        <w:rPr>
          <w:rFonts w:ascii="Times New Roman" w:eastAsia="Times New Roman" w:hAnsi="Times New Roman" w:cs="Times New Roman"/>
          <w:sz w:val="24"/>
          <w:szCs w:val="24"/>
        </w:rPr>
        <w:t>, 9(1), 15-29.</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proofErr w:type="spellStart"/>
      <w:r w:rsidRPr="00043C0D">
        <w:rPr>
          <w:rFonts w:ascii="Times New Roman" w:eastAsia="Times New Roman" w:hAnsi="Times New Roman" w:cs="Times New Roman"/>
          <w:sz w:val="24"/>
          <w:szCs w:val="24"/>
        </w:rPr>
        <w:t>Verma</w:t>
      </w:r>
      <w:proofErr w:type="spellEnd"/>
      <w:r w:rsidRPr="00043C0D">
        <w:rPr>
          <w:rFonts w:ascii="Times New Roman" w:eastAsia="Times New Roman" w:hAnsi="Times New Roman" w:cs="Times New Roman"/>
          <w:sz w:val="24"/>
          <w:szCs w:val="24"/>
        </w:rPr>
        <w:t xml:space="preserve">, A. (2021). 'Assessment of GST Compliance </w:t>
      </w:r>
      <w:proofErr w:type="gramStart"/>
      <w:r w:rsidRPr="00043C0D">
        <w:rPr>
          <w:rFonts w:ascii="Times New Roman" w:eastAsia="Times New Roman" w:hAnsi="Times New Roman" w:cs="Times New Roman"/>
          <w:sz w:val="24"/>
          <w:szCs w:val="24"/>
        </w:rPr>
        <w:t>Across</w:t>
      </w:r>
      <w:proofErr w:type="gramEnd"/>
      <w:r w:rsidRPr="00043C0D">
        <w:rPr>
          <w:rFonts w:ascii="Times New Roman" w:eastAsia="Times New Roman" w:hAnsi="Times New Roman" w:cs="Times New Roman"/>
          <w:sz w:val="24"/>
          <w:szCs w:val="24"/>
        </w:rPr>
        <w:t xml:space="preserve"> Sectors', </w:t>
      </w:r>
      <w:r w:rsidRPr="00043C0D">
        <w:rPr>
          <w:rFonts w:ascii="Times New Roman" w:eastAsia="Times New Roman" w:hAnsi="Times New Roman" w:cs="Times New Roman"/>
          <w:i/>
          <w:iCs/>
          <w:sz w:val="24"/>
          <w:szCs w:val="24"/>
        </w:rPr>
        <w:t>Business Analyst Journal</w:t>
      </w:r>
      <w:r w:rsidRPr="00043C0D">
        <w:rPr>
          <w:rFonts w:ascii="Times New Roman" w:eastAsia="Times New Roman" w:hAnsi="Times New Roman" w:cs="Times New Roman"/>
          <w:sz w:val="24"/>
          <w:szCs w:val="24"/>
        </w:rPr>
        <w:t>, 13(2), 76-89.</w:t>
      </w:r>
    </w:p>
    <w:p w:rsidR="00043C0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r w:rsidRPr="00043C0D">
        <w:rPr>
          <w:rFonts w:ascii="Times New Roman" w:eastAsia="Times New Roman" w:hAnsi="Times New Roman" w:cs="Times New Roman"/>
          <w:sz w:val="24"/>
          <w:szCs w:val="24"/>
        </w:rPr>
        <w:t xml:space="preserve">World Bank (2023). </w:t>
      </w:r>
      <w:r w:rsidRPr="00043C0D">
        <w:rPr>
          <w:rFonts w:ascii="Times New Roman" w:eastAsia="Times New Roman" w:hAnsi="Times New Roman" w:cs="Times New Roman"/>
          <w:i/>
          <w:iCs/>
          <w:sz w:val="24"/>
          <w:szCs w:val="24"/>
        </w:rPr>
        <w:t>Impact of COVID-19 on GST in India</w:t>
      </w:r>
      <w:r w:rsidRPr="00043C0D">
        <w:rPr>
          <w:rFonts w:ascii="Times New Roman" w:eastAsia="Times New Roman" w:hAnsi="Times New Roman" w:cs="Times New Roman"/>
          <w:sz w:val="24"/>
          <w:szCs w:val="24"/>
        </w:rPr>
        <w:t>.</w:t>
      </w:r>
    </w:p>
    <w:p w:rsidR="0096355D" w:rsidRPr="00043C0D" w:rsidRDefault="0096355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r w:rsidRPr="00043C0D">
        <w:rPr>
          <w:rFonts w:ascii="Times New Roman" w:eastAsia="Times New Roman" w:hAnsi="Times New Roman" w:cs="Times New Roman"/>
          <w:sz w:val="24"/>
          <w:szCs w:val="24"/>
        </w:rPr>
        <w:t xml:space="preserve">International Monetary Fund (2021). </w:t>
      </w:r>
      <w:r w:rsidRPr="00043C0D">
        <w:rPr>
          <w:rFonts w:ascii="Times New Roman" w:eastAsia="Times New Roman" w:hAnsi="Times New Roman" w:cs="Times New Roman"/>
          <w:i/>
          <w:iCs/>
          <w:sz w:val="24"/>
          <w:szCs w:val="24"/>
        </w:rPr>
        <w:t>Comparative Study on GST Implementation in Selected Countries</w:t>
      </w:r>
      <w:r w:rsidRPr="00043C0D">
        <w:rPr>
          <w:rFonts w:ascii="Times New Roman" w:eastAsia="Times New Roman" w:hAnsi="Times New Roman" w:cs="Times New Roman"/>
          <w:sz w:val="24"/>
          <w:szCs w:val="24"/>
        </w:rPr>
        <w:t>.</w:t>
      </w:r>
    </w:p>
    <w:p w:rsidR="00043C0D" w:rsidRPr="00043C0D" w:rsidRDefault="00043C0D" w:rsidP="00043C0D">
      <w:pPr>
        <w:pStyle w:val="ListParagraph"/>
        <w:numPr>
          <w:ilvl w:val="0"/>
          <w:numId w:val="11"/>
        </w:numPr>
        <w:spacing w:after="0" w:line="240" w:lineRule="auto"/>
        <w:ind w:hanging="720"/>
        <w:jc w:val="both"/>
        <w:rPr>
          <w:rFonts w:ascii="Times New Roman" w:eastAsia="Times New Roman" w:hAnsi="Times New Roman" w:cs="Times New Roman"/>
          <w:color w:val="000000"/>
          <w:sz w:val="24"/>
          <w:szCs w:val="24"/>
        </w:rPr>
      </w:pPr>
      <w:r w:rsidRPr="00043C0D">
        <w:rPr>
          <w:rFonts w:ascii="Times New Roman" w:eastAsia="Times New Roman" w:hAnsi="Times New Roman" w:cs="Times New Roman"/>
          <w:color w:val="000000"/>
          <w:sz w:val="24"/>
          <w:szCs w:val="24"/>
          <w:shd w:val="clear" w:color="auto" w:fill="FFFFFF"/>
        </w:rPr>
        <w:lastRenderedPageBreak/>
        <w:t>Spiro, P. S. (1993). Evidence of a Post-GST Income in the Underground Economy. Can. Tax J., 41, 247.</w:t>
      </w:r>
    </w:p>
    <w:p w:rsidR="00043C0D" w:rsidRPr="00043C0D" w:rsidRDefault="00043C0D" w:rsidP="00043C0D">
      <w:pPr>
        <w:pStyle w:val="ListParagraph"/>
        <w:numPr>
          <w:ilvl w:val="0"/>
          <w:numId w:val="11"/>
        </w:numPr>
        <w:spacing w:after="0" w:line="240" w:lineRule="auto"/>
        <w:ind w:hanging="720"/>
        <w:jc w:val="both"/>
        <w:rPr>
          <w:rFonts w:ascii="Times New Roman" w:eastAsia="Times New Roman" w:hAnsi="Times New Roman" w:cs="Times New Roman"/>
          <w:color w:val="000000"/>
          <w:sz w:val="24"/>
          <w:szCs w:val="24"/>
        </w:rPr>
      </w:pPr>
      <w:proofErr w:type="spellStart"/>
      <w:r w:rsidRPr="00043C0D">
        <w:rPr>
          <w:rFonts w:ascii="Times New Roman" w:eastAsia="Times New Roman" w:hAnsi="Times New Roman" w:cs="Times New Roman"/>
          <w:color w:val="000000"/>
          <w:sz w:val="24"/>
          <w:szCs w:val="24"/>
          <w:shd w:val="clear" w:color="auto" w:fill="FFFFFF"/>
        </w:rPr>
        <w:t>Valadkhani</w:t>
      </w:r>
      <w:proofErr w:type="spellEnd"/>
      <w:r w:rsidRPr="00043C0D">
        <w:rPr>
          <w:rFonts w:ascii="Times New Roman" w:eastAsia="Times New Roman" w:hAnsi="Times New Roman" w:cs="Times New Roman"/>
          <w:color w:val="000000"/>
          <w:sz w:val="24"/>
          <w:szCs w:val="24"/>
          <w:shd w:val="clear" w:color="auto" w:fill="FFFFFF"/>
        </w:rPr>
        <w:t>, A., and Layton, A. P. (2004). Quantifying the effect of the GST on inflation in Australia's capital cities: An intervention analysis. Australian Economic Review, 37(2), 125-138.</w:t>
      </w:r>
    </w:p>
    <w:p w:rsidR="00043C0D" w:rsidRPr="00043C0D" w:rsidRDefault="00043C0D" w:rsidP="00043C0D">
      <w:pPr>
        <w:pStyle w:val="ListParagraph"/>
        <w:numPr>
          <w:ilvl w:val="0"/>
          <w:numId w:val="11"/>
        </w:numPr>
        <w:spacing w:after="0" w:line="240" w:lineRule="auto"/>
        <w:ind w:hanging="720"/>
        <w:jc w:val="both"/>
        <w:rPr>
          <w:rFonts w:ascii="Times New Roman" w:eastAsia="Times New Roman" w:hAnsi="Times New Roman" w:cs="Times New Roman"/>
          <w:color w:val="000000"/>
          <w:sz w:val="24"/>
          <w:szCs w:val="24"/>
        </w:rPr>
      </w:pPr>
      <w:proofErr w:type="spellStart"/>
      <w:r w:rsidRPr="00043C0D">
        <w:rPr>
          <w:rFonts w:ascii="Times New Roman" w:eastAsia="Times New Roman" w:hAnsi="Times New Roman" w:cs="Times New Roman"/>
          <w:color w:val="000000"/>
          <w:sz w:val="24"/>
          <w:szCs w:val="24"/>
          <w:shd w:val="clear" w:color="auto" w:fill="FFFFFF"/>
        </w:rPr>
        <w:t>Goh</w:t>
      </w:r>
      <w:proofErr w:type="spellEnd"/>
      <w:r w:rsidRPr="00043C0D">
        <w:rPr>
          <w:rFonts w:ascii="Times New Roman" w:eastAsia="Times New Roman" w:hAnsi="Times New Roman" w:cs="Times New Roman"/>
          <w:color w:val="000000"/>
          <w:sz w:val="24"/>
          <w:szCs w:val="24"/>
          <w:shd w:val="clear" w:color="auto" w:fill="FFFFFF"/>
        </w:rPr>
        <w:t xml:space="preserve">, P. J., Cham, T. H., and </w:t>
      </w:r>
      <w:proofErr w:type="spellStart"/>
      <w:r w:rsidRPr="00043C0D">
        <w:rPr>
          <w:rFonts w:ascii="Times New Roman" w:eastAsia="Times New Roman" w:hAnsi="Times New Roman" w:cs="Times New Roman"/>
          <w:color w:val="000000"/>
          <w:sz w:val="24"/>
          <w:szCs w:val="24"/>
          <w:shd w:val="clear" w:color="auto" w:fill="FFFFFF"/>
        </w:rPr>
        <w:t>Tay</w:t>
      </w:r>
      <w:proofErr w:type="spellEnd"/>
      <w:r w:rsidRPr="00043C0D">
        <w:rPr>
          <w:rFonts w:ascii="Times New Roman" w:eastAsia="Times New Roman" w:hAnsi="Times New Roman" w:cs="Times New Roman"/>
          <w:color w:val="000000"/>
          <w:sz w:val="24"/>
          <w:szCs w:val="24"/>
          <w:shd w:val="clear" w:color="auto" w:fill="FFFFFF"/>
        </w:rPr>
        <w:t xml:space="preserve">, A. G. M. (2017). Consumers’ Perception Towards the implementation of Goods and Services Tax (GST) in Malaysia: A Review Paper. </w:t>
      </w:r>
      <w:proofErr w:type="spellStart"/>
      <w:r w:rsidRPr="00043C0D">
        <w:rPr>
          <w:rFonts w:ascii="Times New Roman" w:eastAsia="Times New Roman" w:hAnsi="Times New Roman" w:cs="Times New Roman"/>
          <w:color w:val="000000"/>
          <w:sz w:val="24"/>
          <w:szCs w:val="24"/>
          <w:shd w:val="clear" w:color="auto" w:fill="FFFFFF"/>
        </w:rPr>
        <w:t>Goh</w:t>
      </w:r>
      <w:proofErr w:type="spellEnd"/>
      <w:r w:rsidRPr="00043C0D">
        <w:rPr>
          <w:rFonts w:ascii="Times New Roman" w:eastAsia="Times New Roman" w:hAnsi="Times New Roman" w:cs="Times New Roman"/>
          <w:color w:val="000000"/>
          <w:sz w:val="24"/>
          <w:szCs w:val="24"/>
          <w:shd w:val="clear" w:color="auto" w:fill="FFFFFF"/>
        </w:rPr>
        <w:t xml:space="preserve">, PJ, Cham, TH and </w:t>
      </w:r>
      <w:proofErr w:type="spellStart"/>
      <w:r w:rsidRPr="00043C0D">
        <w:rPr>
          <w:rFonts w:ascii="Times New Roman" w:eastAsia="Times New Roman" w:hAnsi="Times New Roman" w:cs="Times New Roman"/>
          <w:color w:val="000000"/>
          <w:sz w:val="24"/>
          <w:szCs w:val="24"/>
          <w:shd w:val="clear" w:color="auto" w:fill="FFFFFF"/>
        </w:rPr>
        <w:t>Tay</w:t>
      </w:r>
      <w:proofErr w:type="spellEnd"/>
      <w:r w:rsidRPr="00043C0D">
        <w:rPr>
          <w:rFonts w:ascii="Times New Roman" w:eastAsia="Times New Roman" w:hAnsi="Times New Roman" w:cs="Times New Roman"/>
          <w:color w:val="000000"/>
          <w:sz w:val="24"/>
          <w:szCs w:val="24"/>
          <w:shd w:val="clear" w:color="auto" w:fill="FFFFFF"/>
        </w:rPr>
        <w:t xml:space="preserve">, AGM (2017). Consumers' Perception </w:t>
      </w:r>
      <w:proofErr w:type="gramStart"/>
      <w:r w:rsidRPr="00043C0D">
        <w:rPr>
          <w:rFonts w:ascii="Times New Roman" w:eastAsia="Times New Roman" w:hAnsi="Times New Roman" w:cs="Times New Roman"/>
          <w:color w:val="000000"/>
          <w:sz w:val="24"/>
          <w:szCs w:val="24"/>
          <w:shd w:val="clear" w:color="auto" w:fill="FFFFFF"/>
        </w:rPr>
        <w:t>Towards</w:t>
      </w:r>
      <w:proofErr w:type="gramEnd"/>
      <w:r w:rsidRPr="00043C0D">
        <w:rPr>
          <w:rFonts w:ascii="Times New Roman" w:eastAsia="Times New Roman" w:hAnsi="Times New Roman" w:cs="Times New Roman"/>
          <w:color w:val="000000"/>
          <w:sz w:val="24"/>
          <w:szCs w:val="24"/>
          <w:shd w:val="clear" w:color="auto" w:fill="FFFFFF"/>
        </w:rPr>
        <w:t xml:space="preserve"> the Implementation of Goods and Services Tax (GST) in Malaysia: A Review Paper. Journal of Global Business and Social Entrepreneurship (GBSE) </w:t>
      </w:r>
      <w:proofErr w:type="spellStart"/>
      <w:r w:rsidRPr="00043C0D">
        <w:rPr>
          <w:rFonts w:ascii="Times New Roman" w:eastAsia="Times New Roman" w:hAnsi="Times New Roman" w:cs="Times New Roman"/>
          <w:color w:val="000000"/>
          <w:sz w:val="24"/>
          <w:szCs w:val="24"/>
          <w:shd w:val="clear" w:color="auto" w:fill="FFFFFF"/>
        </w:rPr>
        <w:t>Vol</w:t>
      </w:r>
      <w:proofErr w:type="spellEnd"/>
      <w:r w:rsidRPr="00043C0D">
        <w:rPr>
          <w:rFonts w:ascii="Times New Roman" w:eastAsia="Times New Roman" w:hAnsi="Times New Roman" w:cs="Times New Roman"/>
          <w:color w:val="000000"/>
          <w:sz w:val="24"/>
          <w:szCs w:val="24"/>
          <w:shd w:val="clear" w:color="auto" w:fill="FFFFFF"/>
        </w:rPr>
        <w:t>, 1, 17-23.</w:t>
      </w:r>
    </w:p>
    <w:p w:rsidR="00043C0D" w:rsidRPr="00043C0D" w:rsidRDefault="00043C0D" w:rsidP="00043C0D">
      <w:pPr>
        <w:pStyle w:val="ListParagraph"/>
        <w:numPr>
          <w:ilvl w:val="0"/>
          <w:numId w:val="11"/>
        </w:numPr>
        <w:spacing w:after="0" w:line="240" w:lineRule="auto"/>
        <w:ind w:hanging="720"/>
        <w:jc w:val="both"/>
        <w:rPr>
          <w:rFonts w:ascii="Times New Roman" w:eastAsia="Times New Roman" w:hAnsi="Times New Roman" w:cs="Times New Roman"/>
          <w:color w:val="000000"/>
          <w:sz w:val="24"/>
          <w:szCs w:val="24"/>
        </w:rPr>
      </w:pPr>
      <w:proofErr w:type="spellStart"/>
      <w:r w:rsidRPr="00043C0D">
        <w:rPr>
          <w:rFonts w:ascii="Times New Roman" w:eastAsia="Times New Roman" w:hAnsi="Times New Roman" w:cs="Times New Roman"/>
          <w:color w:val="000000"/>
          <w:sz w:val="24"/>
          <w:szCs w:val="24"/>
          <w:shd w:val="clear" w:color="auto" w:fill="FFFFFF"/>
        </w:rPr>
        <w:t>Lignier</w:t>
      </w:r>
      <w:proofErr w:type="spellEnd"/>
      <w:r w:rsidRPr="00043C0D">
        <w:rPr>
          <w:rFonts w:ascii="Times New Roman" w:eastAsia="Times New Roman" w:hAnsi="Times New Roman" w:cs="Times New Roman"/>
          <w:color w:val="000000"/>
          <w:sz w:val="24"/>
          <w:szCs w:val="24"/>
          <w:shd w:val="clear" w:color="auto" w:fill="FFFFFF"/>
        </w:rPr>
        <w:t xml:space="preserve">, P. (2009). The managerial benefits of tax compliance: perception by small business taxpayers. </w:t>
      </w:r>
      <w:proofErr w:type="spellStart"/>
      <w:proofErr w:type="gramStart"/>
      <w:r w:rsidRPr="00043C0D">
        <w:rPr>
          <w:rFonts w:ascii="Times New Roman" w:eastAsia="Times New Roman" w:hAnsi="Times New Roman" w:cs="Times New Roman"/>
          <w:color w:val="000000"/>
          <w:sz w:val="24"/>
          <w:szCs w:val="24"/>
          <w:shd w:val="clear" w:color="auto" w:fill="FFFFFF"/>
        </w:rPr>
        <w:t>eJTR</w:t>
      </w:r>
      <w:proofErr w:type="spellEnd"/>
      <w:proofErr w:type="gramEnd"/>
      <w:r w:rsidRPr="00043C0D">
        <w:rPr>
          <w:rFonts w:ascii="Times New Roman" w:eastAsia="Times New Roman" w:hAnsi="Times New Roman" w:cs="Times New Roman"/>
          <w:color w:val="000000"/>
          <w:sz w:val="24"/>
          <w:szCs w:val="24"/>
          <w:shd w:val="clear" w:color="auto" w:fill="FFFFFF"/>
        </w:rPr>
        <w:t>, 7, 106.</w:t>
      </w:r>
    </w:p>
    <w:p w:rsidR="00043C0D" w:rsidRPr="00043C0D" w:rsidRDefault="00043C0D" w:rsidP="00043C0D">
      <w:pPr>
        <w:pStyle w:val="ListParagraph"/>
        <w:numPr>
          <w:ilvl w:val="0"/>
          <w:numId w:val="11"/>
        </w:numPr>
        <w:spacing w:after="0" w:line="240" w:lineRule="auto"/>
        <w:ind w:hanging="720"/>
        <w:jc w:val="both"/>
        <w:rPr>
          <w:rFonts w:ascii="Times New Roman" w:eastAsia="Times New Roman" w:hAnsi="Times New Roman" w:cs="Times New Roman"/>
          <w:color w:val="000000"/>
          <w:sz w:val="24"/>
          <w:szCs w:val="24"/>
        </w:rPr>
      </w:pPr>
      <w:r w:rsidRPr="00043C0D">
        <w:rPr>
          <w:rFonts w:ascii="Times New Roman" w:eastAsia="Times New Roman" w:hAnsi="Times New Roman" w:cs="Times New Roman"/>
          <w:color w:val="000000"/>
          <w:sz w:val="24"/>
          <w:szCs w:val="24"/>
          <w:shd w:val="clear" w:color="auto" w:fill="FFFFFF"/>
        </w:rPr>
        <w:t>Ahmad¹, M. A. R., Ismail, Z., and Halim, H. A. (2016). Awareness and perception of taxpayers towards goods and services tax (GST) implementation. International Journal of Academic Research in Business and Social Sciences, 6(11), 2222-6990.</w:t>
      </w:r>
    </w:p>
    <w:p w:rsidR="00043C0D" w:rsidRPr="00043C0D" w:rsidRDefault="00043C0D" w:rsidP="00043C0D">
      <w:pPr>
        <w:pStyle w:val="ListParagraph"/>
        <w:numPr>
          <w:ilvl w:val="0"/>
          <w:numId w:val="11"/>
        </w:numPr>
        <w:spacing w:after="0" w:line="240" w:lineRule="auto"/>
        <w:ind w:hanging="720"/>
        <w:jc w:val="both"/>
        <w:rPr>
          <w:rFonts w:ascii="Times New Roman" w:eastAsia="Times New Roman" w:hAnsi="Times New Roman" w:cs="Times New Roman"/>
          <w:sz w:val="24"/>
          <w:szCs w:val="24"/>
        </w:rPr>
      </w:pPr>
      <w:proofErr w:type="spellStart"/>
      <w:r w:rsidRPr="00043C0D">
        <w:rPr>
          <w:rFonts w:ascii="Times New Roman" w:eastAsia="Times New Roman" w:hAnsi="Times New Roman" w:cs="Times New Roman"/>
          <w:color w:val="000000"/>
          <w:sz w:val="24"/>
          <w:szCs w:val="24"/>
          <w:shd w:val="clear" w:color="auto" w:fill="FFFFFF"/>
        </w:rPr>
        <w:t>Zainal</w:t>
      </w:r>
      <w:proofErr w:type="spellEnd"/>
      <w:r w:rsidRPr="00043C0D">
        <w:rPr>
          <w:rFonts w:ascii="Times New Roman" w:eastAsia="Times New Roman" w:hAnsi="Times New Roman" w:cs="Times New Roman"/>
          <w:color w:val="000000"/>
          <w:sz w:val="24"/>
          <w:szCs w:val="24"/>
          <w:shd w:val="clear" w:color="auto" w:fill="FFFFFF"/>
        </w:rPr>
        <w:t xml:space="preserve">, R., </w:t>
      </w:r>
      <w:proofErr w:type="spellStart"/>
      <w:r w:rsidRPr="00043C0D">
        <w:rPr>
          <w:rFonts w:ascii="Times New Roman" w:eastAsia="Times New Roman" w:hAnsi="Times New Roman" w:cs="Times New Roman"/>
          <w:color w:val="000000"/>
          <w:sz w:val="24"/>
          <w:szCs w:val="24"/>
          <w:shd w:val="clear" w:color="auto" w:fill="FFFFFF"/>
        </w:rPr>
        <w:t>Teng</w:t>
      </w:r>
      <w:proofErr w:type="spellEnd"/>
      <w:r w:rsidRPr="00043C0D">
        <w:rPr>
          <w:rFonts w:ascii="Times New Roman" w:eastAsia="Times New Roman" w:hAnsi="Times New Roman" w:cs="Times New Roman"/>
          <w:color w:val="000000"/>
          <w:sz w:val="24"/>
          <w:szCs w:val="24"/>
          <w:shd w:val="clear" w:color="auto" w:fill="FFFFFF"/>
        </w:rPr>
        <w:t>, T. C., and Mohamed, S. (2016). Construction costs and housing prices: Impact of goods and services tax. International Journal of Economics and Financial Issues, 6(7S).</w:t>
      </w:r>
    </w:p>
    <w:p w:rsidR="0088583F" w:rsidRPr="0025283D" w:rsidRDefault="0088583F" w:rsidP="0025283D">
      <w:pPr>
        <w:spacing w:before="100" w:beforeAutospacing="1" w:after="100" w:afterAutospacing="1" w:line="360" w:lineRule="auto"/>
        <w:jc w:val="both"/>
        <w:outlineLvl w:val="2"/>
        <w:rPr>
          <w:rFonts w:ascii="Times New Roman" w:eastAsia="Times New Roman" w:hAnsi="Times New Roman" w:cs="Times New Roman"/>
          <w:b/>
          <w:sz w:val="24"/>
          <w:szCs w:val="24"/>
        </w:rPr>
      </w:pPr>
    </w:p>
    <w:p w:rsidR="000D1B3F" w:rsidRPr="00B34E67" w:rsidRDefault="000D1B3F" w:rsidP="00B34E67">
      <w:pPr>
        <w:spacing w:before="100" w:beforeAutospacing="1" w:after="100" w:afterAutospacing="1" w:line="360" w:lineRule="auto"/>
        <w:jc w:val="both"/>
        <w:outlineLvl w:val="2"/>
        <w:rPr>
          <w:rFonts w:ascii="Times New Roman" w:eastAsia="Times New Roman" w:hAnsi="Times New Roman" w:cs="Times New Roman"/>
          <w:sz w:val="24"/>
          <w:szCs w:val="24"/>
        </w:rPr>
      </w:pPr>
    </w:p>
    <w:p w:rsidR="00B34E67" w:rsidRPr="00B34E67" w:rsidRDefault="00B34E67" w:rsidP="00B34E67">
      <w:pPr>
        <w:spacing w:before="240" w:line="360" w:lineRule="auto"/>
        <w:jc w:val="both"/>
        <w:rPr>
          <w:rFonts w:ascii="Times New Roman" w:hAnsi="Times New Roman" w:cs="Times New Roman"/>
          <w:sz w:val="24"/>
          <w:szCs w:val="24"/>
        </w:rPr>
      </w:pPr>
    </w:p>
    <w:sectPr w:rsidR="00B34E67" w:rsidRPr="00B34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6BF"/>
    <w:multiLevelType w:val="multilevel"/>
    <w:tmpl w:val="EB82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9974CD"/>
    <w:multiLevelType w:val="multilevel"/>
    <w:tmpl w:val="59DA5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20394E"/>
    <w:multiLevelType w:val="hybridMultilevel"/>
    <w:tmpl w:val="3112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B33CC0"/>
    <w:multiLevelType w:val="hybridMultilevel"/>
    <w:tmpl w:val="2764731C"/>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C76BB"/>
    <w:multiLevelType w:val="multilevel"/>
    <w:tmpl w:val="5E26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FE55FA"/>
    <w:multiLevelType w:val="multilevel"/>
    <w:tmpl w:val="63E6F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BA1D37"/>
    <w:multiLevelType w:val="multilevel"/>
    <w:tmpl w:val="14B4A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FE2397"/>
    <w:multiLevelType w:val="multilevel"/>
    <w:tmpl w:val="0030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E778FD"/>
    <w:multiLevelType w:val="hybridMultilevel"/>
    <w:tmpl w:val="B316F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6E478A"/>
    <w:multiLevelType w:val="multilevel"/>
    <w:tmpl w:val="99BA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0B1C83"/>
    <w:multiLevelType w:val="multilevel"/>
    <w:tmpl w:val="EB7E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0"/>
  </w:num>
  <w:num w:numId="4">
    <w:abstractNumId w:val="7"/>
  </w:num>
  <w:num w:numId="5">
    <w:abstractNumId w:val="0"/>
  </w:num>
  <w:num w:numId="6">
    <w:abstractNumId w:val="4"/>
  </w:num>
  <w:num w:numId="7">
    <w:abstractNumId w:val="9"/>
  </w:num>
  <w:num w:numId="8">
    <w:abstractNumId w:val="6"/>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67"/>
    <w:rsid w:val="00043C0D"/>
    <w:rsid w:val="0008149A"/>
    <w:rsid w:val="000D1B3F"/>
    <w:rsid w:val="0025283D"/>
    <w:rsid w:val="003111D1"/>
    <w:rsid w:val="00412AC9"/>
    <w:rsid w:val="00696449"/>
    <w:rsid w:val="007C588E"/>
    <w:rsid w:val="007C6C84"/>
    <w:rsid w:val="0088583F"/>
    <w:rsid w:val="0096355D"/>
    <w:rsid w:val="00AA2B22"/>
    <w:rsid w:val="00B34E67"/>
    <w:rsid w:val="00CD2749"/>
    <w:rsid w:val="00D916C3"/>
    <w:rsid w:val="00EB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53217-F79F-4EFD-967B-94293552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67"/>
  </w:style>
  <w:style w:type="paragraph" w:styleId="Heading3">
    <w:name w:val="heading 3"/>
    <w:basedOn w:val="Normal"/>
    <w:link w:val="Heading3Char"/>
    <w:uiPriority w:val="9"/>
    <w:qFormat/>
    <w:rsid w:val="00B34E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916C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34E67"/>
    <w:rPr>
      <w:rFonts w:ascii="Times New Roman" w:eastAsia="Times New Roman" w:hAnsi="Times New Roman" w:cs="Times New Roman"/>
      <w:b/>
      <w:bCs/>
      <w:sz w:val="27"/>
      <w:szCs w:val="27"/>
    </w:rPr>
  </w:style>
  <w:style w:type="paragraph" w:styleId="NormalWeb">
    <w:name w:val="Normal (Web)"/>
    <w:basedOn w:val="Normal"/>
    <w:uiPriority w:val="99"/>
    <w:unhideWhenUsed/>
    <w:rsid w:val="00B34E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283D"/>
    <w:rPr>
      <w:b/>
      <w:bCs/>
    </w:rPr>
  </w:style>
  <w:style w:type="character" w:styleId="Emphasis">
    <w:name w:val="Emphasis"/>
    <w:basedOn w:val="DefaultParagraphFont"/>
    <w:uiPriority w:val="20"/>
    <w:qFormat/>
    <w:rsid w:val="0096355D"/>
    <w:rPr>
      <w:i/>
      <w:iCs/>
    </w:rPr>
  </w:style>
  <w:style w:type="paragraph" w:styleId="ListParagraph">
    <w:name w:val="List Paragraph"/>
    <w:basedOn w:val="Normal"/>
    <w:uiPriority w:val="34"/>
    <w:qFormat/>
    <w:rsid w:val="0096355D"/>
    <w:pPr>
      <w:ind w:left="720"/>
      <w:contextualSpacing/>
    </w:pPr>
  </w:style>
  <w:style w:type="character" w:customStyle="1" w:styleId="Heading4Char">
    <w:name w:val="Heading 4 Char"/>
    <w:basedOn w:val="DefaultParagraphFont"/>
    <w:link w:val="Heading4"/>
    <w:uiPriority w:val="9"/>
    <w:rsid w:val="00D916C3"/>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412A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flow-hidden">
    <w:name w:val="overflow-hidden"/>
    <w:basedOn w:val="DefaultParagraphFont"/>
    <w:rsid w:val="00412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55514">
      <w:bodyDiv w:val="1"/>
      <w:marLeft w:val="0"/>
      <w:marRight w:val="0"/>
      <w:marTop w:val="0"/>
      <w:marBottom w:val="0"/>
      <w:divBdr>
        <w:top w:val="none" w:sz="0" w:space="0" w:color="auto"/>
        <w:left w:val="none" w:sz="0" w:space="0" w:color="auto"/>
        <w:bottom w:val="none" w:sz="0" w:space="0" w:color="auto"/>
        <w:right w:val="none" w:sz="0" w:space="0" w:color="auto"/>
      </w:divBdr>
    </w:div>
    <w:div w:id="547185763">
      <w:bodyDiv w:val="1"/>
      <w:marLeft w:val="0"/>
      <w:marRight w:val="0"/>
      <w:marTop w:val="0"/>
      <w:marBottom w:val="0"/>
      <w:divBdr>
        <w:top w:val="none" w:sz="0" w:space="0" w:color="auto"/>
        <w:left w:val="none" w:sz="0" w:space="0" w:color="auto"/>
        <w:bottom w:val="none" w:sz="0" w:space="0" w:color="auto"/>
        <w:right w:val="none" w:sz="0" w:space="0" w:color="auto"/>
      </w:divBdr>
    </w:div>
    <w:div w:id="589240803">
      <w:bodyDiv w:val="1"/>
      <w:marLeft w:val="0"/>
      <w:marRight w:val="0"/>
      <w:marTop w:val="0"/>
      <w:marBottom w:val="0"/>
      <w:divBdr>
        <w:top w:val="none" w:sz="0" w:space="0" w:color="auto"/>
        <w:left w:val="none" w:sz="0" w:space="0" w:color="auto"/>
        <w:bottom w:val="none" w:sz="0" w:space="0" w:color="auto"/>
        <w:right w:val="none" w:sz="0" w:space="0" w:color="auto"/>
      </w:divBdr>
      <w:divsChild>
        <w:div w:id="888759140">
          <w:marLeft w:val="0"/>
          <w:marRight w:val="0"/>
          <w:marTop w:val="0"/>
          <w:marBottom w:val="0"/>
          <w:divBdr>
            <w:top w:val="none" w:sz="0" w:space="0" w:color="auto"/>
            <w:left w:val="none" w:sz="0" w:space="0" w:color="auto"/>
            <w:bottom w:val="none" w:sz="0" w:space="0" w:color="auto"/>
            <w:right w:val="none" w:sz="0" w:space="0" w:color="auto"/>
          </w:divBdr>
          <w:divsChild>
            <w:div w:id="1388841622">
              <w:marLeft w:val="0"/>
              <w:marRight w:val="0"/>
              <w:marTop w:val="0"/>
              <w:marBottom w:val="0"/>
              <w:divBdr>
                <w:top w:val="none" w:sz="0" w:space="0" w:color="auto"/>
                <w:left w:val="none" w:sz="0" w:space="0" w:color="auto"/>
                <w:bottom w:val="none" w:sz="0" w:space="0" w:color="auto"/>
                <w:right w:val="none" w:sz="0" w:space="0" w:color="auto"/>
              </w:divBdr>
              <w:divsChild>
                <w:div w:id="11565917">
                  <w:marLeft w:val="0"/>
                  <w:marRight w:val="0"/>
                  <w:marTop w:val="0"/>
                  <w:marBottom w:val="0"/>
                  <w:divBdr>
                    <w:top w:val="none" w:sz="0" w:space="0" w:color="auto"/>
                    <w:left w:val="none" w:sz="0" w:space="0" w:color="auto"/>
                    <w:bottom w:val="none" w:sz="0" w:space="0" w:color="auto"/>
                    <w:right w:val="none" w:sz="0" w:space="0" w:color="auto"/>
                  </w:divBdr>
                  <w:divsChild>
                    <w:div w:id="1087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6014">
          <w:marLeft w:val="0"/>
          <w:marRight w:val="0"/>
          <w:marTop w:val="0"/>
          <w:marBottom w:val="0"/>
          <w:divBdr>
            <w:top w:val="none" w:sz="0" w:space="0" w:color="auto"/>
            <w:left w:val="none" w:sz="0" w:space="0" w:color="auto"/>
            <w:bottom w:val="none" w:sz="0" w:space="0" w:color="auto"/>
            <w:right w:val="none" w:sz="0" w:space="0" w:color="auto"/>
          </w:divBdr>
          <w:divsChild>
            <w:div w:id="1873616081">
              <w:marLeft w:val="0"/>
              <w:marRight w:val="0"/>
              <w:marTop w:val="0"/>
              <w:marBottom w:val="0"/>
              <w:divBdr>
                <w:top w:val="none" w:sz="0" w:space="0" w:color="auto"/>
                <w:left w:val="none" w:sz="0" w:space="0" w:color="auto"/>
                <w:bottom w:val="none" w:sz="0" w:space="0" w:color="auto"/>
                <w:right w:val="none" w:sz="0" w:space="0" w:color="auto"/>
              </w:divBdr>
              <w:divsChild>
                <w:div w:id="1516384035">
                  <w:marLeft w:val="0"/>
                  <w:marRight w:val="0"/>
                  <w:marTop w:val="0"/>
                  <w:marBottom w:val="0"/>
                  <w:divBdr>
                    <w:top w:val="none" w:sz="0" w:space="0" w:color="auto"/>
                    <w:left w:val="none" w:sz="0" w:space="0" w:color="auto"/>
                    <w:bottom w:val="none" w:sz="0" w:space="0" w:color="auto"/>
                    <w:right w:val="none" w:sz="0" w:space="0" w:color="auto"/>
                  </w:divBdr>
                  <w:divsChild>
                    <w:div w:id="1114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107479">
      <w:bodyDiv w:val="1"/>
      <w:marLeft w:val="0"/>
      <w:marRight w:val="0"/>
      <w:marTop w:val="0"/>
      <w:marBottom w:val="0"/>
      <w:divBdr>
        <w:top w:val="none" w:sz="0" w:space="0" w:color="auto"/>
        <w:left w:val="none" w:sz="0" w:space="0" w:color="auto"/>
        <w:bottom w:val="none" w:sz="0" w:space="0" w:color="auto"/>
        <w:right w:val="none" w:sz="0" w:space="0" w:color="auto"/>
      </w:divBdr>
      <w:divsChild>
        <w:div w:id="522978428">
          <w:marLeft w:val="0"/>
          <w:marRight w:val="0"/>
          <w:marTop w:val="0"/>
          <w:marBottom w:val="0"/>
          <w:divBdr>
            <w:top w:val="none" w:sz="0" w:space="0" w:color="auto"/>
            <w:left w:val="none" w:sz="0" w:space="0" w:color="auto"/>
            <w:bottom w:val="none" w:sz="0" w:space="0" w:color="auto"/>
            <w:right w:val="none" w:sz="0" w:space="0" w:color="auto"/>
          </w:divBdr>
          <w:divsChild>
            <w:div w:id="744451230">
              <w:marLeft w:val="0"/>
              <w:marRight w:val="0"/>
              <w:marTop w:val="0"/>
              <w:marBottom w:val="0"/>
              <w:divBdr>
                <w:top w:val="none" w:sz="0" w:space="0" w:color="auto"/>
                <w:left w:val="none" w:sz="0" w:space="0" w:color="auto"/>
                <w:bottom w:val="none" w:sz="0" w:space="0" w:color="auto"/>
                <w:right w:val="none" w:sz="0" w:space="0" w:color="auto"/>
              </w:divBdr>
              <w:divsChild>
                <w:div w:id="1083601339">
                  <w:marLeft w:val="0"/>
                  <w:marRight w:val="0"/>
                  <w:marTop w:val="0"/>
                  <w:marBottom w:val="0"/>
                  <w:divBdr>
                    <w:top w:val="none" w:sz="0" w:space="0" w:color="auto"/>
                    <w:left w:val="none" w:sz="0" w:space="0" w:color="auto"/>
                    <w:bottom w:val="none" w:sz="0" w:space="0" w:color="auto"/>
                    <w:right w:val="none" w:sz="0" w:space="0" w:color="auto"/>
                  </w:divBdr>
                  <w:divsChild>
                    <w:div w:id="489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81624">
          <w:marLeft w:val="0"/>
          <w:marRight w:val="0"/>
          <w:marTop w:val="0"/>
          <w:marBottom w:val="0"/>
          <w:divBdr>
            <w:top w:val="none" w:sz="0" w:space="0" w:color="auto"/>
            <w:left w:val="none" w:sz="0" w:space="0" w:color="auto"/>
            <w:bottom w:val="none" w:sz="0" w:space="0" w:color="auto"/>
            <w:right w:val="none" w:sz="0" w:space="0" w:color="auto"/>
          </w:divBdr>
          <w:divsChild>
            <w:div w:id="1533567386">
              <w:marLeft w:val="0"/>
              <w:marRight w:val="0"/>
              <w:marTop w:val="0"/>
              <w:marBottom w:val="0"/>
              <w:divBdr>
                <w:top w:val="none" w:sz="0" w:space="0" w:color="auto"/>
                <w:left w:val="none" w:sz="0" w:space="0" w:color="auto"/>
                <w:bottom w:val="none" w:sz="0" w:space="0" w:color="auto"/>
                <w:right w:val="none" w:sz="0" w:space="0" w:color="auto"/>
              </w:divBdr>
              <w:divsChild>
                <w:div w:id="249240614">
                  <w:marLeft w:val="0"/>
                  <w:marRight w:val="0"/>
                  <w:marTop w:val="0"/>
                  <w:marBottom w:val="0"/>
                  <w:divBdr>
                    <w:top w:val="none" w:sz="0" w:space="0" w:color="auto"/>
                    <w:left w:val="none" w:sz="0" w:space="0" w:color="auto"/>
                    <w:bottom w:val="none" w:sz="0" w:space="0" w:color="auto"/>
                    <w:right w:val="none" w:sz="0" w:space="0" w:color="auto"/>
                  </w:divBdr>
                  <w:divsChild>
                    <w:div w:id="3188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036721">
      <w:bodyDiv w:val="1"/>
      <w:marLeft w:val="0"/>
      <w:marRight w:val="0"/>
      <w:marTop w:val="0"/>
      <w:marBottom w:val="0"/>
      <w:divBdr>
        <w:top w:val="none" w:sz="0" w:space="0" w:color="auto"/>
        <w:left w:val="none" w:sz="0" w:space="0" w:color="auto"/>
        <w:bottom w:val="none" w:sz="0" w:space="0" w:color="auto"/>
        <w:right w:val="none" w:sz="0" w:space="0" w:color="auto"/>
      </w:divBdr>
    </w:div>
    <w:div w:id="1089352128">
      <w:bodyDiv w:val="1"/>
      <w:marLeft w:val="0"/>
      <w:marRight w:val="0"/>
      <w:marTop w:val="0"/>
      <w:marBottom w:val="0"/>
      <w:divBdr>
        <w:top w:val="none" w:sz="0" w:space="0" w:color="auto"/>
        <w:left w:val="none" w:sz="0" w:space="0" w:color="auto"/>
        <w:bottom w:val="none" w:sz="0" w:space="0" w:color="auto"/>
        <w:right w:val="none" w:sz="0" w:space="0" w:color="auto"/>
      </w:divBdr>
    </w:div>
    <w:div w:id="1133407702">
      <w:bodyDiv w:val="1"/>
      <w:marLeft w:val="0"/>
      <w:marRight w:val="0"/>
      <w:marTop w:val="0"/>
      <w:marBottom w:val="0"/>
      <w:divBdr>
        <w:top w:val="none" w:sz="0" w:space="0" w:color="auto"/>
        <w:left w:val="none" w:sz="0" w:space="0" w:color="auto"/>
        <w:bottom w:val="none" w:sz="0" w:space="0" w:color="auto"/>
        <w:right w:val="none" w:sz="0" w:space="0" w:color="auto"/>
      </w:divBdr>
    </w:div>
    <w:div w:id="1139149096">
      <w:bodyDiv w:val="1"/>
      <w:marLeft w:val="0"/>
      <w:marRight w:val="0"/>
      <w:marTop w:val="0"/>
      <w:marBottom w:val="0"/>
      <w:divBdr>
        <w:top w:val="none" w:sz="0" w:space="0" w:color="auto"/>
        <w:left w:val="none" w:sz="0" w:space="0" w:color="auto"/>
        <w:bottom w:val="none" w:sz="0" w:space="0" w:color="auto"/>
        <w:right w:val="none" w:sz="0" w:space="0" w:color="auto"/>
      </w:divBdr>
    </w:div>
    <w:div w:id="1142846330">
      <w:bodyDiv w:val="1"/>
      <w:marLeft w:val="0"/>
      <w:marRight w:val="0"/>
      <w:marTop w:val="0"/>
      <w:marBottom w:val="0"/>
      <w:divBdr>
        <w:top w:val="none" w:sz="0" w:space="0" w:color="auto"/>
        <w:left w:val="none" w:sz="0" w:space="0" w:color="auto"/>
        <w:bottom w:val="none" w:sz="0" w:space="0" w:color="auto"/>
        <w:right w:val="none" w:sz="0" w:space="0" w:color="auto"/>
      </w:divBdr>
    </w:div>
    <w:div w:id="1249267643">
      <w:bodyDiv w:val="1"/>
      <w:marLeft w:val="0"/>
      <w:marRight w:val="0"/>
      <w:marTop w:val="0"/>
      <w:marBottom w:val="0"/>
      <w:divBdr>
        <w:top w:val="none" w:sz="0" w:space="0" w:color="auto"/>
        <w:left w:val="none" w:sz="0" w:space="0" w:color="auto"/>
        <w:bottom w:val="none" w:sz="0" w:space="0" w:color="auto"/>
        <w:right w:val="none" w:sz="0" w:space="0" w:color="auto"/>
      </w:divBdr>
    </w:div>
    <w:div w:id="1274703166">
      <w:bodyDiv w:val="1"/>
      <w:marLeft w:val="0"/>
      <w:marRight w:val="0"/>
      <w:marTop w:val="0"/>
      <w:marBottom w:val="0"/>
      <w:divBdr>
        <w:top w:val="none" w:sz="0" w:space="0" w:color="auto"/>
        <w:left w:val="none" w:sz="0" w:space="0" w:color="auto"/>
        <w:bottom w:val="none" w:sz="0" w:space="0" w:color="auto"/>
        <w:right w:val="none" w:sz="0" w:space="0" w:color="auto"/>
      </w:divBdr>
    </w:div>
    <w:div w:id="1439914683">
      <w:bodyDiv w:val="1"/>
      <w:marLeft w:val="0"/>
      <w:marRight w:val="0"/>
      <w:marTop w:val="0"/>
      <w:marBottom w:val="0"/>
      <w:divBdr>
        <w:top w:val="none" w:sz="0" w:space="0" w:color="auto"/>
        <w:left w:val="none" w:sz="0" w:space="0" w:color="auto"/>
        <w:bottom w:val="none" w:sz="0" w:space="0" w:color="auto"/>
        <w:right w:val="none" w:sz="0" w:space="0" w:color="auto"/>
      </w:divBdr>
    </w:div>
    <w:div w:id="1489788652">
      <w:bodyDiv w:val="1"/>
      <w:marLeft w:val="0"/>
      <w:marRight w:val="0"/>
      <w:marTop w:val="0"/>
      <w:marBottom w:val="0"/>
      <w:divBdr>
        <w:top w:val="none" w:sz="0" w:space="0" w:color="auto"/>
        <w:left w:val="none" w:sz="0" w:space="0" w:color="auto"/>
        <w:bottom w:val="none" w:sz="0" w:space="0" w:color="auto"/>
        <w:right w:val="none" w:sz="0" w:space="0" w:color="auto"/>
      </w:divBdr>
    </w:div>
    <w:div w:id="1639073140">
      <w:bodyDiv w:val="1"/>
      <w:marLeft w:val="0"/>
      <w:marRight w:val="0"/>
      <w:marTop w:val="0"/>
      <w:marBottom w:val="0"/>
      <w:divBdr>
        <w:top w:val="none" w:sz="0" w:space="0" w:color="auto"/>
        <w:left w:val="none" w:sz="0" w:space="0" w:color="auto"/>
        <w:bottom w:val="none" w:sz="0" w:space="0" w:color="auto"/>
        <w:right w:val="none" w:sz="0" w:space="0" w:color="auto"/>
      </w:divBdr>
    </w:div>
    <w:div w:id="1673608676">
      <w:bodyDiv w:val="1"/>
      <w:marLeft w:val="0"/>
      <w:marRight w:val="0"/>
      <w:marTop w:val="0"/>
      <w:marBottom w:val="0"/>
      <w:divBdr>
        <w:top w:val="none" w:sz="0" w:space="0" w:color="auto"/>
        <w:left w:val="none" w:sz="0" w:space="0" w:color="auto"/>
        <w:bottom w:val="none" w:sz="0" w:space="0" w:color="auto"/>
        <w:right w:val="none" w:sz="0" w:space="0" w:color="auto"/>
      </w:divBdr>
    </w:div>
    <w:div w:id="1701979219">
      <w:bodyDiv w:val="1"/>
      <w:marLeft w:val="0"/>
      <w:marRight w:val="0"/>
      <w:marTop w:val="0"/>
      <w:marBottom w:val="0"/>
      <w:divBdr>
        <w:top w:val="none" w:sz="0" w:space="0" w:color="auto"/>
        <w:left w:val="none" w:sz="0" w:space="0" w:color="auto"/>
        <w:bottom w:val="none" w:sz="0" w:space="0" w:color="auto"/>
        <w:right w:val="none" w:sz="0" w:space="0" w:color="auto"/>
      </w:divBdr>
    </w:div>
    <w:div w:id="1719402756">
      <w:bodyDiv w:val="1"/>
      <w:marLeft w:val="0"/>
      <w:marRight w:val="0"/>
      <w:marTop w:val="0"/>
      <w:marBottom w:val="0"/>
      <w:divBdr>
        <w:top w:val="none" w:sz="0" w:space="0" w:color="auto"/>
        <w:left w:val="none" w:sz="0" w:space="0" w:color="auto"/>
        <w:bottom w:val="none" w:sz="0" w:space="0" w:color="auto"/>
        <w:right w:val="none" w:sz="0" w:space="0" w:color="auto"/>
      </w:divBdr>
    </w:div>
    <w:div w:id="1904214628">
      <w:bodyDiv w:val="1"/>
      <w:marLeft w:val="0"/>
      <w:marRight w:val="0"/>
      <w:marTop w:val="0"/>
      <w:marBottom w:val="0"/>
      <w:divBdr>
        <w:top w:val="none" w:sz="0" w:space="0" w:color="auto"/>
        <w:left w:val="none" w:sz="0" w:space="0" w:color="auto"/>
        <w:bottom w:val="none" w:sz="0" w:space="0" w:color="auto"/>
        <w:right w:val="none" w:sz="0" w:space="0" w:color="auto"/>
      </w:divBdr>
    </w:div>
    <w:div w:id="205350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5609</Words>
  <Characters>31973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2024-09-30T16:18:00Z</dcterms:created>
  <dcterms:modified xsi:type="dcterms:W3CDTF">2024-09-30T16:18:00Z</dcterms:modified>
</cp:coreProperties>
</file>