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CCE" w:rsidRPr="00D97CCE" w:rsidRDefault="00D97CCE" w:rsidP="00D97CCE">
      <w:pPr>
        <w:spacing w:before="54" w:after="0" w:line="276" w:lineRule="auto"/>
        <w:jc w:val="center"/>
        <w:rPr>
          <w:rFonts w:ascii="Times New Roman" w:hAnsi="Times New Roman" w:cs="Times New Roman"/>
          <w:b/>
          <w:bCs/>
          <w:color w:val="000000" w:themeColor="text1"/>
          <w:sz w:val="28"/>
          <w:szCs w:val="28"/>
        </w:rPr>
      </w:pPr>
      <w:r w:rsidRPr="00D97CCE">
        <w:rPr>
          <w:rFonts w:ascii="Times New Roman" w:hAnsi="Times New Roman" w:cs="Times New Roman"/>
          <w:b/>
          <w:bCs/>
          <w:color w:val="000000" w:themeColor="text1"/>
          <w:sz w:val="28"/>
          <w:szCs w:val="28"/>
        </w:rPr>
        <w:t>EVALUATION OF ANTI ULCER ACTIVITY OF MADHUCA INDICA EXTRACT IN EXPERIMENTAL ANIMAL MODEL</w:t>
      </w:r>
    </w:p>
    <w:p w:rsidR="001B1483" w:rsidRDefault="001B148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 R. Nirmala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T. </w:t>
      </w:r>
      <w:r w:rsidR="00CF1D3C">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ravanthi</w:t>
      </w:r>
      <w:r w:rsidR="00DA52F4" w:rsidRPr="001E51F3">
        <w:rPr>
          <w:rFonts w:ascii="Times New Roman" w:hAnsi="Times New Roman" w:cs="Times New Roman"/>
          <w:b/>
          <w:bCs/>
          <w:color w:val="000000" w:themeColor="text1"/>
          <w:sz w:val="24"/>
          <w:szCs w:val="24"/>
          <w:vertAlign w:val="superscript"/>
        </w:rPr>
        <w:t>2</w:t>
      </w:r>
    </w:p>
    <w:p w:rsidR="001B1483" w:rsidRPr="001B1483" w:rsidRDefault="001B1483" w:rsidP="001B1483">
      <w:pPr>
        <w:pBdr>
          <w:bottom w:val="single" w:sz="4" w:space="1" w:color="auto"/>
        </w:pBdr>
        <w:spacing w:before="54" w:after="0" w:line="276" w:lineRule="auto"/>
        <w:jc w:val="center"/>
        <w:rPr>
          <w:rFonts w:ascii="Times New Roman" w:hAnsi="Times New Roman" w:cs="Times New Roman"/>
          <w:color w:val="000000" w:themeColor="text1"/>
        </w:rPr>
      </w:pPr>
      <w:r w:rsidRPr="001B1483">
        <w:rPr>
          <w:rFonts w:ascii="Times New Roman" w:hAnsi="Times New Roman" w:cs="Times New Roman"/>
          <w:color w:val="000000" w:themeColor="text1"/>
          <w:vertAlign w:val="superscript"/>
        </w:rPr>
        <w:t>1</w:t>
      </w:r>
      <w:r>
        <w:rPr>
          <w:rFonts w:ascii="Times New Roman" w:hAnsi="Times New Roman" w:cs="Times New Roman"/>
          <w:color w:val="000000" w:themeColor="text1"/>
        </w:rPr>
        <w:t>Associate Professor</w:t>
      </w:r>
      <w:r w:rsidRPr="001B1483">
        <w:rPr>
          <w:rFonts w:ascii="Times New Roman" w:hAnsi="Times New Roman" w:cs="Times New Roman"/>
          <w:color w:val="000000" w:themeColor="text1"/>
        </w:rPr>
        <w:t>, Department of Pharmacology, Surabhi Dayakar Rao College of Pharmacy, Gajwel, Siddipet, Telangana, India 502312</w:t>
      </w:r>
    </w:p>
    <w:p w:rsidR="001B1483" w:rsidRPr="001B1483" w:rsidRDefault="001B1483" w:rsidP="001B1483">
      <w:pPr>
        <w:pBdr>
          <w:bottom w:val="single" w:sz="4" w:space="1" w:color="auto"/>
        </w:pBdr>
        <w:spacing w:before="54" w:after="0" w:line="276" w:lineRule="auto"/>
        <w:jc w:val="center"/>
        <w:rPr>
          <w:rFonts w:ascii="Times New Roman" w:hAnsi="Times New Roman" w:cs="Times New Roman"/>
          <w:color w:val="000000" w:themeColor="text1"/>
        </w:rPr>
      </w:pPr>
      <w:r w:rsidRPr="001B1483">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B1483">
        <w:rPr>
          <w:rFonts w:ascii="Times New Roman" w:hAnsi="Times New Roman" w:cs="Times New Roman"/>
          <w:color w:val="000000" w:themeColor="text1"/>
        </w:rPr>
        <w:t>, Surabhi Dayakar Rao College of Pharmacy, Gajwel, Siddipet, Telangana, India 502312</w:t>
      </w: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D93F89" w:rsidRPr="00D93F89" w:rsidRDefault="00D93F89" w:rsidP="00D93F89">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D93F89">
        <w:rPr>
          <w:rFonts w:ascii="Times New Roman" w:hAnsi="Times New Roman" w:cs="Times New Roman"/>
          <w:color w:val="000000" w:themeColor="text1"/>
          <w:sz w:val="20"/>
          <w:szCs w:val="20"/>
        </w:rPr>
        <w:t xml:space="preserve">In </w:t>
      </w:r>
      <w:r w:rsidR="001B1483">
        <w:rPr>
          <w:rFonts w:ascii="Times New Roman" w:hAnsi="Times New Roman" w:cs="Times New Roman"/>
          <w:color w:val="000000" w:themeColor="text1"/>
          <w:sz w:val="20"/>
          <w:szCs w:val="20"/>
        </w:rPr>
        <w:t>the present</w:t>
      </w:r>
      <w:r w:rsidR="007D11D4">
        <w:rPr>
          <w:rFonts w:ascii="Times New Roman" w:hAnsi="Times New Roman" w:cs="Times New Roman"/>
          <w:color w:val="000000" w:themeColor="text1"/>
          <w:sz w:val="20"/>
          <w:szCs w:val="20"/>
        </w:rPr>
        <w:t xml:space="preserve"> </w:t>
      </w:r>
      <w:r w:rsidR="001B1483">
        <w:rPr>
          <w:rFonts w:ascii="Times New Roman" w:hAnsi="Times New Roman" w:cs="Times New Roman"/>
          <w:color w:val="000000" w:themeColor="text1"/>
          <w:sz w:val="20"/>
          <w:szCs w:val="20"/>
        </w:rPr>
        <w:t xml:space="preserve">study evaluation of </w:t>
      </w:r>
      <w:r w:rsidRPr="00D93F89">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anti-ulcer</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activity</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Pr="00D93F89">
        <w:rPr>
          <w:rFonts w:ascii="Times New Roman" w:hAnsi="Times New Roman" w:cs="Times New Roman"/>
          <w:i/>
          <w:iCs/>
          <w:color w:val="000000" w:themeColor="text1"/>
          <w:sz w:val="20"/>
          <w:szCs w:val="20"/>
        </w:rPr>
        <w:t>Madhuca</w:t>
      </w:r>
      <w:r>
        <w:rPr>
          <w:rFonts w:ascii="Times New Roman" w:hAnsi="Times New Roman" w:cs="Times New Roman"/>
          <w:i/>
          <w:iCs/>
          <w:color w:val="000000" w:themeColor="text1"/>
          <w:sz w:val="20"/>
          <w:szCs w:val="20"/>
        </w:rPr>
        <w:t xml:space="preserve"> </w:t>
      </w:r>
      <w:r w:rsidRPr="00D93F89">
        <w:rPr>
          <w:rFonts w:ascii="Times New Roman" w:hAnsi="Times New Roman" w:cs="Times New Roman"/>
          <w:i/>
          <w:iCs/>
          <w:color w:val="000000" w:themeColor="text1"/>
          <w:sz w:val="20"/>
          <w:szCs w:val="20"/>
        </w:rPr>
        <w:t xml:space="preserve">Indica </w:t>
      </w:r>
      <w:r w:rsidRPr="00D93F89">
        <w:rPr>
          <w:rFonts w:ascii="Times New Roman" w:hAnsi="Times New Roman" w:cs="Times New Roman"/>
          <w:color w:val="000000" w:themeColor="text1"/>
          <w:sz w:val="20"/>
          <w:szCs w:val="20"/>
        </w:rPr>
        <w:t>Study</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carried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out,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by</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using</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three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methods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i.e.,alcohol,</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paracetamol</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stress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induced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ulcers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rats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pretreated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with</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doses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250</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mg/kg</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AQSMI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ALMI,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10mg/kg</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Omeprazole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50mg/kg</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Ranitidine.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 xml:space="preserve"> To</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evaluate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anti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ulcer</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activity</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aqueous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alcoholic</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extracts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Pr="00D93F89">
        <w:rPr>
          <w:rFonts w:ascii="Times New Roman" w:hAnsi="Times New Roman" w:cs="Times New Roman"/>
          <w:i/>
          <w:iCs/>
          <w:color w:val="000000" w:themeColor="text1"/>
          <w:sz w:val="20"/>
          <w:szCs w:val="20"/>
        </w:rPr>
        <w:t>Madhuca</w:t>
      </w:r>
      <w:r>
        <w:rPr>
          <w:rFonts w:ascii="Times New Roman" w:hAnsi="Times New Roman" w:cs="Times New Roman"/>
          <w:i/>
          <w:iCs/>
          <w:color w:val="000000" w:themeColor="text1"/>
          <w:sz w:val="20"/>
          <w:szCs w:val="20"/>
        </w:rPr>
        <w:t xml:space="preserve"> </w:t>
      </w:r>
      <w:r w:rsidRPr="00D93F89">
        <w:rPr>
          <w:rFonts w:ascii="Times New Roman" w:hAnsi="Times New Roman" w:cs="Times New Roman"/>
          <w:i/>
          <w:iCs/>
          <w:color w:val="000000" w:themeColor="text1"/>
          <w:sz w:val="20"/>
          <w:szCs w:val="20"/>
        </w:rPr>
        <w:t>Indica</w:t>
      </w:r>
      <w:r>
        <w:rPr>
          <w:rFonts w:ascii="Times New Roman" w:hAnsi="Times New Roman" w:cs="Times New Roman"/>
          <w:i/>
          <w:iCs/>
          <w:color w:val="000000" w:themeColor="text1"/>
          <w:sz w:val="20"/>
          <w:szCs w:val="20"/>
        </w:rPr>
        <w:t xml:space="preserve"> </w:t>
      </w:r>
      <w:r w:rsidRPr="00D93F89">
        <w:rPr>
          <w:rFonts w:ascii="Times New Roman" w:hAnsi="Times New Roman" w:cs="Times New Roman"/>
          <w:color w:val="000000" w:themeColor="text1"/>
          <w:sz w:val="20"/>
          <w:szCs w:val="20"/>
        </w:rPr>
        <w:t>leaves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(AQSMI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ALMI)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250</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doses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using</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different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experimentally</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induced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gastric</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ulcer</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models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rats.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alcohol-induced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ulcers,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AQSMI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ALMI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were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effective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reducing</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lesion</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index</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increasing</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gastric</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mucus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content.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also</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effective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decreasing</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ulcer</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index</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in</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paracetamo</w:t>
      </w:r>
      <w:r>
        <w:rPr>
          <w:rFonts w:ascii="Times New Roman" w:hAnsi="Times New Roman" w:cs="Times New Roman"/>
          <w:color w:val="000000" w:themeColor="text1"/>
          <w:sz w:val="20"/>
          <w:szCs w:val="20"/>
        </w:rPr>
        <w:t xml:space="preserve">l </w:t>
      </w:r>
      <w:r w:rsidRPr="00D93F89">
        <w:rPr>
          <w:rFonts w:ascii="Times New Roman" w:hAnsi="Times New Roman" w:cs="Times New Roman"/>
          <w:color w:val="000000" w:themeColor="text1"/>
          <w:sz w:val="20"/>
          <w:szCs w:val="20"/>
        </w:rPr>
        <w:t>induced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ulcers.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All</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results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obtained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with</w:t>
      </w:r>
      <w:r>
        <w:rPr>
          <w:rFonts w:ascii="Times New Roman" w:hAnsi="Times New Roman" w:cs="Times New Roman"/>
          <w:color w:val="000000" w:themeColor="text1"/>
          <w:sz w:val="20"/>
          <w:szCs w:val="20"/>
        </w:rPr>
        <w:t xml:space="preserve"> </w:t>
      </w:r>
      <w:r w:rsidRPr="00D93F89">
        <w:rPr>
          <w:rFonts w:ascii="Times New Roman" w:hAnsi="Times New Roman" w:cs="Times New Roman"/>
          <w:i/>
          <w:iCs/>
          <w:color w:val="000000" w:themeColor="text1"/>
          <w:sz w:val="20"/>
          <w:szCs w:val="20"/>
        </w:rPr>
        <w:t>Madhuca</w:t>
      </w:r>
      <w:r>
        <w:rPr>
          <w:rFonts w:ascii="Times New Roman" w:hAnsi="Times New Roman" w:cs="Times New Roman"/>
          <w:i/>
          <w:iCs/>
          <w:color w:val="000000" w:themeColor="text1"/>
          <w:sz w:val="20"/>
          <w:szCs w:val="20"/>
        </w:rPr>
        <w:t xml:space="preserve"> </w:t>
      </w:r>
      <w:r w:rsidRPr="00D93F89">
        <w:rPr>
          <w:rFonts w:ascii="Times New Roman" w:hAnsi="Times New Roman" w:cs="Times New Roman"/>
          <w:i/>
          <w:iCs/>
          <w:color w:val="000000" w:themeColor="text1"/>
          <w:sz w:val="20"/>
          <w:szCs w:val="20"/>
        </w:rPr>
        <w:t>Indica</w:t>
      </w:r>
      <w:r>
        <w:rPr>
          <w:rFonts w:ascii="Times New Roman" w:hAnsi="Times New Roman" w:cs="Times New Roman"/>
          <w:i/>
          <w:iCs/>
          <w:color w:val="000000" w:themeColor="text1"/>
          <w:sz w:val="20"/>
          <w:szCs w:val="20"/>
        </w:rPr>
        <w:t xml:space="preserve"> </w:t>
      </w:r>
      <w:r w:rsidRPr="00D93F89">
        <w:rPr>
          <w:rFonts w:ascii="Times New Roman" w:hAnsi="Times New Roman" w:cs="Times New Roman"/>
          <w:color w:val="000000" w:themeColor="text1"/>
          <w:sz w:val="20"/>
          <w:szCs w:val="20"/>
        </w:rPr>
        <w:t>were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dose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dependent.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results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suggest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that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AQSMI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ALMI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possesses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significant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dose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dependent</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anti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ulcer</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activity.</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anti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ulcer</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activity</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AQSMI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ALMI</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can</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be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attributed</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to</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its</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cyto</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protective</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anti s</w:t>
      </w:r>
      <w:r w:rsidRPr="00D93F89">
        <w:rPr>
          <w:rFonts w:ascii="Times New Roman" w:hAnsi="Times New Roman" w:cs="Times New Roman"/>
          <w:color w:val="000000" w:themeColor="text1"/>
          <w:sz w:val="20"/>
          <w:szCs w:val="20"/>
        </w:rPr>
        <w:t>ecretory</w:t>
      </w:r>
      <w:r>
        <w:rPr>
          <w:rFonts w:ascii="Times New Roman" w:hAnsi="Times New Roman" w:cs="Times New Roman"/>
          <w:color w:val="000000" w:themeColor="text1"/>
          <w:sz w:val="20"/>
          <w:szCs w:val="20"/>
        </w:rPr>
        <w:t xml:space="preserve"> </w:t>
      </w:r>
      <w:r w:rsidRPr="00D93F89">
        <w:rPr>
          <w:rFonts w:ascii="Times New Roman" w:hAnsi="Times New Roman" w:cs="Times New Roman"/>
          <w:color w:val="000000" w:themeColor="text1"/>
          <w:sz w:val="20"/>
          <w:szCs w:val="20"/>
        </w:rPr>
        <w:t>action.</w:t>
      </w:r>
    </w:p>
    <w:p w:rsidR="007A0924" w:rsidRPr="007A0924" w:rsidRDefault="00DA52F4" w:rsidP="007A0924">
      <w:pPr>
        <w:pBdr>
          <w:bottom w:val="single" w:sz="4" w:space="1" w:color="auto"/>
        </w:pBdr>
        <w:spacing w:before="54" w:after="0" w:line="276" w:lineRule="auto"/>
        <w:jc w:val="both"/>
        <w:rPr>
          <w:rFonts w:ascii="Times New Roman" w:hAnsi="Times New Roman" w:cs="Times New Roman"/>
          <w:b/>
          <w:color w:val="000000" w:themeColor="text1"/>
          <w:sz w:val="20"/>
          <w:szCs w:val="20"/>
        </w:rPr>
      </w:pPr>
      <w:r w:rsidRPr="001E51F3">
        <w:rPr>
          <w:rFonts w:ascii="Times New Roman" w:hAnsi="Times New Roman" w:cs="Times New Roman"/>
          <w:b/>
          <w:bCs/>
          <w:color w:val="000000" w:themeColor="text1"/>
          <w:sz w:val="20"/>
          <w:szCs w:val="20"/>
        </w:rPr>
        <w:t>Keywords:</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i/>
          <w:iCs/>
          <w:color w:val="000000" w:themeColor="text1"/>
          <w:sz w:val="20"/>
          <w:szCs w:val="20"/>
        </w:rPr>
        <w:t>MadhucaIndica</w:t>
      </w:r>
      <w:r w:rsidR="007A0924" w:rsidRPr="007A0924">
        <w:rPr>
          <w:rFonts w:ascii="Times New Roman" w:hAnsi="Times New Roman" w:cs="Times New Roman"/>
          <w:color w:val="000000" w:themeColor="text1"/>
          <w:sz w:val="20"/>
          <w:szCs w:val="20"/>
        </w:rPr>
        <w:t>,</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antisecretory</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,cytoprotective,</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gastriculcer,</w:t>
      </w:r>
      <w:r w:rsidR="007A0924">
        <w:rPr>
          <w:rFonts w:ascii="Times New Roman" w:hAnsi="Times New Roman" w:cs="Times New Roman"/>
          <w:color w:val="000000" w:themeColor="text1"/>
          <w:sz w:val="20"/>
          <w:szCs w:val="20"/>
        </w:rPr>
        <w:t xml:space="preserve"> a</w:t>
      </w:r>
      <w:r w:rsidR="007A0924" w:rsidRPr="007A0924">
        <w:rPr>
          <w:rFonts w:ascii="Times New Roman" w:hAnsi="Times New Roman" w:cs="Times New Roman"/>
          <w:color w:val="000000" w:themeColor="text1"/>
          <w:sz w:val="20"/>
          <w:szCs w:val="20"/>
        </w:rPr>
        <w:t>lcohol</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induced</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ulcers,</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paracetamol-induced</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ulcers</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and</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stress</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induced</w:t>
      </w:r>
      <w:r w:rsidR="007A0924">
        <w:rPr>
          <w:rFonts w:ascii="Times New Roman" w:hAnsi="Times New Roman" w:cs="Times New Roman"/>
          <w:color w:val="000000" w:themeColor="text1"/>
          <w:sz w:val="20"/>
          <w:szCs w:val="20"/>
        </w:rPr>
        <w:t xml:space="preserve"> </w:t>
      </w:r>
      <w:r w:rsidR="007A0924" w:rsidRPr="007A0924">
        <w:rPr>
          <w:rFonts w:ascii="Times New Roman" w:hAnsi="Times New Roman" w:cs="Times New Roman"/>
          <w:color w:val="000000" w:themeColor="text1"/>
          <w:sz w:val="20"/>
          <w:szCs w:val="20"/>
        </w:rPr>
        <w:t>ulcers.</w:t>
      </w:r>
    </w:p>
    <w:p w:rsidR="007A0924" w:rsidRDefault="007A0924" w:rsidP="00D57DBD">
      <w:pPr>
        <w:pStyle w:val="NormalWeb"/>
        <w:spacing w:before="0" w:beforeAutospacing="0" w:after="0" w:afterAutospacing="0" w:line="276" w:lineRule="auto"/>
        <w:jc w:val="both"/>
        <w:rPr>
          <w:color w:val="000000"/>
          <w:sz w:val="20"/>
          <w:szCs w:val="20"/>
        </w:rPr>
      </w:pPr>
    </w:p>
    <w:p w:rsidR="007A0924" w:rsidRPr="007A0924" w:rsidRDefault="007A0924" w:rsidP="00D57DBD">
      <w:pPr>
        <w:pStyle w:val="NormalWeb"/>
        <w:spacing w:before="0" w:beforeAutospacing="0" w:after="0" w:afterAutospacing="0" w:line="276" w:lineRule="auto"/>
        <w:jc w:val="both"/>
        <w:rPr>
          <w:b/>
          <w:bCs/>
          <w:color w:val="000000"/>
        </w:rPr>
      </w:pPr>
      <w:r w:rsidRPr="007A0924">
        <w:rPr>
          <w:b/>
          <w:bCs/>
          <w:color w:val="000000"/>
        </w:rPr>
        <w:t>1. INTRODUCTION</w:t>
      </w:r>
    </w:p>
    <w:p w:rsidR="007A0924" w:rsidRDefault="007A0924" w:rsidP="00D57DBD">
      <w:pPr>
        <w:spacing w:after="0" w:line="360" w:lineRule="auto"/>
        <w:jc w:val="both"/>
        <w:rPr>
          <w:rFonts w:ascii="Times New Roman" w:eastAsia="Times New Roman" w:hAnsi="Times New Roman" w:cs="Times New Roman"/>
          <w:color w:val="000000"/>
          <w:sz w:val="20"/>
          <w:szCs w:val="20"/>
          <w:lang w:bidi="te-IN"/>
        </w:rPr>
      </w:pPr>
      <w:r w:rsidRPr="007A0924">
        <w:rPr>
          <w:rFonts w:ascii="Times New Roman" w:eastAsia="Times New Roman" w:hAnsi="Times New Roman" w:cs="Times New Roman"/>
          <w:color w:val="000000"/>
          <w:sz w:val="20"/>
          <w:szCs w:val="20"/>
          <w:lang w:bidi="te-IN"/>
        </w:rPr>
        <w:t>Peptic ulcer is one of the most common gastrointestinal diseases. In recent years, a widespread search has been launched to identify new antiulcer drugs from natural sources. Peptic ulcer disease (PUD) is caused by disruption of gastric mucosal defense and repair system. The recurrence rates of PUD are high and have been associated</w:t>
      </w:r>
      <w:r>
        <w:rPr>
          <w:rFonts w:ascii="Times New Roman" w:eastAsia="Times New Roman" w:hAnsi="Times New Roman" w:cs="Times New Roman"/>
          <w:color w:val="000000"/>
          <w:sz w:val="20"/>
          <w:szCs w:val="20"/>
          <w:lang w:bidi="te-IN"/>
        </w:rPr>
        <w:t xml:space="preserve"> </w:t>
      </w:r>
      <w:r w:rsidRPr="007A0924">
        <w:rPr>
          <w:rFonts w:ascii="Times New Roman" w:eastAsia="Times New Roman" w:hAnsi="Times New Roman" w:cs="Times New Roman"/>
          <w:color w:val="000000"/>
          <w:sz w:val="20"/>
          <w:szCs w:val="20"/>
          <w:lang w:bidi="te-IN"/>
        </w:rPr>
        <w:t>with several factors, including persistent Helicobacter pylori infection, sustained presence of mucosal damaging factors (e.g. use of non-steroidal antiinflammatory drugs) and diminished mucosal defense ability (Hawkey et al., 2000; Crespo and Suh, 2001). Reactive oxygen species (ROS) which include superoxide anions and hydroxyl radicals have been implicated in several degenerative diseases including hypercholesterolemia, atherosclerosis, carcinogenesis, diabetes mellitus, ischemic reperfusion cardiac injury and digestive system disorders such as hypersecretion and gastric mucosal damage (Dhuley, 1999). It has been shown that there is</w:t>
      </w:r>
      <w:r>
        <w:rPr>
          <w:rFonts w:ascii="Times New Roman" w:eastAsia="Times New Roman" w:hAnsi="Times New Roman" w:cs="Times New Roman"/>
          <w:color w:val="000000"/>
          <w:sz w:val="20"/>
          <w:szCs w:val="20"/>
          <w:lang w:bidi="te-IN"/>
        </w:rPr>
        <w:t xml:space="preserve"> </w:t>
      </w:r>
      <w:r w:rsidRPr="007A0924">
        <w:rPr>
          <w:rFonts w:ascii="Times New Roman" w:eastAsia="Times New Roman" w:hAnsi="Times New Roman" w:cs="Times New Roman"/>
          <w:color w:val="000000"/>
          <w:sz w:val="20"/>
          <w:szCs w:val="20"/>
          <w:lang w:bidi="te-IN"/>
        </w:rPr>
        <w:t>alteration in the antioxidant status following ulceration, indicating that free radicals seem to be associated with the pylorus-ligation induced (Rastogi et al., 1998) and ethanol induced (Pihan et al., 1987) ulceration in rats.</w:t>
      </w:r>
      <w:r w:rsidR="00A01626" w:rsidRPr="00A01626">
        <w:t xml:space="preserve"> </w:t>
      </w:r>
      <w:r w:rsidR="00A01626" w:rsidRPr="00A01626">
        <w:rPr>
          <w:rFonts w:ascii="Times New Roman" w:eastAsia="Times New Roman" w:hAnsi="Times New Roman" w:cs="Times New Roman"/>
          <w:color w:val="000000"/>
          <w:sz w:val="20"/>
          <w:szCs w:val="20"/>
          <w:lang w:bidi="te-IN"/>
        </w:rPr>
        <w:t>The plant of M. indica is known to possess various therapeutic properties and has been one of the noteworthy plants mentioned in various medicinal systems. It is a good laxative and is used in treating habitual constipation, piles and hemorrhoids. The leaves of M. indica have been reported to contain myricetin rhamnoside (Subramanian and Nair, 1972) and the tannin content in the leaves was found to be 4.86% (Daniel et al., 1978). Myricetin showed antioxidant property in neuro</w:t>
      </w:r>
      <w:r w:rsidR="00A01626">
        <w:rPr>
          <w:rFonts w:ascii="Times New Roman" w:eastAsia="Times New Roman" w:hAnsi="Times New Roman" w:cs="Times New Roman"/>
          <w:color w:val="000000"/>
          <w:sz w:val="20"/>
          <w:szCs w:val="20"/>
          <w:lang w:bidi="te-IN"/>
        </w:rPr>
        <w:t xml:space="preserve"> </w:t>
      </w:r>
      <w:r w:rsidR="00A01626" w:rsidRPr="00A01626">
        <w:rPr>
          <w:rFonts w:ascii="Times New Roman" w:eastAsia="Times New Roman" w:hAnsi="Times New Roman" w:cs="Times New Roman"/>
          <w:color w:val="000000"/>
          <w:sz w:val="20"/>
          <w:szCs w:val="20"/>
          <w:lang w:bidi="te-IN"/>
        </w:rPr>
        <w:t>blastoma cell model of rotenone neurotoxicity (Molina-Jimenez et al., 2005), β-sitosterol modulates antioxidant enzyme response in Raw 264.7 macrophages (Moreno and Vivancos, 2005).</w:t>
      </w:r>
    </w:p>
    <w:p w:rsidR="00D57DBD" w:rsidRDefault="00D57DBD" w:rsidP="00D57DBD">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Pr="00D57DBD">
        <w:rPr>
          <w:rFonts w:ascii="Times New Roman" w:hAnsi="Times New Roman" w:cs="Times New Roman"/>
          <w:b/>
          <w:bCs/>
          <w:color w:val="000000" w:themeColor="text1"/>
          <w:sz w:val="24"/>
          <w:szCs w:val="24"/>
        </w:rPr>
        <w:t xml:space="preserve">MATERIAL AND METHODS </w:t>
      </w:r>
    </w:p>
    <w:p w:rsidR="00A01626" w:rsidRPr="00A01626" w:rsidRDefault="00A01626" w:rsidP="00A01626">
      <w:pPr>
        <w:spacing w:before="54" w:after="0" w:line="276" w:lineRule="auto"/>
        <w:jc w:val="both"/>
        <w:rPr>
          <w:rFonts w:ascii="Times New Roman" w:hAnsi="Times New Roman" w:cs="Times New Roman"/>
          <w:b/>
          <w:bCs/>
          <w:sz w:val="20"/>
          <w:szCs w:val="20"/>
        </w:rPr>
      </w:pPr>
      <w:r w:rsidRPr="00A01626">
        <w:rPr>
          <w:rFonts w:ascii="Times New Roman" w:hAnsi="Times New Roman" w:cs="Times New Roman"/>
          <w:b/>
          <w:bCs/>
          <w:sz w:val="20"/>
          <w:szCs w:val="20"/>
        </w:rPr>
        <w:t>2.1. Experimental animals</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Wistar rats (150-200 g) and were procured from Animals were housed in appropriate cages in uniform hygienic conditions and fed with standard pellet diet (Amrul Laboratory Animal Diet) and water ad libitum. All the animals were maintained under standard conditions, that is room temperature 26 ± 1°C, relative humidity 45 - 55% and12:12 h light – dark cycle. The animals were housed in large spacious hygienic cages during the course of the experimental period.  Animal studies had approval of IAEC.</w:t>
      </w:r>
    </w:p>
    <w:p w:rsidR="00A01626" w:rsidRPr="00A01626" w:rsidRDefault="00A01626" w:rsidP="00A01626">
      <w:pPr>
        <w:spacing w:before="54" w:after="0" w:line="276" w:lineRule="auto"/>
        <w:jc w:val="both"/>
        <w:rPr>
          <w:rFonts w:ascii="Times New Roman" w:hAnsi="Times New Roman" w:cs="Times New Roman"/>
          <w:b/>
          <w:bCs/>
          <w:sz w:val="20"/>
          <w:szCs w:val="20"/>
        </w:rPr>
      </w:pPr>
      <w:r w:rsidRPr="00A01626">
        <w:rPr>
          <w:rFonts w:ascii="Times New Roman" w:hAnsi="Times New Roman" w:cs="Times New Roman"/>
          <w:b/>
          <w:bCs/>
          <w:sz w:val="20"/>
          <w:szCs w:val="20"/>
        </w:rPr>
        <w:t>2.2. Plant Material Collection</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lastRenderedPageBreak/>
        <w:t>The leaves of Madhuca Indica were collected from the Botanical garden and was identified and authenticated from Department. The plant material was cleaned, reduced to small fragments, air dried under shade at room temperature and coarsely powdered in a mixer. The powdered material was stored or taken up for extraction process.</w:t>
      </w:r>
    </w:p>
    <w:p w:rsidR="00A01626" w:rsidRPr="00A01626" w:rsidRDefault="00A01626" w:rsidP="00A01626">
      <w:pPr>
        <w:spacing w:before="54" w:after="0" w:line="276" w:lineRule="auto"/>
        <w:jc w:val="both"/>
        <w:rPr>
          <w:rFonts w:ascii="Times New Roman" w:hAnsi="Times New Roman" w:cs="Times New Roman"/>
          <w:b/>
          <w:bCs/>
          <w:sz w:val="20"/>
          <w:szCs w:val="20"/>
        </w:rPr>
      </w:pPr>
      <w:r w:rsidRPr="00A01626">
        <w:rPr>
          <w:rFonts w:ascii="Times New Roman" w:hAnsi="Times New Roman" w:cs="Times New Roman"/>
          <w:b/>
          <w:bCs/>
          <w:sz w:val="20"/>
          <w:szCs w:val="20"/>
        </w:rPr>
        <w:t>2.3. Preparation of plant extracts</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Fresh leaves of Madhuca Indica were collected and washed under tap water. The leaves extract used was prepared by taking 20gms of finely cut leaves into 250ml beaker containing 200ml of water. The contents were mixed well and then the mixture was boiled up to 80-1000C for 4-5hrs. Further the extract was filtered with whatmann filter paper. The filtrate was boiled until the concentrated residue is formed. The concentrated product was sealed in sample covers and stored under room temperature and used for further experiment to check the activities.</w:t>
      </w:r>
    </w:p>
    <w:p w:rsidR="00A01626" w:rsidRPr="00A01626" w:rsidRDefault="00A01626" w:rsidP="00A01626">
      <w:pPr>
        <w:spacing w:before="54" w:after="0" w:line="276" w:lineRule="auto"/>
        <w:jc w:val="both"/>
        <w:rPr>
          <w:rFonts w:ascii="Times New Roman" w:hAnsi="Times New Roman" w:cs="Times New Roman"/>
          <w:b/>
          <w:bCs/>
          <w:sz w:val="20"/>
          <w:szCs w:val="20"/>
        </w:rPr>
      </w:pPr>
      <w:r w:rsidRPr="00A01626">
        <w:rPr>
          <w:rFonts w:ascii="Times New Roman" w:hAnsi="Times New Roman" w:cs="Times New Roman"/>
          <w:b/>
          <w:bCs/>
          <w:sz w:val="20"/>
          <w:szCs w:val="20"/>
        </w:rPr>
        <w:t>2.4. Selection of dose for animal study</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The</w:t>
      </w:r>
      <w:r>
        <w:rPr>
          <w:rFonts w:ascii="Times New Roman" w:hAnsi="Times New Roman" w:cs="Times New Roman"/>
          <w:sz w:val="20"/>
          <w:szCs w:val="20"/>
        </w:rPr>
        <w:t xml:space="preserve"> </w:t>
      </w:r>
      <w:r w:rsidRPr="00A01626">
        <w:rPr>
          <w:rFonts w:ascii="Times New Roman" w:hAnsi="Times New Roman" w:cs="Times New Roman"/>
          <w:sz w:val="20"/>
          <w:szCs w:val="20"/>
        </w:rPr>
        <w:t>dose</w:t>
      </w:r>
      <w:r>
        <w:rPr>
          <w:rFonts w:ascii="Times New Roman" w:hAnsi="Times New Roman" w:cs="Times New Roman"/>
          <w:sz w:val="20"/>
          <w:szCs w:val="20"/>
        </w:rPr>
        <w:t xml:space="preserve"> </w:t>
      </w:r>
      <w:r w:rsidRPr="00A01626">
        <w:rPr>
          <w:rFonts w:ascii="Times New Roman" w:hAnsi="Times New Roman" w:cs="Times New Roman"/>
          <w:sz w:val="20"/>
          <w:szCs w:val="20"/>
        </w:rPr>
        <w:t>considered</w:t>
      </w:r>
      <w:r>
        <w:rPr>
          <w:rFonts w:ascii="Times New Roman" w:hAnsi="Times New Roman" w:cs="Times New Roman"/>
          <w:sz w:val="20"/>
          <w:szCs w:val="20"/>
        </w:rPr>
        <w:t xml:space="preserve"> </w:t>
      </w:r>
      <w:r w:rsidRPr="00A01626">
        <w:rPr>
          <w:rFonts w:ascii="Times New Roman" w:hAnsi="Times New Roman" w:cs="Times New Roman"/>
          <w:sz w:val="20"/>
          <w:szCs w:val="20"/>
        </w:rPr>
        <w:t>for</w:t>
      </w:r>
      <w:r>
        <w:rPr>
          <w:rFonts w:ascii="Times New Roman" w:hAnsi="Times New Roman" w:cs="Times New Roman"/>
          <w:sz w:val="20"/>
          <w:szCs w:val="20"/>
        </w:rPr>
        <w:t xml:space="preserve"> </w:t>
      </w:r>
      <w:r w:rsidRPr="00A01626">
        <w:rPr>
          <w:rFonts w:ascii="Times New Roman" w:hAnsi="Times New Roman" w:cs="Times New Roman"/>
          <w:sz w:val="20"/>
          <w:szCs w:val="20"/>
        </w:rPr>
        <w:t>the</w:t>
      </w:r>
      <w:r>
        <w:rPr>
          <w:rFonts w:ascii="Times New Roman" w:hAnsi="Times New Roman" w:cs="Times New Roman"/>
          <w:sz w:val="20"/>
          <w:szCs w:val="20"/>
        </w:rPr>
        <w:t xml:space="preserve"> </w:t>
      </w:r>
      <w:r w:rsidRPr="00A01626">
        <w:rPr>
          <w:rFonts w:ascii="Times New Roman" w:hAnsi="Times New Roman" w:cs="Times New Roman"/>
          <w:sz w:val="20"/>
          <w:szCs w:val="20"/>
        </w:rPr>
        <w:t>experiment</w:t>
      </w:r>
      <w:r>
        <w:rPr>
          <w:rFonts w:ascii="Times New Roman" w:hAnsi="Times New Roman" w:cs="Times New Roman"/>
          <w:sz w:val="20"/>
          <w:szCs w:val="20"/>
        </w:rPr>
        <w:t xml:space="preserve"> </w:t>
      </w:r>
      <w:r w:rsidRPr="00A01626">
        <w:rPr>
          <w:rFonts w:ascii="Times New Roman" w:hAnsi="Times New Roman" w:cs="Times New Roman"/>
          <w:sz w:val="20"/>
          <w:szCs w:val="20"/>
        </w:rPr>
        <w:t>on</w:t>
      </w:r>
      <w:r>
        <w:rPr>
          <w:rFonts w:ascii="Times New Roman" w:hAnsi="Times New Roman" w:cs="Times New Roman"/>
          <w:sz w:val="20"/>
          <w:szCs w:val="20"/>
        </w:rPr>
        <w:t xml:space="preserve"> </w:t>
      </w:r>
      <w:r w:rsidRPr="00A01626">
        <w:rPr>
          <w:rFonts w:ascii="Times New Roman" w:hAnsi="Times New Roman" w:cs="Times New Roman"/>
          <w:sz w:val="20"/>
          <w:szCs w:val="20"/>
        </w:rPr>
        <w:t>rats</w:t>
      </w:r>
      <w:r>
        <w:rPr>
          <w:rFonts w:ascii="Times New Roman" w:hAnsi="Times New Roman" w:cs="Times New Roman"/>
          <w:sz w:val="20"/>
          <w:szCs w:val="20"/>
        </w:rPr>
        <w:t xml:space="preserve"> </w:t>
      </w:r>
      <w:r w:rsidRPr="00A01626">
        <w:rPr>
          <w:rFonts w:ascii="Times New Roman" w:hAnsi="Times New Roman" w:cs="Times New Roman"/>
          <w:sz w:val="20"/>
          <w:szCs w:val="20"/>
        </w:rPr>
        <w:t>was</w:t>
      </w:r>
      <w:r>
        <w:rPr>
          <w:rFonts w:ascii="Times New Roman" w:hAnsi="Times New Roman" w:cs="Times New Roman"/>
          <w:sz w:val="20"/>
          <w:szCs w:val="20"/>
        </w:rPr>
        <w:t xml:space="preserve"> </w:t>
      </w:r>
      <w:r w:rsidRPr="00A01626">
        <w:rPr>
          <w:rFonts w:ascii="Times New Roman" w:hAnsi="Times New Roman" w:cs="Times New Roman"/>
          <w:sz w:val="20"/>
          <w:szCs w:val="20"/>
        </w:rPr>
        <w:t>obtained</w:t>
      </w:r>
      <w:r>
        <w:rPr>
          <w:rFonts w:ascii="Times New Roman" w:hAnsi="Times New Roman" w:cs="Times New Roman"/>
          <w:sz w:val="20"/>
          <w:szCs w:val="20"/>
        </w:rPr>
        <w:t xml:space="preserve"> </w:t>
      </w:r>
      <w:r w:rsidRPr="00A01626">
        <w:rPr>
          <w:rFonts w:ascii="Times New Roman" w:hAnsi="Times New Roman" w:cs="Times New Roman"/>
          <w:sz w:val="20"/>
          <w:szCs w:val="20"/>
        </w:rPr>
        <w:t>from</w:t>
      </w:r>
      <w:r>
        <w:rPr>
          <w:rFonts w:ascii="Times New Roman" w:hAnsi="Times New Roman" w:cs="Times New Roman"/>
          <w:sz w:val="20"/>
          <w:szCs w:val="20"/>
        </w:rPr>
        <w:t xml:space="preserve"> </w:t>
      </w:r>
      <w:r w:rsidRPr="00A01626">
        <w:rPr>
          <w:rFonts w:ascii="Times New Roman" w:hAnsi="Times New Roman" w:cs="Times New Roman"/>
          <w:sz w:val="20"/>
          <w:szCs w:val="20"/>
        </w:rPr>
        <w:t>conversion</w:t>
      </w:r>
      <w:r>
        <w:rPr>
          <w:rFonts w:ascii="Times New Roman" w:hAnsi="Times New Roman" w:cs="Times New Roman"/>
          <w:sz w:val="20"/>
          <w:szCs w:val="20"/>
        </w:rPr>
        <w:t xml:space="preserve"> </w:t>
      </w:r>
      <w:r w:rsidRPr="00A01626">
        <w:rPr>
          <w:rFonts w:ascii="Times New Roman" w:hAnsi="Times New Roman" w:cs="Times New Roman"/>
          <w:sz w:val="20"/>
          <w:szCs w:val="20"/>
        </w:rPr>
        <w:t>of</w:t>
      </w:r>
      <w:r>
        <w:rPr>
          <w:rFonts w:ascii="Times New Roman" w:hAnsi="Times New Roman" w:cs="Times New Roman"/>
          <w:sz w:val="20"/>
          <w:szCs w:val="20"/>
        </w:rPr>
        <w:t xml:space="preserve"> </w:t>
      </w:r>
      <w:r w:rsidRPr="00A01626">
        <w:rPr>
          <w:rFonts w:ascii="Times New Roman" w:hAnsi="Times New Roman" w:cs="Times New Roman"/>
          <w:sz w:val="20"/>
          <w:szCs w:val="20"/>
        </w:rPr>
        <w:t>human</w:t>
      </w:r>
      <w:r>
        <w:rPr>
          <w:rFonts w:ascii="Times New Roman" w:hAnsi="Times New Roman" w:cs="Times New Roman"/>
          <w:sz w:val="20"/>
          <w:szCs w:val="20"/>
        </w:rPr>
        <w:t xml:space="preserve"> </w:t>
      </w:r>
      <w:r w:rsidRPr="00A01626">
        <w:rPr>
          <w:rFonts w:ascii="Times New Roman" w:hAnsi="Times New Roman" w:cs="Times New Roman"/>
          <w:sz w:val="20"/>
          <w:szCs w:val="20"/>
        </w:rPr>
        <w:t>dose</w:t>
      </w:r>
      <w:r>
        <w:rPr>
          <w:rFonts w:ascii="Times New Roman" w:hAnsi="Times New Roman" w:cs="Times New Roman"/>
          <w:sz w:val="20"/>
          <w:szCs w:val="20"/>
        </w:rPr>
        <w:t xml:space="preserve"> </w:t>
      </w:r>
      <w:r w:rsidRPr="00A01626">
        <w:rPr>
          <w:rFonts w:ascii="Times New Roman" w:hAnsi="Times New Roman" w:cs="Times New Roman"/>
          <w:sz w:val="20"/>
          <w:szCs w:val="20"/>
        </w:rPr>
        <w:t>of</w:t>
      </w:r>
      <w:r>
        <w:rPr>
          <w:rFonts w:ascii="Times New Roman" w:hAnsi="Times New Roman" w:cs="Times New Roman"/>
          <w:sz w:val="20"/>
          <w:szCs w:val="20"/>
        </w:rPr>
        <w:t xml:space="preserve"> </w:t>
      </w:r>
      <w:r w:rsidRPr="00A01626">
        <w:rPr>
          <w:rFonts w:ascii="Times New Roman" w:hAnsi="Times New Roman" w:cs="Times New Roman"/>
          <w:i/>
          <w:iCs/>
          <w:sz w:val="20"/>
          <w:szCs w:val="20"/>
        </w:rPr>
        <w:t>Madhuca</w:t>
      </w:r>
      <w:r>
        <w:rPr>
          <w:rFonts w:ascii="Times New Roman" w:hAnsi="Times New Roman" w:cs="Times New Roman"/>
          <w:i/>
          <w:iCs/>
          <w:sz w:val="20"/>
          <w:szCs w:val="20"/>
        </w:rPr>
        <w:t xml:space="preserve"> </w:t>
      </w:r>
      <w:r w:rsidRPr="00A01626">
        <w:rPr>
          <w:rFonts w:ascii="Times New Roman" w:hAnsi="Times New Roman" w:cs="Times New Roman"/>
          <w:i/>
          <w:iCs/>
          <w:sz w:val="20"/>
          <w:szCs w:val="20"/>
        </w:rPr>
        <w:t>Indica</w:t>
      </w:r>
      <w:r>
        <w:rPr>
          <w:rFonts w:ascii="Times New Roman" w:hAnsi="Times New Roman" w:cs="Times New Roman"/>
          <w:i/>
          <w:iCs/>
          <w:sz w:val="20"/>
          <w:szCs w:val="20"/>
        </w:rPr>
        <w:t xml:space="preserve"> </w:t>
      </w:r>
      <w:r w:rsidRPr="00A01626">
        <w:rPr>
          <w:rFonts w:ascii="Times New Roman" w:hAnsi="Times New Roman" w:cs="Times New Roman"/>
          <w:sz w:val="20"/>
          <w:szCs w:val="20"/>
        </w:rPr>
        <w:t>(3-5g/kg).</w:t>
      </w:r>
      <w:r>
        <w:rPr>
          <w:rFonts w:ascii="Times New Roman" w:hAnsi="Times New Roman" w:cs="Times New Roman"/>
          <w:sz w:val="20"/>
          <w:szCs w:val="20"/>
        </w:rPr>
        <w:t xml:space="preserve"> </w:t>
      </w:r>
      <w:r w:rsidRPr="00A01626">
        <w:rPr>
          <w:rFonts w:ascii="Times New Roman" w:hAnsi="Times New Roman" w:cs="Times New Roman"/>
          <w:sz w:val="20"/>
          <w:szCs w:val="20"/>
        </w:rPr>
        <w:t>The</w:t>
      </w:r>
      <w:r>
        <w:rPr>
          <w:rFonts w:ascii="Times New Roman" w:hAnsi="Times New Roman" w:cs="Times New Roman"/>
          <w:sz w:val="20"/>
          <w:szCs w:val="20"/>
        </w:rPr>
        <w:t xml:space="preserve"> </w:t>
      </w:r>
      <w:r w:rsidRPr="00A01626">
        <w:rPr>
          <w:rFonts w:ascii="Times New Roman" w:hAnsi="Times New Roman" w:cs="Times New Roman"/>
          <w:sz w:val="20"/>
          <w:szCs w:val="20"/>
        </w:rPr>
        <w:t>conversion</w:t>
      </w:r>
      <w:r>
        <w:rPr>
          <w:rFonts w:ascii="Times New Roman" w:hAnsi="Times New Roman" w:cs="Times New Roman"/>
          <w:sz w:val="20"/>
          <w:szCs w:val="20"/>
        </w:rPr>
        <w:t xml:space="preserve"> </w:t>
      </w:r>
      <w:r w:rsidRPr="00A01626">
        <w:rPr>
          <w:rFonts w:ascii="Times New Roman" w:hAnsi="Times New Roman" w:cs="Times New Roman"/>
          <w:sz w:val="20"/>
          <w:szCs w:val="20"/>
        </w:rPr>
        <w:t>factor</w:t>
      </w:r>
      <w:r>
        <w:rPr>
          <w:rFonts w:ascii="Times New Roman" w:hAnsi="Times New Roman" w:cs="Times New Roman"/>
          <w:sz w:val="20"/>
          <w:szCs w:val="20"/>
        </w:rPr>
        <w:t xml:space="preserve"> </w:t>
      </w:r>
      <w:r w:rsidRPr="00A01626">
        <w:rPr>
          <w:rFonts w:ascii="Times New Roman" w:hAnsi="Times New Roman" w:cs="Times New Roman"/>
          <w:sz w:val="20"/>
          <w:szCs w:val="20"/>
        </w:rPr>
        <w:t>of</w:t>
      </w:r>
      <w:r>
        <w:rPr>
          <w:rFonts w:ascii="Times New Roman" w:hAnsi="Times New Roman" w:cs="Times New Roman"/>
          <w:sz w:val="20"/>
          <w:szCs w:val="20"/>
        </w:rPr>
        <w:t xml:space="preserve"> </w:t>
      </w:r>
      <w:r w:rsidRPr="00A01626">
        <w:rPr>
          <w:rFonts w:ascii="Times New Roman" w:hAnsi="Times New Roman" w:cs="Times New Roman"/>
          <w:sz w:val="20"/>
          <w:szCs w:val="20"/>
        </w:rPr>
        <w:t>human</w:t>
      </w:r>
      <w:r>
        <w:rPr>
          <w:rFonts w:ascii="Times New Roman" w:hAnsi="Times New Roman" w:cs="Times New Roman"/>
          <w:sz w:val="20"/>
          <w:szCs w:val="20"/>
        </w:rPr>
        <w:t xml:space="preserve"> </w:t>
      </w:r>
      <w:r w:rsidRPr="00A01626">
        <w:rPr>
          <w:rFonts w:ascii="Times New Roman" w:hAnsi="Times New Roman" w:cs="Times New Roman"/>
          <w:sz w:val="20"/>
          <w:szCs w:val="20"/>
        </w:rPr>
        <w:t>dose</w:t>
      </w:r>
      <w:r>
        <w:rPr>
          <w:rFonts w:ascii="Times New Roman" w:hAnsi="Times New Roman" w:cs="Times New Roman"/>
          <w:sz w:val="20"/>
          <w:szCs w:val="20"/>
        </w:rPr>
        <w:t xml:space="preserve"> </w:t>
      </w:r>
      <w:r w:rsidRPr="00A01626">
        <w:rPr>
          <w:rFonts w:ascii="Times New Roman" w:hAnsi="Times New Roman" w:cs="Times New Roman"/>
          <w:sz w:val="20"/>
          <w:szCs w:val="20"/>
        </w:rPr>
        <w:t>(per</w:t>
      </w:r>
      <w:r>
        <w:rPr>
          <w:rFonts w:ascii="Times New Roman" w:hAnsi="Times New Roman" w:cs="Times New Roman"/>
          <w:sz w:val="20"/>
          <w:szCs w:val="20"/>
        </w:rPr>
        <w:t xml:space="preserve"> </w:t>
      </w:r>
      <w:r w:rsidRPr="00A01626">
        <w:rPr>
          <w:rFonts w:ascii="Times New Roman" w:hAnsi="Times New Roman" w:cs="Times New Roman"/>
          <w:sz w:val="20"/>
          <w:szCs w:val="20"/>
        </w:rPr>
        <w:t>200g</w:t>
      </w:r>
      <w:r>
        <w:rPr>
          <w:rFonts w:ascii="Times New Roman" w:hAnsi="Times New Roman" w:cs="Times New Roman"/>
          <w:sz w:val="20"/>
          <w:szCs w:val="20"/>
        </w:rPr>
        <w:t xml:space="preserve"> </w:t>
      </w:r>
      <w:r w:rsidRPr="00A01626">
        <w:rPr>
          <w:rFonts w:ascii="Times New Roman" w:hAnsi="Times New Roman" w:cs="Times New Roman"/>
          <w:sz w:val="20"/>
          <w:szCs w:val="20"/>
        </w:rPr>
        <w:t>body</w:t>
      </w:r>
      <w:r>
        <w:rPr>
          <w:rFonts w:ascii="Times New Roman" w:hAnsi="Times New Roman" w:cs="Times New Roman"/>
          <w:sz w:val="20"/>
          <w:szCs w:val="20"/>
        </w:rPr>
        <w:t xml:space="preserve"> </w:t>
      </w:r>
      <w:r w:rsidRPr="00A01626">
        <w:rPr>
          <w:rFonts w:ascii="Times New Roman" w:hAnsi="Times New Roman" w:cs="Times New Roman"/>
          <w:sz w:val="20"/>
          <w:szCs w:val="20"/>
        </w:rPr>
        <w:t>weight)</w:t>
      </w:r>
      <w:r>
        <w:rPr>
          <w:rFonts w:ascii="Times New Roman" w:hAnsi="Times New Roman" w:cs="Times New Roman"/>
          <w:sz w:val="20"/>
          <w:szCs w:val="20"/>
        </w:rPr>
        <w:t xml:space="preserve"> </w:t>
      </w:r>
      <w:r w:rsidRPr="00A01626">
        <w:rPr>
          <w:rFonts w:ascii="Times New Roman" w:hAnsi="Times New Roman" w:cs="Times New Roman"/>
          <w:sz w:val="20"/>
          <w:szCs w:val="20"/>
        </w:rPr>
        <w:t>is</w:t>
      </w:r>
      <w:r>
        <w:rPr>
          <w:rFonts w:ascii="Times New Roman" w:hAnsi="Times New Roman" w:cs="Times New Roman"/>
          <w:sz w:val="20"/>
          <w:szCs w:val="20"/>
        </w:rPr>
        <w:t xml:space="preserve"> </w:t>
      </w:r>
      <w:r w:rsidRPr="00A01626">
        <w:rPr>
          <w:rFonts w:ascii="Times New Roman" w:hAnsi="Times New Roman" w:cs="Times New Roman"/>
          <w:sz w:val="20"/>
          <w:szCs w:val="20"/>
        </w:rPr>
        <w:t>0.018</w:t>
      </w:r>
      <w:r>
        <w:rPr>
          <w:rFonts w:ascii="Times New Roman" w:hAnsi="Times New Roman" w:cs="Times New Roman"/>
          <w:sz w:val="20"/>
          <w:szCs w:val="20"/>
        </w:rPr>
        <w:t xml:space="preserve"> </w:t>
      </w:r>
      <w:r w:rsidRPr="00A01626">
        <w:rPr>
          <w:rFonts w:ascii="Times New Roman" w:hAnsi="Times New Roman" w:cs="Times New Roman"/>
          <w:sz w:val="20"/>
          <w:szCs w:val="20"/>
        </w:rPr>
        <w:t>for</w:t>
      </w:r>
      <w:r>
        <w:rPr>
          <w:rFonts w:ascii="Times New Roman" w:hAnsi="Times New Roman" w:cs="Times New Roman"/>
          <w:sz w:val="20"/>
          <w:szCs w:val="20"/>
        </w:rPr>
        <w:t xml:space="preserve"> </w:t>
      </w:r>
      <w:r w:rsidRPr="00A01626">
        <w:rPr>
          <w:rFonts w:ascii="Times New Roman" w:hAnsi="Times New Roman" w:cs="Times New Roman"/>
          <w:sz w:val="20"/>
          <w:szCs w:val="20"/>
        </w:rPr>
        <w:t>rats</w:t>
      </w:r>
      <w:r>
        <w:rPr>
          <w:rFonts w:ascii="Times New Roman" w:hAnsi="Times New Roman" w:cs="Times New Roman"/>
          <w:sz w:val="20"/>
          <w:szCs w:val="20"/>
        </w:rPr>
        <w:t xml:space="preserve"> </w:t>
      </w:r>
      <w:r w:rsidRPr="00A01626">
        <w:rPr>
          <w:rFonts w:ascii="Times New Roman" w:hAnsi="Times New Roman" w:cs="Times New Roman"/>
          <w:sz w:val="20"/>
          <w:szCs w:val="20"/>
        </w:rPr>
        <w:t>(Ghosh1984).</w:t>
      </w:r>
      <w:r>
        <w:rPr>
          <w:rFonts w:ascii="Times New Roman" w:hAnsi="Times New Roman" w:cs="Times New Roman"/>
          <w:sz w:val="20"/>
          <w:szCs w:val="20"/>
        </w:rPr>
        <w:t xml:space="preserve"> </w:t>
      </w:r>
      <w:r w:rsidRPr="00A01626">
        <w:rPr>
          <w:rFonts w:ascii="Times New Roman" w:hAnsi="Times New Roman" w:cs="Times New Roman"/>
          <w:sz w:val="20"/>
          <w:szCs w:val="20"/>
        </w:rPr>
        <w:t>Hence</w:t>
      </w:r>
      <w:r>
        <w:rPr>
          <w:rFonts w:ascii="Times New Roman" w:hAnsi="Times New Roman" w:cs="Times New Roman"/>
          <w:sz w:val="20"/>
          <w:szCs w:val="20"/>
        </w:rPr>
        <w:t xml:space="preserve"> </w:t>
      </w:r>
      <w:r w:rsidRPr="00A01626">
        <w:rPr>
          <w:rFonts w:ascii="Times New Roman" w:hAnsi="Times New Roman" w:cs="Times New Roman"/>
          <w:sz w:val="20"/>
          <w:szCs w:val="20"/>
        </w:rPr>
        <w:t>the</w:t>
      </w:r>
      <w:r>
        <w:rPr>
          <w:rFonts w:ascii="Times New Roman" w:hAnsi="Times New Roman" w:cs="Times New Roman"/>
          <w:sz w:val="20"/>
          <w:szCs w:val="20"/>
        </w:rPr>
        <w:t xml:space="preserve"> </w:t>
      </w:r>
      <w:r w:rsidRPr="00A01626">
        <w:rPr>
          <w:rFonts w:ascii="Times New Roman" w:hAnsi="Times New Roman" w:cs="Times New Roman"/>
          <w:sz w:val="20"/>
          <w:szCs w:val="20"/>
        </w:rPr>
        <w:t>calculated</w:t>
      </w:r>
      <w:r>
        <w:rPr>
          <w:rFonts w:ascii="Times New Roman" w:hAnsi="Times New Roman" w:cs="Times New Roman"/>
          <w:sz w:val="20"/>
          <w:szCs w:val="20"/>
        </w:rPr>
        <w:t xml:space="preserve"> </w:t>
      </w:r>
      <w:r w:rsidRPr="00A01626">
        <w:rPr>
          <w:rFonts w:ascii="Times New Roman" w:hAnsi="Times New Roman" w:cs="Times New Roman"/>
          <w:sz w:val="20"/>
          <w:szCs w:val="20"/>
        </w:rPr>
        <w:t>dose</w:t>
      </w:r>
      <w:r>
        <w:rPr>
          <w:rFonts w:ascii="Times New Roman" w:hAnsi="Times New Roman" w:cs="Times New Roman"/>
          <w:sz w:val="20"/>
          <w:szCs w:val="20"/>
        </w:rPr>
        <w:t xml:space="preserve"> </w:t>
      </w:r>
      <w:r w:rsidRPr="00A01626">
        <w:rPr>
          <w:rFonts w:ascii="Times New Roman" w:hAnsi="Times New Roman" w:cs="Times New Roman"/>
          <w:sz w:val="20"/>
          <w:szCs w:val="20"/>
        </w:rPr>
        <w:t>for</w:t>
      </w:r>
      <w:r>
        <w:rPr>
          <w:rFonts w:ascii="Times New Roman" w:hAnsi="Times New Roman" w:cs="Times New Roman"/>
          <w:sz w:val="20"/>
          <w:szCs w:val="20"/>
        </w:rPr>
        <w:t xml:space="preserve"> </w:t>
      </w:r>
      <w:r w:rsidRPr="00A01626">
        <w:rPr>
          <w:rFonts w:ascii="Times New Roman" w:hAnsi="Times New Roman" w:cs="Times New Roman"/>
          <w:sz w:val="20"/>
          <w:szCs w:val="20"/>
        </w:rPr>
        <w:t>the</w:t>
      </w:r>
      <w:r>
        <w:rPr>
          <w:rFonts w:ascii="Times New Roman" w:hAnsi="Times New Roman" w:cs="Times New Roman"/>
          <w:sz w:val="20"/>
          <w:szCs w:val="20"/>
        </w:rPr>
        <w:t xml:space="preserve"> </w:t>
      </w:r>
      <w:r w:rsidRPr="00A01626">
        <w:rPr>
          <w:rFonts w:ascii="Times New Roman" w:hAnsi="Times New Roman" w:cs="Times New Roman"/>
          <w:sz w:val="20"/>
          <w:szCs w:val="20"/>
        </w:rPr>
        <w:t>rats</w:t>
      </w:r>
      <w:r>
        <w:rPr>
          <w:rFonts w:ascii="Times New Roman" w:hAnsi="Times New Roman" w:cs="Times New Roman"/>
          <w:sz w:val="20"/>
          <w:szCs w:val="20"/>
        </w:rPr>
        <w:t xml:space="preserve"> </w:t>
      </w:r>
      <w:r w:rsidRPr="00A01626">
        <w:rPr>
          <w:rFonts w:ascii="Times New Roman" w:hAnsi="Times New Roman" w:cs="Times New Roman"/>
          <w:sz w:val="20"/>
          <w:szCs w:val="20"/>
        </w:rPr>
        <w:t>(considering</w:t>
      </w:r>
      <w:r>
        <w:rPr>
          <w:rFonts w:ascii="Times New Roman" w:hAnsi="Times New Roman" w:cs="Times New Roman"/>
          <w:sz w:val="20"/>
          <w:szCs w:val="20"/>
        </w:rPr>
        <w:t xml:space="preserve"> </w:t>
      </w:r>
      <w:r w:rsidRPr="00A01626">
        <w:rPr>
          <w:rFonts w:ascii="Times New Roman" w:hAnsi="Times New Roman" w:cs="Times New Roman"/>
          <w:sz w:val="20"/>
          <w:szCs w:val="20"/>
        </w:rPr>
        <w:t>human</w:t>
      </w:r>
      <w:r>
        <w:rPr>
          <w:rFonts w:ascii="Times New Roman" w:hAnsi="Times New Roman" w:cs="Times New Roman"/>
          <w:sz w:val="20"/>
          <w:szCs w:val="20"/>
        </w:rPr>
        <w:t xml:space="preserve"> </w:t>
      </w:r>
      <w:r w:rsidRPr="00A01626">
        <w:rPr>
          <w:rFonts w:ascii="Times New Roman" w:hAnsi="Times New Roman" w:cs="Times New Roman"/>
          <w:sz w:val="20"/>
          <w:szCs w:val="20"/>
        </w:rPr>
        <w:t>dose</w:t>
      </w:r>
      <w:r>
        <w:rPr>
          <w:rFonts w:ascii="Times New Roman" w:hAnsi="Times New Roman" w:cs="Times New Roman"/>
          <w:sz w:val="20"/>
          <w:szCs w:val="20"/>
        </w:rPr>
        <w:t xml:space="preserve"> </w:t>
      </w:r>
      <w:r w:rsidRPr="00A01626">
        <w:rPr>
          <w:rFonts w:ascii="Times New Roman" w:hAnsi="Times New Roman" w:cs="Times New Roman"/>
          <w:sz w:val="20"/>
          <w:szCs w:val="20"/>
        </w:rPr>
        <w:t>3</w:t>
      </w:r>
      <w:r>
        <w:rPr>
          <w:rFonts w:ascii="Times New Roman" w:hAnsi="Times New Roman" w:cs="Times New Roman"/>
          <w:sz w:val="20"/>
          <w:szCs w:val="20"/>
        </w:rPr>
        <w:t xml:space="preserve"> </w:t>
      </w:r>
      <w:r w:rsidRPr="00A01626">
        <w:rPr>
          <w:rFonts w:ascii="Times New Roman" w:hAnsi="Times New Roman" w:cs="Times New Roman"/>
          <w:sz w:val="20"/>
          <w:szCs w:val="20"/>
        </w:rPr>
        <w:t>and</w:t>
      </w:r>
      <w:r>
        <w:rPr>
          <w:rFonts w:ascii="Times New Roman" w:hAnsi="Times New Roman" w:cs="Times New Roman"/>
          <w:sz w:val="20"/>
          <w:szCs w:val="20"/>
        </w:rPr>
        <w:t xml:space="preserve"> </w:t>
      </w:r>
      <w:r w:rsidRPr="00A01626">
        <w:rPr>
          <w:rFonts w:ascii="Times New Roman" w:hAnsi="Times New Roman" w:cs="Times New Roman"/>
          <w:sz w:val="20"/>
          <w:szCs w:val="20"/>
        </w:rPr>
        <w:t>5g/kg)</w:t>
      </w:r>
      <w:r>
        <w:rPr>
          <w:rFonts w:ascii="Times New Roman" w:hAnsi="Times New Roman" w:cs="Times New Roman"/>
          <w:sz w:val="20"/>
          <w:szCs w:val="20"/>
        </w:rPr>
        <w:t xml:space="preserve"> </w:t>
      </w:r>
      <w:r w:rsidRPr="00A01626">
        <w:rPr>
          <w:rFonts w:ascii="Times New Roman" w:hAnsi="Times New Roman" w:cs="Times New Roman"/>
          <w:sz w:val="20"/>
          <w:szCs w:val="20"/>
        </w:rPr>
        <w:t>is200mg/kg.</w:t>
      </w:r>
      <w:r>
        <w:rPr>
          <w:rFonts w:ascii="Times New Roman" w:hAnsi="Times New Roman" w:cs="Times New Roman"/>
          <w:sz w:val="20"/>
          <w:szCs w:val="20"/>
        </w:rPr>
        <w:t xml:space="preserve"> </w:t>
      </w:r>
      <w:r w:rsidRPr="00A01626">
        <w:rPr>
          <w:rFonts w:ascii="Times New Roman" w:hAnsi="Times New Roman" w:cs="Times New Roman"/>
          <w:sz w:val="20"/>
          <w:szCs w:val="20"/>
        </w:rPr>
        <w:t>Acute</w:t>
      </w:r>
      <w:r>
        <w:rPr>
          <w:rFonts w:ascii="Times New Roman" w:hAnsi="Times New Roman" w:cs="Times New Roman"/>
          <w:sz w:val="20"/>
          <w:szCs w:val="20"/>
        </w:rPr>
        <w:t xml:space="preserve"> </w:t>
      </w:r>
      <w:r w:rsidRPr="00A01626">
        <w:rPr>
          <w:rFonts w:ascii="Times New Roman" w:hAnsi="Times New Roman" w:cs="Times New Roman"/>
          <w:sz w:val="20"/>
          <w:szCs w:val="20"/>
        </w:rPr>
        <w:t>toxicity</w:t>
      </w:r>
      <w:r>
        <w:rPr>
          <w:rFonts w:ascii="Times New Roman" w:hAnsi="Times New Roman" w:cs="Times New Roman"/>
          <w:sz w:val="20"/>
          <w:szCs w:val="20"/>
        </w:rPr>
        <w:t xml:space="preserve"> </w:t>
      </w:r>
      <w:r w:rsidRPr="00A01626">
        <w:rPr>
          <w:rFonts w:ascii="Times New Roman" w:hAnsi="Times New Roman" w:cs="Times New Roman"/>
          <w:sz w:val="20"/>
          <w:szCs w:val="20"/>
        </w:rPr>
        <w:t>was</w:t>
      </w:r>
      <w:r>
        <w:rPr>
          <w:rFonts w:ascii="Times New Roman" w:hAnsi="Times New Roman" w:cs="Times New Roman"/>
          <w:sz w:val="20"/>
          <w:szCs w:val="20"/>
        </w:rPr>
        <w:t xml:space="preserve"> </w:t>
      </w:r>
      <w:r w:rsidRPr="00A01626">
        <w:rPr>
          <w:rFonts w:ascii="Times New Roman" w:hAnsi="Times New Roman" w:cs="Times New Roman"/>
          <w:sz w:val="20"/>
          <w:szCs w:val="20"/>
        </w:rPr>
        <w:t>done</w:t>
      </w:r>
      <w:r>
        <w:rPr>
          <w:rFonts w:ascii="Times New Roman" w:hAnsi="Times New Roman" w:cs="Times New Roman"/>
          <w:sz w:val="20"/>
          <w:szCs w:val="20"/>
        </w:rPr>
        <w:t xml:space="preserve"> </w:t>
      </w:r>
      <w:r w:rsidRPr="00A01626">
        <w:rPr>
          <w:rFonts w:ascii="Times New Roman" w:hAnsi="Times New Roman" w:cs="Times New Roman"/>
          <w:sz w:val="20"/>
          <w:szCs w:val="20"/>
        </w:rPr>
        <w:t>at</w:t>
      </w:r>
      <w:r>
        <w:rPr>
          <w:rFonts w:ascii="Times New Roman" w:hAnsi="Times New Roman" w:cs="Times New Roman"/>
          <w:sz w:val="20"/>
          <w:szCs w:val="20"/>
        </w:rPr>
        <w:t xml:space="preserve"> </w:t>
      </w:r>
      <w:r w:rsidRPr="00A01626">
        <w:rPr>
          <w:rFonts w:ascii="Times New Roman" w:hAnsi="Times New Roman" w:cs="Times New Roman"/>
          <w:sz w:val="20"/>
          <w:szCs w:val="20"/>
        </w:rPr>
        <w:t>dose</w:t>
      </w:r>
      <w:r>
        <w:rPr>
          <w:rFonts w:ascii="Times New Roman" w:hAnsi="Times New Roman" w:cs="Times New Roman"/>
          <w:sz w:val="20"/>
          <w:szCs w:val="20"/>
        </w:rPr>
        <w:t xml:space="preserve"> </w:t>
      </w:r>
      <w:r w:rsidRPr="00A01626">
        <w:rPr>
          <w:rFonts w:ascii="Times New Roman" w:hAnsi="Times New Roman" w:cs="Times New Roman"/>
          <w:sz w:val="20"/>
          <w:szCs w:val="20"/>
        </w:rPr>
        <w:t>of</w:t>
      </w:r>
      <w:r>
        <w:rPr>
          <w:rFonts w:ascii="Times New Roman" w:hAnsi="Times New Roman" w:cs="Times New Roman"/>
          <w:sz w:val="20"/>
          <w:szCs w:val="20"/>
        </w:rPr>
        <w:t xml:space="preserve"> </w:t>
      </w:r>
      <w:r w:rsidRPr="00A01626">
        <w:rPr>
          <w:rFonts w:ascii="Times New Roman" w:hAnsi="Times New Roman" w:cs="Times New Roman"/>
          <w:sz w:val="20"/>
          <w:szCs w:val="20"/>
        </w:rPr>
        <w:t>2000mg/kg</w:t>
      </w:r>
      <w:r>
        <w:rPr>
          <w:rFonts w:ascii="Times New Roman" w:hAnsi="Times New Roman" w:cs="Times New Roman"/>
          <w:sz w:val="20"/>
          <w:szCs w:val="20"/>
        </w:rPr>
        <w:t xml:space="preserve"> </w:t>
      </w:r>
      <w:r w:rsidRPr="00A01626">
        <w:rPr>
          <w:rFonts w:ascii="Times New Roman" w:hAnsi="Times New Roman" w:cs="Times New Roman"/>
          <w:sz w:val="20"/>
          <w:szCs w:val="20"/>
        </w:rPr>
        <w:t>bodyweight.</w:t>
      </w:r>
    </w:p>
    <w:p w:rsidR="00A01626" w:rsidRPr="00A01626" w:rsidRDefault="00A01626" w:rsidP="00A01626">
      <w:pPr>
        <w:spacing w:before="54" w:after="0" w:line="276" w:lineRule="auto"/>
        <w:jc w:val="both"/>
        <w:rPr>
          <w:rFonts w:ascii="Times New Roman" w:hAnsi="Times New Roman" w:cs="Times New Roman"/>
          <w:b/>
          <w:bCs/>
          <w:sz w:val="20"/>
          <w:szCs w:val="20"/>
        </w:rPr>
      </w:pPr>
      <w:r w:rsidRPr="00A01626">
        <w:rPr>
          <w:rFonts w:ascii="Times New Roman" w:hAnsi="Times New Roman" w:cs="Times New Roman"/>
          <w:b/>
          <w:bCs/>
          <w:sz w:val="20"/>
          <w:szCs w:val="20"/>
        </w:rPr>
        <w:t>2.5.</w:t>
      </w:r>
      <w:r>
        <w:rPr>
          <w:rFonts w:ascii="Times New Roman" w:hAnsi="Times New Roman" w:cs="Times New Roman"/>
          <w:b/>
          <w:bCs/>
          <w:sz w:val="20"/>
          <w:szCs w:val="20"/>
        </w:rPr>
        <w:t xml:space="preserve"> A</w:t>
      </w:r>
      <w:r w:rsidRPr="00A01626">
        <w:rPr>
          <w:rFonts w:ascii="Times New Roman" w:hAnsi="Times New Roman" w:cs="Times New Roman"/>
          <w:b/>
          <w:bCs/>
          <w:sz w:val="20"/>
          <w:szCs w:val="20"/>
        </w:rPr>
        <w:t>cute oral toxicity:</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The acute oral toxicity of aqueous and alcoholic extracts of Madhuca Indica was determined by using rats which were maintained under standard conditions. The animals were fasted 12 hour prior to the experiment, up and down procedure OECD guideline no. 425 were adopted for toxicity studies. Animals were administered with single dose of individual extract up to 2000mg/kg and observed for its mortality during 7days and 21days study period (long term) toxicity and observed upto 7days for their mortality, behavioral and neurological profiles.</w:t>
      </w:r>
    </w:p>
    <w:p w:rsidR="00A01626" w:rsidRPr="00A01626" w:rsidRDefault="00A01626" w:rsidP="00A01626">
      <w:pPr>
        <w:spacing w:before="54" w:after="0" w:line="276" w:lineRule="auto"/>
        <w:jc w:val="both"/>
        <w:rPr>
          <w:rFonts w:ascii="Times New Roman" w:hAnsi="Times New Roman" w:cs="Times New Roman"/>
          <w:b/>
          <w:bCs/>
          <w:sz w:val="20"/>
          <w:szCs w:val="20"/>
        </w:rPr>
      </w:pPr>
      <w:r w:rsidRPr="00A01626">
        <w:rPr>
          <w:rFonts w:ascii="Times New Roman" w:hAnsi="Times New Roman" w:cs="Times New Roman"/>
          <w:b/>
          <w:bCs/>
          <w:sz w:val="20"/>
          <w:szCs w:val="20"/>
        </w:rPr>
        <w:t>2.6. Acute stress-induced ulcer</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The rats were deprived of food for 24 h, although water was allowed. Albino rats weighing between 160 - 180 g were divided into 12 groups consisting of six animals each. Experimental design and dosing schedule was as follows.</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Animals were divided into four (I-V) groups.</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 - Control group received distilled water (1ml, p.o).</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II- Ulcer control</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III - Standard group received Cimetidine (32mg/kg i.p).</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IV - Test group received aqueous extract of Madhuca Indica (250mg/kg p.o).</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V - Test group received alcoholic extract of Madhuca Indica (250mg/kg p.o).</w:t>
      </w:r>
    </w:p>
    <w:p w:rsidR="00A01626" w:rsidRPr="00A01626" w:rsidRDefault="00A01626" w:rsidP="00A01626">
      <w:pPr>
        <w:spacing w:before="54"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2.7. </w:t>
      </w:r>
      <w:r w:rsidRPr="00A01626">
        <w:rPr>
          <w:rFonts w:ascii="Times New Roman" w:hAnsi="Times New Roman" w:cs="Times New Roman"/>
          <w:b/>
          <w:bCs/>
          <w:sz w:val="20"/>
          <w:szCs w:val="20"/>
        </w:rPr>
        <w:t>Alcohol Induced Ulcers in Rats</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Alcohol induced ulcer model, in rats was studied for all extractives of both plants to determine the ulcer index and ulcer inhibition. Albino rats weighing between 160 - 180 g were divided into 12 groups consisting of six animals each. Experimental design and dosing schedule was as follows.</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Animals were divided into four (I-V) groups.</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 - Control group received distilled water (1ml, p.o).</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II- Ulcer control</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III - Standard group received Omeprazole for seven days (2mg/kg i.p).</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IV - Test group received aqueous extract of Madhuca Indica (250mg/kg p.o) for seven days.</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V - Test group received alcoholic extract of Madhuca Indica (250mg/kg p.o) for seven days.</w:t>
      </w:r>
    </w:p>
    <w:p w:rsidR="00A01626" w:rsidRPr="00A01626" w:rsidRDefault="00A01626" w:rsidP="00A01626">
      <w:pPr>
        <w:spacing w:before="54" w:after="0" w:line="276" w:lineRule="auto"/>
        <w:jc w:val="both"/>
        <w:rPr>
          <w:rFonts w:ascii="Times New Roman" w:hAnsi="Times New Roman" w:cs="Times New Roman"/>
          <w:b/>
          <w:bCs/>
          <w:sz w:val="20"/>
          <w:szCs w:val="20"/>
        </w:rPr>
      </w:pPr>
      <w:r w:rsidRPr="00A01626">
        <w:rPr>
          <w:rFonts w:ascii="Times New Roman" w:hAnsi="Times New Roman" w:cs="Times New Roman"/>
          <w:b/>
          <w:bCs/>
          <w:sz w:val="20"/>
          <w:szCs w:val="20"/>
        </w:rPr>
        <w:t xml:space="preserve"> 2.8.</w:t>
      </w:r>
      <w:r>
        <w:rPr>
          <w:rFonts w:ascii="Times New Roman" w:hAnsi="Times New Roman" w:cs="Times New Roman"/>
          <w:sz w:val="20"/>
          <w:szCs w:val="20"/>
        </w:rPr>
        <w:t xml:space="preserve"> </w:t>
      </w:r>
      <w:r w:rsidRPr="00A01626">
        <w:rPr>
          <w:rFonts w:ascii="Times New Roman" w:hAnsi="Times New Roman" w:cs="Times New Roman"/>
          <w:b/>
          <w:bCs/>
          <w:sz w:val="20"/>
          <w:szCs w:val="20"/>
        </w:rPr>
        <w:t>Paracetamol Induced Modified Pylorus Ligated Model</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The selected extractives of both plants were subjected to anti ulcer studies using Paracetamol induced model. Adult Wistar albino rats of either sex weighing 180-250 g were fasted for 48h with free access to water and divided into six groups of six animals each. They were placed in cages with grating floor to avoid coprophagy. The experimental design and dosing schedule was carried out as follows.</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 Normal control</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II: Ulcer control (Solvent) (10 ml/kg) + Paracetamol (200 mg/kg)</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III: Ranitidine (50 mg/kg)</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IV: AQMI (250 mg/kg)</w:t>
      </w:r>
    </w:p>
    <w:p w:rsidR="00A01626" w:rsidRPr="00A01626" w:rsidRDefault="00A01626" w:rsidP="00A01626">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t>Group V: ALMI (250 mg/kg)</w:t>
      </w:r>
    </w:p>
    <w:p w:rsidR="00A01626" w:rsidRPr="00A01626" w:rsidRDefault="00A01626" w:rsidP="00A01626">
      <w:pPr>
        <w:spacing w:before="54" w:after="0" w:line="276" w:lineRule="auto"/>
        <w:jc w:val="both"/>
        <w:rPr>
          <w:rFonts w:ascii="Times New Roman" w:hAnsi="Times New Roman" w:cs="Times New Roman"/>
          <w:b/>
          <w:bCs/>
          <w:sz w:val="20"/>
          <w:szCs w:val="20"/>
        </w:rPr>
      </w:pPr>
      <w:r w:rsidRPr="00A01626">
        <w:rPr>
          <w:rFonts w:ascii="Times New Roman" w:hAnsi="Times New Roman" w:cs="Times New Roman"/>
          <w:b/>
          <w:bCs/>
          <w:sz w:val="20"/>
          <w:szCs w:val="20"/>
        </w:rPr>
        <w:t>Statistical analysis</w:t>
      </w:r>
    </w:p>
    <w:p w:rsidR="006A6434" w:rsidRPr="001B1483" w:rsidRDefault="00A01626" w:rsidP="001B1483">
      <w:pPr>
        <w:spacing w:before="54" w:after="0" w:line="276" w:lineRule="auto"/>
        <w:jc w:val="both"/>
        <w:rPr>
          <w:rFonts w:ascii="Times New Roman" w:hAnsi="Times New Roman" w:cs="Times New Roman"/>
          <w:sz w:val="20"/>
          <w:szCs w:val="20"/>
        </w:rPr>
      </w:pPr>
      <w:r w:rsidRPr="00A01626">
        <w:rPr>
          <w:rFonts w:ascii="Times New Roman" w:hAnsi="Times New Roman" w:cs="Times New Roman"/>
          <w:sz w:val="20"/>
          <w:szCs w:val="20"/>
        </w:rPr>
        <w:lastRenderedPageBreak/>
        <w:t>The values were expressed as mean ± SEM data was analyzed using one-way ANOVA followed by T-test. Two sets of comparision had made. i.e.  Normal control Vs All treated groups. Differences between groups were considered significant at P&lt;0.001 and P &lt; 0.05 levels.</w:t>
      </w:r>
    </w:p>
    <w:p w:rsidR="00DA52F4" w:rsidRPr="006B6924" w:rsidRDefault="006B6924" w:rsidP="006B692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6B6924">
        <w:rPr>
          <w:rFonts w:ascii="Times New Roman" w:hAnsi="Times New Roman" w:cs="Times New Roman"/>
          <w:b/>
          <w:bCs/>
          <w:color w:val="000000" w:themeColor="text1"/>
          <w:sz w:val="24"/>
          <w:szCs w:val="24"/>
        </w:rPr>
        <w:t>RESULTS AND DISCUSSION</w:t>
      </w:r>
    </w:p>
    <w:p w:rsidR="00A01626" w:rsidRPr="00A01626" w:rsidRDefault="00A01626" w:rsidP="00A01626">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Pr="00A01626">
        <w:rPr>
          <w:rFonts w:ascii="Times New Roman" w:hAnsi="Times New Roman" w:cs="Times New Roman"/>
          <w:b/>
          <w:bCs/>
          <w:color w:val="000000" w:themeColor="text1"/>
          <w:sz w:val="20"/>
          <w:szCs w:val="20"/>
        </w:rPr>
        <w:t>Acute</w:t>
      </w:r>
      <w:r>
        <w:rPr>
          <w:rFonts w:ascii="Times New Roman" w:hAnsi="Times New Roman" w:cs="Times New Roman"/>
          <w:b/>
          <w:bCs/>
          <w:color w:val="000000" w:themeColor="text1"/>
          <w:sz w:val="20"/>
          <w:szCs w:val="20"/>
        </w:rPr>
        <w:t xml:space="preserve"> </w:t>
      </w:r>
      <w:r w:rsidRPr="00A01626">
        <w:rPr>
          <w:rFonts w:ascii="Times New Roman" w:hAnsi="Times New Roman" w:cs="Times New Roman"/>
          <w:b/>
          <w:bCs/>
          <w:color w:val="000000" w:themeColor="text1"/>
          <w:sz w:val="20"/>
          <w:szCs w:val="20"/>
        </w:rPr>
        <w:t>toxicity</w:t>
      </w:r>
      <w:r>
        <w:rPr>
          <w:rFonts w:ascii="Times New Roman" w:hAnsi="Times New Roman" w:cs="Times New Roman"/>
          <w:b/>
          <w:bCs/>
          <w:color w:val="000000" w:themeColor="text1"/>
          <w:sz w:val="20"/>
          <w:szCs w:val="20"/>
        </w:rPr>
        <w:t xml:space="preserve"> </w:t>
      </w:r>
      <w:r w:rsidRPr="00A01626">
        <w:rPr>
          <w:rFonts w:ascii="Times New Roman" w:hAnsi="Times New Roman" w:cs="Times New Roman"/>
          <w:b/>
          <w:bCs/>
          <w:color w:val="000000" w:themeColor="text1"/>
          <w:sz w:val="20"/>
          <w:szCs w:val="20"/>
        </w:rPr>
        <w:t>study</w:t>
      </w:r>
    </w:p>
    <w:p w:rsidR="00A01626" w:rsidRPr="00A01626" w:rsidRDefault="00A01626" w:rsidP="00A01626">
      <w:pPr>
        <w:spacing w:before="54" w:after="0" w:line="276" w:lineRule="auto"/>
        <w:jc w:val="both"/>
        <w:rPr>
          <w:rFonts w:ascii="Times New Roman" w:hAnsi="Times New Roman" w:cs="Times New Roman"/>
          <w:color w:val="000000" w:themeColor="text1"/>
          <w:sz w:val="20"/>
          <w:szCs w:val="20"/>
        </w:rPr>
      </w:pPr>
      <w:r w:rsidRPr="00A01626">
        <w:rPr>
          <w:rFonts w:ascii="Times New Roman" w:hAnsi="Times New Roman" w:cs="Times New Roman"/>
          <w:color w:val="000000" w:themeColor="text1"/>
          <w:sz w:val="20"/>
          <w:szCs w:val="20"/>
        </w:rPr>
        <w:t xml:space="preserve">Administration of the </w:t>
      </w:r>
      <w:r w:rsidRPr="00A01626">
        <w:rPr>
          <w:rFonts w:ascii="Times New Roman" w:hAnsi="Times New Roman" w:cs="Times New Roman"/>
          <w:i/>
          <w:iCs/>
          <w:color w:val="000000" w:themeColor="text1"/>
          <w:sz w:val="20"/>
          <w:szCs w:val="20"/>
        </w:rPr>
        <w:t xml:space="preserve">Madhuca Indica </w:t>
      </w:r>
      <w:r w:rsidRPr="00A01626">
        <w:rPr>
          <w:rFonts w:ascii="Times New Roman" w:hAnsi="Times New Roman" w:cs="Times New Roman"/>
          <w:color w:val="000000" w:themeColor="text1"/>
          <w:sz w:val="20"/>
          <w:szCs w:val="20"/>
        </w:rPr>
        <w:t xml:space="preserve">extracts </w:t>
      </w:r>
      <w:r w:rsidRPr="00A01626">
        <w:rPr>
          <w:rFonts w:ascii="Times New Roman" w:hAnsi="Times New Roman" w:cs="Times New Roman"/>
          <w:i/>
          <w:iCs/>
          <w:color w:val="000000" w:themeColor="text1"/>
          <w:sz w:val="20"/>
          <w:szCs w:val="20"/>
        </w:rPr>
        <w:t xml:space="preserve">in </w:t>
      </w:r>
      <w:r w:rsidRPr="00A01626">
        <w:rPr>
          <w:rFonts w:ascii="Times New Roman" w:hAnsi="Times New Roman" w:cs="Times New Roman"/>
          <w:color w:val="000000" w:themeColor="text1"/>
          <w:sz w:val="20"/>
          <w:szCs w:val="20"/>
        </w:rPr>
        <w:t>rats at doses of 250mg/kg by oral gavage did not reveal any adverse effects or signs of toxicity.</w:t>
      </w:r>
      <w:r>
        <w:rPr>
          <w:rFonts w:ascii="Times New Roman" w:hAnsi="Times New Roman" w:cs="Times New Roman"/>
          <w:color w:val="000000" w:themeColor="text1"/>
          <w:sz w:val="20"/>
          <w:szCs w:val="20"/>
        </w:rPr>
        <w:t xml:space="preserve"> </w:t>
      </w:r>
      <w:r w:rsidRPr="00A01626">
        <w:rPr>
          <w:rFonts w:ascii="Times New Roman" w:hAnsi="Times New Roman" w:cs="Times New Roman"/>
          <w:color w:val="000000" w:themeColor="text1"/>
          <w:sz w:val="20"/>
          <w:szCs w:val="20"/>
        </w:rPr>
        <w:t>Observations twice daily for fourteen days also did not reveal any drug related observable changes or mortality. Accordingly, the acute oral LD50 of the extractives was concluded to exceed 2000 mg/kg body weight, the highest dose tested in the study.</w:t>
      </w:r>
    </w:p>
    <w:p w:rsidR="00A01626" w:rsidRPr="00A01626" w:rsidRDefault="00F74D8A" w:rsidP="00A01626">
      <w:pPr>
        <w:spacing w:before="54" w:after="0" w:line="276" w:lineRule="auto"/>
        <w:jc w:val="both"/>
        <w:rPr>
          <w:rFonts w:ascii="Times New Roman" w:hAnsi="Times New Roman" w:cs="Times New Roman"/>
          <w:b/>
          <w:i/>
          <w:iCs/>
          <w:color w:val="000000" w:themeColor="text1"/>
          <w:sz w:val="20"/>
          <w:szCs w:val="20"/>
        </w:rPr>
      </w:pPr>
      <w:r>
        <w:rPr>
          <w:rFonts w:ascii="Times New Roman" w:hAnsi="Times New Roman" w:cs="Times New Roman"/>
          <w:b/>
          <w:i/>
          <w:iCs/>
          <w:color w:val="000000" w:themeColor="text1"/>
          <w:sz w:val="20"/>
          <w:szCs w:val="20"/>
        </w:rPr>
        <w:t xml:space="preserve">3.2 </w:t>
      </w:r>
      <w:r w:rsidR="00A01626" w:rsidRPr="00A01626">
        <w:rPr>
          <w:rFonts w:ascii="Times New Roman" w:hAnsi="Times New Roman" w:cs="Times New Roman"/>
          <w:b/>
          <w:i/>
          <w:iCs/>
          <w:color w:val="000000" w:themeColor="text1"/>
          <w:sz w:val="20"/>
          <w:szCs w:val="20"/>
        </w:rPr>
        <w:t>Effect on alcohol induced gastric ulcers</w:t>
      </w:r>
    </w:p>
    <w:p w:rsidR="00A01626" w:rsidRPr="00A01626" w:rsidRDefault="00A01626" w:rsidP="00A01626">
      <w:pPr>
        <w:spacing w:before="54" w:after="0" w:line="276" w:lineRule="auto"/>
        <w:jc w:val="both"/>
        <w:rPr>
          <w:rFonts w:ascii="Times New Roman" w:hAnsi="Times New Roman" w:cs="Times New Roman"/>
          <w:color w:val="000000" w:themeColor="text1"/>
          <w:sz w:val="20"/>
          <w:szCs w:val="20"/>
        </w:rPr>
      </w:pPr>
      <w:r w:rsidRPr="00A01626">
        <w:rPr>
          <w:rFonts w:ascii="Times New Roman" w:hAnsi="Times New Roman" w:cs="Times New Roman"/>
          <w:color w:val="000000" w:themeColor="text1"/>
          <w:sz w:val="20"/>
          <w:szCs w:val="20"/>
        </w:rPr>
        <w:t xml:space="preserve">Oral administration of 80% alcohol produced haemorrhagic gastric lesions in glandular portion of stomach. Pretreatment with AQMI and </w:t>
      </w:r>
      <w:r w:rsidRPr="00A01626">
        <w:rPr>
          <w:rFonts w:ascii="Times New Roman" w:hAnsi="Times New Roman" w:cs="Times New Roman"/>
          <w:bCs/>
          <w:color w:val="000000" w:themeColor="text1"/>
          <w:sz w:val="20"/>
          <w:szCs w:val="20"/>
        </w:rPr>
        <w:t>ALMI</w:t>
      </w:r>
      <w:r w:rsidRPr="00A01626">
        <w:rPr>
          <w:rFonts w:ascii="Times New Roman" w:hAnsi="Times New Roman" w:cs="Times New Roman"/>
          <w:color w:val="000000" w:themeColor="text1"/>
          <w:sz w:val="20"/>
          <w:szCs w:val="20"/>
        </w:rPr>
        <w:t xml:space="preserve"> at the dose of 250 mg/kg and Omeprazole (10 mg/ kg) significantly (p&lt;0.001) protected the gastric mucosa as shown by reduced values of lesion index (19.3 ± 0.35 and 27.47± 0.75 respectively) against alcohol challenge as compared to solvent control (26.14 ± 0.24).</w:t>
      </w:r>
    </w:p>
    <w:p w:rsidR="001A3548" w:rsidRPr="001A3548" w:rsidRDefault="001A3548" w:rsidP="001A3548">
      <w:pPr>
        <w:spacing w:before="54" w:after="0"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Table 1</w:t>
      </w:r>
      <w:r w:rsidRPr="001A3548">
        <w:rPr>
          <w:rFonts w:ascii="Times New Roman" w:hAnsi="Times New Roman" w:cs="Times New Roman"/>
          <w:b/>
          <w:color w:val="000000" w:themeColor="text1"/>
          <w:sz w:val="20"/>
          <w:szCs w:val="20"/>
        </w:rPr>
        <w:t xml:space="preserve">: Effect of </w:t>
      </w:r>
      <w:r w:rsidRPr="001A3548">
        <w:rPr>
          <w:rFonts w:ascii="Times New Roman" w:hAnsi="Times New Roman" w:cs="Times New Roman"/>
          <w:b/>
          <w:i/>
          <w:color w:val="000000" w:themeColor="text1"/>
          <w:sz w:val="20"/>
          <w:szCs w:val="20"/>
        </w:rPr>
        <w:t xml:space="preserve">Madhuca Indica </w:t>
      </w:r>
      <w:r w:rsidRPr="001A3548">
        <w:rPr>
          <w:rFonts w:ascii="Times New Roman" w:hAnsi="Times New Roman" w:cs="Times New Roman"/>
          <w:b/>
          <w:color w:val="000000" w:themeColor="text1"/>
          <w:sz w:val="20"/>
          <w:szCs w:val="20"/>
        </w:rPr>
        <w:t>at various doses on alcohol induced gastric ulcer in rats.</w:t>
      </w:r>
    </w:p>
    <w:tbl>
      <w:tblPr>
        <w:tblStyle w:val="TableGrid"/>
        <w:tblW w:w="6478" w:type="dxa"/>
        <w:jc w:val="center"/>
        <w:tblLook w:val="04A0"/>
      </w:tblPr>
      <w:tblGrid>
        <w:gridCol w:w="1497"/>
        <w:gridCol w:w="939"/>
        <w:gridCol w:w="1411"/>
        <w:gridCol w:w="1345"/>
        <w:gridCol w:w="1286"/>
      </w:tblGrid>
      <w:tr w:rsidR="001A3548" w:rsidRPr="001A3548" w:rsidTr="001A3548">
        <w:trPr>
          <w:trHeight w:val="521"/>
          <w:jc w:val="center"/>
        </w:trPr>
        <w:tc>
          <w:tcPr>
            <w:tcW w:w="1497"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b/>
                <w:bCs/>
                <w:color w:val="000000" w:themeColor="text1"/>
              </w:rPr>
              <w:t>Treatment  (n=6)</w:t>
            </w:r>
          </w:p>
        </w:tc>
        <w:tc>
          <w:tcPr>
            <w:tcW w:w="939"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b/>
                <w:bCs/>
                <w:color w:val="000000" w:themeColor="text1"/>
              </w:rPr>
              <w:t>Dose mg/kg (p.o.)</w:t>
            </w:r>
          </w:p>
        </w:tc>
        <w:tc>
          <w:tcPr>
            <w:tcW w:w="1411"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b/>
                <w:bCs/>
                <w:color w:val="000000" w:themeColor="text1"/>
              </w:rPr>
              <w:t>Lesion index</w:t>
            </w:r>
          </w:p>
        </w:tc>
        <w:tc>
          <w:tcPr>
            <w:tcW w:w="1345"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b/>
                <w:bCs/>
                <w:color w:val="000000" w:themeColor="text1"/>
              </w:rPr>
              <w:t>% Inhibition of ulcer</w:t>
            </w:r>
          </w:p>
        </w:tc>
        <w:tc>
          <w:tcPr>
            <w:tcW w:w="1286"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b/>
                <w:bCs/>
                <w:color w:val="000000" w:themeColor="text1"/>
              </w:rPr>
              <w:t>Mucus content</w:t>
            </w:r>
          </w:p>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b/>
                <w:bCs/>
                <w:color w:val="000000" w:themeColor="text1"/>
              </w:rPr>
              <w:t>(</w:t>
            </w:r>
            <w:r w:rsidRPr="001A3548">
              <w:rPr>
                <w:rFonts w:ascii="Times New Roman" w:hAnsi="Times New Roman" w:cs="Times New Roman"/>
                <w:color w:val="000000" w:themeColor="text1"/>
              </w:rPr>
              <w:t>μ</w:t>
            </w:r>
            <w:r w:rsidRPr="001A3548">
              <w:rPr>
                <w:rFonts w:ascii="Times New Roman" w:hAnsi="Times New Roman" w:cs="Times New Roman"/>
                <w:b/>
                <w:bCs/>
                <w:color w:val="000000" w:themeColor="text1"/>
              </w:rPr>
              <w:t>g Alcian blue/g wet tissue)</w:t>
            </w:r>
          </w:p>
        </w:tc>
      </w:tr>
      <w:tr w:rsidR="001A3548" w:rsidRPr="001A3548" w:rsidTr="001A3548">
        <w:trPr>
          <w:trHeight w:val="143"/>
          <w:jc w:val="center"/>
        </w:trPr>
        <w:tc>
          <w:tcPr>
            <w:tcW w:w="1497"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1% CMC</w:t>
            </w:r>
          </w:p>
        </w:tc>
        <w:tc>
          <w:tcPr>
            <w:tcW w:w="939"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w:t>
            </w:r>
          </w:p>
        </w:tc>
        <w:tc>
          <w:tcPr>
            <w:tcW w:w="1411"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26.14 ± 0.24</w:t>
            </w:r>
          </w:p>
        </w:tc>
        <w:tc>
          <w:tcPr>
            <w:tcW w:w="1345"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w:t>
            </w:r>
          </w:p>
        </w:tc>
        <w:tc>
          <w:tcPr>
            <w:tcW w:w="1286" w:type="dxa"/>
          </w:tcPr>
          <w:p w:rsidR="001A3548" w:rsidRPr="001A3548" w:rsidRDefault="001A3548" w:rsidP="001A3548">
            <w:pPr>
              <w:spacing w:before="54" w:line="276" w:lineRule="auto"/>
              <w:jc w:val="both"/>
              <w:rPr>
                <w:rFonts w:ascii="Times New Roman" w:hAnsi="Times New Roman" w:cs="Times New Roman"/>
                <w:color w:val="000000" w:themeColor="text1"/>
              </w:rPr>
            </w:pPr>
            <w:r w:rsidRPr="001A3548">
              <w:rPr>
                <w:rFonts w:ascii="Times New Roman" w:hAnsi="Times New Roman" w:cs="Times New Roman"/>
                <w:color w:val="000000" w:themeColor="text1"/>
              </w:rPr>
              <w:t>0.50 ± 0.01</w:t>
            </w:r>
          </w:p>
        </w:tc>
      </w:tr>
      <w:tr w:rsidR="001A3548" w:rsidRPr="001A3548" w:rsidTr="001A3548">
        <w:trPr>
          <w:trHeight w:val="135"/>
          <w:jc w:val="center"/>
        </w:trPr>
        <w:tc>
          <w:tcPr>
            <w:tcW w:w="1497" w:type="dxa"/>
          </w:tcPr>
          <w:p w:rsidR="001A3548" w:rsidRPr="001A3548" w:rsidRDefault="001A3548" w:rsidP="001A3548">
            <w:pPr>
              <w:spacing w:before="54" w:line="276" w:lineRule="auto"/>
              <w:jc w:val="both"/>
              <w:rPr>
                <w:rFonts w:ascii="Times New Roman" w:hAnsi="Times New Roman" w:cs="Times New Roman"/>
                <w:color w:val="000000" w:themeColor="text1"/>
              </w:rPr>
            </w:pPr>
            <w:r w:rsidRPr="001A3548">
              <w:rPr>
                <w:rFonts w:ascii="Times New Roman" w:hAnsi="Times New Roman" w:cs="Times New Roman"/>
                <w:color w:val="000000" w:themeColor="text1"/>
              </w:rPr>
              <w:t>Ulcer control</w:t>
            </w:r>
          </w:p>
        </w:tc>
        <w:tc>
          <w:tcPr>
            <w:tcW w:w="939" w:type="dxa"/>
          </w:tcPr>
          <w:p w:rsidR="001A3548" w:rsidRPr="001A3548" w:rsidRDefault="001A3548" w:rsidP="001A3548">
            <w:pPr>
              <w:spacing w:before="54" w:line="276" w:lineRule="auto"/>
              <w:jc w:val="both"/>
              <w:rPr>
                <w:rFonts w:ascii="Times New Roman" w:hAnsi="Times New Roman" w:cs="Times New Roman"/>
                <w:color w:val="000000" w:themeColor="text1"/>
              </w:rPr>
            </w:pPr>
            <w:r w:rsidRPr="001A3548">
              <w:rPr>
                <w:rFonts w:ascii="Times New Roman" w:hAnsi="Times New Roman" w:cs="Times New Roman"/>
                <w:color w:val="000000" w:themeColor="text1"/>
              </w:rPr>
              <w:t>-</w:t>
            </w:r>
          </w:p>
        </w:tc>
        <w:tc>
          <w:tcPr>
            <w:tcW w:w="1411" w:type="dxa"/>
          </w:tcPr>
          <w:p w:rsidR="001A3548" w:rsidRPr="001A3548" w:rsidRDefault="001A3548" w:rsidP="001A3548">
            <w:pPr>
              <w:spacing w:before="54" w:line="276" w:lineRule="auto"/>
              <w:jc w:val="both"/>
              <w:rPr>
                <w:rFonts w:ascii="Times New Roman" w:hAnsi="Times New Roman" w:cs="Times New Roman"/>
                <w:color w:val="000000" w:themeColor="text1"/>
              </w:rPr>
            </w:pPr>
            <w:r w:rsidRPr="001A3548">
              <w:rPr>
                <w:rFonts w:ascii="Times New Roman" w:hAnsi="Times New Roman" w:cs="Times New Roman"/>
                <w:color w:val="000000" w:themeColor="text1"/>
              </w:rPr>
              <w:t>35.94±0.36</w:t>
            </w:r>
          </w:p>
        </w:tc>
        <w:tc>
          <w:tcPr>
            <w:tcW w:w="1345" w:type="dxa"/>
          </w:tcPr>
          <w:p w:rsidR="001A3548" w:rsidRPr="001A3548" w:rsidRDefault="001A3548" w:rsidP="001A3548">
            <w:pPr>
              <w:spacing w:before="54" w:line="276" w:lineRule="auto"/>
              <w:jc w:val="both"/>
              <w:rPr>
                <w:rFonts w:ascii="Times New Roman" w:hAnsi="Times New Roman" w:cs="Times New Roman"/>
                <w:color w:val="000000" w:themeColor="text1"/>
              </w:rPr>
            </w:pPr>
            <w:r w:rsidRPr="001A3548">
              <w:rPr>
                <w:rFonts w:ascii="Times New Roman" w:hAnsi="Times New Roman" w:cs="Times New Roman"/>
                <w:color w:val="000000" w:themeColor="text1"/>
              </w:rPr>
              <w:t>-</w:t>
            </w:r>
          </w:p>
        </w:tc>
        <w:tc>
          <w:tcPr>
            <w:tcW w:w="1286" w:type="dxa"/>
          </w:tcPr>
          <w:p w:rsidR="001A3548" w:rsidRPr="001A3548" w:rsidRDefault="001A3548" w:rsidP="001A3548">
            <w:pPr>
              <w:spacing w:before="54" w:line="276" w:lineRule="auto"/>
              <w:jc w:val="both"/>
              <w:rPr>
                <w:rFonts w:ascii="Times New Roman" w:hAnsi="Times New Roman" w:cs="Times New Roman"/>
                <w:color w:val="000000" w:themeColor="text1"/>
              </w:rPr>
            </w:pPr>
            <w:r w:rsidRPr="001A3548">
              <w:rPr>
                <w:rFonts w:ascii="Times New Roman" w:hAnsi="Times New Roman" w:cs="Times New Roman"/>
                <w:color w:val="000000" w:themeColor="text1"/>
              </w:rPr>
              <w:t>0.57±0.02</w:t>
            </w:r>
          </w:p>
        </w:tc>
      </w:tr>
      <w:tr w:rsidR="001A3548" w:rsidRPr="001A3548" w:rsidTr="001A3548">
        <w:trPr>
          <w:trHeight w:val="143"/>
          <w:jc w:val="center"/>
        </w:trPr>
        <w:tc>
          <w:tcPr>
            <w:tcW w:w="1497"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Omeprazole</w:t>
            </w:r>
          </w:p>
        </w:tc>
        <w:tc>
          <w:tcPr>
            <w:tcW w:w="939"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10</w:t>
            </w:r>
          </w:p>
        </w:tc>
        <w:tc>
          <w:tcPr>
            <w:tcW w:w="1411"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27.47± 0.75</w:t>
            </w:r>
          </w:p>
        </w:tc>
        <w:tc>
          <w:tcPr>
            <w:tcW w:w="1345"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20.12</w:t>
            </w:r>
          </w:p>
        </w:tc>
        <w:tc>
          <w:tcPr>
            <w:tcW w:w="1286"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0.66 ± 0.01</w:t>
            </w:r>
          </w:p>
        </w:tc>
      </w:tr>
      <w:tr w:rsidR="001A3548" w:rsidRPr="001A3548" w:rsidTr="001A3548">
        <w:trPr>
          <w:trHeight w:val="143"/>
          <w:jc w:val="center"/>
        </w:trPr>
        <w:tc>
          <w:tcPr>
            <w:tcW w:w="1497"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AQMI</w:t>
            </w:r>
          </w:p>
        </w:tc>
        <w:tc>
          <w:tcPr>
            <w:tcW w:w="939" w:type="dxa"/>
          </w:tcPr>
          <w:p w:rsidR="001A3548" w:rsidRPr="001A3548" w:rsidRDefault="001A3548" w:rsidP="001A3548">
            <w:pPr>
              <w:spacing w:before="54" w:line="276" w:lineRule="auto"/>
              <w:jc w:val="both"/>
              <w:rPr>
                <w:rFonts w:ascii="Times New Roman" w:hAnsi="Times New Roman" w:cs="Times New Roman"/>
                <w:bCs/>
                <w:color w:val="000000" w:themeColor="text1"/>
              </w:rPr>
            </w:pPr>
            <w:r w:rsidRPr="001A3548">
              <w:rPr>
                <w:rFonts w:ascii="Times New Roman" w:hAnsi="Times New Roman" w:cs="Times New Roman"/>
                <w:bCs/>
                <w:color w:val="000000" w:themeColor="text1"/>
              </w:rPr>
              <w:t>250</w:t>
            </w:r>
          </w:p>
        </w:tc>
        <w:tc>
          <w:tcPr>
            <w:tcW w:w="1411"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30.21 ± 0.43</w:t>
            </w:r>
          </w:p>
        </w:tc>
        <w:tc>
          <w:tcPr>
            <w:tcW w:w="1345"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7.63</w:t>
            </w:r>
          </w:p>
        </w:tc>
        <w:tc>
          <w:tcPr>
            <w:tcW w:w="1286"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0.51 ± 0.02</w:t>
            </w:r>
          </w:p>
        </w:tc>
      </w:tr>
      <w:tr w:rsidR="001A3548" w:rsidRPr="001A3548" w:rsidTr="001A3548">
        <w:trPr>
          <w:trHeight w:val="150"/>
          <w:jc w:val="center"/>
        </w:trPr>
        <w:tc>
          <w:tcPr>
            <w:tcW w:w="1497" w:type="dxa"/>
          </w:tcPr>
          <w:p w:rsidR="001A3548" w:rsidRPr="001A3548" w:rsidRDefault="001A3548" w:rsidP="001A3548">
            <w:pPr>
              <w:spacing w:before="54" w:line="276" w:lineRule="auto"/>
              <w:jc w:val="both"/>
              <w:rPr>
                <w:rFonts w:ascii="Times New Roman" w:hAnsi="Times New Roman" w:cs="Times New Roman"/>
                <w:bCs/>
                <w:color w:val="000000" w:themeColor="text1"/>
              </w:rPr>
            </w:pPr>
            <w:r w:rsidRPr="001A3548">
              <w:rPr>
                <w:rFonts w:ascii="Times New Roman" w:hAnsi="Times New Roman" w:cs="Times New Roman"/>
                <w:bCs/>
                <w:color w:val="000000" w:themeColor="text1"/>
              </w:rPr>
              <w:t>ALMI</w:t>
            </w:r>
          </w:p>
        </w:tc>
        <w:tc>
          <w:tcPr>
            <w:tcW w:w="939" w:type="dxa"/>
          </w:tcPr>
          <w:p w:rsidR="001A3548" w:rsidRPr="001A3548" w:rsidRDefault="001A3548" w:rsidP="001A3548">
            <w:pPr>
              <w:spacing w:before="54" w:line="276" w:lineRule="auto"/>
              <w:jc w:val="both"/>
              <w:rPr>
                <w:rFonts w:ascii="Times New Roman" w:hAnsi="Times New Roman" w:cs="Times New Roman"/>
                <w:bCs/>
                <w:color w:val="000000" w:themeColor="text1"/>
              </w:rPr>
            </w:pPr>
            <w:r w:rsidRPr="001A3548">
              <w:rPr>
                <w:rFonts w:ascii="Times New Roman" w:hAnsi="Times New Roman" w:cs="Times New Roman"/>
                <w:bCs/>
                <w:color w:val="000000" w:themeColor="text1"/>
              </w:rPr>
              <w:t>250</w:t>
            </w:r>
          </w:p>
        </w:tc>
        <w:tc>
          <w:tcPr>
            <w:tcW w:w="1411"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19.3 ± 0.35</w:t>
            </w:r>
          </w:p>
        </w:tc>
        <w:tc>
          <w:tcPr>
            <w:tcW w:w="1345" w:type="dxa"/>
          </w:tcPr>
          <w:p w:rsidR="001A3548" w:rsidRPr="001A3548" w:rsidRDefault="001A3548" w:rsidP="001A3548">
            <w:pPr>
              <w:spacing w:before="54" w:line="276" w:lineRule="auto"/>
              <w:jc w:val="both"/>
              <w:rPr>
                <w:rFonts w:ascii="Times New Roman" w:hAnsi="Times New Roman" w:cs="Times New Roman"/>
                <w:b/>
                <w:bCs/>
                <w:color w:val="000000" w:themeColor="text1"/>
              </w:rPr>
            </w:pPr>
            <w:r w:rsidRPr="001A3548">
              <w:rPr>
                <w:rFonts w:ascii="Times New Roman" w:hAnsi="Times New Roman" w:cs="Times New Roman"/>
                <w:color w:val="000000" w:themeColor="text1"/>
              </w:rPr>
              <w:t>45.01</w:t>
            </w:r>
          </w:p>
        </w:tc>
        <w:tc>
          <w:tcPr>
            <w:tcW w:w="1286" w:type="dxa"/>
          </w:tcPr>
          <w:p w:rsidR="001A3548" w:rsidRPr="001A3548" w:rsidRDefault="001A3548" w:rsidP="001A3548">
            <w:pPr>
              <w:spacing w:before="54" w:line="276" w:lineRule="auto"/>
              <w:jc w:val="both"/>
              <w:rPr>
                <w:rFonts w:ascii="Times New Roman" w:hAnsi="Times New Roman" w:cs="Times New Roman"/>
                <w:color w:val="000000" w:themeColor="text1"/>
              </w:rPr>
            </w:pPr>
            <w:r w:rsidRPr="001A3548">
              <w:rPr>
                <w:rFonts w:ascii="Times New Roman" w:hAnsi="Times New Roman" w:cs="Times New Roman"/>
                <w:color w:val="000000" w:themeColor="text1"/>
              </w:rPr>
              <w:t>0.86 ± 0.01</w:t>
            </w:r>
          </w:p>
        </w:tc>
      </w:tr>
    </w:tbl>
    <w:p w:rsidR="00DA52F4" w:rsidRPr="001E51F3" w:rsidRDefault="001A3548" w:rsidP="001A3548">
      <w:pPr>
        <w:spacing w:before="54" w:after="0" w:line="276" w:lineRule="auto"/>
        <w:jc w:val="center"/>
        <w:rPr>
          <w:rFonts w:ascii="Times New Roman" w:hAnsi="Times New Roman" w:cs="Times New Roman"/>
          <w:color w:val="000000" w:themeColor="text1"/>
          <w:sz w:val="20"/>
          <w:szCs w:val="20"/>
        </w:rPr>
      </w:pPr>
      <w:r w:rsidRPr="001A3548">
        <w:rPr>
          <w:rFonts w:ascii="Times New Roman" w:hAnsi="Times New Roman" w:cs="Times New Roman"/>
          <w:noProof/>
          <w:color w:val="000000" w:themeColor="text1"/>
          <w:sz w:val="20"/>
          <w:szCs w:val="20"/>
          <w:lang w:bidi="te-IN"/>
        </w:rPr>
        <w:drawing>
          <wp:inline distT="0" distB="0" distL="0" distR="0">
            <wp:extent cx="4867274" cy="38290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864100" cy="3826553"/>
                    </a:xfrm>
                    <a:prstGeom prst="rect">
                      <a:avLst/>
                    </a:prstGeom>
                    <a:noFill/>
                    <a:ln w="9525">
                      <a:noFill/>
                      <a:miter lim="800000"/>
                      <a:headEnd/>
                      <a:tailEnd/>
                    </a:ln>
                  </pic:spPr>
                </pic:pic>
              </a:graphicData>
            </a:graphic>
          </wp:inline>
        </w:drawing>
      </w:r>
    </w:p>
    <w:p w:rsidR="001A3548" w:rsidRPr="001A3548" w:rsidRDefault="001A3548" w:rsidP="001A3548">
      <w:pPr>
        <w:pStyle w:val="ListParagraph"/>
        <w:spacing w:before="54" w:line="276" w:lineRule="auto"/>
        <w:ind w:left="360"/>
        <w:jc w:val="center"/>
        <w:rPr>
          <w:rFonts w:ascii="Times New Roman" w:hAnsi="Times New Roman" w:cs="Times New Roman"/>
          <w:color w:val="000000" w:themeColor="text1"/>
          <w:sz w:val="20"/>
          <w:szCs w:val="20"/>
        </w:rPr>
      </w:pPr>
      <w:r w:rsidRPr="001A3548">
        <w:rPr>
          <w:rFonts w:ascii="Times New Roman" w:hAnsi="Times New Roman" w:cs="Times New Roman"/>
          <w:color w:val="000000" w:themeColor="text1"/>
          <w:sz w:val="20"/>
          <w:szCs w:val="20"/>
        </w:rPr>
        <w:t>Fig-1: Effect of </w:t>
      </w:r>
      <w:r w:rsidRPr="001A3548">
        <w:rPr>
          <w:rFonts w:ascii="Times New Roman" w:hAnsi="Times New Roman" w:cs="Times New Roman"/>
          <w:i/>
          <w:color w:val="000000" w:themeColor="text1"/>
          <w:sz w:val="20"/>
          <w:szCs w:val="20"/>
        </w:rPr>
        <w:t xml:space="preserve">Madhuca Indica </w:t>
      </w:r>
      <w:r w:rsidRPr="001A3548">
        <w:rPr>
          <w:rFonts w:ascii="Times New Roman" w:hAnsi="Times New Roman" w:cs="Times New Roman"/>
          <w:color w:val="000000" w:themeColor="text1"/>
          <w:sz w:val="20"/>
          <w:szCs w:val="20"/>
        </w:rPr>
        <w:t>on alcohol induced ulcers in the rats in the study (a) Normal Control (b) Ulcer Control (c) </w:t>
      </w:r>
      <w:r w:rsidRPr="001A3548">
        <w:rPr>
          <w:rFonts w:ascii="Times New Roman" w:hAnsi="Times New Roman" w:cs="Times New Roman"/>
          <w:iCs/>
          <w:color w:val="000000" w:themeColor="text1"/>
          <w:sz w:val="20"/>
          <w:szCs w:val="20"/>
        </w:rPr>
        <w:t>AQMI</w:t>
      </w:r>
      <w:r w:rsidRPr="001A3548">
        <w:rPr>
          <w:rFonts w:ascii="Times New Roman" w:hAnsi="Times New Roman" w:cs="Times New Roman"/>
          <w:i/>
          <w:iCs/>
          <w:color w:val="000000" w:themeColor="text1"/>
          <w:sz w:val="20"/>
          <w:szCs w:val="20"/>
        </w:rPr>
        <w:t xml:space="preserve"> </w:t>
      </w:r>
      <w:r w:rsidRPr="001A3548">
        <w:rPr>
          <w:rFonts w:ascii="Times New Roman" w:hAnsi="Times New Roman" w:cs="Times New Roman"/>
          <w:color w:val="000000" w:themeColor="text1"/>
          <w:sz w:val="20"/>
          <w:szCs w:val="20"/>
        </w:rPr>
        <w:t>(250 mg/kg) treated (d) </w:t>
      </w:r>
      <w:r w:rsidRPr="001A3548">
        <w:rPr>
          <w:rFonts w:ascii="Times New Roman" w:hAnsi="Times New Roman" w:cs="Times New Roman"/>
          <w:iCs/>
          <w:color w:val="000000" w:themeColor="text1"/>
          <w:sz w:val="20"/>
          <w:szCs w:val="20"/>
        </w:rPr>
        <w:t>ALMI</w:t>
      </w:r>
      <w:r w:rsidRPr="001A3548">
        <w:rPr>
          <w:rFonts w:ascii="Times New Roman" w:hAnsi="Times New Roman" w:cs="Times New Roman"/>
          <w:color w:val="000000" w:themeColor="text1"/>
          <w:sz w:val="20"/>
          <w:szCs w:val="20"/>
        </w:rPr>
        <w:t> (250 mg/kg) treated (e) Omeprazole (10 mg/kg treated)</w:t>
      </w:r>
    </w:p>
    <w:p w:rsidR="001B1483" w:rsidRDefault="001B1483" w:rsidP="001A3548">
      <w:pPr>
        <w:pStyle w:val="ListParagraph"/>
        <w:spacing w:before="54" w:line="276" w:lineRule="auto"/>
        <w:ind w:left="360"/>
        <w:rPr>
          <w:rFonts w:ascii="Times New Roman" w:hAnsi="Times New Roman" w:cs="Times New Roman"/>
          <w:b/>
          <w:bCs/>
          <w:i/>
          <w:iCs/>
          <w:color w:val="000000" w:themeColor="text1"/>
          <w:sz w:val="20"/>
          <w:szCs w:val="20"/>
        </w:rPr>
      </w:pPr>
    </w:p>
    <w:p w:rsidR="001A3548" w:rsidRPr="001A3548" w:rsidRDefault="00F74D8A" w:rsidP="001A3548">
      <w:pPr>
        <w:pStyle w:val="ListParagraph"/>
        <w:spacing w:before="54" w:line="276" w:lineRule="auto"/>
        <w:ind w:left="360"/>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lastRenderedPageBreak/>
        <w:t xml:space="preserve">3.3. </w:t>
      </w:r>
      <w:r w:rsidR="001A3548" w:rsidRPr="001A3548">
        <w:rPr>
          <w:rFonts w:ascii="Times New Roman" w:hAnsi="Times New Roman" w:cs="Times New Roman"/>
          <w:b/>
          <w:bCs/>
          <w:i/>
          <w:iCs/>
          <w:color w:val="000000" w:themeColor="text1"/>
          <w:sz w:val="20"/>
          <w:szCs w:val="20"/>
        </w:rPr>
        <w:t>Effect on Paracetamol induced gastric ulcers</w:t>
      </w:r>
    </w:p>
    <w:p w:rsidR="001A3548" w:rsidRPr="001A3548" w:rsidRDefault="001A3548" w:rsidP="001A3548">
      <w:pPr>
        <w:pStyle w:val="ListParagraph"/>
        <w:spacing w:before="54" w:line="276" w:lineRule="auto"/>
        <w:ind w:left="360"/>
        <w:jc w:val="both"/>
        <w:rPr>
          <w:rFonts w:ascii="Times New Roman" w:hAnsi="Times New Roman" w:cs="Times New Roman"/>
          <w:color w:val="000000" w:themeColor="text1"/>
          <w:sz w:val="20"/>
          <w:szCs w:val="20"/>
        </w:rPr>
      </w:pPr>
      <w:r w:rsidRPr="001A3548">
        <w:rPr>
          <w:rFonts w:ascii="Times New Roman" w:hAnsi="Times New Roman" w:cs="Times New Roman"/>
          <w:color w:val="000000" w:themeColor="text1"/>
          <w:sz w:val="20"/>
          <w:szCs w:val="20"/>
        </w:rPr>
        <w:t xml:space="preserve">In </w:t>
      </w:r>
      <w:r w:rsidRPr="001A3548">
        <w:rPr>
          <w:rFonts w:ascii="Times New Roman" w:hAnsi="Times New Roman" w:cs="Times New Roman"/>
          <w:i/>
          <w:color w:val="000000" w:themeColor="text1"/>
          <w:sz w:val="20"/>
          <w:szCs w:val="20"/>
        </w:rPr>
        <w:t xml:space="preserve">Madhuca Indica </w:t>
      </w:r>
      <w:r w:rsidRPr="001A3548">
        <w:rPr>
          <w:rFonts w:ascii="Times New Roman" w:hAnsi="Times New Roman" w:cs="Times New Roman"/>
          <w:color w:val="000000" w:themeColor="text1"/>
          <w:sz w:val="20"/>
          <w:szCs w:val="20"/>
        </w:rPr>
        <w:t>treated groups (250 mg/kg), the ulcer index values (0.43 ± 0.02 respectively) were significantly reduced (p&lt;0.001) when compared to solvent control (0.70 ± 0.02), while the ulcer index for ranitidine treated group was 0.25 ± 0.02 (p&lt;0.001). The</w:t>
      </w:r>
      <w:r>
        <w:rPr>
          <w:rFonts w:ascii="Times New Roman" w:hAnsi="Times New Roman" w:cs="Times New Roman"/>
          <w:color w:val="000000" w:themeColor="text1"/>
          <w:sz w:val="20"/>
          <w:szCs w:val="20"/>
        </w:rPr>
        <w:t xml:space="preserve"> </w:t>
      </w:r>
      <w:r w:rsidRPr="001A3548">
        <w:rPr>
          <w:rFonts w:ascii="Times New Roman" w:hAnsi="Times New Roman" w:cs="Times New Roman"/>
          <w:color w:val="000000" w:themeColor="text1"/>
          <w:sz w:val="20"/>
          <w:szCs w:val="20"/>
        </w:rPr>
        <w:t xml:space="preserve">%inhibition of ulcer showed by AQMI and </w:t>
      </w:r>
      <w:r w:rsidRPr="001A3548">
        <w:rPr>
          <w:rFonts w:ascii="Times New Roman" w:hAnsi="Times New Roman" w:cs="Times New Roman"/>
          <w:bCs/>
          <w:color w:val="000000" w:themeColor="text1"/>
          <w:sz w:val="20"/>
          <w:szCs w:val="20"/>
        </w:rPr>
        <w:t>ALMI</w:t>
      </w:r>
      <w:r w:rsidRPr="001A3548">
        <w:rPr>
          <w:rFonts w:ascii="Times New Roman" w:hAnsi="Times New Roman" w:cs="Times New Roman"/>
          <w:color w:val="000000" w:themeColor="text1"/>
          <w:sz w:val="20"/>
          <w:szCs w:val="20"/>
        </w:rPr>
        <w:t xml:space="preserve"> (250mg/kg) and ranitidine was 51.3%, 37.2% and 53.2% respectively. </w:t>
      </w:r>
    </w:p>
    <w:p w:rsidR="001A3548" w:rsidRPr="001A3548" w:rsidRDefault="001A3548" w:rsidP="001A3548">
      <w:pPr>
        <w:pStyle w:val="ListParagraph"/>
        <w:spacing w:before="54" w:line="276" w:lineRule="auto"/>
        <w:ind w:left="360"/>
        <w:jc w:val="center"/>
        <w:rPr>
          <w:rFonts w:ascii="Times New Roman" w:hAnsi="Times New Roman" w:cs="Times New Roman"/>
          <w:bCs/>
          <w:color w:val="000000" w:themeColor="text1"/>
          <w:sz w:val="20"/>
          <w:szCs w:val="20"/>
        </w:rPr>
      </w:pPr>
      <w:r w:rsidRPr="001A3548">
        <w:rPr>
          <w:rFonts w:ascii="Times New Roman" w:hAnsi="Times New Roman" w:cs="Times New Roman"/>
          <w:b/>
          <w:color w:val="000000" w:themeColor="text1"/>
          <w:sz w:val="20"/>
          <w:szCs w:val="20"/>
        </w:rPr>
        <w:t>Table 2.</w:t>
      </w:r>
      <w:r w:rsidRPr="001A3548">
        <w:rPr>
          <w:rFonts w:ascii="Times New Roman" w:hAnsi="Times New Roman" w:cs="Times New Roman"/>
          <w:bCs/>
          <w:color w:val="000000" w:themeColor="text1"/>
          <w:sz w:val="20"/>
          <w:szCs w:val="20"/>
        </w:rPr>
        <w:t xml:space="preserve">Effect of </w:t>
      </w:r>
      <w:r w:rsidRPr="001A3548">
        <w:rPr>
          <w:rFonts w:ascii="Times New Roman" w:hAnsi="Times New Roman" w:cs="Times New Roman"/>
          <w:bCs/>
          <w:i/>
          <w:color w:val="000000" w:themeColor="text1"/>
          <w:sz w:val="20"/>
          <w:szCs w:val="20"/>
        </w:rPr>
        <w:t xml:space="preserve">Madhuca Indica </w:t>
      </w:r>
      <w:r w:rsidRPr="001A3548">
        <w:rPr>
          <w:rFonts w:ascii="Times New Roman" w:hAnsi="Times New Roman" w:cs="Times New Roman"/>
          <w:bCs/>
          <w:color w:val="000000" w:themeColor="text1"/>
          <w:sz w:val="20"/>
          <w:szCs w:val="20"/>
        </w:rPr>
        <w:t>at various dose levels on paracetamol induced gastric ulcer in rats.</w:t>
      </w:r>
    </w:p>
    <w:tbl>
      <w:tblPr>
        <w:tblStyle w:val="TableGrid"/>
        <w:tblW w:w="0" w:type="auto"/>
        <w:jc w:val="center"/>
        <w:tblLook w:val="04A0"/>
      </w:tblPr>
      <w:tblGrid>
        <w:gridCol w:w="1672"/>
        <w:gridCol w:w="1249"/>
        <w:gridCol w:w="1559"/>
        <w:gridCol w:w="1612"/>
      </w:tblGrid>
      <w:tr w:rsidR="001A3548" w:rsidRPr="001A3548" w:rsidTr="001A3548">
        <w:trPr>
          <w:trHeight w:val="813"/>
          <w:jc w:val="center"/>
        </w:trPr>
        <w:tc>
          <w:tcPr>
            <w:tcW w:w="1672"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
                <w:bCs/>
                <w:color w:val="000000" w:themeColor="text1"/>
              </w:rPr>
              <w:t>Treatment (n=6)</w:t>
            </w:r>
          </w:p>
        </w:tc>
        <w:tc>
          <w:tcPr>
            <w:tcW w:w="1249"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
                <w:bCs/>
                <w:color w:val="000000" w:themeColor="text1"/>
              </w:rPr>
              <w:t>Dose mg/kg (p.o.)</w:t>
            </w:r>
          </w:p>
        </w:tc>
        <w:tc>
          <w:tcPr>
            <w:tcW w:w="1559"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
                <w:bCs/>
                <w:color w:val="000000" w:themeColor="text1"/>
              </w:rPr>
              <w:t>Ulcer index</w:t>
            </w:r>
          </w:p>
        </w:tc>
        <w:tc>
          <w:tcPr>
            <w:tcW w:w="1612"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
                <w:bCs/>
                <w:color w:val="000000" w:themeColor="text1"/>
              </w:rPr>
              <w:t>% Inhibition</w:t>
            </w:r>
          </w:p>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
                <w:bCs/>
                <w:color w:val="000000" w:themeColor="text1"/>
              </w:rPr>
              <w:t>of ulcer</w:t>
            </w:r>
          </w:p>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p>
        </w:tc>
      </w:tr>
      <w:tr w:rsidR="001A3548" w:rsidRPr="001A3548" w:rsidTr="001A3548">
        <w:trPr>
          <w:trHeight w:val="241"/>
          <w:jc w:val="center"/>
        </w:trPr>
        <w:tc>
          <w:tcPr>
            <w:tcW w:w="1672"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Cs/>
                <w:color w:val="000000" w:themeColor="text1"/>
              </w:rPr>
              <w:t>1% CMC</w:t>
            </w:r>
          </w:p>
        </w:tc>
        <w:tc>
          <w:tcPr>
            <w:tcW w:w="1249"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Cs/>
                <w:color w:val="000000" w:themeColor="text1"/>
              </w:rPr>
              <w:t>-</w:t>
            </w:r>
          </w:p>
        </w:tc>
        <w:tc>
          <w:tcPr>
            <w:tcW w:w="1559"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Cs/>
                <w:color w:val="000000" w:themeColor="text1"/>
              </w:rPr>
              <w:t>0.70 ± 0.02</w:t>
            </w:r>
          </w:p>
        </w:tc>
        <w:tc>
          <w:tcPr>
            <w:tcW w:w="1612"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w:t>
            </w:r>
          </w:p>
        </w:tc>
      </w:tr>
      <w:tr w:rsidR="001A3548" w:rsidRPr="001A3548" w:rsidTr="001A3548">
        <w:trPr>
          <w:trHeight w:val="435"/>
          <w:jc w:val="center"/>
        </w:trPr>
        <w:tc>
          <w:tcPr>
            <w:tcW w:w="1672"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Ulcer control</w:t>
            </w:r>
          </w:p>
        </w:tc>
        <w:tc>
          <w:tcPr>
            <w:tcW w:w="1249"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w:t>
            </w:r>
          </w:p>
        </w:tc>
        <w:tc>
          <w:tcPr>
            <w:tcW w:w="1559"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0.84±0.01</w:t>
            </w:r>
          </w:p>
        </w:tc>
        <w:tc>
          <w:tcPr>
            <w:tcW w:w="1612"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w:t>
            </w:r>
          </w:p>
        </w:tc>
      </w:tr>
      <w:tr w:rsidR="001A3548" w:rsidRPr="001A3548" w:rsidTr="001A3548">
        <w:trPr>
          <w:trHeight w:val="241"/>
          <w:jc w:val="center"/>
        </w:trPr>
        <w:tc>
          <w:tcPr>
            <w:tcW w:w="1672"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Cs/>
                <w:color w:val="000000" w:themeColor="text1"/>
              </w:rPr>
              <w:t>Ranitidine</w:t>
            </w:r>
          </w:p>
        </w:tc>
        <w:tc>
          <w:tcPr>
            <w:tcW w:w="1249"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Cs/>
                <w:color w:val="000000" w:themeColor="text1"/>
              </w:rPr>
              <w:t>50</w:t>
            </w:r>
          </w:p>
        </w:tc>
        <w:tc>
          <w:tcPr>
            <w:tcW w:w="1559"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Cs/>
                <w:color w:val="000000" w:themeColor="text1"/>
              </w:rPr>
              <w:t>0.25 ± 0.02</w:t>
            </w:r>
          </w:p>
        </w:tc>
        <w:tc>
          <w:tcPr>
            <w:tcW w:w="1612"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Cs/>
                <w:color w:val="000000" w:themeColor="text1"/>
              </w:rPr>
              <w:t>51.3</w:t>
            </w:r>
          </w:p>
        </w:tc>
      </w:tr>
      <w:tr w:rsidR="001A3548" w:rsidRPr="001A3548" w:rsidTr="001A3548">
        <w:trPr>
          <w:trHeight w:val="241"/>
          <w:jc w:val="center"/>
        </w:trPr>
        <w:tc>
          <w:tcPr>
            <w:tcW w:w="1672"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AQMI</w:t>
            </w:r>
          </w:p>
        </w:tc>
        <w:tc>
          <w:tcPr>
            <w:tcW w:w="1249"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250</w:t>
            </w:r>
          </w:p>
        </w:tc>
        <w:tc>
          <w:tcPr>
            <w:tcW w:w="1559"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0.43 ± 0.02</w:t>
            </w:r>
          </w:p>
        </w:tc>
        <w:tc>
          <w:tcPr>
            <w:tcW w:w="1612"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37.2</w:t>
            </w:r>
          </w:p>
        </w:tc>
      </w:tr>
      <w:tr w:rsidR="001A3548" w:rsidRPr="001A3548" w:rsidTr="001A3548">
        <w:trPr>
          <w:trHeight w:val="241"/>
          <w:jc w:val="center"/>
        </w:trPr>
        <w:tc>
          <w:tcPr>
            <w:tcW w:w="1672"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ALMI</w:t>
            </w:r>
          </w:p>
        </w:tc>
        <w:tc>
          <w:tcPr>
            <w:tcW w:w="1249"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250</w:t>
            </w:r>
          </w:p>
        </w:tc>
        <w:tc>
          <w:tcPr>
            <w:tcW w:w="1559" w:type="dxa"/>
          </w:tcPr>
          <w:p w:rsidR="001A3548" w:rsidRPr="001A3548" w:rsidRDefault="001A3548" w:rsidP="001A3548">
            <w:pPr>
              <w:pStyle w:val="ListParagraph"/>
              <w:spacing w:before="54" w:line="276" w:lineRule="auto"/>
              <w:ind w:left="360"/>
              <w:rPr>
                <w:rFonts w:ascii="Times New Roman" w:hAnsi="Times New Roman" w:cs="Times New Roman"/>
                <w:b/>
                <w:bCs/>
                <w:color w:val="000000" w:themeColor="text1"/>
              </w:rPr>
            </w:pPr>
            <w:r w:rsidRPr="001A3548">
              <w:rPr>
                <w:rFonts w:ascii="Times New Roman" w:hAnsi="Times New Roman" w:cs="Times New Roman"/>
                <w:bCs/>
                <w:color w:val="000000" w:themeColor="text1"/>
              </w:rPr>
              <w:t>0.30 ± 0.02</w:t>
            </w:r>
          </w:p>
        </w:tc>
        <w:tc>
          <w:tcPr>
            <w:tcW w:w="1612" w:type="dxa"/>
          </w:tcPr>
          <w:p w:rsidR="001A3548" w:rsidRPr="001A3548" w:rsidRDefault="001A3548" w:rsidP="001A3548">
            <w:pPr>
              <w:pStyle w:val="ListParagraph"/>
              <w:spacing w:before="54" w:line="276" w:lineRule="auto"/>
              <w:ind w:left="360"/>
              <w:rPr>
                <w:rFonts w:ascii="Times New Roman" w:hAnsi="Times New Roman" w:cs="Times New Roman"/>
                <w:bCs/>
                <w:color w:val="000000" w:themeColor="text1"/>
              </w:rPr>
            </w:pPr>
            <w:r w:rsidRPr="001A3548">
              <w:rPr>
                <w:rFonts w:ascii="Times New Roman" w:hAnsi="Times New Roman" w:cs="Times New Roman"/>
                <w:bCs/>
                <w:color w:val="000000" w:themeColor="text1"/>
              </w:rPr>
              <w:t>53.2</w:t>
            </w:r>
          </w:p>
        </w:tc>
      </w:tr>
    </w:tbl>
    <w:p w:rsidR="001A3548" w:rsidRPr="001A3548" w:rsidRDefault="001A3548" w:rsidP="001A3548">
      <w:pPr>
        <w:pStyle w:val="ListParagraph"/>
        <w:spacing w:before="54" w:after="0" w:line="276" w:lineRule="auto"/>
        <w:ind w:left="360"/>
        <w:jc w:val="center"/>
        <w:rPr>
          <w:rFonts w:ascii="Times New Roman" w:hAnsi="Times New Roman" w:cs="Times New Roman"/>
          <w:bCs/>
          <w:color w:val="000000" w:themeColor="text1"/>
          <w:sz w:val="20"/>
          <w:szCs w:val="20"/>
        </w:rPr>
      </w:pPr>
      <w:r w:rsidRPr="001A3548">
        <w:rPr>
          <w:rFonts w:ascii="Times New Roman" w:hAnsi="Times New Roman" w:cs="Times New Roman"/>
          <w:bCs/>
          <w:noProof/>
          <w:color w:val="000000" w:themeColor="text1"/>
          <w:sz w:val="20"/>
          <w:szCs w:val="20"/>
          <w:lang w:bidi="te-IN"/>
        </w:rPr>
        <w:drawing>
          <wp:inline distT="0" distB="0" distL="0" distR="0">
            <wp:extent cx="4867275" cy="374332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4864100" cy="3740883"/>
                    </a:xfrm>
                    <a:prstGeom prst="rect">
                      <a:avLst/>
                    </a:prstGeom>
                    <a:noFill/>
                    <a:ln w="9525">
                      <a:noFill/>
                      <a:miter lim="800000"/>
                      <a:headEnd/>
                      <a:tailEnd/>
                    </a:ln>
                  </pic:spPr>
                </pic:pic>
              </a:graphicData>
            </a:graphic>
          </wp:inline>
        </w:drawing>
      </w:r>
    </w:p>
    <w:p w:rsidR="001A3548" w:rsidRPr="001A3548" w:rsidRDefault="001A3548" w:rsidP="001A3548">
      <w:pPr>
        <w:pStyle w:val="ListParagraph"/>
        <w:spacing w:before="54" w:line="276" w:lineRule="auto"/>
        <w:ind w:left="360"/>
        <w:jc w:val="center"/>
        <w:rPr>
          <w:rFonts w:ascii="Times New Roman" w:hAnsi="Times New Roman" w:cs="Times New Roman"/>
          <w:color w:val="000000" w:themeColor="text1"/>
          <w:sz w:val="20"/>
          <w:szCs w:val="20"/>
        </w:rPr>
      </w:pPr>
      <w:r w:rsidRPr="001A3548">
        <w:rPr>
          <w:rFonts w:ascii="Times New Roman" w:hAnsi="Times New Roman" w:cs="Times New Roman"/>
          <w:color w:val="000000" w:themeColor="text1"/>
          <w:sz w:val="20"/>
          <w:szCs w:val="20"/>
        </w:rPr>
        <w:t>Fig-2: Effect of </w:t>
      </w:r>
      <w:r w:rsidRPr="001A3548">
        <w:rPr>
          <w:rFonts w:ascii="Times New Roman" w:hAnsi="Times New Roman" w:cs="Times New Roman"/>
          <w:i/>
          <w:color w:val="000000" w:themeColor="text1"/>
          <w:sz w:val="20"/>
          <w:szCs w:val="20"/>
        </w:rPr>
        <w:t xml:space="preserve">Madhuca Indica </w:t>
      </w:r>
      <w:r w:rsidRPr="001A3548">
        <w:rPr>
          <w:rFonts w:ascii="Times New Roman" w:hAnsi="Times New Roman" w:cs="Times New Roman"/>
          <w:color w:val="000000" w:themeColor="text1"/>
          <w:sz w:val="20"/>
          <w:szCs w:val="20"/>
        </w:rPr>
        <w:t>on paracetamol induced ulcers in the rats in the study (a) Normal Control (b) Ulcer Control (c) </w:t>
      </w:r>
      <w:r w:rsidRPr="001A3548">
        <w:rPr>
          <w:rFonts w:ascii="Times New Roman" w:hAnsi="Times New Roman" w:cs="Times New Roman"/>
          <w:iCs/>
          <w:color w:val="000000" w:themeColor="text1"/>
          <w:sz w:val="20"/>
          <w:szCs w:val="20"/>
        </w:rPr>
        <w:t xml:space="preserve">AQMI </w:t>
      </w:r>
      <w:r w:rsidRPr="001A3548">
        <w:rPr>
          <w:rFonts w:ascii="Times New Roman" w:hAnsi="Times New Roman" w:cs="Times New Roman"/>
          <w:color w:val="000000" w:themeColor="text1"/>
          <w:sz w:val="20"/>
          <w:szCs w:val="20"/>
        </w:rPr>
        <w:t>(250 mg/kg) treated (d) </w:t>
      </w:r>
      <w:r w:rsidRPr="001A3548">
        <w:rPr>
          <w:rFonts w:ascii="Times New Roman" w:hAnsi="Times New Roman" w:cs="Times New Roman"/>
          <w:iCs/>
          <w:color w:val="000000" w:themeColor="text1"/>
          <w:sz w:val="20"/>
          <w:szCs w:val="20"/>
        </w:rPr>
        <w:t xml:space="preserve">ALMI </w:t>
      </w:r>
      <w:r w:rsidRPr="001A3548">
        <w:rPr>
          <w:rFonts w:ascii="Times New Roman" w:hAnsi="Times New Roman" w:cs="Times New Roman"/>
          <w:color w:val="000000" w:themeColor="text1"/>
          <w:sz w:val="20"/>
          <w:szCs w:val="20"/>
        </w:rPr>
        <w:t>(250 mg/kg) treated (e) Ranitidine (50 mg/kg treated)</w:t>
      </w:r>
    </w:p>
    <w:p w:rsidR="001A3548" w:rsidRPr="001A3548" w:rsidRDefault="00F74D8A" w:rsidP="001A3548">
      <w:pPr>
        <w:pStyle w:val="ListParagraph"/>
        <w:spacing w:before="54"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3.4. </w:t>
      </w:r>
      <w:r w:rsidR="001A3548" w:rsidRPr="001A3548">
        <w:rPr>
          <w:rFonts w:ascii="Times New Roman" w:hAnsi="Times New Roman" w:cs="Times New Roman"/>
          <w:b/>
          <w:bCs/>
          <w:color w:val="000000" w:themeColor="text1"/>
          <w:sz w:val="20"/>
          <w:szCs w:val="20"/>
        </w:rPr>
        <w:t>Stress-induced ulcers:</w:t>
      </w:r>
    </w:p>
    <w:p w:rsidR="001A3548" w:rsidRDefault="001A3548" w:rsidP="001A3548">
      <w:pPr>
        <w:pStyle w:val="ListParagraph"/>
        <w:spacing w:before="54" w:after="0" w:line="276" w:lineRule="auto"/>
        <w:ind w:left="360"/>
        <w:rPr>
          <w:rFonts w:ascii="Times New Roman" w:hAnsi="Times New Roman" w:cs="Times New Roman"/>
          <w:color w:val="000000" w:themeColor="text1"/>
          <w:sz w:val="20"/>
          <w:szCs w:val="20"/>
        </w:rPr>
      </w:pPr>
      <w:r w:rsidRPr="001A3548">
        <w:rPr>
          <w:rFonts w:ascii="Times New Roman" w:hAnsi="Times New Roman" w:cs="Times New Roman"/>
          <w:b/>
          <w:bCs/>
          <w:color w:val="000000" w:themeColor="text1"/>
          <w:sz w:val="20"/>
          <w:szCs w:val="20"/>
        </w:rPr>
        <w:tab/>
      </w:r>
      <w:r w:rsidRPr="001A3548">
        <w:rPr>
          <w:rFonts w:ascii="Times New Roman" w:hAnsi="Times New Roman" w:cs="Times New Roman"/>
          <w:color w:val="000000" w:themeColor="text1"/>
          <w:sz w:val="20"/>
          <w:szCs w:val="20"/>
        </w:rPr>
        <w:t>In water immersion stress induced ulcers, the mean score value of ulcer inhibition was found to be significant (</w:t>
      </w:r>
      <w:r w:rsidRPr="001A3548">
        <w:rPr>
          <w:rFonts w:ascii="Times New Roman" w:hAnsi="Times New Roman" w:cs="Times New Roman"/>
          <w:i/>
          <w:iCs/>
          <w:color w:val="000000" w:themeColor="text1"/>
          <w:sz w:val="20"/>
          <w:szCs w:val="20"/>
        </w:rPr>
        <w:t>P</w:t>
      </w:r>
      <w:r w:rsidRPr="001A3548">
        <w:rPr>
          <w:rFonts w:ascii="Times New Roman" w:hAnsi="Times New Roman" w:cs="Times New Roman"/>
          <w:color w:val="000000" w:themeColor="text1"/>
          <w:sz w:val="20"/>
          <w:szCs w:val="20"/>
        </w:rPr>
        <w:t>&lt;0.001) for 250 mg/kg of the extract. The percentage ulcer inhibition was 75.29 and 84.55 for 250 mg/kg for both aqueous and alcoholic extracts, and that of the standard was found to be 91.42.</w:t>
      </w:r>
    </w:p>
    <w:p w:rsidR="001A3548" w:rsidRPr="001A3548" w:rsidRDefault="001A3548" w:rsidP="001A3548">
      <w:pPr>
        <w:pStyle w:val="ListParagraph"/>
        <w:spacing w:before="54" w:line="276" w:lineRule="auto"/>
        <w:ind w:left="360"/>
        <w:jc w:val="center"/>
        <w:rPr>
          <w:rFonts w:ascii="Times New Roman" w:hAnsi="Times New Roman" w:cs="Times New Roman"/>
          <w:bCs/>
          <w:color w:val="000000" w:themeColor="text1"/>
          <w:sz w:val="20"/>
          <w:szCs w:val="20"/>
        </w:rPr>
      </w:pPr>
      <w:r w:rsidRPr="001A3548">
        <w:rPr>
          <w:rFonts w:ascii="Times New Roman" w:hAnsi="Times New Roman" w:cs="Times New Roman"/>
          <w:bCs/>
          <w:color w:val="000000" w:themeColor="text1"/>
          <w:sz w:val="20"/>
          <w:szCs w:val="20"/>
        </w:rPr>
        <w:t xml:space="preserve">Table 5. Effect of </w:t>
      </w:r>
      <w:r w:rsidRPr="001A3548">
        <w:rPr>
          <w:rFonts w:ascii="Times New Roman" w:hAnsi="Times New Roman" w:cs="Times New Roman"/>
          <w:bCs/>
          <w:i/>
          <w:color w:val="000000" w:themeColor="text1"/>
          <w:sz w:val="20"/>
          <w:szCs w:val="20"/>
        </w:rPr>
        <w:t xml:space="preserve">Madhuca Indica </w:t>
      </w:r>
      <w:r w:rsidRPr="001A3548">
        <w:rPr>
          <w:rFonts w:ascii="Times New Roman" w:hAnsi="Times New Roman" w:cs="Times New Roman"/>
          <w:bCs/>
          <w:color w:val="000000" w:themeColor="text1"/>
          <w:sz w:val="20"/>
          <w:szCs w:val="20"/>
        </w:rPr>
        <w:t>at various dose levels on Stress induced gastric ulcer in rats.</w:t>
      </w:r>
    </w:p>
    <w:tbl>
      <w:tblPr>
        <w:tblStyle w:val="TableGrid"/>
        <w:tblW w:w="0" w:type="auto"/>
        <w:jc w:val="center"/>
        <w:tblLook w:val="04A0"/>
      </w:tblPr>
      <w:tblGrid>
        <w:gridCol w:w="2059"/>
        <w:gridCol w:w="1702"/>
        <w:gridCol w:w="2298"/>
      </w:tblGrid>
      <w:tr w:rsidR="001A3548" w:rsidRPr="001A3548" w:rsidTr="001A3548">
        <w:trPr>
          <w:trHeight w:val="319"/>
          <w:jc w:val="center"/>
        </w:trPr>
        <w:tc>
          <w:tcPr>
            <w:tcW w:w="2059" w:type="dxa"/>
          </w:tcPr>
          <w:p w:rsidR="001A3548" w:rsidRPr="001A3548" w:rsidRDefault="001A3548" w:rsidP="00FE6FD9">
            <w:pPr>
              <w:autoSpaceDE w:val="0"/>
              <w:autoSpaceDN w:val="0"/>
              <w:adjustRightInd w:val="0"/>
              <w:spacing w:line="360" w:lineRule="auto"/>
              <w:jc w:val="both"/>
              <w:rPr>
                <w:rFonts w:ascii="Times New Roman" w:hAnsi="Times New Roman" w:cs="Times New Roman"/>
                <w:b/>
                <w:color w:val="292526"/>
              </w:rPr>
            </w:pPr>
            <w:r w:rsidRPr="001A3548">
              <w:rPr>
                <w:rFonts w:ascii="Times New Roman" w:hAnsi="Times New Roman" w:cs="Times New Roman"/>
                <w:b/>
                <w:color w:val="292526"/>
              </w:rPr>
              <w:t>Group</w:t>
            </w:r>
          </w:p>
        </w:tc>
        <w:tc>
          <w:tcPr>
            <w:tcW w:w="1702" w:type="dxa"/>
          </w:tcPr>
          <w:p w:rsidR="001A3548" w:rsidRPr="001A3548" w:rsidRDefault="001A3548" w:rsidP="00FE6FD9">
            <w:pPr>
              <w:autoSpaceDE w:val="0"/>
              <w:autoSpaceDN w:val="0"/>
              <w:adjustRightInd w:val="0"/>
              <w:spacing w:line="360" w:lineRule="auto"/>
              <w:jc w:val="both"/>
              <w:rPr>
                <w:rFonts w:ascii="Times New Roman" w:hAnsi="Times New Roman" w:cs="Times New Roman"/>
                <w:b/>
                <w:color w:val="292526"/>
              </w:rPr>
            </w:pPr>
            <w:r w:rsidRPr="001A3548">
              <w:rPr>
                <w:rFonts w:ascii="Times New Roman" w:hAnsi="Times New Roman" w:cs="Times New Roman"/>
                <w:b/>
                <w:color w:val="292526"/>
              </w:rPr>
              <w:t>Ulcer index</w:t>
            </w:r>
          </w:p>
        </w:tc>
        <w:tc>
          <w:tcPr>
            <w:tcW w:w="2298" w:type="dxa"/>
          </w:tcPr>
          <w:p w:rsidR="001A3548" w:rsidRPr="001A3548" w:rsidRDefault="001A3548" w:rsidP="00FE6FD9">
            <w:pPr>
              <w:autoSpaceDE w:val="0"/>
              <w:autoSpaceDN w:val="0"/>
              <w:adjustRightInd w:val="0"/>
              <w:spacing w:line="360" w:lineRule="auto"/>
              <w:jc w:val="both"/>
              <w:rPr>
                <w:rFonts w:ascii="Times New Roman" w:hAnsi="Times New Roman" w:cs="Times New Roman"/>
                <w:b/>
                <w:color w:val="292526"/>
              </w:rPr>
            </w:pPr>
            <w:r w:rsidRPr="001A3548">
              <w:rPr>
                <w:rFonts w:ascii="Times New Roman" w:hAnsi="Times New Roman" w:cs="Times New Roman"/>
                <w:b/>
                <w:color w:val="292526"/>
              </w:rPr>
              <w:t>Percentage inhibition</w:t>
            </w:r>
          </w:p>
        </w:tc>
      </w:tr>
      <w:tr w:rsidR="001A3548" w:rsidRPr="001A3548" w:rsidTr="001A3548">
        <w:trPr>
          <w:trHeight w:val="319"/>
          <w:jc w:val="center"/>
        </w:trPr>
        <w:tc>
          <w:tcPr>
            <w:tcW w:w="2059"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Normal Control</w:t>
            </w:r>
          </w:p>
        </w:tc>
        <w:tc>
          <w:tcPr>
            <w:tcW w:w="1702"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00.00±0.00</w:t>
            </w:r>
          </w:p>
        </w:tc>
        <w:tc>
          <w:tcPr>
            <w:tcW w:w="2298"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w:t>
            </w:r>
          </w:p>
        </w:tc>
      </w:tr>
      <w:tr w:rsidR="001A3548" w:rsidRPr="001A3548" w:rsidTr="001A3548">
        <w:trPr>
          <w:trHeight w:val="305"/>
          <w:jc w:val="center"/>
        </w:trPr>
        <w:tc>
          <w:tcPr>
            <w:tcW w:w="2059" w:type="dxa"/>
          </w:tcPr>
          <w:p w:rsidR="001A3548" w:rsidRPr="001A3548" w:rsidRDefault="001A3548" w:rsidP="00FE6FD9">
            <w:pPr>
              <w:autoSpaceDE w:val="0"/>
              <w:autoSpaceDN w:val="0"/>
              <w:adjustRightInd w:val="0"/>
              <w:spacing w:line="360" w:lineRule="auto"/>
              <w:rPr>
                <w:rFonts w:ascii="Times New Roman" w:hAnsi="Times New Roman" w:cs="Times New Roman"/>
                <w:color w:val="292526"/>
              </w:rPr>
            </w:pPr>
            <w:r w:rsidRPr="001A3548">
              <w:rPr>
                <w:rFonts w:ascii="Times New Roman" w:hAnsi="Times New Roman" w:cs="Times New Roman"/>
                <w:color w:val="292526"/>
              </w:rPr>
              <w:t>Ulcer control</w:t>
            </w:r>
          </w:p>
        </w:tc>
        <w:tc>
          <w:tcPr>
            <w:tcW w:w="1702"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22.73±4.31</w:t>
            </w:r>
          </w:p>
        </w:tc>
        <w:tc>
          <w:tcPr>
            <w:tcW w:w="2298"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w:t>
            </w:r>
          </w:p>
        </w:tc>
      </w:tr>
      <w:tr w:rsidR="001A3548" w:rsidRPr="001A3548" w:rsidTr="001A3548">
        <w:trPr>
          <w:trHeight w:val="333"/>
          <w:jc w:val="center"/>
        </w:trPr>
        <w:tc>
          <w:tcPr>
            <w:tcW w:w="2059" w:type="dxa"/>
          </w:tcPr>
          <w:p w:rsidR="001A3548" w:rsidRPr="001A3548" w:rsidRDefault="001A3548" w:rsidP="00FE6FD9">
            <w:pPr>
              <w:autoSpaceDE w:val="0"/>
              <w:autoSpaceDN w:val="0"/>
              <w:adjustRightInd w:val="0"/>
              <w:spacing w:line="360" w:lineRule="auto"/>
              <w:rPr>
                <w:rFonts w:ascii="Times New Roman" w:hAnsi="Times New Roman" w:cs="Times New Roman"/>
                <w:color w:val="292526"/>
              </w:rPr>
            </w:pPr>
            <w:r w:rsidRPr="001A3548">
              <w:rPr>
                <w:rFonts w:ascii="Times New Roman" w:hAnsi="Times New Roman" w:cs="Times New Roman"/>
                <w:color w:val="292526"/>
              </w:rPr>
              <w:t>Standard</w:t>
            </w:r>
          </w:p>
        </w:tc>
        <w:tc>
          <w:tcPr>
            <w:tcW w:w="1702"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2.86±0.13</w:t>
            </w:r>
          </w:p>
        </w:tc>
        <w:tc>
          <w:tcPr>
            <w:tcW w:w="2298"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91.42</w:t>
            </w:r>
          </w:p>
        </w:tc>
      </w:tr>
      <w:tr w:rsidR="001A3548" w:rsidRPr="001A3548" w:rsidTr="001A3548">
        <w:trPr>
          <w:trHeight w:val="319"/>
          <w:jc w:val="center"/>
        </w:trPr>
        <w:tc>
          <w:tcPr>
            <w:tcW w:w="2059"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AQMI</w:t>
            </w:r>
          </w:p>
        </w:tc>
        <w:tc>
          <w:tcPr>
            <w:tcW w:w="1702"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6.90±3.02</w:t>
            </w:r>
          </w:p>
        </w:tc>
        <w:tc>
          <w:tcPr>
            <w:tcW w:w="2298"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75.29</w:t>
            </w:r>
          </w:p>
        </w:tc>
      </w:tr>
      <w:tr w:rsidR="001A3548" w:rsidRPr="001A3548" w:rsidTr="001A3548">
        <w:trPr>
          <w:trHeight w:val="319"/>
          <w:jc w:val="center"/>
        </w:trPr>
        <w:tc>
          <w:tcPr>
            <w:tcW w:w="2059"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ALMI</w:t>
            </w:r>
          </w:p>
        </w:tc>
        <w:tc>
          <w:tcPr>
            <w:tcW w:w="1702"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4.34±2.87</w:t>
            </w:r>
          </w:p>
        </w:tc>
        <w:tc>
          <w:tcPr>
            <w:tcW w:w="2298" w:type="dxa"/>
          </w:tcPr>
          <w:p w:rsidR="001A3548" w:rsidRPr="001A3548" w:rsidRDefault="001A3548" w:rsidP="00FE6FD9">
            <w:pPr>
              <w:autoSpaceDE w:val="0"/>
              <w:autoSpaceDN w:val="0"/>
              <w:adjustRightInd w:val="0"/>
              <w:spacing w:line="360" w:lineRule="auto"/>
              <w:jc w:val="both"/>
              <w:rPr>
                <w:rFonts w:ascii="Times New Roman" w:hAnsi="Times New Roman" w:cs="Times New Roman"/>
                <w:color w:val="292526"/>
              </w:rPr>
            </w:pPr>
            <w:r w:rsidRPr="001A3548">
              <w:rPr>
                <w:rFonts w:ascii="Times New Roman" w:hAnsi="Times New Roman" w:cs="Times New Roman"/>
                <w:color w:val="292526"/>
              </w:rPr>
              <w:t>84.55</w:t>
            </w:r>
          </w:p>
        </w:tc>
      </w:tr>
    </w:tbl>
    <w:p w:rsidR="001A3548" w:rsidRDefault="001A3548" w:rsidP="001A3548">
      <w:pPr>
        <w:pStyle w:val="ListParagraph"/>
        <w:spacing w:before="54" w:after="0" w:line="276" w:lineRule="auto"/>
        <w:ind w:left="360"/>
        <w:jc w:val="center"/>
        <w:rPr>
          <w:rFonts w:ascii="Times New Roman" w:hAnsi="Times New Roman" w:cs="Times New Roman"/>
          <w:color w:val="000000" w:themeColor="text1"/>
          <w:sz w:val="20"/>
          <w:szCs w:val="20"/>
        </w:rPr>
      </w:pPr>
      <w:r w:rsidRPr="001A3548">
        <w:rPr>
          <w:rFonts w:ascii="Times New Roman" w:hAnsi="Times New Roman" w:cs="Times New Roman"/>
          <w:noProof/>
          <w:color w:val="000000" w:themeColor="text1"/>
          <w:sz w:val="20"/>
          <w:szCs w:val="20"/>
          <w:lang w:bidi="te-IN"/>
        </w:rPr>
        <w:lastRenderedPageBreak/>
        <w:drawing>
          <wp:inline distT="0" distB="0" distL="0" distR="0">
            <wp:extent cx="5096632" cy="3239310"/>
            <wp:effectExtent l="19050" t="0" r="876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097145" cy="3239636"/>
                    </a:xfrm>
                    <a:prstGeom prst="rect">
                      <a:avLst/>
                    </a:prstGeom>
                    <a:noFill/>
                    <a:ln w="9525">
                      <a:noFill/>
                      <a:miter lim="800000"/>
                      <a:headEnd/>
                      <a:tailEnd/>
                    </a:ln>
                  </pic:spPr>
                </pic:pic>
              </a:graphicData>
            </a:graphic>
          </wp:inline>
        </w:drawing>
      </w:r>
    </w:p>
    <w:p w:rsidR="001A3548" w:rsidRPr="001A3548" w:rsidRDefault="001A3548" w:rsidP="001A3548">
      <w:pPr>
        <w:pStyle w:val="ListParagraph"/>
        <w:spacing w:before="54" w:line="276" w:lineRule="auto"/>
        <w:ind w:left="360"/>
        <w:jc w:val="center"/>
        <w:rPr>
          <w:rFonts w:ascii="Times New Roman" w:hAnsi="Times New Roman" w:cs="Times New Roman"/>
          <w:bCs/>
          <w:color w:val="000000" w:themeColor="text1"/>
          <w:sz w:val="20"/>
          <w:szCs w:val="20"/>
        </w:rPr>
      </w:pPr>
      <w:r w:rsidRPr="001A3548">
        <w:rPr>
          <w:rFonts w:ascii="Times New Roman" w:hAnsi="Times New Roman" w:cs="Times New Roman"/>
          <w:bCs/>
          <w:color w:val="000000" w:themeColor="text1"/>
          <w:sz w:val="20"/>
          <w:szCs w:val="20"/>
        </w:rPr>
        <w:t>Fig-3: Effect of </w:t>
      </w:r>
      <w:r w:rsidRPr="001A3548">
        <w:rPr>
          <w:rFonts w:ascii="Times New Roman" w:hAnsi="Times New Roman" w:cs="Times New Roman"/>
          <w:bCs/>
          <w:i/>
          <w:color w:val="000000" w:themeColor="text1"/>
          <w:sz w:val="20"/>
          <w:szCs w:val="20"/>
        </w:rPr>
        <w:t xml:space="preserve">Madhuca Indica </w:t>
      </w:r>
      <w:r w:rsidRPr="001A3548">
        <w:rPr>
          <w:rFonts w:ascii="Times New Roman" w:hAnsi="Times New Roman" w:cs="Times New Roman"/>
          <w:bCs/>
          <w:color w:val="000000" w:themeColor="text1"/>
          <w:sz w:val="20"/>
          <w:szCs w:val="20"/>
        </w:rPr>
        <w:t>on stress induced ulcers in the rats in the study (a) Normal Control (b) Ulcer Control (c) </w:t>
      </w:r>
      <w:r w:rsidRPr="001A3548">
        <w:rPr>
          <w:rFonts w:ascii="Times New Roman" w:hAnsi="Times New Roman" w:cs="Times New Roman"/>
          <w:bCs/>
          <w:iCs/>
          <w:color w:val="000000" w:themeColor="text1"/>
          <w:sz w:val="20"/>
          <w:szCs w:val="20"/>
        </w:rPr>
        <w:t xml:space="preserve">AQMI </w:t>
      </w:r>
      <w:r w:rsidRPr="001A3548">
        <w:rPr>
          <w:rFonts w:ascii="Times New Roman" w:hAnsi="Times New Roman" w:cs="Times New Roman"/>
          <w:bCs/>
          <w:color w:val="000000" w:themeColor="text1"/>
          <w:sz w:val="20"/>
          <w:szCs w:val="20"/>
        </w:rPr>
        <w:t>(250 mg/kg) treated (d) </w:t>
      </w:r>
      <w:r w:rsidRPr="001A3548">
        <w:rPr>
          <w:rFonts w:ascii="Times New Roman" w:hAnsi="Times New Roman" w:cs="Times New Roman"/>
          <w:bCs/>
          <w:iCs/>
          <w:color w:val="000000" w:themeColor="text1"/>
          <w:sz w:val="20"/>
          <w:szCs w:val="20"/>
        </w:rPr>
        <w:t>ALMI</w:t>
      </w:r>
      <w:r w:rsidRPr="001A3548">
        <w:rPr>
          <w:rFonts w:ascii="Times New Roman" w:hAnsi="Times New Roman" w:cs="Times New Roman"/>
          <w:bCs/>
          <w:i/>
          <w:color w:val="000000" w:themeColor="text1"/>
          <w:sz w:val="20"/>
          <w:szCs w:val="20"/>
        </w:rPr>
        <w:t> </w:t>
      </w:r>
      <w:r w:rsidRPr="001A3548">
        <w:rPr>
          <w:rFonts w:ascii="Times New Roman" w:hAnsi="Times New Roman" w:cs="Times New Roman"/>
          <w:bCs/>
          <w:color w:val="000000" w:themeColor="text1"/>
          <w:sz w:val="20"/>
          <w:szCs w:val="20"/>
        </w:rPr>
        <w:t>(250 mg/kg) treated (e) Omeprazole (10 mg/kg treated).</w:t>
      </w:r>
    </w:p>
    <w:p w:rsidR="001A3548" w:rsidRPr="001A3548" w:rsidRDefault="001A3548" w:rsidP="001A3548">
      <w:pPr>
        <w:pStyle w:val="ListParagraph"/>
        <w:spacing w:before="54" w:after="0" w:line="276" w:lineRule="auto"/>
        <w:ind w:left="360"/>
        <w:jc w:val="center"/>
        <w:rPr>
          <w:rFonts w:ascii="Times New Roman" w:hAnsi="Times New Roman" w:cs="Times New Roman"/>
          <w:bCs/>
          <w:color w:val="000000" w:themeColor="text1"/>
          <w:sz w:val="20"/>
          <w:szCs w:val="20"/>
        </w:rPr>
      </w:pPr>
    </w:p>
    <w:p w:rsidR="00DA52F4" w:rsidRPr="001A3548" w:rsidRDefault="001A3548" w:rsidP="001A354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1A3548">
        <w:rPr>
          <w:rFonts w:ascii="Times New Roman" w:hAnsi="Times New Roman" w:cs="Times New Roman"/>
          <w:b/>
          <w:bCs/>
          <w:color w:val="000000" w:themeColor="text1"/>
          <w:sz w:val="24"/>
          <w:szCs w:val="24"/>
        </w:rPr>
        <w:t>CONCLUSION</w:t>
      </w:r>
    </w:p>
    <w:p w:rsidR="001A3548" w:rsidRPr="001A3548" w:rsidRDefault="001A3548" w:rsidP="00AC341C">
      <w:pPr>
        <w:spacing w:before="54" w:after="0" w:line="276" w:lineRule="auto"/>
        <w:jc w:val="both"/>
        <w:rPr>
          <w:rFonts w:ascii="Times New Roman" w:hAnsi="Times New Roman" w:cs="Times New Roman"/>
          <w:b/>
          <w:color w:val="000000" w:themeColor="text1"/>
          <w:sz w:val="20"/>
          <w:szCs w:val="20"/>
        </w:rPr>
      </w:pPr>
      <w:r w:rsidRPr="001A3548">
        <w:rPr>
          <w:rFonts w:ascii="Times New Roman" w:hAnsi="Times New Roman" w:cs="Times New Roman"/>
          <w:color w:val="000000" w:themeColor="text1"/>
          <w:sz w:val="20"/>
          <w:szCs w:val="20"/>
        </w:rPr>
        <w:t xml:space="preserve">The antiulcer activity of Madhuca Indica extracts in stress induced model is evident from its significant reduction in gastric volume, ulcer index and increase in pH of gastric juice. Because of animals treated with Madhuca Indica extracts significantly inhibited the formation of ulcer in the stomach and also decreased both acid concentration, gastric volume and increased the pH values. It is suggested that Madhuca Indica extracts can suppress gastric damage induced by aggressive factors. It is generally accepted that gastric ulcers result from an imbalance between aggressive factors and the maintenance of the mucosal integrity through endogenous defence mechanisms. The excess gastric acid formation by prostaglandin (PG) includes both increases in mucosal resistance as well as a decrease in aggressive factors, mainly acid and pepsin. Inhibitions of PG synthesis by aspirin coincide with the earlier stages of damage to the cell membrane of mucosal, parietal and endothelial cells. </w:t>
      </w:r>
    </w:p>
    <w:p w:rsidR="00DA52F4" w:rsidRPr="001A3548" w:rsidRDefault="001A3548" w:rsidP="001A354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1A3548">
        <w:rPr>
          <w:rFonts w:ascii="Times New Roman" w:hAnsi="Times New Roman" w:cs="Times New Roman"/>
          <w:b/>
          <w:bCs/>
          <w:color w:val="000000" w:themeColor="text1"/>
          <w:sz w:val="24"/>
          <w:szCs w:val="24"/>
        </w:rPr>
        <w:t>REFERENCES</w:t>
      </w:r>
    </w:p>
    <w:p w:rsidR="00774466" w:rsidRPr="00774466" w:rsidRDefault="00774466" w:rsidP="00AC341C">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774466">
        <w:rPr>
          <w:rFonts w:ascii="Times New Roman" w:hAnsi="Times New Roman" w:cs="Times New Roman"/>
          <w:color w:val="000000" w:themeColor="text1"/>
          <w:sz w:val="20"/>
          <w:szCs w:val="20"/>
        </w:rPr>
        <w:t>Allison MC, Howatson AG, Caroline MG.Gastrointestinal damage associated with the</w:t>
      </w:r>
      <w:r>
        <w:rPr>
          <w:rFonts w:ascii="Times New Roman" w:hAnsi="Times New Roman" w:cs="Times New Roman"/>
          <w:color w:val="000000" w:themeColor="text1"/>
          <w:sz w:val="20"/>
          <w:szCs w:val="20"/>
        </w:rPr>
        <w:t xml:space="preserve"> </w:t>
      </w:r>
      <w:r w:rsidRPr="00774466">
        <w:rPr>
          <w:rFonts w:ascii="Times New Roman" w:hAnsi="Times New Roman" w:cs="Times New Roman"/>
          <w:color w:val="000000" w:themeColor="text1"/>
          <w:sz w:val="20"/>
          <w:szCs w:val="20"/>
        </w:rPr>
        <w:t>use of nonsteriodal anti-inflammatory drugs. N Engl J Med 1992; 327: 749–</w:t>
      </w:r>
      <w:r>
        <w:rPr>
          <w:rFonts w:ascii="Times New Roman" w:hAnsi="Times New Roman" w:cs="Times New Roman"/>
          <w:color w:val="000000" w:themeColor="text1"/>
          <w:sz w:val="20"/>
          <w:szCs w:val="20"/>
        </w:rPr>
        <w:t>7</w:t>
      </w:r>
      <w:r w:rsidRPr="00774466">
        <w:rPr>
          <w:rFonts w:ascii="Times New Roman" w:hAnsi="Times New Roman" w:cs="Times New Roman"/>
          <w:color w:val="000000" w:themeColor="text1"/>
          <w:sz w:val="20"/>
          <w:szCs w:val="20"/>
        </w:rPr>
        <w:t>54.</w:t>
      </w:r>
    </w:p>
    <w:p w:rsidR="00774466" w:rsidRDefault="00774466" w:rsidP="00AC341C">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774466">
        <w:rPr>
          <w:rFonts w:ascii="Times New Roman" w:hAnsi="Times New Roman" w:cs="Times New Roman"/>
          <w:color w:val="000000" w:themeColor="text1"/>
          <w:sz w:val="20"/>
          <w:szCs w:val="20"/>
        </w:rPr>
        <w:t xml:space="preserve"> Lenz HJ, Ferrari-Taylor J, Isenberg JI. Wine and five percent ethanol are potent</w:t>
      </w:r>
      <w:r>
        <w:rPr>
          <w:rFonts w:ascii="Times New Roman" w:hAnsi="Times New Roman" w:cs="Times New Roman"/>
          <w:color w:val="000000" w:themeColor="text1"/>
          <w:sz w:val="20"/>
          <w:szCs w:val="20"/>
        </w:rPr>
        <w:t xml:space="preserve"> </w:t>
      </w:r>
      <w:r w:rsidRPr="00774466">
        <w:rPr>
          <w:rFonts w:ascii="Times New Roman" w:hAnsi="Times New Roman" w:cs="Times New Roman"/>
          <w:color w:val="000000" w:themeColor="text1"/>
          <w:sz w:val="20"/>
          <w:szCs w:val="20"/>
        </w:rPr>
        <w:t>stimulants of gastric acid secretion in humans. Gastroenterology 1983; 85: 1082-</w:t>
      </w:r>
      <w:r>
        <w:rPr>
          <w:rFonts w:ascii="Times New Roman" w:hAnsi="Times New Roman" w:cs="Times New Roman"/>
          <w:color w:val="000000" w:themeColor="text1"/>
          <w:sz w:val="20"/>
          <w:szCs w:val="20"/>
        </w:rPr>
        <w:t>108</w:t>
      </w:r>
      <w:r w:rsidRPr="00774466">
        <w:rPr>
          <w:rFonts w:ascii="Times New Roman" w:hAnsi="Times New Roman" w:cs="Times New Roman"/>
          <w:color w:val="000000" w:themeColor="text1"/>
          <w:sz w:val="20"/>
          <w:szCs w:val="20"/>
        </w:rPr>
        <w:t>7.</w:t>
      </w:r>
    </w:p>
    <w:p w:rsidR="00774466" w:rsidRPr="00774466" w:rsidRDefault="00774466" w:rsidP="00AC341C">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774466">
        <w:rPr>
          <w:rFonts w:ascii="Times New Roman" w:hAnsi="Times New Roman" w:cs="Times New Roman"/>
          <w:color w:val="000000" w:themeColor="text1"/>
          <w:sz w:val="20"/>
          <w:szCs w:val="20"/>
        </w:rPr>
        <w:t xml:space="preserve"> Cohen S, Booth GH Jr. Gastric acid secretion and lower-esophageal - sphincter pressure</w:t>
      </w:r>
      <w:r>
        <w:rPr>
          <w:rFonts w:ascii="Times New Roman" w:hAnsi="Times New Roman" w:cs="Times New Roman"/>
          <w:color w:val="000000" w:themeColor="text1"/>
          <w:sz w:val="20"/>
          <w:szCs w:val="20"/>
        </w:rPr>
        <w:t xml:space="preserve"> </w:t>
      </w:r>
      <w:r w:rsidRPr="00774466">
        <w:rPr>
          <w:rFonts w:ascii="Times New Roman" w:hAnsi="Times New Roman" w:cs="Times New Roman"/>
          <w:color w:val="000000" w:themeColor="text1"/>
          <w:sz w:val="20"/>
          <w:szCs w:val="20"/>
        </w:rPr>
        <w:t>in response to coffee and caffeine. N Engl J Med 1975; 293: 897–</w:t>
      </w:r>
      <w:r>
        <w:rPr>
          <w:rFonts w:ascii="Times New Roman" w:hAnsi="Times New Roman" w:cs="Times New Roman"/>
          <w:color w:val="000000" w:themeColor="text1"/>
          <w:sz w:val="20"/>
          <w:szCs w:val="20"/>
        </w:rPr>
        <w:t>89</w:t>
      </w:r>
      <w:r w:rsidRPr="00774466">
        <w:rPr>
          <w:rFonts w:ascii="Times New Roman" w:hAnsi="Times New Roman" w:cs="Times New Roman"/>
          <w:color w:val="000000" w:themeColor="text1"/>
          <w:sz w:val="20"/>
          <w:szCs w:val="20"/>
        </w:rPr>
        <w:t>9.</w:t>
      </w:r>
    </w:p>
    <w:p w:rsidR="00774466" w:rsidRPr="00774466" w:rsidRDefault="00774466" w:rsidP="00AC341C">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774466">
        <w:rPr>
          <w:rFonts w:ascii="Times New Roman" w:hAnsi="Times New Roman" w:cs="Times New Roman"/>
          <w:color w:val="000000" w:themeColor="text1"/>
          <w:sz w:val="20"/>
          <w:szCs w:val="20"/>
        </w:rPr>
        <w:t>Feldman EJ, Isenberg JI, Grossman MI. Gastric acid and gastrin response to</w:t>
      </w:r>
      <w:r>
        <w:rPr>
          <w:rFonts w:ascii="Times New Roman" w:hAnsi="Times New Roman" w:cs="Times New Roman"/>
          <w:color w:val="000000" w:themeColor="text1"/>
          <w:sz w:val="20"/>
          <w:szCs w:val="20"/>
        </w:rPr>
        <w:t xml:space="preserve"> </w:t>
      </w:r>
      <w:r w:rsidRPr="00774466">
        <w:rPr>
          <w:rFonts w:ascii="Times New Roman" w:hAnsi="Times New Roman" w:cs="Times New Roman"/>
          <w:color w:val="000000" w:themeColor="text1"/>
          <w:sz w:val="20"/>
          <w:szCs w:val="20"/>
        </w:rPr>
        <w:t>decaffeinated coffee and a peptone meal. JAMA 1981; 246: 248–</w:t>
      </w:r>
      <w:r>
        <w:rPr>
          <w:rFonts w:ascii="Times New Roman" w:hAnsi="Times New Roman" w:cs="Times New Roman"/>
          <w:color w:val="000000" w:themeColor="text1"/>
          <w:sz w:val="20"/>
          <w:szCs w:val="20"/>
        </w:rPr>
        <w:t>2</w:t>
      </w:r>
      <w:r w:rsidRPr="00774466">
        <w:rPr>
          <w:rFonts w:ascii="Times New Roman" w:hAnsi="Times New Roman" w:cs="Times New Roman"/>
          <w:color w:val="000000" w:themeColor="text1"/>
          <w:sz w:val="20"/>
          <w:szCs w:val="20"/>
        </w:rPr>
        <w:t>50.</w:t>
      </w:r>
    </w:p>
    <w:p w:rsidR="00774466" w:rsidRPr="00774466" w:rsidRDefault="00774466" w:rsidP="00AC341C">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774466">
        <w:rPr>
          <w:rFonts w:ascii="Times New Roman" w:hAnsi="Times New Roman" w:cs="Times New Roman"/>
          <w:color w:val="000000" w:themeColor="text1"/>
          <w:sz w:val="20"/>
          <w:szCs w:val="20"/>
        </w:rPr>
        <w:t xml:space="preserve"> Dubey P, Sundram KR, Nundy S. Effect of tea on gastric acid secretion. Dig Dis Sci</w:t>
      </w:r>
      <w:r>
        <w:rPr>
          <w:rFonts w:ascii="Times New Roman" w:hAnsi="Times New Roman" w:cs="Times New Roman"/>
          <w:color w:val="000000" w:themeColor="text1"/>
          <w:sz w:val="20"/>
          <w:szCs w:val="20"/>
        </w:rPr>
        <w:t xml:space="preserve"> </w:t>
      </w:r>
      <w:r w:rsidRPr="00774466">
        <w:rPr>
          <w:rFonts w:ascii="Times New Roman" w:hAnsi="Times New Roman" w:cs="Times New Roman"/>
          <w:color w:val="000000" w:themeColor="text1"/>
          <w:sz w:val="20"/>
          <w:szCs w:val="20"/>
        </w:rPr>
        <w:t>1984; 29: 202–6.</w:t>
      </w:r>
    </w:p>
    <w:p w:rsidR="00774466" w:rsidRPr="00774466" w:rsidRDefault="00774466" w:rsidP="00AC341C">
      <w:pPr>
        <w:pStyle w:val="ListParagraph"/>
        <w:widowControl w:val="0"/>
        <w:numPr>
          <w:ilvl w:val="0"/>
          <w:numId w:val="19"/>
        </w:numPr>
        <w:autoSpaceDE w:val="0"/>
        <w:autoSpaceDN w:val="0"/>
        <w:spacing w:after="0" w:line="276" w:lineRule="auto"/>
        <w:jc w:val="both"/>
        <w:rPr>
          <w:rFonts w:ascii="Times New Roman" w:hAnsi="Times New Roman" w:cs="Times New Roman"/>
          <w:color w:val="000000" w:themeColor="text1"/>
          <w:sz w:val="20"/>
          <w:szCs w:val="20"/>
        </w:rPr>
      </w:pPr>
      <w:r w:rsidRPr="00774466">
        <w:rPr>
          <w:rFonts w:ascii="Times New Roman" w:hAnsi="Times New Roman" w:cs="Times New Roman"/>
          <w:color w:val="000000" w:themeColor="text1"/>
          <w:sz w:val="20"/>
          <w:szCs w:val="20"/>
        </w:rPr>
        <w:t>Korman MG, Hansky J, Eaves ER, Schmidt GT. Influence of cigarette smoking on</w:t>
      </w:r>
      <w:r>
        <w:rPr>
          <w:rFonts w:ascii="Times New Roman" w:hAnsi="Times New Roman" w:cs="Times New Roman"/>
          <w:color w:val="000000" w:themeColor="text1"/>
          <w:sz w:val="20"/>
          <w:szCs w:val="20"/>
        </w:rPr>
        <w:t xml:space="preserve"> </w:t>
      </w:r>
      <w:r w:rsidRPr="00774466">
        <w:rPr>
          <w:rFonts w:ascii="Times New Roman" w:hAnsi="Times New Roman" w:cs="Times New Roman"/>
          <w:color w:val="000000" w:themeColor="text1"/>
          <w:sz w:val="20"/>
          <w:szCs w:val="20"/>
        </w:rPr>
        <w:t xml:space="preserve">healing and relapse in duodenal ulcer disease. Gastroenterology 1983;85: 871– </w:t>
      </w:r>
      <w:r>
        <w:rPr>
          <w:rFonts w:ascii="Times New Roman" w:hAnsi="Times New Roman" w:cs="Times New Roman"/>
          <w:color w:val="000000" w:themeColor="text1"/>
          <w:sz w:val="20"/>
          <w:szCs w:val="20"/>
        </w:rPr>
        <w:t>87</w:t>
      </w:r>
      <w:r w:rsidRPr="00774466">
        <w:rPr>
          <w:rFonts w:ascii="Times New Roman" w:hAnsi="Times New Roman" w:cs="Times New Roman"/>
          <w:color w:val="000000" w:themeColor="text1"/>
          <w:sz w:val="20"/>
          <w:szCs w:val="20"/>
        </w:rPr>
        <w:t>4.</w:t>
      </w:r>
    </w:p>
    <w:p w:rsidR="00911ACD" w:rsidRPr="00911ACD" w:rsidRDefault="00911ACD" w:rsidP="00911ACD">
      <w:pPr>
        <w:tabs>
          <w:tab w:val="left" w:pos="6360"/>
        </w:tabs>
      </w:pP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A9C" w:rsidRDefault="00C56A9C" w:rsidP="00C556D7">
      <w:pPr>
        <w:spacing w:after="0" w:line="240" w:lineRule="auto"/>
      </w:pPr>
      <w:r>
        <w:separator/>
      </w:r>
    </w:p>
  </w:endnote>
  <w:endnote w:type="continuationSeparator" w:id="1">
    <w:p w:rsidR="00C56A9C" w:rsidRDefault="00C56A9C"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F002E1" w:rsidRPr="001E51F3">
          <w:rPr>
            <w:b/>
            <w:bCs/>
          </w:rPr>
          <w:fldChar w:fldCharType="begin"/>
        </w:r>
        <w:r w:rsidRPr="001E51F3">
          <w:rPr>
            <w:b/>
            <w:bCs/>
          </w:rPr>
          <w:instrText xml:space="preserve"> PAGE   \* MERGEFORMAT </w:instrText>
        </w:r>
        <w:r w:rsidR="00F002E1" w:rsidRPr="001E51F3">
          <w:rPr>
            <w:b/>
            <w:bCs/>
          </w:rPr>
          <w:fldChar w:fldCharType="separate"/>
        </w:r>
        <w:r w:rsidR="007D11D4">
          <w:rPr>
            <w:b/>
            <w:bCs/>
            <w:noProof/>
          </w:rPr>
          <w:t>1</w:t>
        </w:r>
        <w:r w:rsidR="00F002E1"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A9C" w:rsidRDefault="00C56A9C" w:rsidP="00C556D7">
      <w:pPr>
        <w:spacing w:after="0" w:line="240" w:lineRule="auto"/>
      </w:pPr>
      <w:r>
        <w:separator/>
      </w:r>
    </w:p>
  </w:footnote>
  <w:footnote w:type="continuationSeparator" w:id="1">
    <w:p w:rsidR="00C56A9C" w:rsidRDefault="00C56A9C"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te-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3548"/>
    <w:rsid w:val="001B1483"/>
    <w:rsid w:val="001C0F2F"/>
    <w:rsid w:val="001C15A0"/>
    <w:rsid w:val="001C75F5"/>
    <w:rsid w:val="001D095B"/>
    <w:rsid w:val="001D1DD3"/>
    <w:rsid w:val="001D6A55"/>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03491"/>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B6924"/>
    <w:rsid w:val="006C11CA"/>
    <w:rsid w:val="006C74D5"/>
    <w:rsid w:val="006D7E62"/>
    <w:rsid w:val="006F51F4"/>
    <w:rsid w:val="00732B32"/>
    <w:rsid w:val="00756E86"/>
    <w:rsid w:val="00767719"/>
    <w:rsid w:val="00774466"/>
    <w:rsid w:val="0079243B"/>
    <w:rsid w:val="007A0924"/>
    <w:rsid w:val="007B170D"/>
    <w:rsid w:val="007D11D4"/>
    <w:rsid w:val="007D5C9A"/>
    <w:rsid w:val="007E75BA"/>
    <w:rsid w:val="007E79D6"/>
    <w:rsid w:val="007F4C35"/>
    <w:rsid w:val="007F6CE4"/>
    <w:rsid w:val="007F7C35"/>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6"/>
    <w:rsid w:val="00A0162A"/>
    <w:rsid w:val="00A4268C"/>
    <w:rsid w:val="00A61FC8"/>
    <w:rsid w:val="00A66F99"/>
    <w:rsid w:val="00A71E07"/>
    <w:rsid w:val="00A730E3"/>
    <w:rsid w:val="00A846B7"/>
    <w:rsid w:val="00A921E2"/>
    <w:rsid w:val="00A95514"/>
    <w:rsid w:val="00AA1805"/>
    <w:rsid w:val="00AB1E91"/>
    <w:rsid w:val="00AC095F"/>
    <w:rsid w:val="00AC341C"/>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56A9C"/>
    <w:rsid w:val="00C80495"/>
    <w:rsid w:val="00C8572B"/>
    <w:rsid w:val="00C87AD7"/>
    <w:rsid w:val="00C87DAA"/>
    <w:rsid w:val="00C9394F"/>
    <w:rsid w:val="00CA0B60"/>
    <w:rsid w:val="00CA6977"/>
    <w:rsid w:val="00CD7165"/>
    <w:rsid w:val="00CE4576"/>
    <w:rsid w:val="00CE4A54"/>
    <w:rsid w:val="00CE5A19"/>
    <w:rsid w:val="00CF1D3C"/>
    <w:rsid w:val="00D25854"/>
    <w:rsid w:val="00D3084A"/>
    <w:rsid w:val="00D57DBD"/>
    <w:rsid w:val="00D74DDA"/>
    <w:rsid w:val="00D93F89"/>
    <w:rsid w:val="00D97CCE"/>
    <w:rsid w:val="00DA52F4"/>
    <w:rsid w:val="00DC4770"/>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02E1"/>
    <w:rsid w:val="00F01E52"/>
    <w:rsid w:val="00F141E8"/>
    <w:rsid w:val="00F14345"/>
    <w:rsid w:val="00F14F23"/>
    <w:rsid w:val="00F21C38"/>
    <w:rsid w:val="00F42C71"/>
    <w:rsid w:val="00F43ABE"/>
    <w:rsid w:val="00F62C11"/>
    <w:rsid w:val="00F65276"/>
    <w:rsid w:val="00F74D8A"/>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D57DBD"/>
    <w:pPr>
      <w:spacing w:before="100" w:beforeAutospacing="1" w:after="100" w:afterAutospacing="1" w:line="240" w:lineRule="auto"/>
    </w:pPr>
    <w:rPr>
      <w:rFonts w:ascii="Times New Roman" w:eastAsia="Times New Roman" w:hAnsi="Times New Roman" w:cs="Times New Roman"/>
      <w:sz w:val="24"/>
      <w:szCs w:val="24"/>
      <w:lang w:bidi="te-IN"/>
    </w:rPr>
  </w:style>
</w:styles>
</file>

<file path=word/webSettings.xml><?xml version="1.0" encoding="utf-8"?>
<w:webSettings xmlns:r="http://schemas.openxmlformats.org/officeDocument/2006/relationships" xmlns:w="http://schemas.openxmlformats.org/wordprocessingml/2006/main">
  <w:divs>
    <w:div w:id="602079544">
      <w:bodyDiv w:val="1"/>
      <w:marLeft w:val="0"/>
      <w:marRight w:val="0"/>
      <w:marTop w:val="0"/>
      <w:marBottom w:val="0"/>
      <w:divBdr>
        <w:top w:val="none" w:sz="0" w:space="0" w:color="auto"/>
        <w:left w:val="none" w:sz="0" w:space="0" w:color="auto"/>
        <w:bottom w:val="none" w:sz="0" w:space="0" w:color="auto"/>
        <w:right w:val="none" w:sz="0" w:space="0" w:color="auto"/>
      </w:divBdr>
    </w:div>
    <w:div w:id="126946507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10</cp:revision>
  <cp:lastPrinted>2021-02-22T14:39:00Z</cp:lastPrinted>
  <dcterms:created xsi:type="dcterms:W3CDTF">2024-09-19T06:47:00Z</dcterms:created>
  <dcterms:modified xsi:type="dcterms:W3CDTF">2024-09-19T07:29:00Z</dcterms:modified>
</cp:coreProperties>
</file>