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5ED" w:rsidRPr="007E1AB6" w:rsidRDefault="005175ED" w:rsidP="005175ED">
      <w:pPr>
        <w:spacing w:line="360" w:lineRule="auto"/>
        <w:jc w:val="center"/>
        <w:rPr>
          <w:rFonts w:ascii="Times New Roman" w:hAnsi="Times New Roman" w:cs="Times New Roman"/>
          <w:b/>
          <w:sz w:val="24"/>
          <w:szCs w:val="24"/>
        </w:rPr>
      </w:pPr>
      <w:proofErr w:type="gramStart"/>
      <w:r w:rsidRPr="007E1AB6">
        <w:rPr>
          <w:rFonts w:ascii="Times New Roman" w:hAnsi="Times New Roman" w:cs="Times New Roman"/>
          <w:b/>
          <w:sz w:val="24"/>
          <w:szCs w:val="24"/>
        </w:rPr>
        <w:t xml:space="preserve">PHARMACOLOGICAL EVALUATION OF ANTI DEPRESSANT ACTIVITY OF </w:t>
      </w:r>
      <w:r w:rsidRPr="0040531A">
        <w:rPr>
          <w:rFonts w:ascii="Times New Roman" w:hAnsi="Times New Roman" w:cs="Times New Roman"/>
          <w:b/>
          <w:i/>
          <w:sz w:val="24"/>
          <w:szCs w:val="24"/>
        </w:rPr>
        <w:t>ALANGIUM SALVIIFOLIUM (L. F.)</w:t>
      </w:r>
      <w:proofErr w:type="gramEnd"/>
      <w:r w:rsidRPr="0040531A">
        <w:rPr>
          <w:rFonts w:ascii="Times New Roman" w:hAnsi="Times New Roman" w:cs="Times New Roman"/>
          <w:b/>
          <w:i/>
          <w:sz w:val="24"/>
          <w:szCs w:val="24"/>
        </w:rPr>
        <w:t xml:space="preserve"> WANGERIN </w:t>
      </w:r>
      <w:r w:rsidRPr="007E1AB6">
        <w:rPr>
          <w:rFonts w:ascii="Times New Roman" w:hAnsi="Times New Roman" w:cs="Times New Roman"/>
          <w:b/>
          <w:sz w:val="24"/>
          <w:szCs w:val="24"/>
        </w:rPr>
        <w:t>LEAVES IN ANIMAL MODELS</w:t>
      </w:r>
    </w:p>
    <w:p w:rsidR="00DA52F4" w:rsidRPr="001E51F3" w:rsidRDefault="00B52E9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 Deevena</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Ganesh</w:t>
      </w:r>
      <w:proofErr w:type="spellEnd"/>
      <w:r>
        <w:rPr>
          <w:rFonts w:ascii="Times New Roman" w:hAnsi="Times New Roman" w:cs="Times New Roman"/>
          <w:b/>
          <w:bCs/>
          <w:color w:val="000000" w:themeColor="text1"/>
          <w:sz w:val="24"/>
          <w:szCs w:val="24"/>
        </w:rPr>
        <w:t xml:space="preserve"> Akula</w:t>
      </w:r>
      <w:r w:rsidR="00DA52F4" w:rsidRPr="001E51F3">
        <w:rPr>
          <w:rFonts w:ascii="Times New Roman" w:hAnsi="Times New Roman" w:cs="Times New Roman"/>
          <w:b/>
          <w:bCs/>
          <w:color w:val="000000" w:themeColor="text1"/>
          <w:sz w:val="24"/>
          <w:szCs w:val="24"/>
          <w:vertAlign w:val="superscript"/>
        </w:rPr>
        <w:t>2</w:t>
      </w:r>
    </w:p>
    <w:p w:rsidR="00B52E91"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52E91">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B52E91">
        <w:rPr>
          <w:rFonts w:ascii="Times New Roman" w:hAnsi="Times New Roman" w:cs="Times New Roman"/>
          <w:color w:val="000000" w:themeColor="text1"/>
        </w:rPr>
        <w:t xml:space="preserve"> of Pharmacology</w:t>
      </w:r>
      <w:r w:rsidRPr="001E51F3">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Surabhi</w:t>
      </w:r>
      <w:proofErr w:type="spellEnd"/>
      <w:r w:rsidR="00B52E91">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dayakar</w:t>
      </w:r>
      <w:proofErr w:type="spellEnd"/>
      <w:r w:rsidR="00B52E91">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Rao</w:t>
      </w:r>
      <w:proofErr w:type="spellEnd"/>
      <w:r w:rsidR="00B52E91">
        <w:rPr>
          <w:rFonts w:ascii="Times New Roman" w:hAnsi="Times New Roman" w:cs="Times New Roman"/>
          <w:color w:val="000000" w:themeColor="text1"/>
        </w:rPr>
        <w:t xml:space="preserve"> college of Pharmacy</w:t>
      </w:r>
      <w:r w:rsidRPr="001E51F3">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Gajwel</w:t>
      </w:r>
      <w:proofErr w:type="spellEnd"/>
      <w:r w:rsidR="00B52E91">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Siddipet</w:t>
      </w:r>
      <w:proofErr w:type="spellEnd"/>
      <w:r w:rsidRPr="001E51F3">
        <w:rPr>
          <w:rFonts w:ascii="Times New Roman" w:hAnsi="Times New Roman" w:cs="Times New Roman"/>
          <w:color w:val="000000" w:themeColor="text1"/>
        </w:rPr>
        <w:t xml:space="preserve">, </w:t>
      </w:r>
      <w:proofErr w:type="spellStart"/>
      <w:r w:rsidR="00B52E91">
        <w:rPr>
          <w:rFonts w:ascii="Times New Roman" w:hAnsi="Times New Roman" w:cs="Times New Roman"/>
          <w:color w:val="000000" w:themeColor="text1"/>
        </w:rPr>
        <w:t>Telangana</w:t>
      </w:r>
      <w:proofErr w:type="spellEnd"/>
      <w:r w:rsidR="00B52E91">
        <w:rPr>
          <w:rFonts w:ascii="Times New Roman" w:hAnsi="Times New Roman" w:cs="Times New Roman"/>
          <w:color w:val="000000" w:themeColor="text1"/>
        </w:rPr>
        <w:t xml:space="preserve"> 502312</w:t>
      </w:r>
      <w:r w:rsidRPr="001E51F3">
        <w:rPr>
          <w:rFonts w:ascii="Times New Roman" w:hAnsi="Times New Roman" w:cs="Times New Roman"/>
          <w:color w:val="000000" w:themeColor="text1"/>
        </w:rPr>
        <w:t xml:space="preserve">, </w:t>
      </w:r>
      <w:r w:rsidR="00B52E91">
        <w:rPr>
          <w:rFonts w:ascii="Times New Roman" w:hAnsi="Times New Roman" w:cs="Times New Roman"/>
          <w:color w:val="000000" w:themeColor="text1"/>
        </w:rPr>
        <w:t xml:space="preserve">India </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52E91">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proofErr w:type="spellStart"/>
      <w:r w:rsidR="00B52E91" w:rsidRPr="00B52E91">
        <w:rPr>
          <w:rFonts w:ascii="Times New Roman" w:hAnsi="Times New Roman" w:cs="Times New Roman"/>
          <w:color w:val="000000" w:themeColor="text1"/>
        </w:rPr>
        <w:t>Surabhi</w:t>
      </w:r>
      <w:proofErr w:type="spellEnd"/>
      <w:r w:rsidR="00B52E91" w:rsidRPr="00B52E91">
        <w:rPr>
          <w:rFonts w:ascii="Times New Roman" w:hAnsi="Times New Roman" w:cs="Times New Roman"/>
          <w:color w:val="000000" w:themeColor="text1"/>
        </w:rPr>
        <w:t xml:space="preserve"> </w:t>
      </w:r>
      <w:proofErr w:type="spellStart"/>
      <w:r w:rsidR="00B52E91" w:rsidRPr="00B52E91">
        <w:rPr>
          <w:rFonts w:ascii="Times New Roman" w:hAnsi="Times New Roman" w:cs="Times New Roman"/>
          <w:color w:val="000000" w:themeColor="text1"/>
        </w:rPr>
        <w:t>dayakar</w:t>
      </w:r>
      <w:proofErr w:type="spellEnd"/>
      <w:r w:rsidR="00B52E91" w:rsidRPr="00B52E91">
        <w:rPr>
          <w:rFonts w:ascii="Times New Roman" w:hAnsi="Times New Roman" w:cs="Times New Roman"/>
          <w:color w:val="000000" w:themeColor="text1"/>
        </w:rPr>
        <w:t xml:space="preserve"> </w:t>
      </w:r>
      <w:proofErr w:type="spellStart"/>
      <w:r w:rsidR="00B52E91" w:rsidRPr="00B52E91">
        <w:rPr>
          <w:rFonts w:ascii="Times New Roman" w:hAnsi="Times New Roman" w:cs="Times New Roman"/>
          <w:color w:val="000000" w:themeColor="text1"/>
        </w:rPr>
        <w:t>Rao</w:t>
      </w:r>
      <w:proofErr w:type="spellEnd"/>
      <w:r w:rsidR="00B52E91" w:rsidRPr="00B52E91">
        <w:rPr>
          <w:rFonts w:ascii="Times New Roman" w:hAnsi="Times New Roman" w:cs="Times New Roman"/>
          <w:color w:val="000000" w:themeColor="text1"/>
        </w:rPr>
        <w:t xml:space="preserve"> </w:t>
      </w:r>
      <w:proofErr w:type="gramStart"/>
      <w:r w:rsidR="00B52E91" w:rsidRPr="00B52E91">
        <w:rPr>
          <w:rFonts w:ascii="Times New Roman" w:hAnsi="Times New Roman" w:cs="Times New Roman"/>
          <w:color w:val="000000" w:themeColor="text1"/>
        </w:rPr>
        <w:t>college</w:t>
      </w:r>
      <w:proofErr w:type="gramEnd"/>
      <w:r w:rsidR="00B52E91" w:rsidRPr="00B52E91">
        <w:rPr>
          <w:rFonts w:ascii="Times New Roman" w:hAnsi="Times New Roman" w:cs="Times New Roman"/>
          <w:color w:val="000000" w:themeColor="text1"/>
        </w:rPr>
        <w:t xml:space="preserve"> of Pharmacy, </w:t>
      </w:r>
      <w:proofErr w:type="spellStart"/>
      <w:r w:rsidR="00B52E91" w:rsidRPr="00B52E91">
        <w:rPr>
          <w:rFonts w:ascii="Times New Roman" w:hAnsi="Times New Roman" w:cs="Times New Roman"/>
          <w:color w:val="000000" w:themeColor="text1"/>
        </w:rPr>
        <w:t>Gajwel</w:t>
      </w:r>
      <w:proofErr w:type="spellEnd"/>
      <w:r w:rsidR="00B52E91" w:rsidRPr="00B52E91">
        <w:rPr>
          <w:rFonts w:ascii="Times New Roman" w:hAnsi="Times New Roman" w:cs="Times New Roman"/>
          <w:color w:val="000000" w:themeColor="text1"/>
        </w:rPr>
        <w:t xml:space="preserve">, </w:t>
      </w:r>
      <w:proofErr w:type="spellStart"/>
      <w:r w:rsidR="00B52E91" w:rsidRPr="00B52E91">
        <w:rPr>
          <w:rFonts w:ascii="Times New Roman" w:hAnsi="Times New Roman" w:cs="Times New Roman"/>
          <w:color w:val="000000" w:themeColor="text1"/>
        </w:rPr>
        <w:t>Siddipet</w:t>
      </w:r>
      <w:proofErr w:type="spellEnd"/>
      <w:r w:rsidR="00B52E91" w:rsidRPr="00B52E91">
        <w:rPr>
          <w:rFonts w:ascii="Times New Roman" w:hAnsi="Times New Roman" w:cs="Times New Roman"/>
          <w:color w:val="000000" w:themeColor="text1"/>
        </w:rPr>
        <w:t xml:space="preserve">, </w:t>
      </w:r>
      <w:proofErr w:type="spellStart"/>
      <w:r w:rsidR="00B52E91" w:rsidRPr="00B52E91">
        <w:rPr>
          <w:rFonts w:ascii="Times New Roman" w:hAnsi="Times New Roman" w:cs="Times New Roman"/>
          <w:color w:val="000000" w:themeColor="text1"/>
        </w:rPr>
        <w:t>Telangana</w:t>
      </w:r>
      <w:proofErr w:type="spellEnd"/>
      <w:r w:rsidR="00B52E91" w:rsidRPr="00B52E91">
        <w:rPr>
          <w:rFonts w:ascii="Times New Roman" w:hAnsi="Times New Roman" w:cs="Times New Roman"/>
          <w:color w:val="000000" w:themeColor="text1"/>
        </w:rPr>
        <w:t xml:space="preserve"> 502312</w:t>
      </w:r>
      <w:r w:rsidR="00B52E91">
        <w:rPr>
          <w:rFonts w:ascii="Times New Roman" w:hAnsi="Times New Roman" w:cs="Times New Roman"/>
          <w:color w:val="000000" w:themeColor="text1"/>
        </w:rPr>
        <w:t>, India.</w:t>
      </w:r>
    </w:p>
    <w:p w:rsidR="00B52E91" w:rsidRDefault="00B52E91" w:rsidP="00125B8F">
      <w:pPr>
        <w:spacing w:before="54" w:after="0" w:line="276" w:lineRule="auto"/>
        <w:jc w:val="center"/>
        <w:rPr>
          <w:rFonts w:ascii="Times New Roman" w:hAnsi="Times New Roman" w:cs="Times New Roman"/>
          <w:b/>
          <w:bCs/>
          <w:color w:val="000000" w:themeColor="text1"/>
          <w:sz w:val="24"/>
          <w:szCs w:val="24"/>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9817BC" w:rsidRPr="009817BC" w:rsidRDefault="009817BC" w:rsidP="001C6778">
      <w:pPr>
        <w:spacing w:after="0" w:line="360" w:lineRule="auto"/>
        <w:jc w:val="both"/>
        <w:rPr>
          <w:rFonts w:ascii="Times New Roman" w:hAnsi="Times New Roman" w:cs="Times New Roman"/>
          <w:sz w:val="20"/>
          <w:szCs w:val="24"/>
        </w:rPr>
      </w:pPr>
      <w:r w:rsidRPr="009817BC">
        <w:rPr>
          <w:rFonts w:ascii="Times New Roman" w:hAnsi="Times New Roman" w:cs="Times New Roman"/>
          <w:sz w:val="20"/>
          <w:szCs w:val="24"/>
        </w:rPr>
        <w:t xml:space="preserve">The objective was to investigate the antidepressant activity of </w:t>
      </w:r>
      <w:proofErr w:type="spellStart"/>
      <w:r w:rsidRPr="009817BC">
        <w:rPr>
          <w:rFonts w:ascii="Times New Roman" w:hAnsi="Times New Roman" w:cs="Times New Roman"/>
          <w:sz w:val="20"/>
          <w:szCs w:val="24"/>
        </w:rPr>
        <w:t>methanolic</w:t>
      </w:r>
      <w:proofErr w:type="spellEnd"/>
      <w:r w:rsidRPr="009817BC">
        <w:rPr>
          <w:rFonts w:ascii="Times New Roman" w:hAnsi="Times New Roman" w:cs="Times New Roman"/>
          <w:sz w:val="20"/>
          <w:szCs w:val="24"/>
        </w:rPr>
        <w:t xml:space="preserve"> extract of leaves of </w:t>
      </w:r>
      <w:proofErr w:type="spellStart"/>
      <w:r w:rsidRPr="009817BC">
        <w:rPr>
          <w:rFonts w:ascii="Times New Roman" w:hAnsi="Times New Roman" w:cs="Times New Roman"/>
          <w:i/>
          <w:sz w:val="20"/>
          <w:szCs w:val="24"/>
        </w:rPr>
        <w:t>Alangium</w:t>
      </w:r>
      <w:proofErr w:type="spell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Salviifolium</w:t>
      </w:r>
      <w:proofErr w:type="spellEnd"/>
      <w:r w:rsidRPr="009817BC">
        <w:rPr>
          <w:rFonts w:ascii="Times New Roman" w:hAnsi="Times New Roman" w:cs="Times New Roman"/>
          <w:i/>
          <w:sz w:val="20"/>
          <w:szCs w:val="24"/>
        </w:rPr>
        <w:t xml:space="preserve"> (L. F.) </w:t>
      </w:r>
      <w:proofErr w:type="spellStart"/>
      <w:proofErr w:type="gramStart"/>
      <w:r w:rsidRPr="009817BC">
        <w:rPr>
          <w:rFonts w:ascii="Times New Roman" w:hAnsi="Times New Roman" w:cs="Times New Roman"/>
          <w:i/>
          <w:sz w:val="20"/>
          <w:szCs w:val="24"/>
        </w:rPr>
        <w:t>Wangerinin</w:t>
      </w:r>
      <w:proofErr w:type="spellEnd"/>
      <w:r w:rsidRPr="009817BC">
        <w:rPr>
          <w:rFonts w:ascii="Times New Roman" w:hAnsi="Times New Roman" w:cs="Times New Roman"/>
          <w:sz w:val="20"/>
          <w:szCs w:val="24"/>
        </w:rPr>
        <w:t xml:space="preserve"> mice.</w:t>
      </w:r>
      <w:proofErr w:type="gramEnd"/>
      <w:r w:rsidRPr="009817BC">
        <w:rPr>
          <w:rFonts w:ascii="Times New Roman" w:hAnsi="Times New Roman" w:cs="Times New Roman"/>
          <w:sz w:val="20"/>
          <w:szCs w:val="24"/>
        </w:rPr>
        <w:t xml:space="preserve"> </w:t>
      </w:r>
      <w:proofErr w:type="gramStart"/>
      <w:r w:rsidRPr="009817BC">
        <w:rPr>
          <w:rFonts w:ascii="Times New Roman" w:hAnsi="Times New Roman" w:cs="Times New Roman"/>
          <w:sz w:val="20"/>
          <w:szCs w:val="24"/>
        </w:rPr>
        <w:t xml:space="preserve">To study the effect of </w:t>
      </w:r>
      <w:proofErr w:type="spellStart"/>
      <w:r w:rsidRPr="009817BC">
        <w:rPr>
          <w:rFonts w:ascii="Times New Roman" w:hAnsi="Times New Roman" w:cs="Times New Roman"/>
          <w:i/>
          <w:sz w:val="20"/>
          <w:szCs w:val="24"/>
        </w:rPr>
        <w:t>Alangium</w:t>
      </w:r>
      <w:proofErr w:type="spell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Salviifolium</w:t>
      </w:r>
      <w:proofErr w:type="spellEnd"/>
      <w:r w:rsidRPr="009817BC">
        <w:rPr>
          <w:rFonts w:ascii="Times New Roman" w:hAnsi="Times New Roman" w:cs="Times New Roman"/>
          <w:i/>
          <w:sz w:val="20"/>
          <w:szCs w:val="24"/>
        </w:rPr>
        <w:t xml:space="preserve"> (L. F.)</w:t>
      </w:r>
      <w:proofErr w:type="gramEnd"/>
      <w:r w:rsidRPr="009817BC">
        <w:rPr>
          <w:rFonts w:ascii="Times New Roman" w:hAnsi="Times New Roman" w:cs="Times New Roman"/>
          <w:i/>
          <w:sz w:val="20"/>
          <w:szCs w:val="24"/>
        </w:rPr>
        <w:t xml:space="preserve"> </w:t>
      </w:r>
      <w:proofErr w:type="spellStart"/>
      <w:proofErr w:type="gramStart"/>
      <w:r w:rsidRPr="009817BC">
        <w:rPr>
          <w:rFonts w:ascii="Times New Roman" w:hAnsi="Times New Roman" w:cs="Times New Roman"/>
          <w:i/>
          <w:sz w:val="20"/>
          <w:szCs w:val="24"/>
        </w:rPr>
        <w:t>Wangerin</w:t>
      </w:r>
      <w:proofErr w:type="spellEnd"/>
      <w:r w:rsidRPr="009817BC">
        <w:rPr>
          <w:rFonts w:ascii="Times New Roman" w:hAnsi="Times New Roman" w:cs="Times New Roman"/>
          <w:sz w:val="20"/>
          <w:szCs w:val="24"/>
        </w:rPr>
        <w:t xml:space="preserve"> on anti depressant activity of brain.</w:t>
      </w:r>
      <w:proofErr w:type="gramEnd"/>
      <w:r w:rsidRPr="009817BC">
        <w:rPr>
          <w:rFonts w:ascii="Times New Roman" w:hAnsi="Times New Roman" w:cs="Times New Roman"/>
          <w:sz w:val="20"/>
          <w:szCs w:val="24"/>
        </w:rPr>
        <w:t xml:space="preserve"> The results from the present study confirm the antidepressant activity of hibiscus, since it reduced the immobility in both FST and TST. </w:t>
      </w:r>
      <w:proofErr w:type="gramStart"/>
      <w:r w:rsidRPr="009817BC">
        <w:rPr>
          <w:rFonts w:ascii="Times New Roman" w:hAnsi="Times New Roman" w:cs="Times New Roman"/>
          <w:sz w:val="20"/>
          <w:szCs w:val="24"/>
        </w:rPr>
        <w:t xml:space="preserve">In the present study, </w:t>
      </w:r>
      <w:proofErr w:type="spellStart"/>
      <w:r w:rsidRPr="009817BC">
        <w:rPr>
          <w:rFonts w:ascii="Times New Roman" w:hAnsi="Times New Roman" w:cs="Times New Roman"/>
          <w:i/>
          <w:sz w:val="20"/>
          <w:szCs w:val="24"/>
        </w:rPr>
        <w:t>Alangium</w:t>
      </w:r>
      <w:proofErr w:type="spell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Salviifolium</w:t>
      </w:r>
      <w:proofErr w:type="spellEnd"/>
      <w:r w:rsidRPr="009817BC">
        <w:rPr>
          <w:rFonts w:ascii="Times New Roman" w:hAnsi="Times New Roman" w:cs="Times New Roman"/>
          <w:i/>
          <w:sz w:val="20"/>
          <w:szCs w:val="24"/>
        </w:rPr>
        <w:t xml:space="preserve"> (L. F.)</w:t>
      </w:r>
      <w:proofErr w:type="gram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Wangerin</w:t>
      </w:r>
      <w:proofErr w:type="spellEnd"/>
      <w:r w:rsidRPr="009817BC">
        <w:rPr>
          <w:rFonts w:ascii="Times New Roman" w:hAnsi="Times New Roman" w:cs="Times New Roman"/>
          <w:sz w:val="20"/>
          <w:szCs w:val="24"/>
        </w:rPr>
        <w:t xml:space="preserve"> is significantly increased the frequency of 5-HTP induced head twitches, </w:t>
      </w:r>
      <w:proofErr w:type="spellStart"/>
      <w:r w:rsidRPr="009817BC">
        <w:rPr>
          <w:rFonts w:ascii="Times New Roman" w:hAnsi="Times New Roman" w:cs="Times New Roman"/>
          <w:sz w:val="20"/>
          <w:szCs w:val="24"/>
        </w:rPr>
        <w:t>Clonidine</w:t>
      </w:r>
      <w:proofErr w:type="spellEnd"/>
      <w:r w:rsidRPr="009817BC">
        <w:rPr>
          <w:rFonts w:ascii="Times New Roman" w:hAnsi="Times New Roman" w:cs="Times New Roman"/>
          <w:sz w:val="20"/>
          <w:szCs w:val="24"/>
        </w:rPr>
        <w:t xml:space="preserve"> induced aggression and L-DOPA induced hyperactivity and aggressive behavior indicating its enhanced activity on </w:t>
      </w:r>
      <w:proofErr w:type="spellStart"/>
      <w:r w:rsidRPr="009817BC">
        <w:rPr>
          <w:rFonts w:ascii="Times New Roman" w:hAnsi="Times New Roman" w:cs="Times New Roman"/>
          <w:sz w:val="20"/>
          <w:szCs w:val="24"/>
        </w:rPr>
        <w:t>serotonergic</w:t>
      </w:r>
      <w:proofErr w:type="spellEnd"/>
      <w:r w:rsidRPr="009817BC">
        <w:rPr>
          <w:rFonts w:ascii="Times New Roman" w:hAnsi="Times New Roman" w:cs="Times New Roman"/>
          <w:sz w:val="20"/>
          <w:szCs w:val="24"/>
        </w:rPr>
        <w:t xml:space="preserve">, noradrenergic and </w:t>
      </w:r>
      <w:proofErr w:type="spellStart"/>
      <w:r w:rsidRPr="009817BC">
        <w:rPr>
          <w:rFonts w:ascii="Times New Roman" w:hAnsi="Times New Roman" w:cs="Times New Roman"/>
          <w:sz w:val="20"/>
          <w:szCs w:val="24"/>
        </w:rPr>
        <w:t>dopaminergic</w:t>
      </w:r>
      <w:proofErr w:type="spellEnd"/>
      <w:r w:rsidRPr="009817BC">
        <w:rPr>
          <w:rFonts w:ascii="Times New Roman" w:hAnsi="Times New Roman" w:cs="Times New Roman"/>
          <w:sz w:val="20"/>
          <w:szCs w:val="24"/>
        </w:rPr>
        <w:t xml:space="preserve"> pathways respectively. Our results also confirm the involvement of </w:t>
      </w:r>
      <w:proofErr w:type="spellStart"/>
      <w:r w:rsidRPr="009817BC">
        <w:rPr>
          <w:rFonts w:ascii="Times New Roman" w:hAnsi="Times New Roman" w:cs="Times New Roman"/>
          <w:sz w:val="20"/>
          <w:szCs w:val="24"/>
        </w:rPr>
        <w:t>serotonergic</w:t>
      </w:r>
      <w:proofErr w:type="spellEnd"/>
      <w:r w:rsidRPr="009817BC">
        <w:rPr>
          <w:rFonts w:ascii="Times New Roman" w:hAnsi="Times New Roman" w:cs="Times New Roman"/>
          <w:sz w:val="20"/>
          <w:szCs w:val="24"/>
        </w:rPr>
        <w:t xml:space="preserve">, noradrenergic and </w:t>
      </w:r>
      <w:proofErr w:type="spellStart"/>
      <w:r w:rsidRPr="009817BC">
        <w:rPr>
          <w:rFonts w:ascii="Times New Roman" w:hAnsi="Times New Roman" w:cs="Times New Roman"/>
          <w:sz w:val="20"/>
          <w:szCs w:val="24"/>
        </w:rPr>
        <w:t>dopaminergic</w:t>
      </w:r>
      <w:proofErr w:type="spellEnd"/>
      <w:r w:rsidRPr="009817BC">
        <w:rPr>
          <w:rFonts w:ascii="Times New Roman" w:hAnsi="Times New Roman" w:cs="Times New Roman"/>
          <w:sz w:val="20"/>
          <w:szCs w:val="24"/>
        </w:rPr>
        <w:t xml:space="preserve"> path ways in depression. Pre treatment with hibiscus, also significantly increased the levels of SOD and </w:t>
      </w:r>
      <w:proofErr w:type="spellStart"/>
      <w:r w:rsidRPr="009817BC">
        <w:rPr>
          <w:rFonts w:ascii="Times New Roman" w:hAnsi="Times New Roman" w:cs="Times New Roman"/>
          <w:sz w:val="20"/>
          <w:szCs w:val="24"/>
        </w:rPr>
        <w:t>Catalase</w:t>
      </w:r>
      <w:proofErr w:type="spellEnd"/>
      <w:r w:rsidRPr="009817BC">
        <w:rPr>
          <w:rFonts w:ascii="Times New Roman" w:hAnsi="Times New Roman" w:cs="Times New Roman"/>
          <w:sz w:val="20"/>
          <w:szCs w:val="24"/>
        </w:rPr>
        <w:t xml:space="preserve"> with simultaneous decrease in LPO levels in mice brain, suggesting its strong antioxidant activity. Since oxidative stress is reported to play an important role in depression, the antioxidant activity of </w:t>
      </w:r>
      <w:proofErr w:type="spellStart"/>
      <w:r w:rsidRPr="009817BC">
        <w:rPr>
          <w:rFonts w:ascii="Times New Roman" w:hAnsi="Times New Roman" w:cs="Times New Roman"/>
          <w:i/>
          <w:sz w:val="20"/>
          <w:szCs w:val="24"/>
        </w:rPr>
        <w:t>Alangium</w:t>
      </w:r>
      <w:proofErr w:type="spell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Salviifolium</w:t>
      </w:r>
      <w:proofErr w:type="spellEnd"/>
      <w:r w:rsidRPr="009817BC">
        <w:rPr>
          <w:rFonts w:ascii="Times New Roman" w:hAnsi="Times New Roman" w:cs="Times New Roman"/>
          <w:i/>
          <w:sz w:val="20"/>
          <w:szCs w:val="24"/>
        </w:rPr>
        <w:t xml:space="preserve"> (L. F.) </w:t>
      </w:r>
      <w:proofErr w:type="spellStart"/>
      <w:r w:rsidRPr="009817BC">
        <w:rPr>
          <w:rFonts w:ascii="Times New Roman" w:hAnsi="Times New Roman" w:cs="Times New Roman"/>
          <w:i/>
          <w:sz w:val="20"/>
          <w:szCs w:val="24"/>
        </w:rPr>
        <w:t>Wangerin</w:t>
      </w:r>
      <w:proofErr w:type="spellEnd"/>
      <w:r w:rsidRPr="009817BC">
        <w:rPr>
          <w:rFonts w:ascii="Times New Roman" w:hAnsi="Times New Roman" w:cs="Times New Roman"/>
          <w:i/>
          <w:sz w:val="20"/>
          <w:szCs w:val="24"/>
        </w:rPr>
        <w:t xml:space="preserve"> </w:t>
      </w:r>
      <w:r w:rsidRPr="009817BC">
        <w:rPr>
          <w:rFonts w:ascii="Times New Roman" w:hAnsi="Times New Roman" w:cs="Times New Roman"/>
          <w:sz w:val="20"/>
          <w:szCs w:val="24"/>
        </w:rPr>
        <w:t xml:space="preserve">is might be a part of the mechanism for its antidepressant activity.  Results from behavioral experiments indicate that the antidepressant activity of </w:t>
      </w:r>
      <w:proofErr w:type="spellStart"/>
      <w:r w:rsidRPr="009817BC">
        <w:rPr>
          <w:rFonts w:ascii="Times New Roman" w:hAnsi="Times New Roman" w:cs="Times New Roman"/>
          <w:i/>
          <w:sz w:val="20"/>
          <w:szCs w:val="24"/>
        </w:rPr>
        <w:t>Alangium</w:t>
      </w:r>
      <w:proofErr w:type="spellEnd"/>
      <w:r w:rsidRPr="009817BC">
        <w:rPr>
          <w:rFonts w:ascii="Times New Roman" w:hAnsi="Times New Roman" w:cs="Times New Roman"/>
          <w:i/>
          <w:sz w:val="20"/>
          <w:szCs w:val="24"/>
        </w:rPr>
        <w:t xml:space="preserve"> </w:t>
      </w:r>
      <w:proofErr w:type="spellStart"/>
      <w:r w:rsidRPr="009817BC">
        <w:rPr>
          <w:rFonts w:ascii="Times New Roman" w:hAnsi="Times New Roman" w:cs="Times New Roman"/>
          <w:i/>
          <w:sz w:val="20"/>
          <w:szCs w:val="24"/>
        </w:rPr>
        <w:t>Salviifolium</w:t>
      </w:r>
      <w:proofErr w:type="spellEnd"/>
      <w:r w:rsidRPr="009817BC">
        <w:rPr>
          <w:rFonts w:ascii="Times New Roman" w:hAnsi="Times New Roman" w:cs="Times New Roman"/>
          <w:i/>
          <w:sz w:val="20"/>
          <w:szCs w:val="24"/>
        </w:rPr>
        <w:t xml:space="preserve"> (L. F.) </w:t>
      </w:r>
      <w:proofErr w:type="spellStart"/>
      <w:r w:rsidRPr="009817BC">
        <w:rPr>
          <w:rFonts w:ascii="Times New Roman" w:hAnsi="Times New Roman" w:cs="Times New Roman"/>
          <w:i/>
          <w:sz w:val="20"/>
          <w:szCs w:val="24"/>
        </w:rPr>
        <w:t>Wangerin</w:t>
      </w:r>
      <w:proofErr w:type="spellEnd"/>
      <w:r w:rsidRPr="009817BC">
        <w:rPr>
          <w:rFonts w:ascii="Times New Roman" w:hAnsi="Times New Roman" w:cs="Times New Roman"/>
          <w:sz w:val="20"/>
          <w:szCs w:val="24"/>
        </w:rPr>
        <w:t xml:space="preserve"> is, might be due to the </w:t>
      </w:r>
      <w:proofErr w:type="spellStart"/>
      <w:r w:rsidRPr="009817BC">
        <w:rPr>
          <w:rFonts w:ascii="Times New Roman" w:hAnsi="Times New Roman" w:cs="Times New Roman"/>
          <w:sz w:val="20"/>
          <w:szCs w:val="24"/>
        </w:rPr>
        <w:t>facilitatory</w:t>
      </w:r>
      <w:proofErr w:type="spellEnd"/>
      <w:r w:rsidRPr="009817BC">
        <w:rPr>
          <w:rFonts w:ascii="Times New Roman" w:hAnsi="Times New Roman" w:cs="Times New Roman"/>
          <w:sz w:val="20"/>
          <w:szCs w:val="24"/>
        </w:rPr>
        <w:t xml:space="preserve"> effect on </w:t>
      </w:r>
      <w:proofErr w:type="spellStart"/>
      <w:r w:rsidRPr="009817BC">
        <w:rPr>
          <w:rFonts w:ascii="Times New Roman" w:hAnsi="Times New Roman" w:cs="Times New Roman"/>
          <w:sz w:val="20"/>
          <w:szCs w:val="24"/>
        </w:rPr>
        <w:t>serotonergic</w:t>
      </w:r>
      <w:proofErr w:type="spellEnd"/>
      <w:r w:rsidRPr="009817BC">
        <w:rPr>
          <w:rFonts w:ascii="Times New Roman" w:hAnsi="Times New Roman" w:cs="Times New Roman"/>
          <w:sz w:val="20"/>
          <w:szCs w:val="24"/>
        </w:rPr>
        <w:t xml:space="preserve">, noradrenergic and </w:t>
      </w:r>
      <w:proofErr w:type="spellStart"/>
      <w:r w:rsidRPr="009817BC">
        <w:rPr>
          <w:rFonts w:ascii="Times New Roman" w:hAnsi="Times New Roman" w:cs="Times New Roman"/>
          <w:sz w:val="20"/>
          <w:szCs w:val="24"/>
        </w:rPr>
        <w:t>dopaminergic</w:t>
      </w:r>
      <w:proofErr w:type="spellEnd"/>
      <w:r w:rsidRPr="009817BC">
        <w:rPr>
          <w:rFonts w:ascii="Times New Roman" w:hAnsi="Times New Roman" w:cs="Times New Roman"/>
          <w:sz w:val="20"/>
          <w:szCs w:val="24"/>
        </w:rPr>
        <w:t xml:space="preserve"> systems apart from the anti depressant activity.</w:t>
      </w:r>
    </w:p>
    <w:p w:rsidR="009817BC" w:rsidRPr="00287D8D" w:rsidRDefault="00DA52F4" w:rsidP="001C6778">
      <w:pPr>
        <w:spacing w:after="0" w:line="360" w:lineRule="auto"/>
        <w:jc w:val="both"/>
        <w:rPr>
          <w:rFonts w:ascii="Times New Roman" w:hAnsi="Times New Roman" w:cs="Times New Roman"/>
          <w:sz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817BC" w:rsidRPr="009817BC">
        <w:rPr>
          <w:rFonts w:ascii="Times New Roman" w:hAnsi="Times New Roman" w:cs="Times New Roman"/>
          <w:sz w:val="20"/>
          <w:szCs w:val="20"/>
        </w:rPr>
        <w:t>Depression,</w:t>
      </w:r>
      <w:r w:rsidR="009817BC">
        <w:rPr>
          <w:rFonts w:ascii="Times New Roman" w:hAnsi="Times New Roman" w:cs="Times New Roman"/>
          <w:sz w:val="24"/>
        </w:rPr>
        <w:t xml:space="preserve"> </w:t>
      </w:r>
      <w:proofErr w:type="spellStart"/>
      <w:r w:rsidR="009817BC" w:rsidRPr="009817BC">
        <w:rPr>
          <w:rFonts w:ascii="Times New Roman" w:hAnsi="Times New Roman" w:cs="Times New Roman"/>
          <w:i/>
          <w:sz w:val="20"/>
          <w:szCs w:val="20"/>
        </w:rPr>
        <w:t>Alangium</w:t>
      </w:r>
      <w:proofErr w:type="spellEnd"/>
      <w:r w:rsidR="009817BC" w:rsidRPr="009817BC">
        <w:rPr>
          <w:rFonts w:ascii="Times New Roman" w:hAnsi="Times New Roman" w:cs="Times New Roman"/>
          <w:i/>
          <w:sz w:val="20"/>
          <w:szCs w:val="20"/>
        </w:rPr>
        <w:t xml:space="preserve"> </w:t>
      </w:r>
      <w:proofErr w:type="spellStart"/>
      <w:r w:rsidR="009817BC" w:rsidRPr="009817BC">
        <w:rPr>
          <w:rFonts w:ascii="Times New Roman" w:hAnsi="Times New Roman" w:cs="Times New Roman"/>
          <w:i/>
          <w:sz w:val="20"/>
          <w:szCs w:val="20"/>
        </w:rPr>
        <w:t>Salviifolium</w:t>
      </w:r>
      <w:proofErr w:type="spellEnd"/>
      <w:r w:rsidR="009817BC" w:rsidRPr="009817BC">
        <w:rPr>
          <w:rFonts w:ascii="Times New Roman" w:hAnsi="Times New Roman" w:cs="Times New Roman"/>
          <w:i/>
          <w:sz w:val="20"/>
          <w:szCs w:val="20"/>
        </w:rPr>
        <w:t xml:space="preserve"> (L. F.) </w:t>
      </w:r>
      <w:proofErr w:type="spellStart"/>
      <w:proofErr w:type="gramStart"/>
      <w:r w:rsidR="009817BC" w:rsidRPr="009817BC">
        <w:rPr>
          <w:rFonts w:ascii="Times New Roman" w:hAnsi="Times New Roman" w:cs="Times New Roman"/>
          <w:i/>
          <w:sz w:val="20"/>
          <w:szCs w:val="20"/>
        </w:rPr>
        <w:t>Wangerin</w:t>
      </w:r>
      <w:proofErr w:type="spellEnd"/>
      <w:r w:rsidR="009817BC" w:rsidRPr="009817BC">
        <w:rPr>
          <w:rFonts w:ascii="Times New Roman" w:hAnsi="Times New Roman" w:cs="Times New Roman"/>
          <w:sz w:val="20"/>
          <w:szCs w:val="20"/>
        </w:rPr>
        <w:t xml:space="preserve"> etc.</w:t>
      </w:r>
      <w:proofErr w:type="gramEnd"/>
    </w:p>
    <w:p w:rsidR="00DA52F4" w:rsidRPr="001E51F3" w:rsidRDefault="00DA52F4" w:rsidP="009817BC">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9817BC" w:rsidRPr="00180874" w:rsidRDefault="009817BC" w:rsidP="00180874">
      <w:pPr>
        <w:jc w:val="both"/>
        <w:rPr>
          <w:rFonts w:ascii="Times New Roman" w:hAnsi="Times New Roman" w:cs="Times New Roman"/>
          <w:sz w:val="20"/>
          <w:szCs w:val="20"/>
        </w:rPr>
      </w:pPr>
      <w:r w:rsidRPr="00180874">
        <w:rPr>
          <w:rFonts w:ascii="Times New Roman" w:hAnsi="Times New Roman" w:cs="Times New Roman"/>
          <w:sz w:val="20"/>
          <w:szCs w:val="20"/>
        </w:rPr>
        <w:t>Depression is a type of serious neurological disorder, characterized by disturbances in sleep and appetite as well as deficit in cognition and energy </w:t>
      </w:r>
      <w:r w:rsidRPr="00180874">
        <w:rPr>
          <w:rFonts w:ascii="Times New Roman" w:hAnsi="Times New Roman" w:cs="Times New Roman"/>
          <w:sz w:val="20"/>
          <w:szCs w:val="20"/>
          <w:vertAlign w:val="superscript"/>
        </w:rPr>
        <w:t>[1]</w:t>
      </w:r>
      <w:r w:rsidRPr="00180874">
        <w:rPr>
          <w:rFonts w:ascii="Times New Roman" w:hAnsi="Times New Roman" w:cs="Times New Roman"/>
          <w:sz w:val="20"/>
          <w:szCs w:val="20"/>
        </w:rPr>
        <w:t>. Depression can be potentially life threatening condition that has affected millions of people across the globe and can occur at any age groups from childhood to later life. It is known to exert a huge burden upon the society. Major depressive disorder is a complex and frequent psychiatric condition that poses significant challenges to both the patients who experience it and the physicians who treat them. The goal of therapy is for patients to achieve remission, which requires identifying and measuring symptoms at the outset and throughout treatment to document both response and resistance to treatment. </w:t>
      </w:r>
      <w:r w:rsidRPr="00180874">
        <w:rPr>
          <w:rFonts w:ascii="Times New Roman" w:hAnsi="Times New Roman" w:cs="Times New Roman"/>
          <w:sz w:val="20"/>
          <w:szCs w:val="20"/>
          <w:vertAlign w:val="superscript"/>
        </w:rPr>
        <w:t>[3]</w:t>
      </w:r>
      <w:r w:rsidRPr="00180874">
        <w:rPr>
          <w:rFonts w:ascii="Times New Roman" w:hAnsi="Times New Roman" w:cs="Times New Roman"/>
          <w:sz w:val="20"/>
          <w:szCs w:val="20"/>
        </w:rPr>
        <w:t xml:space="preserve">. </w:t>
      </w:r>
      <w:proofErr w:type="gramStart"/>
      <w:r w:rsidRPr="00180874">
        <w:rPr>
          <w:rFonts w:ascii="Times New Roman" w:hAnsi="Times New Roman" w:cs="Times New Roman"/>
          <w:sz w:val="20"/>
          <w:szCs w:val="20"/>
        </w:rPr>
        <w:t>The</w:t>
      </w:r>
      <w:proofErr w:type="gramEnd"/>
      <w:r w:rsidRPr="00180874">
        <w:rPr>
          <w:rFonts w:ascii="Times New Roman" w:hAnsi="Times New Roman" w:cs="Times New Roman"/>
          <w:sz w:val="20"/>
          <w:szCs w:val="20"/>
        </w:rPr>
        <w:t xml:space="preserve"> life time prevalence of depression is between 10-20% in general population worldwide, with a female to male ratio about 5:2. Typically, the course of the disease is recurrent, and most patients recover from depressive episodes. However, a substantial proportion of patients become chronic and after 5 or 10 years of potential follow up, about 12% and 7% of them respectively are still depressed </w:t>
      </w:r>
      <w:r w:rsidRPr="00180874">
        <w:rPr>
          <w:rFonts w:ascii="Times New Roman" w:hAnsi="Times New Roman" w:cs="Times New Roman"/>
          <w:sz w:val="20"/>
          <w:szCs w:val="20"/>
          <w:vertAlign w:val="superscript"/>
        </w:rPr>
        <w:t>[4]</w:t>
      </w:r>
      <w:r w:rsidRPr="00180874">
        <w:rPr>
          <w:rFonts w:ascii="Times New Roman" w:hAnsi="Times New Roman" w:cs="Times New Roman"/>
          <w:sz w:val="20"/>
          <w:szCs w:val="20"/>
        </w:rPr>
        <w:t>.</w:t>
      </w:r>
    </w:p>
    <w:p w:rsidR="009817BC" w:rsidRPr="00180874" w:rsidRDefault="009817BC" w:rsidP="00180874">
      <w:pPr>
        <w:jc w:val="both"/>
        <w:rPr>
          <w:rFonts w:ascii="Times New Roman" w:hAnsi="Times New Roman" w:cs="Times New Roman"/>
          <w:sz w:val="20"/>
          <w:szCs w:val="20"/>
        </w:rPr>
      </w:pPr>
      <w:r w:rsidRPr="00180874">
        <w:rPr>
          <w:rFonts w:ascii="Times New Roman" w:hAnsi="Times New Roman" w:cs="Times New Roman"/>
          <w:sz w:val="20"/>
          <w:szCs w:val="20"/>
        </w:rPr>
        <w:t>Mood disorder are the second primary cause for disability adjusted life years worldwide and the leading cause of years lived with disability in all the age groups in the world. Each drug used to treat this disorder has a success rate of about 60%. In addition, most therapies require several weeks of treatment before improvement of signs and symptoms are observed and there are numerous side effects caused by antidepressants </w:t>
      </w:r>
      <w:r w:rsidRPr="00180874">
        <w:rPr>
          <w:rFonts w:ascii="Times New Roman" w:hAnsi="Times New Roman" w:cs="Times New Roman"/>
          <w:sz w:val="20"/>
          <w:szCs w:val="20"/>
          <w:vertAlign w:val="superscript"/>
        </w:rPr>
        <w:t>[5]</w:t>
      </w:r>
      <w:r w:rsidRPr="00180874">
        <w:rPr>
          <w:rFonts w:ascii="Times New Roman" w:hAnsi="Times New Roman" w:cs="Times New Roman"/>
          <w:sz w:val="20"/>
          <w:szCs w:val="20"/>
        </w:rPr>
        <w:t>.</w:t>
      </w:r>
    </w:p>
    <w:p w:rsidR="009817BC" w:rsidRPr="00180874" w:rsidRDefault="009817BC" w:rsidP="00180874">
      <w:pPr>
        <w:jc w:val="both"/>
        <w:rPr>
          <w:rFonts w:ascii="Times New Roman" w:hAnsi="Times New Roman" w:cs="Times New Roman"/>
          <w:sz w:val="20"/>
          <w:szCs w:val="20"/>
        </w:rPr>
      </w:pPr>
      <w:proofErr w:type="spellStart"/>
      <w:proofErr w:type="gramStart"/>
      <w:r w:rsidRPr="00180874">
        <w:rPr>
          <w:rFonts w:ascii="Times New Roman" w:hAnsi="Times New Roman" w:cs="Times New Roman"/>
          <w:sz w:val="20"/>
          <w:szCs w:val="20"/>
        </w:rPr>
        <w:t>Alangium</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salviifolium</w:t>
      </w:r>
      <w:proofErr w:type="spellEnd"/>
      <w:r w:rsidRPr="00180874">
        <w:rPr>
          <w:rFonts w:ascii="Times New Roman" w:hAnsi="Times New Roman" w:cs="Times New Roman"/>
          <w:sz w:val="20"/>
          <w:szCs w:val="20"/>
        </w:rPr>
        <w:t xml:space="preserve"> (L. f.)</w:t>
      </w:r>
      <w:proofErr w:type="gram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Wangerin</w:t>
      </w:r>
      <w:proofErr w:type="spellEnd"/>
      <w:r w:rsidRPr="00180874">
        <w:rPr>
          <w:rStyle w:val="Emphasis"/>
          <w:rFonts w:ascii="Times New Roman" w:hAnsi="Times New Roman" w:cs="Times New Roman"/>
          <w:color w:val="384554"/>
          <w:sz w:val="20"/>
          <w:szCs w:val="20"/>
        </w:rPr>
        <w:t> </w:t>
      </w:r>
      <w:r w:rsidRPr="00180874">
        <w:rPr>
          <w:rFonts w:ascii="Times New Roman" w:hAnsi="Times New Roman" w:cs="Times New Roman"/>
          <w:sz w:val="20"/>
          <w:szCs w:val="20"/>
        </w:rPr>
        <w:t>(</w:t>
      </w:r>
      <w:proofErr w:type="spellStart"/>
      <w:r w:rsidRPr="00180874">
        <w:rPr>
          <w:rFonts w:ascii="Times New Roman" w:hAnsi="Times New Roman" w:cs="Times New Roman"/>
          <w:sz w:val="20"/>
          <w:szCs w:val="20"/>
        </w:rPr>
        <w:t>ankolemara</w:t>
      </w:r>
      <w:proofErr w:type="spellEnd"/>
      <w:r w:rsidRPr="00180874">
        <w:rPr>
          <w:rFonts w:ascii="Times New Roman" w:hAnsi="Times New Roman" w:cs="Times New Roman"/>
          <w:sz w:val="20"/>
          <w:szCs w:val="20"/>
        </w:rPr>
        <w:t>) is one of the most valuable plants in traditional system of the medicine from ancient time</w:t>
      </w:r>
      <w:proofErr w:type="gramStart"/>
      <w:r w:rsidRPr="00180874">
        <w:rPr>
          <w:rFonts w:ascii="Times New Roman" w:hAnsi="Times New Roman" w:cs="Times New Roman"/>
          <w:sz w:val="20"/>
          <w:szCs w:val="20"/>
        </w:rPr>
        <w:t>..</w:t>
      </w:r>
      <w:proofErr w:type="spellStart"/>
      <w:r w:rsidRPr="00180874">
        <w:rPr>
          <w:rFonts w:ascii="Times New Roman" w:hAnsi="Times New Roman" w:cs="Times New Roman"/>
          <w:sz w:val="20"/>
          <w:szCs w:val="20"/>
        </w:rPr>
        <w:t>Alangium</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salviifolium</w:t>
      </w:r>
      <w:proofErr w:type="spellEnd"/>
      <w:r w:rsidRPr="00180874">
        <w:rPr>
          <w:rFonts w:ascii="Times New Roman" w:hAnsi="Times New Roman" w:cs="Times New Roman"/>
          <w:sz w:val="20"/>
          <w:szCs w:val="20"/>
        </w:rPr>
        <w:t xml:space="preserve"> (L. f.)</w:t>
      </w:r>
      <w:proofErr w:type="gram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Wangerin</w:t>
      </w:r>
      <w:proofErr w:type="spellEnd"/>
      <w:r w:rsidR="00180874">
        <w:rPr>
          <w:rFonts w:ascii="Times New Roman" w:hAnsi="Times New Roman" w:cs="Times New Roman"/>
          <w:sz w:val="20"/>
          <w:szCs w:val="20"/>
        </w:rPr>
        <w:t xml:space="preserve"> </w:t>
      </w:r>
      <w:r w:rsidRPr="00180874">
        <w:rPr>
          <w:rFonts w:ascii="Times New Roman" w:hAnsi="Times New Roman" w:cs="Times New Roman"/>
          <w:sz w:val="20"/>
          <w:szCs w:val="20"/>
        </w:rPr>
        <w:t xml:space="preserve">is a small shrub or deciduous tree that may or may not be armed. Leaves are alternative, usually unequal, 12.5-17cm long, 2.5-7 .0 cm broad, oblong </w:t>
      </w:r>
      <w:proofErr w:type="spellStart"/>
      <w:r w:rsidRPr="00180874">
        <w:rPr>
          <w:rFonts w:ascii="Times New Roman" w:hAnsi="Times New Roman" w:cs="Times New Roman"/>
          <w:sz w:val="20"/>
          <w:szCs w:val="20"/>
        </w:rPr>
        <w:t>lanceolate</w:t>
      </w:r>
      <w:proofErr w:type="spellEnd"/>
      <w:r w:rsidRPr="00180874">
        <w:rPr>
          <w:rFonts w:ascii="Times New Roman" w:hAnsi="Times New Roman" w:cs="Times New Roman"/>
          <w:sz w:val="20"/>
          <w:szCs w:val="20"/>
        </w:rPr>
        <w:t xml:space="preserve"> or oblong- oval, acute or rounded, prominent beneath and obtuse at apex with 3-6 pairs of oblique veins with white or yellowish-white </w:t>
      </w:r>
      <w:proofErr w:type="spellStart"/>
      <w:r w:rsidRPr="00180874">
        <w:rPr>
          <w:rFonts w:ascii="Times New Roman" w:hAnsi="Times New Roman" w:cs="Times New Roman"/>
          <w:sz w:val="20"/>
          <w:szCs w:val="20"/>
        </w:rPr>
        <w:t>colour</w:t>
      </w:r>
      <w:proofErr w:type="spellEnd"/>
      <w:r w:rsidRPr="00180874">
        <w:rPr>
          <w:rFonts w:ascii="Times New Roman" w:hAnsi="Times New Roman" w:cs="Times New Roman"/>
          <w:sz w:val="20"/>
          <w:szCs w:val="20"/>
        </w:rPr>
        <w:t xml:space="preserve"> and fragrance. It is known to contain various </w:t>
      </w:r>
      <w:proofErr w:type="spellStart"/>
      <w:r w:rsidRPr="00180874">
        <w:rPr>
          <w:rFonts w:ascii="Times New Roman" w:hAnsi="Times New Roman" w:cs="Times New Roman"/>
          <w:sz w:val="20"/>
          <w:szCs w:val="20"/>
        </w:rPr>
        <w:t>phyto</w:t>
      </w:r>
      <w:proofErr w:type="spellEnd"/>
      <w:r w:rsidRPr="00180874">
        <w:rPr>
          <w:rFonts w:ascii="Times New Roman" w:hAnsi="Times New Roman" w:cs="Times New Roman"/>
          <w:sz w:val="20"/>
          <w:szCs w:val="20"/>
        </w:rPr>
        <w:t xml:space="preserve">-chemicals like alkaloids (ipecac and </w:t>
      </w:r>
      <w:proofErr w:type="spellStart"/>
      <w:r w:rsidRPr="00180874">
        <w:rPr>
          <w:rFonts w:ascii="Times New Roman" w:hAnsi="Times New Roman" w:cs="Times New Roman"/>
          <w:sz w:val="20"/>
          <w:szCs w:val="20"/>
        </w:rPr>
        <w:t>benzopyridoquinolizidine</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flavonoids</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triterpinoids</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saponins</w:t>
      </w:r>
      <w:proofErr w:type="spellEnd"/>
      <w:r w:rsidRPr="00180874">
        <w:rPr>
          <w:rFonts w:ascii="Times New Roman" w:hAnsi="Times New Roman" w:cs="Times New Roman"/>
          <w:sz w:val="20"/>
          <w:szCs w:val="20"/>
        </w:rPr>
        <w:t xml:space="preserve">, tannins, </w:t>
      </w:r>
      <w:proofErr w:type="spellStart"/>
      <w:r w:rsidRPr="00180874">
        <w:rPr>
          <w:rFonts w:ascii="Times New Roman" w:hAnsi="Times New Roman" w:cs="Times New Roman"/>
          <w:sz w:val="20"/>
          <w:szCs w:val="20"/>
        </w:rPr>
        <w:t>phenolic</w:t>
      </w:r>
      <w:proofErr w:type="spellEnd"/>
      <w:r w:rsidRPr="00180874">
        <w:rPr>
          <w:rFonts w:ascii="Times New Roman" w:hAnsi="Times New Roman" w:cs="Times New Roman"/>
          <w:sz w:val="20"/>
          <w:szCs w:val="20"/>
        </w:rPr>
        <w:t xml:space="preserve"> glycosides, volatile oil, </w:t>
      </w:r>
      <w:proofErr w:type="spellStart"/>
      <w:r w:rsidRPr="00180874">
        <w:rPr>
          <w:rFonts w:ascii="Times New Roman" w:hAnsi="Times New Roman" w:cs="Times New Roman"/>
          <w:sz w:val="20"/>
          <w:szCs w:val="20"/>
        </w:rPr>
        <w:t>alangine</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lamarckinine</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salviifosides</w:t>
      </w:r>
      <w:proofErr w:type="spellEnd"/>
      <w:r w:rsidRPr="00180874">
        <w:rPr>
          <w:rFonts w:ascii="Times New Roman" w:hAnsi="Times New Roman" w:cs="Times New Roman"/>
          <w:sz w:val="20"/>
          <w:szCs w:val="20"/>
        </w:rPr>
        <w:t xml:space="preserve"> A-C, </w:t>
      </w:r>
      <w:proofErr w:type="spellStart"/>
      <w:r w:rsidRPr="00180874">
        <w:rPr>
          <w:rFonts w:ascii="Times New Roman" w:hAnsi="Times New Roman" w:cs="Times New Roman"/>
          <w:sz w:val="20"/>
          <w:szCs w:val="20"/>
        </w:rPr>
        <w:t>salicin</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kaempferol</w:t>
      </w:r>
      <w:proofErr w:type="spellEnd"/>
      <w:r w:rsidRPr="00180874">
        <w:rPr>
          <w:rFonts w:ascii="Times New Roman" w:hAnsi="Times New Roman" w:cs="Times New Roman"/>
          <w:sz w:val="20"/>
          <w:szCs w:val="20"/>
        </w:rPr>
        <w:t xml:space="preserve">, and </w:t>
      </w:r>
      <w:proofErr w:type="spellStart"/>
      <w:r w:rsidRPr="00180874">
        <w:rPr>
          <w:rFonts w:ascii="Times New Roman" w:hAnsi="Times New Roman" w:cs="Times New Roman"/>
          <w:sz w:val="20"/>
          <w:szCs w:val="20"/>
        </w:rPr>
        <w:t>kaempferol</w:t>
      </w:r>
      <w:proofErr w:type="spellEnd"/>
      <w:r w:rsidRPr="00180874">
        <w:rPr>
          <w:rFonts w:ascii="Times New Roman" w:hAnsi="Times New Roman" w:cs="Times New Roman"/>
          <w:sz w:val="20"/>
          <w:szCs w:val="20"/>
        </w:rPr>
        <w:t xml:space="preserve"> 3-O-b-D-</w:t>
      </w:r>
      <w:proofErr w:type="gramStart"/>
      <w:r w:rsidRPr="00180874">
        <w:rPr>
          <w:rFonts w:ascii="Times New Roman" w:hAnsi="Times New Roman" w:cs="Times New Roman"/>
          <w:sz w:val="20"/>
          <w:szCs w:val="20"/>
        </w:rPr>
        <w:t>glucopyranoside</w:t>
      </w:r>
      <w:r w:rsidRPr="00180874">
        <w:rPr>
          <w:rFonts w:ascii="Times New Roman" w:hAnsi="Times New Roman" w:cs="Times New Roman"/>
          <w:sz w:val="20"/>
          <w:szCs w:val="20"/>
          <w:vertAlign w:val="superscript"/>
        </w:rPr>
        <w:t> </w:t>
      </w:r>
      <w:r w:rsidRPr="00180874">
        <w:rPr>
          <w:rFonts w:ascii="Times New Roman" w:hAnsi="Times New Roman" w:cs="Times New Roman"/>
          <w:sz w:val="20"/>
          <w:szCs w:val="20"/>
        </w:rPr>
        <w:t>.</w:t>
      </w:r>
      <w:proofErr w:type="gramEnd"/>
    </w:p>
    <w:p w:rsidR="009817BC" w:rsidRPr="00180874" w:rsidRDefault="009817BC" w:rsidP="00180874">
      <w:pPr>
        <w:jc w:val="both"/>
        <w:rPr>
          <w:rFonts w:ascii="Times New Roman" w:hAnsi="Times New Roman" w:cs="Times New Roman"/>
          <w:i/>
          <w:iCs/>
          <w:color w:val="384554"/>
          <w:sz w:val="20"/>
          <w:szCs w:val="20"/>
        </w:rPr>
      </w:pPr>
      <w:r w:rsidRPr="00180874">
        <w:rPr>
          <w:rFonts w:ascii="Times New Roman" w:hAnsi="Times New Roman" w:cs="Times New Roman"/>
          <w:sz w:val="20"/>
          <w:szCs w:val="20"/>
        </w:rPr>
        <w:t xml:space="preserve">As per traditional claim, the plant possess different pharmacological activities like anti-cancer, anti-oxidant, anti-bacterial, anti-fungal, anti-inflammatory, and anti-fertility. It is also used in the treatment of anxiety and mood </w:t>
      </w:r>
      <w:proofErr w:type="gramStart"/>
      <w:r w:rsidRPr="00180874">
        <w:rPr>
          <w:rFonts w:ascii="Times New Roman" w:hAnsi="Times New Roman" w:cs="Times New Roman"/>
          <w:sz w:val="20"/>
          <w:szCs w:val="20"/>
        </w:rPr>
        <w:t>disorders .</w:t>
      </w:r>
      <w:proofErr w:type="gramEnd"/>
      <w:r w:rsidRPr="00180874">
        <w:rPr>
          <w:rFonts w:ascii="Times New Roman" w:hAnsi="Times New Roman" w:cs="Times New Roman"/>
          <w:sz w:val="20"/>
          <w:szCs w:val="20"/>
        </w:rPr>
        <w:t xml:space="preserve"> Therefore, </w:t>
      </w:r>
      <w:r w:rsidRPr="00180874">
        <w:rPr>
          <w:rFonts w:ascii="Times New Roman" w:hAnsi="Times New Roman" w:cs="Times New Roman"/>
          <w:sz w:val="20"/>
          <w:szCs w:val="20"/>
        </w:rPr>
        <w:lastRenderedPageBreak/>
        <w:t xml:space="preserve">the present study was carried out to evaluate antidepressant activity of </w:t>
      </w:r>
      <w:proofErr w:type="spellStart"/>
      <w:r w:rsidRPr="00180874">
        <w:rPr>
          <w:rFonts w:ascii="Times New Roman" w:hAnsi="Times New Roman" w:cs="Times New Roman"/>
          <w:sz w:val="20"/>
          <w:szCs w:val="20"/>
        </w:rPr>
        <w:t>ethanolic</w:t>
      </w:r>
      <w:proofErr w:type="spellEnd"/>
      <w:r w:rsidRPr="00180874">
        <w:rPr>
          <w:rFonts w:ascii="Times New Roman" w:hAnsi="Times New Roman" w:cs="Times New Roman"/>
          <w:sz w:val="20"/>
          <w:szCs w:val="20"/>
        </w:rPr>
        <w:t xml:space="preserve"> extract of leaves of </w:t>
      </w:r>
      <w:proofErr w:type="spellStart"/>
      <w:r w:rsidRPr="00180874">
        <w:rPr>
          <w:rFonts w:ascii="Times New Roman" w:hAnsi="Times New Roman" w:cs="Times New Roman"/>
          <w:sz w:val="20"/>
          <w:szCs w:val="20"/>
        </w:rPr>
        <w:t>Alangium</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salviifolium</w:t>
      </w:r>
      <w:proofErr w:type="spellEnd"/>
      <w:r w:rsidRPr="00180874">
        <w:rPr>
          <w:rFonts w:ascii="Times New Roman" w:hAnsi="Times New Roman" w:cs="Times New Roman"/>
          <w:sz w:val="20"/>
          <w:szCs w:val="20"/>
        </w:rPr>
        <w:t xml:space="preserve"> (L. f.) </w:t>
      </w:r>
      <w:proofErr w:type="spellStart"/>
      <w:r w:rsidRPr="00180874">
        <w:rPr>
          <w:rFonts w:ascii="Times New Roman" w:hAnsi="Times New Roman" w:cs="Times New Roman"/>
          <w:sz w:val="20"/>
          <w:szCs w:val="20"/>
        </w:rPr>
        <w:t>Wangerin</w:t>
      </w:r>
      <w:proofErr w:type="spellEnd"/>
      <w:r w:rsidRPr="00180874">
        <w:rPr>
          <w:rStyle w:val="Emphasis"/>
          <w:rFonts w:ascii="Times New Roman" w:hAnsi="Times New Roman" w:cs="Times New Roman"/>
          <w:color w:val="384554"/>
          <w:sz w:val="20"/>
          <w:szCs w:val="20"/>
        </w:rPr>
        <w:t> </w:t>
      </w:r>
      <w:r w:rsidRPr="00180874">
        <w:rPr>
          <w:rFonts w:ascii="Times New Roman" w:hAnsi="Times New Roman" w:cs="Times New Roman"/>
          <w:sz w:val="20"/>
          <w:szCs w:val="20"/>
        </w:rPr>
        <w:t>by stress induced depression by forced swim test model and tail suspension test model in Swiss albino mice.</w:t>
      </w:r>
    </w:p>
    <w:p w:rsidR="00DA52F4" w:rsidRPr="001E51F3" w:rsidRDefault="0018087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MATERIALS AND </w:t>
      </w:r>
      <w:r w:rsidR="00DA52F4" w:rsidRPr="001E51F3">
        <w:rPr>
          <w:rFonts w:ascii="Times New Roman" w:hAnsi="Times New Roman" w:cs="Times New Roman"/>
          <w:b/>
          <w:bCs/>
          <w:color w:val="000000" w:themeColor="text1"/>
          <w:sz w:val="24"/>
          <w:szCs w:val="24"/>
        </w:rPr>
        <w:t>METHODOLOGY</w:t>
      </w:r>
    </w:p>
    <w:p w:rsidR="00180874" w:rsidRPr="00F57823" w:rsidRDefault="00180874" w:rsidP="00180874">
      <w:pPr>
        <w:tabs>
          <w:tab w:val="left" w:pos="1260"/>
        </w:tabs>
        <w:autoSpaceDE w:val="0"/>
        <w:autoSpaceDN w:val="0"/>
        <w:adjustRightInd w:val="0"/>
        <w:spacing w:after="0" w:line="360" w:lineRule="auto"/>
        <w:contextualSpacing/>
        <w:jc w:val="both"/>
        <w:rPr>
          <w:rFonts w:ascii="Times New Roman" w:hAnsi="Times New Roman" w:cs="Times New Roman"/>
          <w:sz w:val="24"/>
          <w:szCs w:val="24"/>
        </w:rPr>
      </w:pPr>
      <w:proofErr w:type="spellStart"/>
      <w:r w:rsidRPr="00180874">
        <w:rPr>
          <w:rFonts w:ascii="Times New Roman" w:hAnsi="Times New Roman" w:cs="Times New Roman"/>
          <w:sz w:val="20"/>
          <w:szCs w:val="20"/>
        </w:rPr>
        <w:t>Thiobarbituric</w:t>
      </w:r>
      <w:proofErr w:type="spellEnd"/>
      <w:r w:rsidRPr="00180874">
        <w:rPr>
          <w:rFonts w:ascii="Times New Roman" w:hAnsi="Times New Roman" w:cs="Times New Roman"/>
          <w:sz w:val="20"/>
          <w:szCs w:val="20"/>
        </w:rPr>
        <w:t xml:space="preserve"> acid and DTNB reagent (Hi Media Laboratories Ltd., Mumbai), </w:t>
      </w:r>
      <w:proofErr w:type="spellStart"/>
      <w:r w:rsidRPr="00180874">
        <w:rPr>
          <w:rFonts w:ascii="Times New Roman" w:hAnsi="Times New Roman" w:cs="Times New Roman"/>
          <w:sz w:val="20"/>
          <w:szCs w:val="20"/>
        </w:rPr>
        <w:t>Trichloro</w:t>
      </w:r>
      <w:proofErr w:type="spellEnd"/>
      <w:r w:rsidRPr="00180874">
        <w:rPr>
          <w:rFonts w:ascii="Times New Roman" w:hAnsi="Times New Roman" w:cs="Times New Roman"/>
          <w:sz w:val="20"/>
          <w:szCs w:val="20"/>
        </w:rPr>
        <w:t xml:space="preserve"> acetic acid (</w:t>
      </w:r>
      <w:proofErr w:type="spellStart"/>
      <w:r w:rsidRPr="00180874">
        <w:rPr>
          <w:rFonts w:ascii="Times New Roman" w:hAnsi="Times New Roman" w:cs="Times New Roman"/>
          <w:sz w:val="20"/>
          <w:szCs w:val="20"/>
        </w:rPr>
        <w:t>Qualigens</w:t>
      </w:r>
      <w:proofErr w:type="spellEnd"/>
      <w:r w:rsidRPr="00180874">
        <w:rPr>
          <w:rFonts w:ascii="Times New Roman" w:hAnsi="Times New Roman" w:cs="Times New Roman"/>
          <w:sz w:val="20"/>
          <w:szCs w:val="20"/>
        </w:rPr>
        <w:t xml:space="preserve"> Fine Chemicals, Mumbai), Riboflavin (Astra IDL, Bangalore), Sodium </w:t>
      </w:r>
      <w:proofErr w:type="spellStart"/>
      <w:r w:rsidRPr="00180874">
        <w:rPr>
          <w:rFonts w:ascii="Times New Roman" w:hAnsi="Times New Roman" w:cs="Times New Roman"/>
          <w:sz w:val="20"/>
          <w:szCs w:val="20"/>
        </w:rPr>
        <w:t>dihydrogen</w:t>
      </w:r>
      <w:proofErr w:type="spellEnd"/>
      <w:r w:rsidRPr="00180874">
        <w:rPr>
          <w:rFonts w:ascii="Times New Roman" w:hAnsi="Times New Roman" w:cs="Times New Roman"/>
          <w:sz w:val="20"/>
          <w:szCs w:val="20"/>
        </w:rPr>
        <w:t xml:space="preserve"> phosphate and Disodium hydrogen phosphate (S.D. Fine Chemicals, Mumbai), </w:t>
      </w:r>
      <w:proofErr w:type="spellStart"/>
      <w:r w:rsidRPr="00180874">
        <w:rPr>
          <w:rFonts w:ascii="Times New Roman" w:hAnsi="Times New Roman" w:cs="Times New Roman"/>
          <w:sz w:val="20"/>
          <w:szCs w:val="20"/>
        </w:rPr>
        <w:t>Lorazepam</w:t>
      </w:r>
      <w:proofErr w:type="spellEnd"/>
      <w:r w:rsidRPr="00180874">
        <w:rPr>
          <w:rFonts w:ascii="Times New Roman" w:hAnsi="Times New Roman" w:cs="Times New Roman"/>
          <w:sz w:val="20"/>
          <w:szCs w:val="20"/>
        </w:rPr>
        <w:t xml:space="preserve"> (Ranbaxy, India), 1,1,3,3,-Tetraethoxy propane, O-</w:t>
      </w:r>
      <w:proofErr w:type="spellStart"/>
      <w:r w:rsidRPr="00180874">
        <w:rPr>
          <w:rFonts w:ascii="Times New Roman" w:hAnsi="Times New Roman" w:cs="Times New Roman"/>
          <w:sz w:val="20"/>
          <w:szCs w:val="20"/>
        </w:rPr>
        <w:t>Dianisidine</w:t>
      </w:r>
      <w:proofErr w:type="spellEnd"/>
      <w:r w:rsidRPr="00180874">
        <w:rPr>
          <w:rFonts w:ascii="Times New Roman" w:hAnsi="Times New Roman" w:cs="Times New Roman"/>
          <w:sz w:val="20"/>
          <w:szCs w:val="20"/>
        </w:rPr>
        <w:t xml:space="preserve">, </w:t>
      </w:r>
      <w:proofErr w:type="spellStart"/>
      <w:r w:rsidRPr="00180874">
        <w:rPr>
          <w:rFonts w:ascii="Times New Roman" w:hAnsi="Times New Roman" w:cs="Times New Roman"/>
          <w:sz w:val="20"/>
          <w:szCs w:val="20"/>
        </w:rPr>
        <w:t>Imipramine</w:t>
      </w:r>
      <w:proofErr w:type="spellEnd"/>
      <w:r w:rsidRPr="00180874">
        <w:rPr>
          <w:rFonts w:ascii="Times New Roman" w:hAnsi="Times New Roman" w:cs="Times New Roman"/>
          <w:sz w:val="20"/>
          <w:szCs w:val="20"/>
        </w:rPr>
        <w:t xml:space="preserve"> hydrochloride, 5-Hydroxy Tryptophan (5-HTP), </w:t>
      </w:r>
      <w:proofErr w:type="spellStart"/>
      <w:r w:rsidRPr="00180874">
        <w:rPr>
          <w:rFonts w:ascii="Times New Roman" w:hAnsi="Times New Roman" w:cs="Times New Roman"/>
          <w:sz w:val="20"/>
          <w:szCs w:val="20"/>
        </w:rPr>
        <w:t>Clonidine</w:t>
      </w:r>
      <w:proofErr w:type="spellEnd"/>
      <w:r w:rsidRPr="00180874">
        <w:rPr>
          <w:rFonts w:ascii="Times New Roman" w:hAnsi="Times New Roman" w:cs="Times New Roman"/>
          <w:sz w:val="20"/>
          <w:szCs w:val="20"/>
        </w:rPr>
        <w:t xml:space="preserve"> and L-DOPA (Sigma, St. Louis, USA) were used in the study. The other chemicals and solvents used were of analytical grade and purchased from commercial suppliers. </w:t>
      </w:r>
      <w:proofErr w:type="spellStart"/>
      <w:r w:rsidRPr="00180874">
        <w:rPr>
          <w:rFonts w:ascii="Times New Roman" w:hAnsi="Times New Roman" w:cs="Times New Roman"/>
          <w:sz w:val="20"/>
          <w:szCs w:val="20"/>
        </w:rPr>
        <w:t>Imipramine</w:t>
      </w:r>
      <w:proofErr w:type="spellEnd"/>
      <w:r w:rsidRPr="00180874">
        <w:rPr>
          <w:rFonts w:ascii="Times New Roman" w:hAnsi="Times New Roman" w:cs="Times New Roman"/>
          <w:sz w:val="20"/>
          <w:szCs w:val="20"/>
        </w:rPr>
        <w:t xml:space="preserve"> (IMP), 5-HTP, </w:t>
      </w:r>
      <w:proofErr w:type="spellStart"/>
      <w:r w:rsidRPr="00180874">
        <w:rPr>
          <w:rFonts w:ascii="Times New Roman" w:hAnsi="Times New Roman" w:cs="Times New Roman"/>
          <w:sz w:val="20"/>
          <w:szCs w:val="20"/>
        </w:rPr>
        <w:t>clonidine</w:t>
      </w:r>
      <w:proofErr w:type="spellEnd"/>
      <w:r w:rsidRPr="00180874">
        <w:rPr>
          <w:rFonts w:ascii="Times New Roman" w:hAnsi="Times New Roman" w:cs="Times New Roman"/>
          <w:sz w:val="20"/>
          <w:szCs w:val="20"/>
        </w:rPr>
        <w:t xml:space="preserve">, L-DOPA, </w:t>
      </w:r>
      <w:proofErr w:type="spellStart"/>
      <w:r w:rsidRPr="00180874">
        <w:rPr>
          <w:rFonts w:ascii="Times New Roman" w:hAnsi="Times New Roman" w:cs="Times New Roman"/>
          <w:sz w:val="20"/>
          <w:szCs w:val="20"/>
        </w:rPr>
        <w:t>Lorazepam</w:t>
      </w:r>
      <w:proofErr w:type="spellEnd"/>
      <w:r w:rsidRPr="00180874">
        <w:rPr>
          <w:rFonts w:ascii="Times New Roman" w:hAnsi="Times New Roman" w:cs="Times New Roman"/>
          <w:sz w:val="20"/>
          <w:szCs w:val="20"/>
        </w:rPr>
        <w:t xml:space="preserve"> was administered </w:t>
      </w:r>
      <w:proofErr w:type="spellStart"/>
      <w:r w:rsidRPr="00180874">
        <w:rPr>
          <w:rFonts w:ascii="Times New Roman" w:hAnsi="Times New Roman" w:cs="Times New Roman"/>
          <w:sz w:val="20"/>
          <w:szCs w:val="20"/>
        </w:rPr>
        <w:t>intraperitoneal</w:t>
      </w:r>
      <w:proofErr w:type="spellEnd"/>
      <w:r w:rsidRPr="00180874">
        <w:rPr>
          <w:rFonts w:ascii="Times New Roman" w:hAnsi="Times New Roman" w:cs="Times New Roman"/>
          <w:sz w:val="20"/>
          <w:szCs w:val="20"/>
        </w:rPr>
        <w:t xml:space="preserve"> by dissolving in normal saline</w:t>
      </w:r>
      <w:r w:rsidRPr="00F57823">
        <w:rPr>
          <w:rFonts w:ascii="Times New Roman" w:hAnsi="Times New Roman" w:cs="Times New Roman"/>
          <w:sz w:val="24"/>
          <w:szCs w:val="24"/>
        </w:rPr>
        <w:t>.</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80874" w:rsidRPr="00180874">
        <w:rPr>
          <w:rFonts w:ascii="Times New Roman" w:hAnsi="Times New Roman" w:cs="Times New Roman"/>
          <w:b/>
          <w:bCs/>
          <w:color w:val="000000" w:themeColor="text1"/>
          <w:sz w:val="20"/>
          <w:szCs w:val="20"/>
        </w:rPr>
        <w:t>Extraction of Plant M</w:t>
      </w:r>
      <w:bookmarkStart w:id="0" w:name="_GoBack"/>
      <w:bookmarkEnd w:id="0"/>
      <w:r w:rsidR="00180874" w:rsidRPr="00180874">
        <w:rPr>
          <w:rFonts w:ascii="Times New Roman" w:hAnsi="Times New Roman" w:cs="Times New Roman"/>
          <w:b/>
          <w:bCs/>
          <w:color w:val="000000" w:themeColor="text1"/>
          <w:sz w:val="20"/>
          <w:szCs w:val="20"/>
        </w:rPr>
        <w:t>aterial</w:t>
      </w:r>
    </w:p>
    <w:p w:rsidR="00180874" w:rsidRPr="00180874" w:rsidRDefault="00180874" w:rsidP="0018087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180874">
        <w:rPr>
          <w:rFonts w:ascii="Times New Roman" w:hAnsi="Times New Roman" w:cs="Times New Roman"/>
          <w:color w:val="000000" w:themeColor="text1"/>
          <w:sz w:val="20"/>
          <w:szCs w:val="20"/>
        </w:rPr>
        <w:t>he cold extraction process was done with the help of ethanol. About 45-60gms of powdered material was taken in a clean, flat bottomed glass container and soaked in 750ml of ethanol. The container with its contents were sealed and kept for period of 7days accompanied by continuous shaking with the shaker. The whole mixture then went under a coarse filtration by apiece of a clean, white cotton wool.</w:t>
      </w:r>
      <w:r w:rsidRPr="00180874">
        <w:rPr>
          <w:rFonts w:ascii="Times New Roman" w:eastAsiaTheme="minorEastAsia" w:hAnsi="Times New Roman" w:cs="Times New Roman"/>
          <w:sz w:val="24"/>
          <w:szCs w:val="24"/>
        </w:rPr>
        <w:t xml:space="preserve"> </w:t>
      </w:r>
      <w:r w:rsidRPr="00180874">
        <w:rPr>
          <w:rFonts w:ascii="Times New Roman" w:hAnsi="Times New Roman" w:cs="Times New Roman"/>
          <w:color w:val="000000" w:themeColor="text1"/>
          <w:sz w:val="20"/>
          <w:szCs w:val="20"/>
        </w:rPr>
        <w:t>The filtrates (ethanol extract) obtained were evaporated using Rotary evaporator in a porcelain dish. They rendered a gummy concentrate of greenish black. The extract was kept in vacuum desiccators for 7 days.</w:t>
      </w:r>
    </w:p>
    <w:p w:rsidR="006C47B3" w:rsidRDefault="006A6434" w:rsidP="006C47B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6C47B3">
        <w:rPr>
          <w:rFonts w:ascii="Times New Roman" w:hAnsi="Times New Roman" w:cs="Times New Roman"/>
          <w:b/>
          <w:bCs/>
          <w:color w:val="000000" w:themeColor="text1"/>
          <w:sz w:val="20"/>
          <w:szCs w:val="20"/>
        </w:rPr>
        <w:t xml:space="preserve">Selection of </w:t>
      </w:r>
      <w:r w:rsidR="006C47B3" w:rsidRPr="006C47B3">
        <w:rPr>
          <w:rFonts w:ascii="Times New Roman" w:hAnsi="Times New Roman" w:cs="Times New Roman"/>
          <w:b/>
          <w:bCs/>
          <w:color w:val="000000" w:themeColor="text1"/>
          <w:sz w:val="20"/>
          <w:szCs w:val="20"/>
        </w:rPr>
        <w:t>Animals</w:t>
      </w:r>
    </w:p>
    <w:p w:rsidR="006C47B3" w:rsidRDefault="006C47B3" w:rsidP="006C47B3">
      <w:pPr>
        <w:spacing w:before="54" w:after="0" w:line="276" w:lineRule="auto"/>
        <w:jc w:val="both"/>
        <w:rPr>
          <w:rFonts w:ascii="Times New Roman" w:eastAsiaTheme="minorEastAsia" w:hAnsi="Times New Roman" w:cs="Times New Roman"/>
          <w:b/>
          <w:bCs/>
          <w:sz w:val="20"/>
          <w:szCs w:val="24"/>
        </w:rPr>
      </w:pPr>
      <w:r w:rsidRPr="006C47B3">
        <w:rPr>
          <w:rFonts w:ascii="Times New Roman" w:hAnsi="Times New Roman" w:cs="Times New Roman"/>
          <w:bCs/>
          <w:color w:val="000000" w:themeColor="text1"/>
          <w:sz w:val="20"/>
          <w:szCs w:val="20"/>
        </w:rPr>
        <w:t xml:space="preserve">Healthy Adult Male mice of 5 weeks old with Average weight in the range of 20-25gms were selected. Animals are housed 4 </w:t>
      </w:r>
      <w:proofErr w:type="spellStart"/>
      <w:r w:rsidRPr="006C47B3">
        <w:rPr>
          <w:rFonts w:ascii="Times New Roman" w:hAnsi="Times New Roman" w:cs="Times New Roman"/>
          <w:bCs/>
          <w:color w:val="000000" w:themeColor="text1"/>
          <w:sz w:val="20"/>
          <w:szCs w:val="20"/>
        </w:rPr>
        <w:t>percage</w:t>
      </w:r>
      <w:proofErr w:type="spellEnd"/>
      <w:r w:rsidRPr="006C47B3">
        <w:rPr>
          <w:rFonts w:ascii="Times New Roman" w:hAnsi="Times New Roman" w:cs="Times New Roman"/>
          <w:bCs/>
          <w:color w:val="000000" w:themeColor="text1"/>
          <w:sz w:val="20"/>
          <w:szCs w:val="20"/>
        </w:rPr>
        <w:t xml:space="preserve"> in temperature controlled (27</w:t>
      </w:r>
      <w:r w:rsidRPr="006C47B3">
        <w:rPr>
          <w:rFonts w:ascii="Times New Roman" w:hAnsi="Times New Roman" w:cs="Times New Roman"/>
          <w:bCs/>
          <w:color w:val="000000" w:themeColor="text1"/>
          <w:sz w:val="20"/>
          <w:szCs w:val="20"/>
          <w:vertAlign w:val="superscript"/>
        </w:rPr>
        <w:t>0</w:t>
      </w:r>
      <w:r w:rsidRPr="006C47B3">
        <w:rPr>
          <w:rFonts w:ascii="Times New Roman" w:hAnsi="Times New Roman" w:cs="Times New Roman"/>
          <w:bCs/>
          <w:color w:val="000000" w:themeColor="text1"/>
          <w:sz w:val="20"/>
          <w:szCs w:val="20"/>
        </w:rPr>
        <w:t>C±3</w:t>
      </w:r>
      <w:r w:rsidRPr="006C47B3">
        <w:rPr>
          <w:rFonts w:ascii="Times New Roman" w:hAnsi="Times New Roman" w:cs="Times New Roman"/>
          <w:bCs/>
          <w:color w:val="000000" w:themeColor="text1"/>
          <w:sz w:val="20"/>
          <w:szCs w:val="20"/>
          <w:vertAlign w:val="superscript"/>
        </w:rPr>
        <w:t>0</w:t>
      </w:r>
      <w:r w:rsidRPr="006C47B3">
        <w:rPr>
          <w:rFonts w:ascii="Times New Roman" w:hAnsi="Times New Roman" w:cs="Times New Roman"/>
          <w:bCs/>
          <w:color w:val="000000" w:themeColor="text1"/>
          <w:sz w:val="20"/>
          <w:szCs w:val="20"/>
        </w:rPr>
        <w:t>c) room with light/dark cycle in a ratio of 12:12hrs is to be maintained. The Animals are allowed to acclimatize to the environment for seven days and are supplied with a standard diet and water</w:t>
      </w:r>
      <w:r>
        <w:rPr>
          <w:rFonts w:ascii="Times New Roman" w:hAnsi="Times New Roman" w:cs="Times New Roman"/>
          <w:bCs/>
          <w:color w:val="000000" w:themeColor="text1"/>
          <w:sz w:val="20"/>
          <w:szCs w:val="20"/>
        </w:rPr>
        <w:t xml:space="preserve">. </w:t>
      </w:r>
      <w:r w:rsidRPr="006C47B3">
        <w:rPr>
          <w:rFonts w:ascii="Times New Roman" w:hAnsi="Times New Roman" w:cs="Times New Roman"/>
          <w:bCs/>
          <w:color w:val="000000" w:themeColor="text1"/>
          <w:sz w:val="20"/>
          <w:szCs w:val="20"/>
        </w:rPr>
        <w:t>The prior permission was sought from the Institutional Animal Ethics Committee (IAEC) for conducting the study.</w:t>
      </w:r>
      <w:r w:rsidRPr="006C47B3">
        <w:rPr>
          <w:rFonts w:ascii="Times New Roman" w:eastAsiaTheme="minorEastAsia" w:hAnsi="Times New Roman" w:cs="Times New Roman"/>
          <w:b/>
          <w:bCs/>
          <w:sz w:val="20"/>
          <w:szCs w:val="24"/>
        </w:rPr>
        <w:t xml:space="preserve"> </w:t>
      </w:r>
    </w:p>
    <w:p w:rsidR="006C47B3" w:rsidRPr="006C47B3" w:rsidRDefault="006C47B3" w:rsidP="006C47B3">
      <w:pPr>
        <w:spacing w:before="54" w:after="0" w:line="276" w:lineRule="auto"/>
        <w:jc w:val="both"/>
        <w:rPr>
          <w:rFonts w:ascii="Times New Roman" w:hAnsi="Times New Roman" w:cs="Times New Roman"/>
          <w:b/>
          <w:bCs/>
          <w:color w:val="000000" w:themeColor="text1"/>
          <w:sz w:val="20"/>
          <w:szCs w:val="20"/>
        </w:rPr>
      </w:pPr>
      <w:r>
        <w:rPr>
          <w:rFonts w:ascii="Times New Roman" w:eastAsiaTheme="minorEastAsia" w:hAnsi="Times New Roman" w:cs="Times New Roman"/>
          <w:b/>
          <w:bCs/>
          <w:sz w:val="20"/>
          <w:szCs w:val="24"/>
        </w:rPr>
        <w:t xml:space="preserve">2.3 </w:t>
      </w:r>
      <w:r w:rsidRPr="006C47B3">
        <w:rPr>
          <w:rFonts w:ascii="Times New Roman" w:hAnsi="Times New Roman" w:cs="Times New Roman"/>
          <w:b/>
          <w:bCs/>
          <w:color w:val="000000" w:themeColor="text1"/>
          <w:sz w:val="20"/>
          <w:szCs w:val="20"/>
        </w:rPr>
        <w:t>Acute toxicity studies</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 xml:space="preserve">Acute toxicity studies will be performed for </w:t>
      </w:r>
      <w:proofErr w:type="spellStart"/>
      <w:r w:rsidRPr="006C47B3">
        <w:rPr>
          <w:rFonts w:ascii="Times New Roman" w:hAnsi="Times New Roman" w:cs="Times New Roman"/>
          <w:bCs/>
          <w:color w:val="000000" w:themeColor="text1"/>
          <w:sz w:val="20"/>
          <w:szCs w:val="20"/>
        </w:rPr>
        <w:t>Ethanolic</w:t>
      </w:r>
      <w:proofErr w:type="spellEnd"/>
      <w:r w:rsidRPr="006C47B3">
        <w:rPr>
          <w:rFonts w:ascii="Times New Roman" w:hAnsi="Times New Roman" w:cs="Times New Roman"/>
          <w:bCs/>
          <w:color w:val="000000" w:themeColor="text1"/>
          <w:sz w:val="20"/>
          <w:szCs w:val="20"/>
        </w:rPr>
        <w:t xml:space="preserve"> extract according to the acute toxic classic method as per OECD guidelines. Male mice were used for acute toxicity study. The animals were kept fasting for overnight providing only water, after which the extract will be administered orally at the dose of 300mg/kg and observed for14days. If mortality was observed in two animals out of three animals, then the dose administered was assigned as toxic dose. If the mortality was observed in one animal, then the same dose was repeated to confirm the toxic dose. If mortality was not observed, the procedure was repeated for further higher doses such 50,200 &amp;2000mg/kg body weight. The animals were observed for toxic symptoms for 72h.</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Cs/>
          <w:color w:val="000000" w:themeColor="text1"/>
          <w:sz w:val="20"/>
          <w:szCs w:val="20"/>
        </w:rPr>
        <w:t xml:space="preserve">2.4 </w:t>
      </w:r>
      <w:r w:rsidRPr="006C47B3">
        <w:rPr>
          <w:rFonts w:ascii="Times New Roman" w:hAnsi="Times New Roman" w:cs="Times New Roman"/>
          <w:b/>
          <w:bCs/>
          <w:i/>
          <w:color w:val="000000" w:themeColor="text1"/>
          <w:sz w:val="20"/>
          <w:szCs w:val="20"/>
        </w:rPr>
        <w:t xml:space="preserve">in vivo </w:t>
      </w:r>
      <w:r w:rsidRPr="006C47B3">
        <w:rPr>
          <w:rFonts w:ascii="Times New Roman" w:hAnsi="Times New Roman" w:cs="Times New Roman"/>
          <w:b/>
          <w:bCs/>
          <w:color w:val="000000" w:themeColor="text1"/>
          <w:sz w:val="20"/>
          <w:szCs w:val="20"/>
        </w:rPr>
        <w:t>models of depression employed in the study</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r w:rsidRPr="006C47B3">
        <w:rPr>
          <w:rFonts w:ascii="Times New Roman" w:hAnsi="Times New Roman" w:cs="Times New Roman"/>
          <w:b/>
          <w:bCs/>
          <w:color w:val="000000" w:themeColor="text1"/>
          <w:sz w:val="20"/>
          <w:szCs w:val="20"/>
        </w:rPr>
        <w:t>Forced swimming test (FST)</w:t>
      </w:r>
    </w:p>
    <w:p w:rsid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 xml:space="preserve">The procedure was described by </w:t>
      </w:r>
      <w:proofErr w:type="spellStart"/>
      <w:r w:rsidRPr="006C47B3">
        <w:rPr>
          <w:rFonts w:ascii="Times New Roman" w:hAnsi="Times New Roman" w:cs="Times New Roman"/>
          <w:bCs/>
          <w:color w:val="000000" w:themeColor="text1"/>
          <w:sz w:val="20"/>
          <w:szCs w:val="20"/>
        </w:rPr>
        <w:t>Porsoltetal</w:t>
      </w:r>
      <w:proofErr w:type="spellEnd"/>
      <w:r w:rsidRPr="006C47B3">
        <w:rPr>
          <w:rFonts w:ascii="Times New Roman" w:hAnsi="Times New Roman" w:cs="Times New Roman"/>
          <w:bCs/>
          <w:color w:val="000000" w:themeColor="text1"/>
          <w:sz w:val="20"/>
          <w:szCs w:val="20"/>
        </w:rPr>
        <w:t>. (1978) was used. Swimming sessions were conducted by placing mice in individual glass cylinders (45cm high×20cm in diameter) containing (25±2°C) water 38cm deep, so mice could not support themselves by touching the bottom with their feet. Two swimming sessions were performed between12:00 hand 19:00h,an initial 15 min pre test followed 24 h later by a 6 min test.</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Doses were given once daily for 7days. On the7</w:t>
      </w:r>
      <w:r w:rsidRPr="006C47B3">
        <w:rPr>
          <w:rFonts w:ascii="Times New Roman" w:hAnsi="Times New Roman" w:cs="Times New Roman"/>
          <w:bCs/>
          <w:color w:val="000000" w:themeColor="text1"/>
          <w:sz w:val="20"/>
          <w:szCs w:val="20"/>
          <w:vertAlign w:val="superscript"/>
        </w:rPr>
        <w:t xml:space="preserve">th </w:t>
      </w:r>
      <w:r w:rsidRPr="006C47B3">
        <w:rPr>
          <w:rFonts w:ascii="Times New Roman" w:hAnsi="Times New Roman" w:cs="Times New Roman"/>
          <w:bCs/>
          <w:color w:val="000000" w:themeColor="text1"/>
          <w:sz w:val="20"/>
          <w:szCs w:val="20"/>
        </w:rPr>
        <w:t>day mice were subjected to15min pretest. After15min,in the water the mice were removed and allowed to dry in a heated enclosure (32°C) before being returned to their home cages. They were again placed in the cylinder 24h later and the total duration of immobility was measured during a 6min test. Floating behavior during this 6min period had been found to be reproducible in different groups of mice. An animal was judged to be immobile whenever it remains floating passively in the water in a slightly hunched but upright position, its nose just above the surface. The total immobility time for the period of 6min was recorded with the help of stop watch.</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r w:rsidRPr="006C47B3">
        <w:rPr>
          <w:rFonts w:ascii="Times New Roman" w:hAnsi="Times New Roman" w:cs="Times New Roman"/>
          <w:b/>
          <w:bCs/>
          <w:color w:val="000000" w:themeColor="text1"/>
          <w:sz w:val="20"/>
          <w:szCs w:val="20"/>
        </w:rPr>
        <w:t>Tail suspension test (TST)</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Doses are given once daily for 7days. On the 7</w:t>
      </w:r>
      <w:r w:rsidRPr="006C47B3">
        <w:rPr>
          <w:rFonts w:ascii="Times New Roman" w:hAnsi="Times New Roman" w:cs="Times New Roman"/>
          <w:bCs/>
          <w:color w:val="000000" w:themeColor="text1"/>
          <w:sz w:val="20"/>
          <w:szCs w:val="20"/>
          <w:vertAlign w:val="superscript"/>
        </w:rPr>
        <w:t>th</w:t>
      </w:r>
      <w:r w:rsidRPr="006C47B3">
        <w:rPr>
          <w:rFonts w:ascii="Times New Roman" w:hAnsi="Times New Roman" w:cs="Times New Roman"/>
          <w:bCs/>
          <w:color w:val="000000" w:themeColor="text1"/>
          <w:sz w:val="20"/>
          <w:szCs w:val="20"/>
        </w:rPr>
        <w:t>day, 1hr after the administration of the test and standard drugs, mice were suspended on the edge of a table 50cm above the floor by the adhesive tape placed approximately1cm from the tip of the tail. Immobility time was recorded during a 6min period.</w:t>
      </w:r>
      <w:r w:rsidRPr="006C47B3">
        <w:rPr>
          <w:rFonts w:ascii="Times New Roman" w:hAnsi="Times New Roman" w:cs="Times New Roman"/>
          <w:bCs/>
          <w:color w:val="000000" w:themeColor="text1"/>
          <w:sz w:val="20"/>
          <w:szCs w:val="20"/>
          <w:vertAlign w:val="superscript"/>
        </w:rPr>
        <w:t xml:space="preserve"> </w:t>
      </w:r>
      <w:r w:rsidRPr="006C47B3">
        <w:rPr>
          <w:rFonts w:ascii="Times New Roman" w:hAnsi="Times New Roman" w:cs="Times New Roman"/>
          <w:bCs/>
          <w:color w:val="000000" w:themeColor="text1"/>
          <w:sz w:val="20"/>
          <w:szCs w:val="20"/>
        </w:rPr>
        <w:t>Animal was considered to be immobile when it did not show any movement of body and hanged passively.</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r w:rsidRPr="006C47B3">
        <w:rPr>
          <w:rFonts w:ascii="Times New Roman" w:hAnsi="Times New Roman" w:cs="Times New Roman"/>
          <w:b/>
          <w:bCs/>
          <w:color w:val="000000" w:themeColor="text1"/>
          <w:sz w:val="20"/>
          <w:szCs w:val="20"/>
        </w:rPr>
        <w:t>HTP induced head twitches in mice</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Doses were given once daily for7 days. On the 7</w:t>
      </w:r>
      <w:r w:rsidRPr="006C47B3">
        <w:rPr>
          <w:rFonts w:ascii="Times New Roman" w:hAnsi="Times New Roman" w:cs="Times New Roman"/>
          <w:bCs/>
          <w:color w:val="000000" w:themeColor="text1"/>
          <w:sz w:val="20"/>
          <w:szCs w:val="20"/>
          <w:vertAlign w:val="superscript"/>
        </w:rPr>
        <w:t>th</w:t>
      </w:r>
      <w:r w:rsidRPr="006C47B3">
        <w:rPr>
          <w:rFonts w:ascii="Times New Roman" w:hAnsi="Times New Roman" w:cs="Times New Roman"/>
          <w:bCs/>
          <w:color w:val="000000" w:themeColor="text1"/>
          <w:sz w:val="20"/>
          <w:szCs w:val="20"/>
        </w:rPr>
        <w:t>day</w:t>
      </w:r>
      <w:proofErr w:type="gramStart"/>
      <w:r w:rsidRPr="006C47B3">
        <w:rPr>
          <w:rFonts w:ascii="Times New Roman" w:hAnsi="Times New Roman" w:cs="Times New Roman"/>
          <w:bCs/>
          <w:color w:val="000000" w:themeColor="text1"/>
          <w:sz w:val="20"/>
          <w:szCs w:val="20"/>
        </w:rPr>
        <w:t>,1</w:t>
      </w:r>
      <w:proofErr w:type="gramEnd"/>
      <w:r w:rsidRPr="006C47B3">
        <w:rPr>
          <w:rFonts w:ascii="Times New Roman" w:hAnsi="Times New Roman" w:cs="Times New Roman"/>
          <w:bCs/>
          <w:color w:val="000000" w:themeColor="text1"/>
          <w:sz w:val="20"/>
          <w:szCs w:val="20"/>
        </w:rPr>
        <w:t xml:space="preserve"> hr after the administration of the test and standard drugs, mice were treated with 5-HTP(100mg/</w:t>
      </w:r>
      <w:proofErr w:type="spellStart"/>
      <w:r w:rsidRPr="006C47B3">
        <w:rPr>
          <w:rFonts w:ascii="Times New Roman" w:hAnsi="Times New Roman" w:cs="Times New Roman"/>
          <w:bCs/>
          <w:color w:val="000000" w:themeColor="text1"/>
          <w:sz w:val="20"/>
          <w:szCs w:val="20"/>
        </w:rPr>
        <w:t>kgi.p</w:t>
      </w:r>
      <w:proofErr w:type="spellEnd"/>
      <w:r w:rsidRPr="006C47B3">
        <w:rPr>
          <w:rFonts w:ascii="Times New Roman" w:hAnsi="Times New Roman" w:cs="Times New Roman"/>
          <w:bCs/>
          <w:color w:val="000000" w:themeColor="text1"/>
          <w:sz w:val="20"/>
          <w:szCs w:val="20"/>
        </w:rPr>
        <w:t xml:space="preserve">.)and the numbers of head twitches performed by each mice was counted by staggering </w:t>
      </w:r>
      <w:r w:rsidRPr="006C47B3">
        <w:rPr>
          <w:rFonts w:ascii="Times New Roman" w:hAnsi="Times New Roman" w:cs="Times New Roman"/>
          <w:bCs/>
          <w:color w:val="000000" w:themeColor="text1"/>
          <w:sz w:val="20"/>
          <w:szCs w:val="20"/>
        </w:rPr>
        <w:lastRenderedPageBreak/>
        <w:t>method using three 2 min periods (19–21min), (23–25min), (27–29min) after 5-HTP administration and number of head twitches were scored live by a blind observer.</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proofErr w:type="spellStart"/>
      <w:r w:rsidRPr="006C47B3">
        <w:rPr>
          <w:rFonts w:ascii="Times New Roman" w:hAnsi="Times New Roman" w:cs="Times New Roman"/>
          <w:b/>
          <w:bCs/>
          <w:color w:val="000000" w:themeColor="text1"/>
          <w:sz w:val="20"/>
          <w:szCs w:val="20"/>
        </w:rPr>
        <w:t>Clonidine</w:t>
      </w:r>
      <w:proofErr w:type="spellEnd"/>
      <w:r w:rsidRPr="006C47B3">
        <w:rPr>
          <w:rFonts w:ascii="Times New Roman" w:hAnsi="Times New Roman" w:cs="Times New Roman"/>
          <w:b/>
          <w:bCs/>
          <w:color w:val="000000" w:themeColor="text1"/>
          <w:sz w:val="20"/>
          <w:szCs w:val="20"/>
        </w:rPr>
        <w:t>-induced aggression in mice</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 xml:space="preserve">The method of </w:t>
      </w:r>
      <w:proofErr w:type="spellStart"/>
      <w:r w:rsidRPr="006C47B3">
        <w:rPr>
          <w:rFonts w:ascii="Times New Roman" w:hAnsi="Times New Roman" w:cs="Times New Roman"/>
          <w:bCs/>
          <w:color w:val="000000" w:themeColor="text1"/>
          <w:sz w:val="20"/>
          <w:szCs w:val="20"/>
        </w:rPr>
        <w:t>Morpurgo</w:t>
      </w:r>
      <w:proofErr w:type="spellEnd"/>
      <w:r w:rsidRPr="006C47B3">
        <w:rPr>
          <w:rFonts w:ascii="Times New Roman" w:hAnsi="Times New Roman" w:cs="Times New Roman"/>
          <w:bCs/>
          <w:color w:val="000000" w:themeColor="text1"/>
          <w:sz w:val="20"/>
          <w:szCs w:val="20"/>
        </w:rPr>
        <w:t xml:space="preserve"> (1968</w:t>
      </w:r>
      <w:proofErr w:type="gramStart"/>
      <w:r w:rsidRPr="006C47B3">
        <w:rPr>
          <w:rFonts w:ascii="Times New Roman" w:hAnsi="Times New Roman" w:cs="Times New Roman"/>
          <w:bCs/>
          <w:color w:val="000000" w:themeColor="text1"/>
          <w:sz w:val="20"/>
          <w:szCs w:val="20"/>
        </w:rPr>
        <w:t>)was</w:t>
      </w:r>
      <w:proofErr w:type="gramEnd"/>
      <w:r w:rsidRPr="006C47B3">
        <w:rPr>
          <w:rFonts w:ascii="Times New Roman" w:hAnsi="Times New Roman" w:cs="Times New Roman"/>
          <w:bCs/>
          <w:color w:val="000000" w:themeColor="text1"/>
          <w:sz w:val="20"/>
          <w:szCs w:val="20"/>
        </w:rPr>
        <w:t xml:space="preserve"> used. Mice were divided in to 5 groups of 8 each (n=8)</w:t>
      </w:r>
      <w:proofErr w:type="gramStart"/>
      <w:r w:rsidRPr="006C47B3">
        <w:rPr>
          <w:rFonts w:ascii="Times New Roman" w:hAnsi="Times New Roman" w:cs="Times New Roman"/>
          <w:bCs/>
          <w:color w:val="000000" w:themeColor="text1"/>
          <w:sz w:val="20"/>
          <w:szCs w:val="20"/>
        </w:rPr>
        <w:t>,each</w:t>
      </w:r>
      <w:proofErr w:type="gramEnd"/>
      <w:r w:rsidRPr="006C47B3">
        <w:rPr>
          <w:rFonts w:ascii="Times New Roman" w:hAnsi="Times New Roman" w:cs="Times New Roman"/>
          <w:bCs/>
          <w:color w:val="000000" w:themeColor="text1"/>
          <w:sz w:val="20"/>
          <w:szCs w:val="20"/>
        </w:rPr>
        <w:t xml:space="preserve"> group contain 4 pairs of mice, two pairs from each sex(each pair contained same sex of mice). Doses were given once daily for 7days. On the7</w:t>
      </w:r>
      <w:r w:rsidRPr="006C47B3">
        <w:rPr>
          <w:rFonts w:ascii="Times New Roman" w:hAnsi="Times New Roman" w:cs="Times New Roman"/>
          <w:bCs/>
          <w:color w:val="000000" w:themeColor="text1"/>
          <w:sz w:val="20"/>
          <w:szCs w:val="20"/>
          <w:vertAlign w:val="superscript"/>
        </w:rPr>
        <w:t>th</w:t>
      </w:r>
      <w:r w:rsidRPr="006C47B3">
        <w:rPr>
          <w:rFonts w:ascii="Times New Roman" w:hAnsi="Times New Roman" w:cs="Times New Roman"/>
          <w:bCs/>
          <w:color w:val="000000" w:themeColor="text1"/>
          <w:sz w:val="20"/>
          <w:szCs w:val="20"/>
        </w:rPr>
        <w:t xml:space="preserve">day, </w:t>
      </w:r>
      <w:proofErr w:type="spellStart"/>
      <w:r w:rsidRPr="006C47B3">
        <w:rPr>
          <w:rFonts w:ascii="Times New Roman" w:hAnsi="Times New Roman" w:cs="Times New Roman"/>
          <w:bCs/>
          <w:color w:val="000000" w:themeColor="text1"/>
          <w:sz w:val="20"/>
          <w:szCs w:val="20"/>
        </w:rPr>
        <w:t>Clonidine</w:t>
      </w:r>
      <w:proofErr w:type="spellEnd"/>
      <w:r w:rsidRPr="006C47B3">
        <w:rPr>
          <w:rFonts w:ascii="Times New Roman" w:hAnsi="Times New Roman" w:cs="Times New Roman"/>
          <w:bCs/>
          <w:color w:val="000000" w:themeColor="text1"/>
          <w:sz w:val="20"/>
          <w:szCs w:val="20"/>
        </w:rPr>
        <w:t xml:space="preserve"> was given 1h after the administration of the test and standard drugs. The animals were then caged in bell shaped glass jar with a floor </w:t>
      </w:r>
      <w:proofErr w:type="spellStart"/>
      <w:r w:rsidRPr="006C47B3">
        <w:rPr>
          <w:rFonts w:ascii="Times New Roman" w:hAnsi="Times New Roman" w:cs="Times New Roman"/>
          <w:bCs/>
          <w:color w:val="000000" w:themeColor="text1"/>
          <w:sz w:val="20"/>
          <w:szCs w:val="20"/>
        </w:rPr>
        <w:t xml:space="preserve">are </w:t>
      </w:r>
      <w:proofErr w:type="gramStart"/>
      <w:r w:rsidRPr="006C47B3">
        <w:rPr>
          <w:rFonts w:ascii="Times New Roman" w:hAnsi="Times New Roman" w:cs="Times New Roman"/>
          <w:bCs/>
          <w:color w:val="000000" w:themeColor="text1"/>
          <w:sz w:val="20"/>
          <w:szCs w:val="20"/>
        </w:rPr>
        <w:t>a</w:t>
      </w:r>
      <w:proofErr w:type="spellEnd"/>
      <w:r w:rsidRPr="006C47B3">
        <w:rPr>
          <w:rFonts w:ascii="Times New Roman" w:hAnsi="Times New Roman" w:cs="Times New Roman"/>
          <w:bCs/>
          <w:color w:val="000000" w:themeColor="text1"/>
          <w:sz w:val="20"/>
          <w:szCs w:val="20"/>
        </w:rPr>
        <w:t xml:space="preserve"> of</w:t>
      </w:r>
      <w:proofErr w:type="gramEnd"/>
      <w:r w:rsidRPr="006C47B3">
        <w:rPr>
          <w:rFonts w:ascii="Times New Roman" w:hAnsi="Times New Roman" w:cs="Times New Roman"/>
          <w:bCs/>
          <w:color w:val="000000" w:themeColor="text1"/>
          <w:sz w:val="20"/>
          <w:szCs w:val="20"/>
        </w:rPr>
        <w:t xml:space="preserve"> approximate 16cm</w:t>
      </w:r>
      <w:r w:rsidRPr="006C47B3">
        <w:rPr>
          <w:rFonts w:ascii="Times New Roman" w:hAnsi="Times New Roman" w:cs="Times New Roman"/>
          <w:bCs/>
          <w:color w:val="000000" w:themeColor="text1"/>
          <w:sz w:val="20"/>
          <w:szCs w:val="20"/>
          <w:vertAlign w:val="superscript"/>
        </w:rPr>
        <w:t>2</w:t>
      </w:r>
      <w:r w:rsidRPr="006C47B3">
        <w:rPr>
          <w:rFonts w:ascii="Times New Roman" w:hAnsi="Times New Roman" w:cs="Times New Roman"/>
          <w:bCs/>
          <w:color w:val="000000" w:themeColor="text1"/>
          <w:sz w:val="20"/>
          <w:szCs w:val="20"/>
        </w:rPr>
        <w:t>. The biting/fighting episodes were recorded live by a blind observer over a period of 30min</w:t>
      </w:r>
      <w:proofErr w:type="gramStart"/>
      <w:r w:rsidRPr="006C47B3">
        <w:rPr>
          <w:rFonts w:ascii="Times New Roman" w:hAnsi="Times New Roman" w:cs="Times New Roman"/>
          <w:bCs/>
          <w:color w:val="000000" w:themeColor="text1"/>
          <w:sz w:val="20"/>
          <w:szCs w:val="20"/>
        </w:rPr>
        <w:t>,in</w:t>
      </w:r>
      <w:proofErr w:type="gramEnd"/>
      <w:r w:rsidRPr="006C47B3">
        <w:rPr>
          <w:rFonts w:ascii="Times New Roman" w:hAnsi="Times New Roman" w:cs="Times New Roman"/>
          <w:bCs/>
          <w:color w:val="000000" w:themeColor="text1"/>
          <w:sz w:val="20"/>
          <w:szCs w:val="20"/>
        </w:rPr>
        <w:t xml:space="preserve"> each pair.</w:t>
      </w:r>
    </w:p>
    <w:p w:rsidR="006C47B3" w:rsidRDefault="006C47B3" w:rsidP="006C47B3">
      <w:pPr>
        <w:spacing w:before="54" w:after="0" w:line="276" w:lineRule="auto"/>
        <w:jc w:val="both"/>
        <w:rPr>
          <w:rFonts w:ascii="Times New Roman" w:hAnsi="Times New Roman" w:cs="Times New Roman"/>
          <w:b/>
          <w:bCs/>
          <w:color w:val="000000" w:themeColor="text1"/>
          <w:sz w:val="20"/>
          <w:szCs w:val="20"/>
        </w:rPr>
      </w:pPr>
      <w:r w:rsidRPr="006C47B3">
        <w:rPr>
          <w:rFonts w:ascii="Times New Roman" w:hAnsi="Times New Roman" w:cs="Times New Roman"/>
          <w:b/>
          <w:bCs/>
          <w:color w:val="000000" w:themeColor="text1"/>
          <w:sz w:val="20"/>
          <w:szCs w:val="20"/>
        </w:rPr>
        <w:t>L-DOPA induced hyperactivity and aggressive behavior in mice (LHA)</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Doses were given once daily for 7days. On the 7</w:t>
      </w:r>
      <w:r w:rsidRPr="006C47B3">
        <w:rPr>
          <w:rFonts w:ascii="Times New Roman" w:hAnsi="Times New Roman" w:cs="Times New Roman"/>
          <w:bCs/>
          <w:color w:val="000000" w:themeColor="text1"/>
          <w:sz w:val="20"/>
          <w:szCs w:val="20"/>
          <w:vertAlign w:val="superscript"/>
        </w:rPr>
        <w:t>th</w:t>
      </w:r>
      <w:r w:rsidRPr="006C47B3">
        <w:rPr>
          <w:rFonts w:ascii="Times New Roman" w:hAnsi="Times New Roman" w:cs="Times New Roman"/>
          <w:bCs/>
          <w:color w:val="000000" w:themeColor="text1"/>
          <w:sz w:val="20"/>
          <w:szCs w:val="20"/>
        </w:rPr>
        <w:t xml:space="preserve">day, L-DOPA was given 1h after the administration of the test and standard drugs, Stages of activity and aggressive behavior were recorded live every 10min for 30 min after L-DOPA administration by the blind observer. The different parameters of observation were </w:t>
      </w:r>
      <w:proofErr w:type="spellStart"/>
      <w:r w:rsidRPr="006C47B3">
        <w:rPr>
          <w:rFonts w:ascii="Times New Roman" w:hAnsi="Times New Roman" w:cs="Times New Roman"/>
          <w:bCs/>
          <w:color w:val="000000" w:themeColor="text1"/>
          <w:sz w:val="20"/>
          <w:szCs w:val="20"/>
        </w:rPr>
        <w:t>piloerection</w:t>
      </w:r>
      <w:proofErr w:type="spellEnd"/>
      <w:r w:rsidRPr="006C47B3">
        <w:rPr>
          <w:rFonts w:ascii="Times New Roman" w:hAnsi="Times New Roman" w:cs="Times New Roman"/>
          <w:bCs/>
          <w:color w:val="000000" w:themeColor="text1"/>
          <w:sz w:val="20"/>
          <w:szCs w:val="20"/>
        </w:rPr>
        <w:t xml:space="preserve">, salivation, </w:t>
      </w:r>
      <w:proofErr w:type="gramStart"/>
      <w:r w:rsidRPr="006C47B3">
        <w:rPr>
          <w:rFonts w:ascii="Times New Roman" w:hAnsi="Times New Roman" w:cs="Times New Roman"/>
          <w:bCs/>
          <w:color w:val="000000" w:themeColor="text1"/>
          <w:sz w:val="20"/>
          <w:szCs w:val="20"/>
        </w:rPr>
        <w:t>increase</w:t>
      </w:r>
      <w:proofErr w:type="gramEnd"/>
      <w:r w:rsidRPr="006C47B3">
        <w:rPr>
          <w:rFonts w:ascii="Times New Roman" w:hAnsi="Times New Roman" w:cs="Times New Roman"/>
          <w:bCs/>
          <w:color w:val="000000" w:themeColor="text1"/>
          <w:sz w:val="20"/>
          <w:szCs w:val="20"/>
        </w:rPr>
        <w:t xml:space="preserve"> in motor activity, irritability, reactivity, </w:t>
      </w:r>
      <w:proofErr w:type="spellStart"/>
      <w:r w:rsidRPr="006C47B3">
        <w:rPr>
          <w:rFonts w:ascii="Times New Roman" w:hAnsi="Times New Roman" w:cs="Times New Roman"/>
          <w:bCs/>
          <w:color w:val="000000" w:themeColor="text1"/>
          <w:sz w:val="20"/>
          <w:szCs w:val="20"/>
        </w:rPr>
        <w:t>jumpings</w:t>
      </w:r>
      <w:proofErr w:type="spellEnd"/>
      <w:r w:rsidRPr="006C47B3">
        <w:rPr>
          <w:rFonts w:ascii="Times New Roman" w:hAnsi="Times New Roman" w:cs="Times New Roman"/>
          <w:bCs/>
          <w:color w:val="000000" w:themeColor="text1"/>
          <w:sz w:val="20"/>
          <w:szCs w:val="20"/>
        </w:rPr>
        <w:t xml:space="preserve"> </w:t>
      </w:r>
      <w:proofErr w:type="spellStart"/>
      <w:r w:rsidRPr="006C47B3">
        <w:rPr>
          <w:rFonts w:ascii="Times New Roman" w:hAnsi="Times New Roman" w:cs="Times New Roman"/>
          <w:bCs/>
          <w:color w:val="000000" w:themeColor="text1"/>
          <w:sz w:val="20"/>
          <w:szCs w:val="20"/>
        </w:rPr>
        <w:t>queaking</w:t>
      </w:r>
      <w:proofErr w:type="spellEnd"/>
      <w:r w:rsidRPr="006C47B3">
        <w:rPr>
          <w:rFonts w:ascii="Times New Roman" w:hAnsi="Times New Roman" w:cs="Times New Roman"/>
          <w:bCs/>
          <w:color w:val="000000" w:themeColor="text1"/>
          <w:sz w:val="20"/>
          <w:szCs w:val="20"/>
        </w:rPr>
        <w:t>, and aggressive fighting. The scores were graded in the following manner:</w:t>
      </w:r>
    </w:p>
    <w:p w:rsidR="006C47B3" w:rsidRPr="006C47B3" w:rsidRDefault="006C47B3" w:rsidP="006C47B3">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0—No effect;1—Piloerection,slight salivation, slight increase in motor activity;2—Piloerection,salivation,marked increase in motor activity and irritability;3—Piloerection,profuse salivation, marked  increase in motor activity, reactivity, jumping, squeak in g and aggressive fighting.</w:t>
      </w:r>
    </w:p>
    <w:p w:rsidR="006C47B3" w:rsidRPr="006C47B3" w:rsidRDefault="006C47B3" w:rsidP="006C47B3">
      <w:pPr>
        <w:spacing w:before="54" w:after="0" w:line="276" w:lineRule="auto"/>
        <w:jc w:val="both"/>
        <w:rPr>
          <w:rFonts w:ascii="Times New Roman" w:hAnsi="Times New Roman" w:cs="Times New Roman"/>
          <w:b/>
          <w:bCs/>
          <w:color w:val="000000" w:themeColor="text1"/>
          <w:sz w:val="20"/>
          <w:szCs w:val="20"/>
        </w:rPr>
      </w:pPr>
      <w:r w:rsidRPr="006C47B3">
        <w:rPr>
          <w:rFonts w:ascii="Times New Roman" w:hAnsi="Times New Roman" w:cs="Times New Roman"/>
          <w:b/>
          <w:bCs/>
          <w:color w:val="000000" w:themeColor="text1"/>
          <w:sz w:val="20"/>
          <w:szCs w:val="20"/>
        </w:rPr>
        <w:t>STATISTICAL ANALYSIS</w:t>
      </w:r>
    </w:p>
    <w:p w:rsidR="006A6434" w:rsidRDefault="006C47B3" w:rsidP="00B27DD8">
      <w:pPr>
        <w:spacing w:before="54" w:after="0" w:line="276" w:lineRule="auto"/>
        <w:jc w:val="both"/>
        <w:rPr>
          <w:rFonts w:ascii="Times New Roman" w:hAnsi="Times New Roman" w:cs="Times New Roman"/>
          <w:bCs/>
          <w:color w:val="000000" w:themeColor="text1"/>
          <w:sz w:val="20"/>
          <w:szCs w:val="20"/>
        </w:rPr>
      </w:pPr>
      <w:r w:rsidRPr="006C47B3">
        <w:rPr>
          <w:rFonts w:ascii="Times New Roman" w:hAnsi="Times New Roman" w:cs="Times New Roman"/>
          <w:bCs/>
          <w:color w:val="000000" w:themeColor="text1"/>
          <w:sz w:val="20"/>
          <w:szCs w:val="20"/>
        </w:rPr>
        <w:t xml:space="preserve">Results were expressed as </w:t>
      </w:r>
      <w:proofErr w:type="spellStart"/>
      <w:r w:rsidRPr="006C47B3">
        <w:rPr>
          <w:rFonts w:ascii="Times New Roman" w:hAnsi="Times New Roman" w:cs="Times New Roman"/>
          <w:bCs/>
          <w:color w:val="000000" w:themeColor="text1"/>
          <w:sz w:val="20"/>
          <w:szCs w:val="20"/>
        </w:rPr>
        <w:t>mean±S.E.M</w:t>
      </w:r>
      <w:proofErr w:type="spellEnd"/>
      <w:r w:rsidRPr="006C47B3">
        <w:rPr>
          <w:rFonts w:ascii="Times New Roman" w:hAnsi="Times New Roman" w:cs="Times New Roman"/>
          <w:bCs/>
          <w:color w:val="000000" w:themeColor="text1"/>
          <w:sz w:val="20"/>
          <w:szCs w:val="20"/>
        </w:rPr>
        <w:t xml:space="preserve">. Statistical analysis was performed using one-way analysis of variance (ANOVA).  If the overall </w:t>
      </w:r>
      <w:r w:rsidRPr="006C47B3">
        <w:rPr>
          <w:rFonts w:ascii="Times New Roman" w:hAnsi="Times New Roman" w:cs="Times New Roman"/>
          <w:bCs/>
          <w:i/>
          <w:iCs/>
          <w:color w:val="000000" w:themeColor="text1"/>
          <w:sz w:val="20"/>
          <w:szCs w:val="20"/>
        </w:rPr>
        <w:t>P</w:t>
      </w:r>
      <w:r w:rsidRPr="006C47B3">
        <w:rPr>
          <w:rFonts w:ascii="Times New Roman" w:hAnsi="Times New Roman" w:cs="Times New Roman"/>
          <w:bCs/>
          <w:color w:val="000000" w:themeColor="text1"/>
          <w:sz w:val="20"/>
          <w:szCs w:val="20"/>
        </w:rPr>
        <w:t>-value was found statistically significant (</w:t>
      </w:r>
      <w:r w:rsidRPr="006C47B3">
        <w:rPr>
          <w:rFonts w:ascii="Times New Roman" w:hAnsi="Times New Roman" w:cs="Times New Roman"/>
          <w:bCs/>
          <w:i/>
          <w:iCs/>
          <w:color w:val="000000" w:themeColor="text1"/>
          <w:sz w:val="20"/>
          <w:szCs w:val="20"/>
        </w:rPr>
        <w:t>P</w:t>
      </w:r>
      <w:r w:rsidRPr="006C47B3">
        <w:rPr>
          <w:rFonts w:ascii="Times New Roman" w:hAnsi="Times New Roman" w:cs="Times New Roman"/>
          <w:bCs/>
          <w:color w:val="000000" w:themeColor="text1"/>
          <w:sz w:val="20"/>
          <w:szCs w:val="20"/>
        </w:rPr>
        <w:t>&lt;0.05)</w:t>
      </w:r>
    </w:p>
    <w:p w:rsidR="00B27DD8" w:rsidRPr="00B27DD8" w:rsidRDefault="00B27DD8" w:rsidP="00B27DD8">
      <w:pPr>
        <w:spacing w:before="54" w:after="0" w:line="276" w:lineRule="auto"/>
        <w:jc w:val="both"/>
        <w:rPr>
          <w:rFonts w:ascii="Times New Roman" w:hAnsi="Times New Roman" w:cs="Times New Roman"/>
          <w:bCs/>
          <w:color w:val="000000" w:themeColor="text1"/>
          <w:sz w:val="20"/>
          <w:szCs w:val="2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B27DD8" w:rsidRDefault="00B27DD8" w:rsidP="00B27DD8">
      <w:pPr>
        <w:tabs>
          <w:tab w:val="left" w:pos="1260"/>
        </w:tabs>
        <w:autoSpaceDE w:val="0"/>
        <w:autoSpaceDN w:val="0"/>
        <w:adjustRightInd w:val="0"/>
        <w:spacing w:after="0" w:line="360" w:lineRule="auto"/>
        <w:jc w:val="both"/>
        <w:rPr>
          <w:rFonts w:ascii="Times New Roman" w:hAnsi="Times New Roman"/>
          <w:b/>
          <w:bCs/>
          <w:sz w:val="20"/>
          <w:szCs w:val="20"/>
        </w:rPr>
      </w:pPr>
      <w:r w:rsidRPr="00B27DD8">
        <w:rPr>
          <w:rFonts w:ascii="Times New Roman" w:eastAsia="Calibri" w:hAnsi="Times New Roman" w:cs="Mangal"/>
          <w:b/>
          <w:bCs/>
          <w:sz w:val="20"/>
          <w:szCs w:val="20"/>
        </w:rPr>
        <w:t>Acute toxicity studies</w:t>
      </w:r>
    </w:p>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Cs/>
          <w:sz w:val="20"/>
          <w:szCs w:val="20"/>
        </w:rPr>
        <w:t xml:space="preserve">As per (OECD) draft guidelines 423 Female albino mice were administered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 </w:t>
      </w:r>
      <w:proofErr w:type="spellStart"/>
      <w:r w:rsidRPr="00B27DD8">
        <w:rPr>
          <w:rFonts w:ascii="Times New Roman" w:eastAsia="Calibri" w:hAnsi="Times New Roman" w:cs="Mangal"/>
          <w:bCs/>
          <w:i/>
          <w:iCs/>
          <w:sz w:val="20"/>
          <w:szCs w:val="20"/>
        </w:rPr>
        <w:t>Wangerin</w:t>
      </w:r>
      <w:r w:rsidRPr="00B27DD8">
        <w:rPr>
          <w:rFonts w:ascii="Times New Roman" w:eastAsia="Calibri" w:hAnsi="Times New Roman" w:cs="Mangal"/>
          <w:bCs/>
          <w:sz w:val="20"/>
          <w:szCs w:val="20"/>
        </w:rPr>
        <w:t>and</w:t>
      </w:r>
      <w:proofErr w:type="spellEnd"/>
      <w:r w:rsidRPr="00B27DD8">
        <w:rPr>
          <w:rFonts w:ascii="Times New Roman" w:eastAsia="Calibri" w:hAnsi="Times New Roman" w:cs="Mangal"/>
          <w:bCs/>
          <w:sz w:val="20"/>
          <w:szCs w:val="20"/>
        </w:rPr>
        <w:t xml:space="preserve"> doses was be selected in the sequence (1.75- 5000) using the default dose progression factor, for the purpose of toxicity study. Animals are observed individually at least once during the first 30 minutes after dosing, periodically during the first 24 hours and daily thereafter, for a total of 14 days,. In all the cases, no death was observed within 14 days. Attention was also given to observation of tremors and convulsions, salivation, </w:t>
      </w:r>
      <w:proofErr w:type="spellStart"/>
      <w:r w:rsidRPr="00B27DD8">
        <w:rPr>
          <w:rFonts w:ascii="Times New Roman" w:eastAsia="Calibri" w:hAnsi="Times New Roman" w:cs="Mangal"/>
          <w:bCs/>
          <w:sz w:val="20"/>
          <w:szCs w:val="20"/>
        </w:rPr>
        <w:t>diarrhoea</w:t>
      </w:r>
      <w:proofErr w:type="spellEnd"/>
      <w:r w:rsidRPr="00B27DD8">
        <w:rPr>
          <w:rFonts w:ascii="Times New Roman" w:eastAsia="Calibri" w:hAnsi="Times New Roman" w:cs="Mangal"/>
          <w:bCs/>
          <w:sz w:val="20"/>
          <w:szCs w:val="20"/>
        </w:rPr>
        <w:t>, lethargy, sleep and coma. Overall results suggested the LD</w:t>
      </w:r>
      <w:r w:rsidRPr="00B27DD8">
        <w:rPr>
          <w:rFonts w:ascii="Times New Roman" w:eastAsia="Calibri" w:hAnsi="Times New Roman" w:cs="Mangal"/>
          <w:bCs/>
          <w:sz w:val="20"/>
          <w:szCs w:val="20"/>
          <w:vertAlign w:val="subscript"/>
        </w:rPr>
        <w:t>50</w:t>
      </w:r>
      <w:r w:rsidRPr="00B27DD8">
        <w:rPr>
          <w:rFonts w:ascii="Times New Roman" w:eastAsia="Calibri" w:hAnsi="Times New Roman" w:cs="Mangal"/>
          <w:bCs/>
          <w:sz w:val="20"/>
          <w:szCs w:val="20"/>
        </w:rPr>
        <w:t xml:space="preserve"> value as 2000 mg/kg. Hence therapeutic dose was calculated as 1/10</w:t>
      </w:r>
      <w:r w:rsidRPr="00B27DD8">
        <w:rPr>
          <w:rFonts w:ascii="Times New Roman" w:eastAsia="Calibri" w:hAnsi="Times New Roman" w:cs="Mangal"/>
          <w:bCs/>
          <w:sz w:val="20"/>
          <w:szCs w:val="20"/>
          <w:vertAlign w:val="superscript"/>
        </w:rPr>
        <w:t>th</w:t>
      </w:r>
      <w:r w:rsidRPr="00B27DD8">
        <w:rPr>
          <w:rFonts w:ascii="Times New Roman" w:eastAsia="Calibri" w:hAnsi="Times New Roman" w:cs="Mangal"/>
          <w:bCs/>
          <w:sz w:val="20"/>
          <w:szCs w:val="20"/>
        </w:rPr>
        <w:t xml:space="preserve"> and 1/20</w:t>
      </w:r>
      <w:r w:rsidRPr="00B27DD8">
        <w:rPr>
          <w:rFonts w:ascii="Times New Roman" w:eastAsia="Calibri" w:hAnsi="Times New Roman" w:cs="Mangal"/>
          <w:bCs/>
          <w:sz w:val="20"/>
          <w:szCs w:val="20"/>
          <w:vertAlign w:val="superscript"/>
        </w:rPr>
        <w:t>th</w:t>
      </w:r>
      <w:r w:rsidRPr="00B27DD8">
        <w:rPr>
          <w:rFonts w:ascii="Times New Roman" w:eastAsia="Calibri" w:hAnsi="Times New Roman" w:cs="Mangal"/>
          <w:bCs/>
          <w:sz w:val="20"/>
          <w:szCs w:val="20"/>
        </w:rPr>
        <w:t xml:space="preserve"> i.e. 100mg/kg and 200 mg/kg of the lethal dose for the purpose anti depressant investigations</w:t>
      </w:r>
      <w:r w:rsidRPr="00B27DD8">
        <w:rPr>
          <w:rFonts w:ascii="Times New Roman" w:eastAsia="Calibri" w:hAnsi="Times New Roman" w:cs="Mangal"/>
          <w:b/>
          <w:bCs/>
          <w:sz w:val="20"/>
          <w:szCs w:val="20"/>
        </w:rPr>
        <w:t>.</w:t>
      </w:r>
    </w:p>
    <w:p w:rsidR="00B27DD8" w:rsidRDefault="00B27DD8" w:rsidP="00B27DD8">
      <w:pPr>
        <w:tabs>
          <w:tab w:val="left" w:pos="1260"/>
        </w:tabs>
        <w:autoSpaceDE w:val="0"/>
        <w:autoSpaceDN w:val="0"/>
        <w:adjustRightInd w:val="0"/>
        <w:spacing w:after="0" w:line="360" w:lineRule="auto"/>
        <w:jc w:val="both"/>
        <w:rPr>
          <w:rFonts w:ascii="Times New Roman" w:hAnsi="Times New Roman"/>
          <w:b/>
          <w:bCs/>
          <w:sz w:val="20"/>
          <w:szCs w:val="20"/>
        </w:rPr>
      </w:pPr>
      <w:r>
        <w:rPr>
          <w:rFonts w:ascii="Times New Roman" w:hAnsi="Times New Roman"/>
          <w:b/>
          <w:bCs/>
          <w:sz w:val="20"/>
          <w:szCs w:val="20"/>
        </w:rPr>
        <w:t>3.</w:t>
      </w:r>
      <w:r w:rsidRPr="00B27DD8">
        <w:rPr>
          <w:rFonts w:ascii="Times New Roman" w:eastAsia="Calibri" w:hAnsi="Times New Roman" w:cs="Mangal"/>
          <w:b/>
          <w:bCs/>
          <w:sz w:val="20"/>
          <w:szCs w:val="20"/>
        </w:rPr>
        <w:t>1. Forced Swim Test (FST)</w:t>
      </w:r>
    </w:p>
    <w:p w:rsidR="00B27DD8" w:rsidRDefault="00B27DD8" w:rsidP="00B27DD8">
      <w:pPr>
        <w:tabs>
          <w:tab w:val="left" w:pos="1260"/>
        </w:tabs>
        <w:autoSpaceDE w:val="0"/>
        <w:autoSpaceDN w:val="0"/>
        <w:adjustRightInd w:val="0"/>
        <w:spacing w:after="0" w:line="360" w:lineRule="auto"/>
        <w:jc w:val="both"/>
        <w:rPr>
          <w:rFonts w:ascii="Times New Roman" w:hAnsi="Times New Roman"/>
          <w:bCs/>
          <w:sz w:val="20"/>
          <w:szCs w:val="20"/>
        </w:rPr>
      </w:pPr>
      <w:r w:rsidRPr="00B27DD8">
        <w:rPr>
          <w:rFonts w:ascii="Times New Roman" w:eastAsia="Calibri" w:hAnsi="Times New Roman" w:cs="Mangal"/>
          <w:bCs/>
          <w:sz w:val="20"/>
          <w:szCs w:val="20"/>
        </w:rPr>
        <w:t xml:space="preserve">The results (Table. 1) showed that both EEASW (100, 200 and 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xml:space="preserve">.) and </w:t>
      </w: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(15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 xml:space="preserve">.) significantly decreased the duration of immobility time in a dose dependent manner in FST model. Post-hoc analysis showed that the EEASW (100, 200 and 400 mg/kg) and </w:t>
      </w: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(IMP) treated groups were significantly different (p&lt;0.001) from the vehicle treated group</w:t>
      </w:r>
      <w:r>
        <w:rPr>
          <w:rFonts w:ascii="Times New Roman" w:hAnsi="Times New Roman"/>
          <w:bCs/>
          <w:sz w:val="20"/>
          <w:szCs w:val="20"/>
        </w:rPr>
        <w:t>.</w:t>
      </w:r>
    </w:p>
    <w:p w:rsidR="00B27DD8" w:rsidRDefault="00B27DD8" w:rsidP="00B27DD8">
      <w:pPr>
        <w:tabs>
          <w:tab w:val="left" w:pos="1260"/>
        </w:tabs>
        <w:autoSpaceDE w:val="0"/>
        <w:autoSpaceDN w:val="0"/>
        <w:adjustRightInd w:val="0"/>
        <w:spacing w:after="0" w:line="360" w:lineRule="auto"/>
        <w:jc w:val="center"/>
        <w:rPr>
          <w:rFonts w:ascii="Times New Roman" w:hAnsi="Times New Roman"/>
          <w:bCs/>
          <w:sz w:val="20"/>
          <w:szCs w:val="20"/>
        </w:rPr>
      </w:pPr>
      <w:proofErr w:type="gramStart"/>
      <w:r w:rsidRPr="00B27DD8">
        <w:rPr>
          <w:rFonts w:ascii="Times New Roman" w:eastAsia="Calibri" w:hAnsi="Times New Roman" w:cs="Mangal"/>
          <w:bCs/>
          <w:sz w:val="20"/>
          <w:szCs w:val="20"/>
        </w:rPr>
        <w:t>Table.</w:t>
      </w:r>
      <w:proofErr w:type="gramEnd"/>
      <w:r w:rsidRPr="00B27DD8">
        <w:rPr>
          <w:rFonts w:ascii="Times New Roman" w:eastAsia="Calibri" w:hAnsi="Times New Roman" w:cs="Mangal"/>
          <w:bCs/>
          <w:sz w:val="20"/>
          <w:szCs w:val="20"/>
        </w:rPr>
        <w:t xml:space="preserve"> 1</w:t>
      </w:r>
      <w:r>
        <w:rPr>
          <w:rFonts w:ascii="Times New Roman" w:hAnsi="Times New Roman"/>
          <w:bCs/>
          <w:sz w:val="20"/>
          <w:szCs w:val="20"/>
        </w:rPr>
        <w:t>:</w:t>
      </w:r>
      <w:r w:rsidRPr="00B27DD8">
        <w:rPr>
          <w:rFonts w:ascii="Times New Roman" w:eastAsia="Times New Roman" w:hAnsi="Times New Roman" w:cs="Times New Roman"/>
          <w:b/>
          <w:sz w:val="24"/>
          <w:szCs w:val="24"/>
        </w:rPr>
        <w:t xml:space="preserve"> </w:t>
      </w:r>
      <w:r w:rsidRPr="00B27DD8">
        <w:rPr>
          <w:rFonts w:ascii="Times New Roman" w:eastAsia="Calibri" w:hAnsi="Times New Roman" w:cs="Mangal"/>
          <w:bCs/>
          <w:sz w:val="20"/>
          <w:szCs w:val="20"/>
        </w:rPr>
        <w:t>Forced Swim Test (FST)</w:t>
      </w:r>
    </w:p>
    <w:tbl>
      <w:tblPr>
        <w:tblW w:w="6379"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3328"/>
        <w:gridCol w:w="2268"/>
      </w:tblGrid>
      <w:tr w:rsidR="00B27DD8" w:rsidRPr="00B27DD8" w:rsidTr="00B27DD8">
        <w:trPr>
          <w:trHeight w:val="853"/>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Group no.</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Treatment</w:t>
            </w:r>
          </w:p>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(dose in mg/kg)</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Immobility period (sec)</w:t>
            </w:r>
          </w:p>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Mean ± SEM</w:t>
            </w:r>
          </w:p>
        </w:tc>
      </w:tr>
      <w:tr w:rsidR="00B27DD8" w:rsidRPr="00B27DD8" w:rsidTr="00B27DD8">
        <w:trPr>
          <w:trHeight w:val="401"/>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Control (0.3% CMC) + FST</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135.1±5.1</w:t>
            </w:r>
          </w:p>
        </w:tc>
      </w:tr>
      <w:tr w:rsidR="00B27DD8" w:rsidRPr="00B27DD8" w:rsidTr="00B27DD8">
        <w:trPr>
          <w:trHeight w:val="425"/>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sz w:val="20"/>
                <w:szCs w:val="20"/>
              </w:rPr>
              <w:t>EEASW</w:t>
            </w:r>
            <w:r w:rsidRPr="00B27DD8">
              <w:rPr>
                <w:rFonts w:ascii="Times New Roman" w:eastAsia="Calibri" w:hAnsi="Times New Roman" w:cs="Mangal"/>
                <w:bCs/>
                <w:sz w:val="20"/>
                <w:szCs w:val="20"/>
              </w:rPr>
              <w:t xml:space="preserve"> (100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FST</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122.5±8.5</w:t>
            </w:r>
          </w:p>
        </w:tc>
      </w:tr>
      <w:tr w:rsidR="00B27DD8" w:rsidRPr="00B27DD8" w:rsidTr="00B27DD8">
        <w:trPr>
          <w:trHeight w:val="401"/>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III</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sz w:val="20"/>
                <w:szCs w:val="20"/>
              </w:rPr>
              <w:t>EEASW</w:t>
            </w:r>
            <w:r w:rsidRPr="00B27DD8">
              <w:rPr>
                <w:rFonts w:ascii="Times New Roman" w:eastAsia="Calibri" w:hAnsi="Times New Roman" w:cs="Mangal"/>
                <w:bCs/>
                <w:sz w:val="20"/>
                <w:szCs w:val="20"/>
              </w:rPr>
              <w:t xml:space="preserve"> (200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FST</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96.3±2.7*</w:t>
            </w:r>
          </w:p>
        </w:tc>
      </w:tr>
      <w:tr w:rsidR="00B27DD8" w:rsidRPr="00B27DD8" w:rsidTr="00B27DD8">
        <w:trPr>
          <w:trHeight w:val="425"/>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IV</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FST</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80.1±5.2*</w:t>
            </w:r>
          </w:p>
        </w:tc>
      </w:tr>
      <w:tr w:rsidR="00B27DD8" w:rsidRPr="00B27DD8" w:rsidTr="00B27DD8">
        <w:trPr>
          <w:trHeight w:val="425"/>
          <w:jc w:val="center"/>
        </w:trPr>
        <w:tc>
          <w:tcPr>
            <w:tcW w:w="78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V</w:t>
            </w:r>
          </w:p>
        </w:tc>
        <w:tc>
          <w:tcPr>
            <w:tcW w:w="332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(15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 + FST</w:t>
            </w:r>
          </w:p>
        </w:tc>
        <w:tc>
          <w:tcPr>
            <w:tcW w:w="226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73.2±8.1*</w:t>
            </w:r>
          </w:p>
        </w:tc>
      </w:tr>
    </w:tbl>
    <w:p w:rsidR="006E2967"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Pr>
          <w:rFonts w:ascii="Times New Roman" w:hAnsi="Times New Roman"/>
          <w:bCs/>
          <w:sz w:val="20"/>
          <w:szCs w:val="20"/>
        </w:rPr>
        <w:t>3.</w:t>
      </w:r>
      <w:r>
        <w:rPr>
          <w:rFonts w:ascii="Times New Roman" w:hAnsi="Times New Roman"/>
          <w:b/>
          <w:bCs/>
          <w:sz w:val="20"/>
          <w:szCs w:val="20"/>
        </w:rPr>
        <w:t xml:space="preserve">2 </w:t>
      </w:r>
      <w:r w:rsidRPr="00B27DD8">
        <w:rPr>
          <w:rFonts w:ascii="Times New Roman" w:eastAsia="Calibri" w:hAnsi="Times New Roman" w:cs="Mangal"/>
          <w:b/>
          <w:bCs/>
          <w:sz w:val="20"/>
          <w:szCs w:val="20"/>
        </w:rPr>
        <w:t>Tail Suspension Test (TST)</w:t>
      </w:r>
    </w:p>
    <w:p w:rsidR="00B27DD8" w:rsidRPr="006E2967"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Cs/>
          <w:sz w:val="20"/>
          <w:szCs w:val="20"/>
        </w:rPr>
        <w:lastRenderedPageBreak/>
        <w:t xml:space="preserve">The results (Table. 2) showed that both EEASW (100,200,400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xml:space="preserve">.) and </w:t>
      </w: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(15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 xml:space="preserve">.) significantly decreased the duration of immobility time in a dose dependent manner in TST model. Post-hoc analysis showed that the EEASW (100, 200 and 400 mg/kg) and IMP treated groups were significantly different (p&lt;0.001) from the vehicle treated group. </w:t>
      </w:r>
    </w:p>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proofErr w:type="gramStart"/>
      <w:r w:rsidRPr="00B27DD8">
        <w:rPr>
          <w:rFonts w:ascii="Times New Roman" w:eastAsia="Calibri" w:hAnsi="Times New Roman" w:cs="Mangal"/>
          <w:bCs/>
          <w:sz w:val="20"/>
          <w:szCs w:val="20"/>
        </w:rPr>
        <w:t>Table.</w:t>
      </w:r>
      <w:proofErr w:type="gramEnd"/>
      <w:r w:rsidRPr="00B27DD8">
        <w:rPr>
          <w:rFonts w:ascii="Times New Roman" w:eastAsia="Calibri" w:hAnsi="Times New Roman" w:cs="Mangal"/>
          <w:bCs/>
          <w:sz w:val="20"/>
          <w:szCs w:val="20"/>
        </w:rPr>
        <w:t xml:space="preserve"> </w:t>
      </w:r>
      <w:r w:rsidRPr="00B27DD8">
        <w:rPr>
          <w:rFonts w:ascii="Times New Roman" w:hAnsi="Times New Roman"/>
          <w:bCs/>
          <w:sz w:val="20"/>
          <w:szCs w:val="20"/>
        </w:rPr>
        <w:t xml:space="preserve">2: </w:t>
      </w:r>
      <w:r w:rsidRPr="00B27DD8">
        <w:rPr>
          <w:rFonts w:ascii="Times New Roman" w:eastAsia="Calibri" w:hAnsi="Times New Roman" w:cs="Mangal"/>
          <w:bCs/>
          <w:sz w:val="20"/>
          <w:szCs w:val="20"/>
        </w:rPr>
        <w:t>Tail Suspension Test (TST)</w:t>
      </w:r>
    </w:p>
    <w:tbl>
      <w:tblPr>
        <w:tblW w:w="0" w:type="auto"/>
        <w:jc w:val="center"/>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0"/>
        <w:gridCol w:w="3117"/>
        <w:gridCol w:w="1380"/>
      </w:tblGrid>
      <w:tr w:rsidR="00B27DD8" w:rsidRPr="00B27DD8" w:rsidTr="00B27DD8">
        <w:trPr>
          <w:trHeight w:val="716"/>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
                <w:bCs/>
                <w:sz w:val="20"/>
                <w:szCs w:val="20"/>
              </w:rPr>
            </w:pPr>
            <w:r w:rsidRPr="00B27DD8">
              <w:rPr>
                <w:rFonts w:ascii="Times New Roman" w:eastAsia="Calibri" w:hAnsi="Times New Roman" w:cs="Mangal"/>
                <w:b/>
                <w:bCs/>
                <w:sz w:val="20"/>
                <w:szCs w:val="20"/>
              </w:rPr>
              <w:t>Group no.</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
                <w:bCs/>
                <w:sz w:val="20"/>
                <w:szCs w:val="20"/>
              </w:rPr>
            </w:pPr>
            <w:r w:rsidRPr="00B27DD8">
              <w:rPr>
                <w:rFonts w:ascii="Times New Roman" w:eastAsia="Calibri" w:hAnsi="Times New Roman" w:cs="Mangal"/>
                <w:b/>
                <w:bCs/>
                <w:sz w:val="20"/>
                <w:szCs w:val="20"/>
              </w:rPr>
              <w:t>Treatment (dose in mg/kg)</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
                <w:bCs/>
                <w:sz w:val="20"/>
                <w:szCs w:val="20"/>
              </w:rPr>
            </w:pPr>
            <w:r w:rsidRPr="00B27DD8">
              <w:rPr>
                <w:rFonts w:ascii="Times New Roman" w:eastAsia="Calibri" w:hAnsi="Times New Roman" w:cs="Mangal"/>
                <w:b/>
                <w:bCs/>
                <w:sz w:val="20"/>
                <w:szCs w:val="20"/>
              </w:rPr>
              <w:t>Immobility period (sec)</w:t>
            </w:r>
          </w:p>
        </w:tc>
      </w:tr>
      <w:tr w:rsidR="00B27DD8" w:rsidRPr="00B27DD8" w:rsidTr="00B27DD8">
        <w:trPr>
          <w:trHeight w:val="405"/>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I</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Control (0.3% CMC) + TST</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137.1±8.1</w:t>
            </w:r>
          </w:p>
        </w:tc>
      </w:tr>
      <w:tr w:rsidR="00B27DD8" w:rsidRPr="00B27DD8" w:rsidTr="00B27DD8">
        <w:trPr>
          <w:trHeight w:val="382"/>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II</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i/>
                <w:sz w:val="20"/>
                <w:szCs w:val="20"/>
              </w:rPr>
              <w:t>EEASW</w:t>
            </w:r>
            <w:r w:rsidRPr="00B27DD8">
              <w:rPr>
                <w:rFonts w:ascii="Times New Roman" w:eastAsia="Calibri" w:hAnsi="Times New Roman" w:cs="Mangal"/>
                <w:bCs/>
                <w:sz w:val="20"/>
                <w:szCs w:val="20"/>
              </w:rPr>
              <w:t xml:space="preserve"> (100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TST</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113.2±02.</w:t>
            </w:r>
            <w:bookmarkStart w:id="1" w:name="OLE_LINK3"/>
            <w:r w:rsidRPr="00B27DD8">
              <w:rPr>
                <w:rFonts w:ascii="Times New Roman" w:eastAsia="Calibri" w:hAnsi="Times New Roman" w:cs="Mangal"/>
                <w:bCs/>
                <w:sz w:val="20"/>
                <w:szCs w:val="20"/>
              </w:rPr>
              <w:t>1</w:t>
            </w:r>
            <w:r w:rsidRPr="00B27DD8">
              <w:rPr>
                <w:rFonts w:ascii="Times New Roman" w:eastAsia="Calibri" w:hAnsi="Times New Roman" w:cs="Mangal"/>
                <w:bCs/>
                <w:sz w:val="20"/>
                <w:szCs w:val="20"/>
                <w:vertAlign w:val="superscript"/>
              </w:rPr>
              <w:t>a</w:t>
            </w:r>
            <w:bookmarkEnd w:id="1"/>
          </w:p>
        </w:tc>
      </w:tr>
      <w:tr w:rsidR="00B27DD8" w:rsidRPr="00B27DD8" w:rsidTr="00B27DD8">
        <w:trPr>
          <w:trHeight w:val="347"/>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III</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(200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TST</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96.2±7.2</w:t>
            </w:r>
            <w:r w:rsidRPr="00B27DD8">
              <w:rPr>
                <w:rFonts w:ascii="Times New Roman" w:eastAsia="Calibri" w:hAnsi="Times New Roman" w:cs="Mangal"/>
                <w:bCs/>
                <w:sz w:val="20"/>
                <w:szCs w:val="20"/>
                <w:vertAlign w:val="superscript"/>
              </w:rPr>
              <w:t>a</w:t>
            </w:r>
          </w:p>
        </w:tc>
      </w:tr>
      <w:tr w:rsidR="00B27DD8" w:rsidRPr="00B27DD8" w:rsidTr="00B27DD8">
        <w:trPr>
          <w:trHeight w:val="382"/>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IV</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 + TST</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82.1±5.2</w:t>
            </w:r>
            <w:r w:rsidRPr="00B27DD8">
              <w:rPr>
                <w:rFonts w:ascii="Times New Roman" w:eastAsia="Calibri" w:hAnsi="Times New Roman" w:cs="Mangal"/>
                <w:bCs/>
                <w:sz w:val="20"/>
                <w:szCs w:val="20"/>
                <w:vertAlign w:val="superscript"/>
              </w:rPr>
              <w:t xml:space="preserve"> a</w:t>
            </w:r>
          </w:p>
        </w:tc>
      </w:tr>
      <w:tr w:rsidR="00B27DD8" w:rsidRPr="00B27DD8" w:rsidTr="00B27DD8">
        <w:trPr>
          <w:trHeight w:val="405"/>
          <w:jc w:val="center"/>
        </w:trPr>
        <w:tc>
          <w:tcPr>
            <w:tcW w:w="85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V</w:t>
            </w:r>
          </w:p>
        </w:tc>
        <w:tc>
          <w:tcPr>
            <w:tcW w:w="3117"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(15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 + TST</w:t>
            </w:r>
          </w:p>
        </w:tc>
        <w:tc>
          <w:tcPr>
            <w:tcW w:w="1380" w:type="dxa"/>
            <w:shd w:val="clear" w:color="auto" w:fill="auto"/>
          </w:tcPr>
          <w:p w:rsidR="00B27DD8" w:rsidRPr="00B27DD8" w:rsidRDefault="00B27DD8" w:rsidP="00B27DD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r w:rsidRPr="00B27DD8">
              <w:rPr>
                <w:rFonts w:ascii="Times New Roman" w:eastAsia="Calibri" w:hAnsi="Times New Roman" w:cs="Mangal"/>
                <w:bCs/>
                <w:sz w:val="20"/>
                <w:szCs w:val="20"/>
              </w:rPr>
              <w:t>62.5±1.4</w:t>
            </w:r>
            <w:r w:rsidRPr="00B27DD8">
              <w:rPr>
                <w:rFonts w:ascii="Times New Roman" w:eastAsia="Calibri" w:hAnsi="Times New Roman" w:cs="Mangal"/>
                <w:bCs/>
                <w:sz w:val="20"/>
                <w:szCs w:val="20"/>
                <w:vertAlign w:val="superscript"/>
              </w:rPr>
              <w:t xml:space="preserve"> a</w:t>
            </w:r>
          </w:p>
        </w:tc>
      </w:tr>
    </w:tbl>
    <w:p w:rsidR="00B27DD8" w:rsidRDefault="00B27DD8" w:rsidP="00B27DD8">
      <w:pPr>
        <w:tabs>
          <w:tab w:val="left" w:pos="1260"/>
        </w:tabs>
        <w:autoSpaceDE w:val="0"/>
        <w:autoSpaceDN w:val="0"/>
        <w:adjustRightInd w:val="0"/>
        <w:spacing w:after="0" w:line="360" w:lineRule="auto"/>
        <w:jc w:val="both"/>
        <w:rPr>
          <w:rFonts w:ascii="Times New Roman" w:hAnsi="Times New Roman"/>
          <w:b/>
          <w:bCs/>
          <w:sz w:val="20"/>
          <w:szCs w:val="20"/>
        </w:rPr>
      </w:pPr>
      <w:r w:rsidRPr="00B27DD8">
        <w:rPr>
          <w:rFonts w:ascii="Times New Roman" w:hAnsi="Times New Roman"/>
          <w:b/>
          <w:bCs/>
          <w:sz w:val="20"/>
          <w:szCs w:val="20"/>
        </w:rPr>
        <w:t>3.3.</w:t>
      </w:r>
      <w:r>
        <w:rPr>
          <w:rFonts w:ascii="Times New Roman" w:hAnsi="Times New Roman"/>
          <w:bCs/>
          <w:sz w:val="20"/>
          <w:szCs w:val="20"/>
        </w:rPr>
        <w:t xml:space="preserve"> </w:t>
      </w:r>
      <w:r w:rsidRPr="00B27DD8">
        <w:rPr>
          <w:rFonts w:ascii="Times New Roman" w:eastAsia="Calibri" w:hAnsi="Times New Roman" w:cs="Mangal"/>
          <w:b/>
          <w:bCs/>
          <w:sz w:val="20"/>
          <w:szCs w:val="20"/>
        </w:rPr>
        <w:t>5-HTP induced head twitches in mice</w:t>
      </w:r>
    </w:p>
    <w:p w:rsidR="00B27DD8" w:rsidRDefault="00B27DD8" w:rsidP="00B27DD8">
      <w:pPr>
        <w:tabs>
          <w:tab w:val="left" w:pos="1260"/>
        </w:tabs>
        <w:autoSpaceDE w:val="0"/>
        <w:autoSpaceDN w:val="0"/>
        <w:adjustRightInd w:val="0"/>
        <w:spacing w:after="0" w:line="360" w:lineRule="auto"/>
        <w:jc w:val="both"/>
        <w:rPr>
          <w:rFonts w:ascii="Times New Roman" w:hAnsi="Times New Roman"/>
          <w:bCs/>
          <w:sz w:val="20"/>
          <w:szCs w:val="20"/>
        </w:rPr>
      </w:pPr>
      <w:r w:rsidRPr="00B27DD8">
        <w:rPr>
          <w:rFonts w:ascii="Times New Roman" w:eastAsia="Calibri" w:hAnsi="Times New Roman" w:cs="Mangal"/>
          <w:bCs/>
          <w:sz w:val="20"/>
          <w:szCs w:val="20"/>
        </w:rPr>
        <w:t xml:space="preserve">Table.3. illustrates the effect of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 </w:t>
      </w:r>
      <w:proofErr w:type="spellStart"/>
      <w:r w:rsidRPr="00B27DD8">
        <w:rPr>
          <w:rFonts w:ascii="Times New Roman" w:eastAsia="Calibri" w:hAnsi="Times New Roman" w:cs="Mangal"/>
          <w:bCs/>
          <w:i/>
          <w:iCs/>
          <w:sz w:val="20"/>
          <w:szCs w:val="20"/>
        </w:rPr>
        <w:t>Wangerin</w:t>
      </w:r>
      <w:proofErr w:type="spellEnd"/>
      <w:r w:rsidRPr="00B27DD8">
        <w:rPr>
          <w:rFonts w:ascii="Times New Roman" w:eastAsia="Calibri" w:hAnsi="Times New Roman" w:cs="Mangal"/>
          <w:bCs/>
          <w:i/>
          <w:iCs/>
          <w:sz w:val="20"/>
          <w:szCs w:val="20"/>
        </w:rPr>
        <w:t xml:space="preserve"> </w:t>
      </w:r>
      <w:r w:rsidRPr="00B27DD8">
        <w:rPr>
          <w:rFonts w:ascii="Times New Roman" w:eastAsia="Calibri" w:hAnsi="Times New Roman" w:cs="Mangal"/>
          <w:bCs/>
          <w:sz w:val="20"/>
          <w:szCs w:val="20"/>
        </w:rPr>
        <w:t xml:space="preserve">and IMP on 5-HTP-induced head twitches in mice. Post-hoc analysis revealed that three doses of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 </w:t>
      </w:r>
      <w:proofErr w:type="spellStart"/>
      <w:r w:rsidRPr="00B27DD8">
        <w:rPr>
          <w:rFonts w:ascii="Times New Roman" w:eastAsia="Calibri" w:hAnsi="Times New Roman" w:cs="Mangal"/>
          <w:bCs/>
          <w:i/>
          <w:iCs/>
          <w:sz w:val="20"/>
          <w:szCs w:val="20"/>
        </w:rPr>
        <w:t>Wangerin</w:t>
      </w:r>
      <w:proofErr w:type="spellEnd"/>
      <w:r w:rsidRPr="00B27DD8">
        <w:rPr>
          <w:rFonts w:ascii="Times New Roman" w:eastAsia="Calibri" w:hAnsi="Times New Roman" w:cs="Mangal"/>
          <w:bCs/>
          <w:i/>
          <w:iCs/>
          <w:sz w:val="20"/>
          <w:szCs w:val="20"/>
        </w:rPr>
        <w:t xml:space="preserve"> </w:t>
      </w:r>
      <w:r w:rsidRPr="00B27DD8">
        <w:rPr>
          <w:rFonts w:ascii="Times New Roman" w:eastAsia="Calibri" w:hAnsi="Times New Roman" w:cs="Mangal"/>
          <w:bCs/>
          <w:sz w:val="20"/>
          <w:szCs w:val="20"/>
        </w:rPr>
        <w:t xml:space="preserve">(100, 200 and 400 mg/kg, p&lt;0.01, p&lt;0.001) significantly increased the 5-HTP-induced head twitches in comparison to control group. Further, the dose of 400 mg/kg was more effective than 100, 200 mg/kg. Similarly, IMP treated group showed significant increase (p&lt;0.001) in the 5-HTP-induced head twitches compared to control. </w:t>
      </w:r>
      <w:proofErr w:type="gramStart"/>
      <w:r w:rsidRPr="00B27DD8">
        <w:rPr>
          <w:rFonts w:ascii="Times New Roman" w:eastAsia="Calibri" w:hAnsi="Times New Roman" w:cs="Mangal"/>
          <w:bCs/>
          <w:sz w:val="20"/>
          <w:szCs w:val="20"/>
        </w:rPr>
        <w:t xml:space="preserve">However, the effect of 400 mg/kg of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w:t>
      </w:r>
      <w:proofErr w:type="gram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Wangerin</w:t>
      </w:r>
      <w:proofErr w:type="spellEnd"/>
      <w:r w:rsidRPr="00B27DD8">
        <w:rPr>
          <w:rFonts w:ascii="Times New Roman" w:eastAsia="Calibri" w:hAnsi="Times New Roman" w:cs="Mangal"/>
          <w:bCs/>
          <w:i/>
          <w:iCs/>
          <w:sz w:val="20"/>
          <w:szCs w:val="20"/>
        </w:rPr>
        <w:t xml:space="preserve"> </w:t>
      </w:r>
      <w:r w:rsidRPr="00B27DD8">
        <w:rPr>
          <w:rFonts w:ascii="Times New Roman" w:eastAsia="Calibri" w:hAnsi="Times New Roman" w:cs="Mangal"/>
          <w:bCs/>
          <w:sz w:val="20"/>
          <w:szCs w:val="20"/>
        </w:rPr>
        <w:t>was significantly higher than IMP (p&lt;0.001)</w:t>
      </w:r>
      <w:r>
        <w:rPr>
          <w:rFonts w:ascii="Times New Roman" w:hAnsi="Times New Roman"/>
          <w:bCs/>
          <w:sz w:val="20"/>
          <w:szCs w:val="20"/>
        </w:rPr>
        <w:t>.</w:t>
      </w:r>
    </w:p>
    <w:p w:rsidR="00B27DD8" w:rsidRDefault="00B27DD8" w:rsidP="00B27DD8">
      <w:pPr>
        <w:tabs>
          <w:tab w:val="left" w:pos="1260"/>
        </w:tabs>
        <w:autoSpaceDE w:val="0"/>
        <w:autoSpaceDN w:val="0"/>
        <w:adjustRightInd w:val="0"/>
        <w:spacing w:after="0" w:line="360" w:lineRule="auto"/>
        <w:jc w:val="center"/>
        <w:rPr>
          <w:rFonts w:ascii="Times New Roman" w:hAnsi="Times New Roman"/>
          <w:bCs/>
          <w:sz w:val="20"/>
          <w:szCs w:val="20"/>
        </w:rPr>
      </w:pPr>
      <w:proofErr w:type="gramStart"/>
      <w:r w:rsidRPr="00B27DD8">
        <w:rPr>
          <w:rFonts w:ascii="Times New Roman" w:eastAsia="Calibri" w:hAnsi="Times New Roman" w:cs="Mangal"/>
          <w:bCs/>
          <w:sz w:val="20"/>
          <w:szCs w:val="20"/>
        </w:rPr>
        <w:t>Table.</w:t>
      </w:r>
      <w:proofErr w:type="gramEnd"/>
      <w:r w:rsidRPr="00B27DD8">
        <w:rPr>
          <w:rFonts w:ascii="Times New Roman" w:eastAsia="Calibri" w:hAnsi="Times New Roman" w:cs="Mangal"/>
          <w:bCs/>
          <w:sz w:val="20"/>
          <w:szCs w:val="20"/>
        </w:rPr>
        <w:t xml:space="preserve"> </w:t>
      </w:r>
      <w:r>
        <w:rPr>
          <w:rFonts w:ascii="Times New Roman" w:hAnsi="Times New Roman"/>
          <w:bCs/>
          <w:sz w:val="20"/>
          <w:szCs w:val="20"/>
        </w:rPr>
        <w:t>3</w:t>
      </w:r>
      <w:r w:rsidRPr="00B27DD8">
        <w:rPr>
          <w:rFonts w:ascii="Times New Roman" w:hAnsi="Times New Roman"/>
          <w:bCs/>
          <w:sz w:val="20"/>
          <w:szCs w:val="20"/>
        </w:rPr>
        <w:t xml:space="preserve">: </w:t>
      </w:r>
      <w:r w:rsidRPr="00B27DD8">
        <w:rPr>
          <w:rFonts w:ascii="Times New Roman" w:eastAsia="Calibri" w:hAnsi="Times New Roman" w:cs="Mangal"/>
          <w:bCs/>
          <w:sz w:val="20"/>
          <w:szCs w:val="20"/>
        </w:rPr>
        <w:t>5-HTP induced head twitches in mice</w:t>
      </w:r>
    </w:p>
    <w:tbl>
      <w:tblPr>
        <w:tblW w:w="4808"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2555"/>
        <w:gridCol w:w="1470"/>
      </w:tblGrid>
      <w:tr w:rsidR="00B27DD8" w:rsidRPr="00B27DD8" w:rsidTr="00B27DD8">
        <w:trPr>
          <w:trHeight w:val="644"/>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Group no.</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Treatment</w:t>
            </w:r>
          </w:p>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(dose in mg/kg)</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Head twitches</w:t>
            </w:r>
          </w:p>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Mean ± SEM</w:t>
            </w:r>
          </w:p>
        </w:tc>
      </w:tr>
      <w:tr w:rsidR="00B27DD8" w:rsidRPr="00B27DD8" w:rsidTr="00B27DD8">
        <w:trPr>
          <w:trHeight w:val="332"/>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Control (0.3% CMC)</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11.9±2.1</w:t>
            </w:r>
          </w:p>
        </w:tc>
      </w:tr>
      <w:tr w:rsidR="00B27DD8" w:rsidRPr="00B27DD8" w:rsidTr="00B27DD8">
        <w:trPr>
          <w:trHeight w:val="313"/>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(100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vertAlign w:val="superscript"/>
              </w:rPr>
            </w:pPr>
            <w:r w:rsidRPr="00B27DD8">
              <w:rPr>
                <w:rFonts w:ascii="Times New Roman" w:eastAsia="Calibri" w:hAnsi="Times New Roman" w:cs="Mangal"/>
                <w:bCs/>
                <w:sz w:val="20"/>
                <w:szCs w:val="20"/>
              </w:rPr>
              <w:t>28.5±1.2</w:t>
            </w:r>
            <w:r w:rsidRPr="00B27DD8">
              <w:rPr>
                <w:rFonts w:ascii="Times New Roman" w:eastAsia="Calibri" w:hAnsi="Times New Roman" w:cs="Mangal"/>
                <w:bCs/>
                <w:sz w:val="20"/>
                <w:szCs w:val="20"/>
                <w:vertAlign w:val="superscript"/>
              </w:rPr>
              <w:t>a</w:t>
            </w:r>
          </w:p>
        </w:tc>
      </w:tr>
      <w:tr w:rsidR="00B27DD8" w:rsidRPr="00B27DD8" w:rsidTr="00B27DD8">
        <w:trPr>
          <w:trHeight w:val="332"/>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III</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(200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26.1±3.2</w:t>
            </w:r>
            <w:r w:rsidRPr="00B27DD8">
              <w:rPr>
                <w:rFonts w:ascii="Times New Roman" w:eastAsia="Calibri" w:hAnsi="Times New Roman" w:cs="Mangal"/>
                <w:bCs/>
                <w:sz w:val="20"/>
                <w:szCs w:val="20"/>
                <w:vertAlign w:val="superscript"/>
              </w:rPr>
              <w:t>b</w:t>
            </w:r>
          </w:p>
        </w:tc>
      </w:tr>
      <w:tr w:rsidR="00B27DD8" w:rsidRPr="00B27DD8" w:rsidTr="00B27DD8">
        <w:trPr>
          <w:trHeight w:val="332"/>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IV</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35.5±2.1</w:t>
            </w:r>
            <w:r w:rsidRPr="00B27DD8">
              <w:rPr>
                <w:rFonts w:ascii="Times New Roman" w:eastAsia="Calibri" w:hAnsi="Times New Roman" w:cs="Mangal"/>
                <w:bCs/>
                <w:sz w:val="20"/>
                <w:szCs w:val="20"/>
                <w:vertAlign w:val="superscript"/>
              </w:rPr>
              <w:t xml:space="preserve"> b</w:t>
            </w:r>
          </w:p>
        </w:tc>
      </w:tr>
      <w:tr w:rsidR="00B27DD8" w:rsidRPr="00B27DD8" w:rsidTr="00B27DD8">
        <w:trPr>
          <w:trHeight w:val="332"/>
          <w:jc w:val="center"/>
        </w:trPr>
        <w:tc>
          <w:tcPr>
            <w:tcW w:w="516"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V</w:t>
            </w:r>
          </w:p>
        </w:tc>
        <w:tc>
          <w:tcPr>
            <w:tcW w:w="2754"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proofErr w:type="spellStart"/>
            <w:r w:rsidRPr="00B27DD8">
              <w:rPr>
                <w:rFonts w:ascii="Times New Roman" w:eastAsia="Calibri" w:hAnsi="Times New Roman" w:cs="Mangal"/>
                <w:bCs/>
                <w:sz w:val="20"/>
                <w:szCs w:val="20"/>
              </w:rPr>
              <w:t>Imipramine</w:t>
            </w:r>
            <w:proofErr w:type="spellEnd"/>
            <w:r w:rsidRPr="00B27DD8">
              <w:rPr>
                <w:rFonts w:ascii="Times New Roman" w:eastAsia="Calibri" w:hAnsi="Times New Roman" w:cs="Mangal"/>
                <w:bCs/>
                <w:sz w:val="20"/>
                <w:szCs w:val="20"/>
              </w:rPr>
              <w:t xml:space="preserve"> (15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w:t>
            </w:r>
          </w:p>
        </w:tc>
        <w:tc>
          <w:tcPr>
            <w:tcW w:w="1538"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23.1±1.1</w:t>
            </w:r>
            <w:r w:rsidRPr="00B27DD8">
              <w:rPr>
                <w:rFonts w:ascii="Times New Roman" w:eastAsia="Calibri" w:hAnsi="Times New Roman" w:cs="Mangal"/>
                <w:bCs/>
                <w:sz w:val="20"/>
                <w:szCs w:val="20"/>
                <w:vertAlign w:val="superscript"/>
              </w:rPr>
              <w:t xml:space="preserve"> b</w:t>
            </w:r>
          </w:p>
        </w:tc>
      </w:tr>
    </w:tbl>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hAnsi="Times New Roman"/>
          <w:b/>
          <w:bCs/>
          <w:sz w:val="20"/>
          <w:szCs w:val="20"/>
        </w:rPr>
        <w:t>3.4.</w:t>
      </w:r>
      <w:r>
        <w:rPr>
          <w:rFonts w:ascii="Times New Roman" w:hAnsi="Times New Roman"/>
          <w:bCs/>
          <w:sz w:val="20"/>
          <w:szCs w:val="20"/>
        </w:rPr>
        <w:t xml:space="preserve"> </w:t>
      </w:r>
      <w:r w:rsidRPr="00B27DD8">
        <w:rPr>
          <w:rFonts w:ascii="Times New Roman" w:eastAsia="Calibri" w:hAnsi="Times New Roman" w:cs="Mangal"/>
          <w:b/>
          <w:bCs/>
          <w:sz w:val="20"/>
          <w:szCs w:val="20"/>
        </w:rPr>
        <w:t>L-DOPA induced hyperactivity and aggressive behavior in mice</w:t>
      </w:r>
    </w:p>
    <w:p w:rsidR="00B27DD8" w:rsidRDefault="00B27DD8" w:rsidP="00B27DD8">
      <w:pPr>
        <w:tabs>
          <w:tab w:val="left" w:pos="1260"/>
        </w:tabs>
        <w:autoSpaceDE w:val="0"/>
        <w:autoSpaceDN w:val="0"/>
        <w:adjustRightInd w:val="0"/>
        <w:spacing w:after="0" w:line="360" w:lineRule="auto"/>
        <w:jc w:val="both"/>
        <w:rPr>
          <w:rFonts w:ascii="Times New Roman" w:hAnsi="Times New Roman"/>
          <w:bCs/>
          <w:sz w:val="20"/>
          <w:szCs w:val="20"/>
        </w:rPr>
      </w:pPr>
      <w:proofErr w:type="gramStart"/>
      <w:r w:rsidRPr="00B27DD8">
        <w:rPr>
          <w:rFonts w:ascii="Times New Roman" w:eastAsia="Calibri" w:hAnsi="Times New Roman" w:cs="Mangal"/>
          <w:bCs/>
          <w:sz w:val="20"/>
          <w:szCs w:val="20"/>
        </w:rPr>
        <w:t xml:space="preserve">The effect of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w:t>
      </w:r>
      <w:proofErr w:type="gram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Wangerin</w:t>
      </w:r>
      <w:proofErr w:type="spellEnd"/>
      <w:r w:rsidRPr="00B27DD8">
        <w:rPr>
          <w:rFonts w:ascii="Times New Roman" w:eastAsia="Calibri" w:hAnsi="Times New Roman" w:cs="Mangal"/>
          <w:bCs/>
          <w:i/>
          <w:iCs/>
          <w:sz w:val="20"/>
          <w:szCs w:val="20"/>
        </w:rPr>
        <w:t xml:space="preserve"> </w:t>
      </w:r>
      <w:r w:rsidRPr="00B27DD8">
        <w:rPr>
          <w:rFonts w:ascii="Times New Roman" w:eastAsia="Calibri" w:hAnsi="Times New Roman" w:cs="Mangal"/>
          <w:bCs/>
          <w:sz w:val="20"/>
          <w:szCs w:val="20"/>
        </w:rPr>
        <w:t xml:space="preserve">and </w:t>
      </w:r>
      <w:proofErr w:type="spellStart"/>
      <w:r w:rsidRPr="00B27DD8">
        <w:rPr>
          <w:rFonts w:ascii="Times New Roman" w:eastAsia="Calibri" w:hAnsi="Times New Roman" w:cs="Mangal"/>
          <w:bCs/>
          <w:sz w:val="20"/>
          <w:szCs w:val="20"/>
        </w:rPr>
        <w:t>lorazepam</w:t>
      </w:r>
      <w:proofErr w:type="spellEnd"/>
      <w:r w:rsidRPr="00B27DD8">
        <w:rPr>
          <w:rFonts w:ascii="Times New Roman" w:eastAsia="Calibri" w:hAnsi="Times New Roman" w:cs="Mangal"/>
          <w:bCs/>
          <w:sz w:val="20"/>
          <w:szCs w:val="20"/>
        </w:rPr>
        <w:t xml:space="preserve"> on L-DOPA-induced hyperactivity and aggressive behavior is shown in Table 4. Post-hoc analysis revealed that three doses of </w:t>
      </w:r>
      <w:proofErr w:type="spellStart"/>
      <w:r w:rsidRPr="00B27DD8">
        <w:rPr>
          <w:rFonts w:ascii="Times New Roman" w:eastAsia="Calibri" w:hAnsi="Times New Roman" w:cs="Mangal"/>
          <w:bCs/>
          <w:i/>
          <w:iCs/>
          <w:sz w:val="20"/>
          <w:szCs w:val="20"/>
        </w:rPr>
        <w:t>Alangium</w:t>
      </w:r>
      <w:proofErr w:type="spellEnd"/>
      <w:r w:rsidRPr="00B27DD8">
        <w:rPr>
          <w:rFonts w:ascii="Times New Roman" w:eastAsia="Calibri" w:hAnsi="Times New Roman" w:cs="Mangal"/>
          <w:bCs/>
          <w:i/>
          <w:iCs/>
          <w:sz w:val="20"/>
          <w:szCs w:val="20"/>
        </w:rPr>
        <w:t xml:space="preserve"> </w:t>
      </w:r>
      <w:proofErr w:type="spellStart"/>
      <w:r w:rsidRPr="00B27DD8">
        <w:rPr>
          <w:rFonts w:ascii="Times New Roman" w:eastAsia="Calibri" w:hAnsi="Times New Roman" w:cs="Mangal"/>
          <w:bCs/>
          <w:i/>
          <w:iCs/>
          <w:sz w:val="20"/>
          <w:szCs w:val="20"/>
        </w:rPr>
        <w:t>Salviifolium</w:t>
      </w:r>
      <w:proofErr w:type="spellEnd"/>
      <w:r w:rsidRPr="00B27DD8">
        <w:rPr>
          <w:rFonts w:ascii="Times New Roman" w:eastAsia="Calibri" w:hAnsi="Times New Roman" w:cs="Mangal"/>
          <w:bCs/>
          <w:i/>
          <w:iCs/>
          <w:sz w:val="20"/>
          <w:szCs w:val="20"/>
        </w:rPr>
        <w:t xml:space="preserve"> (L. F.) </w:t>
      </w:r>
      <w:proofErr w:type="spellStart"/>
      <w:r w:rsidRPr="00B27DD8">
        <w:rPr>
          <w:rFonts w:ascii="Times New Roman" w:eastAsia="Calibri" w:hAnsi="Times New Roman" w:cs="Mangal"/>
          <w:bCs/>
          <w:i/>
          <w:iCs/>
          <w:sz w:val="20"/>
          <w:szCs w:val="20"/>
        </w:rPr>
        <w:t>Wangerin</w:t>
      </w:r>
      <w:proofErr w:type="spellEnd"/>
      <w:r w:rsidRPr="00B27DD8">
        <w:rPr>
          <w:rFonts w:ascii="Times New Roman" w:eastAsia="Calibri" w:hAnsi="Times New Roman" w:cs="Mangal"/>
          <w:bCs/>
          <w:i/>
          <w:iCs/>
          <w:sz w:val="20"/>
          <w:szCs w:val="20"/>
        </w:rPr>
        <w:t xml:space="preserve"> </w:t>
      </w:r>
      <w:r w:rsidRPr="00B27DD8">
        <w:rPr>
          <w:rFonts w:ascii="Times New Roman" w:eastAsia="Calibri" w:hAnsi="Times New Roman" w:cs="Mangal"/>
          <w:bCs/>
          <w:sz w:val="20"/>
          <w:szCs w:val="20"/>
        </w:rPr>
        <w:t>(100,200 and 400 mg/kg, p&lt;0.001) significantly increased the L-DOPA-induced hyperactivity and aggressive behavior (LHA) in comparison to control group.</w:t>
      </w:r>
    </w:p>
    <w:p w:rsidR="00CF1148" w:rsidRPr="00B27DD8" w:rsidRDefault="00CF1148" w:rsidP="00CF114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proofErr w:type="gramStart"/>
      <w:r w:rsidRPr="00CF1148">
        <w:rPr>
          <w:rFonts w:ascii="Times New Roman" w:eastAsia="Calibri" w:hAnsi="Times New Roman" w:cs="Mangal"/>
          <w:bCs/>
          <w:sz w:val="20"/>
          <w:szCs w:val="20"/>
        </w:rPr>
        <w:t>Table.</w:t>
      </w:r>
      <w:proofErr w:type="gramEnd"/>
      <w:r w:rsidRPr="00CF1148">
        <w:rPr>
          <w:rFonts w:ascii="Times New Roman" w:eastAsia="Calibri" w:hAnsi="Times New Roman" w:cs="Mangal"/>
          <w:bCs/>
          <w:sz w:val="20"/>
          <w:szCs w:val="20"/>
        </w:rPr>
        <w:t xml:space="preserve"> </w:t>
      </w:r>
      <w:r>
        <w:rPr>
          <w:rFonts w:ascii="Times New Roman" w:hAnsi="Times New Roman"/>
          <w:bCs/>
          <w:sz w:val="20"/>
          <w:szCs w:val="20"/>
        </w:rPr>
        <w:t>4</w:t>
      </w:r>
      <w:r w:rsidRPr="00CF1148">
        <w:rPr>
          <w:rFonts w:ascii="Times New Roman" w:hAnsi="Times New Roman"/>
          <w:bCs/>
          <w:sz w:val="20"/>
          <w:szCs w:val="20"/>
        </w:rPr>
        <w:t xml:space="preserve">: </w:t>
      </w:r>
      <w:r w:rsidRPr="00CF1148">
        <w:rPr>
          <w:rFonts w:ascii="Times New Roman" w:eastAsia="Calibri" w:hAnsi="Times New Roman" w:cs="Mangal"/>
          <w:bCs/>
          <w:sz w:val="20"/>
          <w:szCs w:val="20"/>
        </w:rPr>
        <w:t>5-HTP induced head twitches in mice</w:t>
      </w:r>
    </w:p>
    <w:tbl>
      <w:tblPr>
        <w:tblW w:w="5514" w:type="dxa"/>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2500"/>
        <w:gridCol w:w="2163"/>
      </w:tblGrid>
      <w:tr w:rsidR="00B27DD8" w:rsidRPr="00B27DD8" w:rsidTr="00CF1148">
        <w:trPr>
          <w:trHeight w:val="665"/>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Group o.</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Treatment (dose in mg/kg)</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B27DD8">
              <w:rPr>
                <w:rFonts w:ascii="Times New Roman" w:eastAsia="Calibri" w:hAnsi="Times New Roman" w:cs="Mangal"/>
                <w:b/>
                <w:bCs/>
                <w:sz w:val="20"/>
                <w:szCs w:val="20"/>
              </w:rPr>
              <w:t>Behavioral score</w:t>
            </w:r>
          </w:p>
        </w:tc>
      </w:tr>
      <w:tr w:rsidR="00B27DD8" w:rsidRPr="00B27DD8" w:rsidTr="00CF1148">
        <w:trPr>
          <w:trHeight w:val="343"/>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Control (0.3% CMC)</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1</w:t>
            </w:r>
          </w:p>
        </w:tc>
      </w:tr>
      <w:tr w:rsidR="00B27DD8" w:rsidRPr="00B27DD8" w:rsidTr="00CF1148">
        <w:trPr>
          <w:trHeight w:val="322"/>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(100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2.1 ± 0.2</w:t>
            </w:r>
            <w:r w:rsidRPr="00B27DD8">
              <w:rPr>
                <w:rFonts w:ascii="Times New Roman" w:eastAsia="Calibri" w:hAnsi="Times New Roman" w:cs="Mangal"/>
                <w:bCs/>
                <w:sz w:val="20"/>
                <w:szCs w:val="20"/>
                <w:vertAlign w:val="superscript"/>
              </w:rPr>
              <w:t>a</w:t>
            </w:r>
          </w:p>
        </w:tc>
      </w:tr>
      <w:tr w:rsidR="00B27DD8" w:rsidRPr="00B27DD8" w:rsidTr="00CF1148">
        <w:trPr>
          <w:trHeight w:val="343"/>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III</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(200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2.3 ± 0.2</w:t>
            </w:r>
            <w:r w:rsidRPr="00B27DD8">
              <w:rPr>
                <w:rFonts w:ascii="Times New Roman" w:eastAsia="Calibri" w:hAnsi="Times New Roman" w:cs="Mangal"/>
                <w:bCs/>
                <w:sz w:val="20"/>
                <w:szCs w:val="20"/>
                <w:vertAlign w:val="superscript"/>
              </w:rPr>
              <w:t xml:space="preserve"> a</w:t>
            </w:r>
          </w:p>
        </w:tc>
      </w:tr>
      <w:tr w:rsidR="00B27DD8" w:rsidRPr="00B27DD8" w:rsidTr="00CF1148">
        <w:trPr>
          <w:trHeight w:val="322"/>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IV</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i/>
                <w:iCs/>
                <w:sz w:val="20"/>
                <w:szCs w:val="20"/>
              </w:rPr>
              <w:t xml:space="preserve">EEASW </w:t>
            </w:r>
            <w:r w:rsidRPr="00B27DD8">
              <w:rPr>
                <w:rFonts w:ascii="Times New Roman" w:eastAsia="Calibri" w:hAnsi="Times New Roman" w:cs="Mangal"/>
                <w:bCs/>
                <w:sz w:val="20"/>
                <w:szCs w:val="20"/>
              </w:rPr>
              <w:t xml:space="preserve">(400 mg/kg, </w:t>
            </w:r>
            <w:proofErr w:type="spellStart"/>
            <w:r w:rsidRPr="00B27DD8">
              <w:rPr>
                <w:rFonts w:ascii="Times New Roman" w:eastAsia="Calibri" w:hAnsi="Times New Roman" w:cs="Mangal"/>
                <w:bCs/>
                <w:sz w:val="20"/>
                <w:szCs w:val="20"/>
              </w:rPr>
              <w:t>p.o</w:t>
            </w:r>
            <w:proofErr w:type="spellEnd"/>
            <w:r w:rsidRPr="00B27DD8">
              <w:rPr>
                <w:rFonts w:ascii="Times New Roman" w:eastAsia="Calibri" w:hAnsi="Times New Roman" w:cs="Mangal"/>
                <w:bCs/>
                <w:sz w:val="20"/>
                <w:szCs w:val="20"/>
              </w:rPr>
              <w:t>.)</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2.2 ± 0.2</w:t>
            </w:r>
            <w:r w:rsidRPr="00B27DD8">
              <w:rPr>
                <w:rFonts w:ascii="Times New Roman" w:eastAsia="Calibri" w:hAnsi="Times New Roman" w:cs="Mangal"/>
                <w:bCs/>
                <w:sz w:val="20"/>
                <w:szCs w:val="20"/>
                <w:vertAlign w:val="superscript"/>
              </w:rPr>
              <w:t xml:space="preserve"> a</w:t>
            </w:r>
          </w:p>
        </w:tc>
      </w:tr>
      <w:tr w:rsidR="00B27DD8" w:rsidRPr="00B27DD8" w:rsidTr="00CF1148">
        <w:trPr>
          <w:trHeight w:val="167"/>
          <w:jc w:val="center"/>
        </w:trPr>
        <w:tc>
          <w:tcPr>
            <w:tcW w:w="851"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V</w:t>
            </w:r>
          </w:p>
        </w:tc>
        <w:tc>
          <w:tcPr>
            <w:tcW w:w="2500"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proofErr w:type="spellStart"/>
            <w:r w:rsidRPr="00B27DD8">
              <w:rPr>
                <w:rFonts w:ascii="Times New Roman" w:eastAsia="Calibri" w:hAnsi="Times New Roman" w:cs="Mangal"/>
                <w:bCs/>
                <w:sz w:val="20"/>
                <w:szCs w:val="20"/>
              </w:rPr>
              <w:t>Lorazepam</w:t>
            </w:r>
            <w:proofErr w:type="spellEnd"/>
            <w:r w:rsidRPr="00B27DD8">
              <w:rPr>
                <w:rFonts w:ascii="Times New Roman" w:eastAsia="Calibri" w:hAnsi="Times New Roman" w:cs="Mangal"/>
                <w:bCs/>
                <w:sz w:val="20"/>
                <w:szCs w:val="20"/>
              </w:rPr>
              <w:t xml:space="preserve"> (2.5 mg/kg, </w:t>
            </w:r>
            <w:proofErr w:type="spellStart"/>
            <w:r w:rsidRPr="00B27DD8">
              <w:rPr>
                <w:rFonts w:ascii="Times New Roman" w:eastAsia="Calibri" w:hAnsi="Times New Roman" w:cs="Mangal"/>
                <w:bCs/>
                <w:sz w:val="20"/>
                <w:szCs w:val="20"/>
              </w:rPr>
              <w:t>i.p</w:t>
            </w:r>
            <w:proofErr w:type="spellEnd"/>
            <w:r w:rsidRPr="00B27DD8">
              <w:rPr>
                <w:rFonts w:ascii="Times New Roman" w:eastAsia="Calibri" w:hAnsi="Times New Roman" w:cs="Mangal"/>
                <w:bCs/>
                <w:sz w:val="20"/>
                <w:szCs w:val="20"/>
              </w:rPr>
              <w:t>.)</w:t>
            </w:r>
          </w:p>
        </w:tc>
        <w:tc>
          <w:tcPr>
            <w:tcW w:w="2163" w:type="dxa"/>
            <w:shd w:val="clear" w:color="auto" w:fill="auto"/>
          </w:tcPr>
          <w:p w:rsidR="00B27DD8" w:rsidRPr="00B27DD8" w:rsidRDefault="00B27DD8" w:rsidP="00B27DD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B27DD8">
              <w:rPr>
                <w:rFonts w:ascii="Times New Roman" w:eastAsia="Calibri" w:hAnsi="Times New Roman" w:cs="Mangal"/>
                <w:bCs/>
                <w:sz w:val="20"/>
                <w:szCs w:val="20"/>
              </w:rPr>
              <w:t>2.2 ± 0.2</w:t>
            </w:r>
            <w:r w:rsidRPr="00B27DD8">
              <w:rPr>
                <w:rFonts w:ascii="Times New Roman" w:eastAsia="Calibri" w:hAnsi="Times New Roman" w:cs="Mangal"/>
                <w:bCs/>
                <w:sz w:val="20"/>
                <w:szCs w:val="20"/>
                <w:vertAlign w:val="superscript"/>
              </w:rPr>
              <w:t xml:space="preserve"> a</w:t>
            </w:r>
          </w:p>
        </w:tc>
      </w:tr>
    </w:tbl>
    <w:p w:rsidR="006E2967" w:rsidRDefault="006E2967" w:rsidP="00B27DD8">
      <w:pPr>
        <w:tabs>
          <w:tab w:val="left" w:pos="1260"/>
        </w:tabs>
        <w:autoSpaceDE w:val="0"/>
        <w:autoSpaceDN w:val="0"/>
        <w:adjustRightInd w:val="0"/>
        <w:spacing w:after="0" w:line="360" w:lineRule="auto"/>
        <w:jc w:val="both"/>
        <w:rPr>
          <w:rFonts w:ascii="Times New Roman" w:hAnsi="Times New Roman"/>
          <w:b/>
          <w:bCs/>
          <w:sz w:val="20"/>
          <w:szCs w:val="20"/>
        </w:rPr>
      </w:pPr>
    </w:p>
    <w:p w:rsidR="00B27DD8" w:rsidRDefault="00CF1148" w:rsidP="00B27DD8">
      <w:pPr>
        <w:tabs>
          <w:tab w:val="left" w:pos="1260"/>
        </w:tabs>
        <w:autoSpaceDE w:val="0"/>
        <w:autoSpaceDN w:val="0"/>
        <w:adjustRightInd w:val="0"/>
        <w:spacing w:after="0" w:line="360" w:lineRule="auto"/>
        <w:jc w:val="both"/>
        <w:rPr>
          <w:rFonts w:ascii="Times New Roman" w:hAnsi="Times New Roman"/>
          <w:b/>
          <w:bCs/>
          <w:sz w:val="20"/>
          <w:szCs w:val="20"/>
        </w:rPr>
      </w:pPr>
      <w:r w:rsidRPr="00CF1148">
        <w:rPr>
          <w:rFonts w:ascii="Times New Roman" w:hAnsi="Times New Roman"/>
          <w:b/>
          <w:bCs/>
          <w:sz w:val="20"/>
          <w:szCs w:val="20"/>
        </w:rPr>
        <w:lastRenderedPageBreak/>
        <w:t>3.5.</w:t>
      </w:r>
      <w:r w:rsidRPr="00CF1148">
        <w:rPr>
          <w:rFonts w:ascii="Times New Roman" w:eastAsia="Times New Roman" w:hAnsi="Times New Roman" w:cs="Times New Roman"/>
          <w:b/>
          <w:sz w:val="24"/>
          <w:szCs w:val="24"/>
        </w:rPr>
        <w:t xml:space="preserve"> </w:t>
      </w:r>
      <w:proofErr w:type="spellStart"/>
      <w:r w:rsidRPr="00CF1148">
        <w:rPr>
          <w:rFonts w:ascii="Times New Roman" w:eastAsia="Calibri" w:hAnsi="Times New Roman" w:cs="Mangal"/>
          <w:b/>
          <w:bCs/>
          <w:sz w:val="20"/>
          <w:szCs w:val="20"/>
        </w:rPr>
        <w:t>Clonidine</w:t>
      </w:r>
      <w:proofErr w:type="spellEnd"/>
      <w:r w:rsidRPr="00CF1148">
        <w:rPr>
          <w:rFonts w:ascii="Times New Roman" w:eastAsia="Calibri" w:hAnsi="Times New Roman" w:cs="Mangal"/>
          <w:b/>
          <w:bCs/>
          <w:sz w:val="20"/>
          <w:szCs w:val="20"/>
        </w:rPr>
        <w:t xml:space="preserve"> induced aggression in mice</w:t>
      </w:r>
    </w:p>
    <w:p w:rsidR="00CF1148" w:rsidRDefault="00CF1148" w:rsidP="00CF1148">
      <w:pPr>
        <w:tabs>
          <w:tab w:val="left" w:pos="1260"/>
        </w:tabs>
        <w:autoSpaceDE w:val="0"/>
        <w:autoSpaceDN w:val="0"/>
        <w:adjustRightInd w:val="0"/>
        <w:spacing w:after="0" w:line="360" w:lineRule="auto"/>
        <w:jc w:val="both"/>
        <w:rPr>
          <w:rFonts w:ascii="Times New Roman" w:hAnsi="Times New Roman"/>
          <w:bCs/>
          <w:sz w:val="20"/>
          <w:szCs w:val="20"/>
        </w:rPr>
      </w:pPr>
      <w:proofErr w:type="gramStart"/>
      <w:r w:rsidRPr="00CF1148">
        <w:rPr>
          <w:rFonts w:ascii="Times New Roman" w:eastAsia="Calibri" w:hAnsi="Times New Roman" w:cs="Mangal"/>
          <w:bCs/>
          <w:sz w:val="20"/>
          <w:szCs w:val="20"/>
        </w:rPr>
        <w:t>Table.</w:t>
      </w:r>
      <w:proofErr w:type="gramEnd"/>
      <w:r w:rsidRPr="00CF1148">
        <w:rPr>
          <w:rFonts w:ascii="Times New Roman" w:eastAsia="Calibri" w:hAnsi="Times New Roman" w:cs="Mangal"/>
          <w:bCs/>
          <w:sz w:val="20"/>
          <w:szCs w:val="20"/>
        </w:rPr>
        <w:t xml:space="preserve"> 5. indicates the effect of </w:t>
      </w:r>
      <w:proofErr w:type="spellStart"/>
      <w:r w:rsidRPr="00CF1148">
        <w:rPr>
          <w:rFonts w:ascii="Times New Roman" w:eastAsia="Calibri" w:hAnsi="Times New Roman" w:cs="Mangal"/>
          <w:bCs/>
          <w:i/>
          <w:iCs/>
          <w:sz w:val="20"/>
          <w:szCs w:val="20"/>
        </w:rPr>
        <w:t>Alangium</w:t>
      </w:r>
      <w:proofErr w:type="spellEnd"/>
      <w:r w:rsidRPr="00CF1148">
        <w:rPr>
          <w:rFonts w:ascii="Times New Roman" w:eastAsia="Calibri" w:hAnsi="Times New Roman" w:cs="Mangal"/>
          <w:bCs/>
          <w:i/>
          <w:iCs/>
          <w:sz w:val="20"/>
          <w:szCs w:val="20"/>
        </w:rPr>
        <w:t xml:space="preserve"> </w:t>
      </w:r>
      <w:proofErr w:type="spellStart"/>
      <w:r w:rsidRPr="00CF1148">
        <w:rPr>
          <w:rFonts w:ascii="Times New Roman" w:eastAsia="Calibri" w:hAnsi="Times New Roman" w:cs="Mangal"/>
          <w:bCs/>
          <w:i/>
          <w:iCs/>
          <w:sz w:val="20"/>
          <w:szCs w:val="20"/>
        </w:rPr>
        <w:t>Salviifolium</w:t>
      </w:r>
      <w:proofErr w:type="spellEnd"/>
      <w:r w:rsidRPr="00CF1148">
        <w:rPr>
          <w:rFonts w:ascii="Times New Roman" w:eastAsia="Calibri" w:hAnsi="Times New Roman" w:cs="Mangal"/>
          <w:bCs/>
          <w:i/>
          <w:iCs/>
          <w:sz w:val="20"/>
          <w:szCs w:val="20"/>
        </w:rPr>
        <w:t xml:space="preserve"> (L. F.) </w:t>
      </w:r>
      <w:proofErr w:type="spellStart"/>
      <w:r w:rsidRPr="00CF1148">
        <w:rPr>
          <w:rFonts w:ascii="Times New Roman" w:eastAsia="Calibri" w:hAnsi="Times New Roman" w:cs="Mangal"/>
          <w:bCs/>
          <w:i/>
          <w:iCs/>
          <w:sz w:val="20"/>
          <w:szCs w:val="20"/>
        </w:rPr>
        <w:t>Wangerin</w:t>
      </w:r>
      <w:proofErr w:type="spellEnd"/>
      <w:r w:rsidRPr="00CF1148">
        <w:rPr>
          <w:rFonts w:ascii="Times New Roman" w:eastAsia="Calibri" w:hAnsi="Times New Roman" w:cs="Mangal"/>
          <w:bCs/>
          <w:i/>
          <w:iCs/>
          <w:sz w:val="20"/>
          <w:szCs w:val="20"/>
        </w:rPr>
        <w:t xml:space="preserve"> </w:t>
      </w:r>
      <w:r w:rsidRPr="00CF1148">
        <w:rPr>
          <w:rFonts w:ascii="Times New Roman" w:eastAsia="Calibri" w:hAnsi="Times New Roman" w:cs="Mangal"/>
          <w:bCs/>
          <w:sz w:val="20"/>
          <w:szCs w:val="20"/>
        </w:rPr>
        <w:t xml:space="preserve">(100, 200 and 400 mg/kg, </w:t>
      </w:r>
      <w:proofErr w:type="spellStart"/>
      <w:r w:rsidRPr="00CF1148">
        <w:rPr>
          <w:rFonts w:ascii="Times New Roman" w:eastAsia="Calibri" w:hAnsi="Times New Roman" w:cs="Mangal"/>
          <w:bCs/>
          <w:sz w:val="20"/>
          <w:szCs w:val="20"/>
        </w:rPr>
        <w:t>p.o</w:t>
      </w:r>
      <w:proofErr w:type="spellEnd"/>
      <w:r w:rsidRPr="00CF1148">
        <w:rPr>
          <w:rFonts w:ascii="Times New Roman" w:eastAsia="Calibri" w:hAnsi="Times New Roman" w:cs="Mangal"/>
          <w:bCs/>
          <w:sz w:val="20"/>
          <w:szCs w:val="20"/>
        </w:rPr>
        <w:t xml:space="preserve">.) and </w:t>
      </w:r>
      <w:proofErr w:type="spellStart"/>
      <w:r w:rsidRPr="00CF1148">
        <w:rPr>
          <w:rFonts w:ascii="Times New Roman" w:eastAsia="Calibri" w:hAnsi="Times New Roman" w:cs="Mangal"/>
          <w:bCs/>
          <w:sz w:val="20"/>
          <w:szCs w:val="20"/>
        </w:rPr>
        <w:t>lorazepam</w:t>
      </w:r>
      <w:proofErr w:type="spellEnd"/>
      <w:r w:rsidRPr="00CF1148">
        <w:rPr>
          <w:rFonts w:ascii="Times New Roman" w:eastAsia="Calibri" w:hAnsi="Times New Roman" w:cs="Mangal"/>
          <w:bCs/>
          <w:sz w:val="20"/>
          <w:szCs w:val="20"/>
        </w:rPr>
        <w:t xml:space="preserve"> (LA; 2.5 mg/kg) on the latency to first attack and the number of bouts in the </w:t>
      </w:r>
      <w:proofErr w:type="spellStart"/>
      <w:r w:rsidRPr="00CF1148">
        <w:rPr>
          <w:rFonts w:ascii="Times New Roman" w:eastAsia="Calibri" w:hAnsi="Times New Roman" w:cs="Mangal"/>
          <w:bCs/>
          <w:sz w:val="20"/>
          <w:szCs w:val="20"/>
        </w:rPr>
        <w:t>clonidine</w:t>
      </w:r>
      <w:proofErr w:type="spellEnd"/>
      <w:r w:rsidRPr="00CF1148">
        <w:rPr>
          <w:rFonts w:ascii="Times New Roman" w:eastAsia="Calibri" w:hAnsi="Times New Roman" w:cs="Mangal"/>
          <w:bCs/>
          <w:sz w:val="20"/>
          <w:szCs w:val="20"/>
        </w:rPr>
        <w:t xml:space="preserve"> induced aggressive behavior in mice. Post-hoc analysis showed that </w:t>
      </w:r>
      <w:proofErr w:type="spellStart"/>
      <w:r w:rsidRPr="00CF1148">
        <w:rPr>
          <w:rFonts w:ascii="Times New Roman" w:eastAsia="Calibri" w:hAnsi="Times New Roman" w:cs="Mangal"/>
          <w:bCs/>
          <w:i/>
          <w:iCs/>
          <w:sz w:val="20"/>
          <w:szCs w:val="20"/>
        </w:rPr>
        <w:t>Alangium</w:t>
      </w:r>
      <w:proofErr w:type="spellEnd"/>
      <w:r w:rsidRPr="00CF1148">
        <w:rPr>
          <w:rFonts w:ascii="Times New Roman" w:eastAsia="Calibri" w:hAnsi="Times New Roman" w:cs="Mangal"/>
          <w:bCs/>
          <w:i/>
          <w:iCs/>
          <w:sz w:val="20"/>
          <w:szCs w:val="20"/>
        </w:rPr>
        <w:t xml:space="preserve"> </w:t>
      </w:r>
      <w:proofErr w:type="spellStart"/>
      <w:r w:rsidRPr="00CF1148">
        <w:rPr>
          <w:rFonts w:ascii="Times New Roman" w:eastAsia="Calibri" w:hAnsi="Times New Roman" w:cs="Mangal"/>
          <w:bCs/>
          <w:i/>
          <w:iCs/>
          <w:sz w:val="20"/>
          <w:szCs w:val="20"/>
        </w:rPr>
        <w:t>Salviifolium</w:t>
      </w:r>
      <w:proofErr w:type="spellEnd"/>
      <w:r w:rsidRPr="00CF1148">
        <w:rPr>
          <w:rFonts w:ascii="Times New Roman" w:eastAsia="Calibri" w:hAnsi="Times New Roman" w:cs="Mangal"/>
          <w:bCs/>
          <w:i/>
          <w:iCs/>
          <w:sz w:val="20"/>
          <w:szCs w:val="20"/>
        </w:rPr>
        <w:t xml:space="preserve"> (L. F.) </w:t>
      </w:r>
      <w:proofErr w:type="spellStart"/>
      <w:r w:rsidRPr="00CF1148">
        <w:rPr>
          <w:rFonts w:ascii="Times New Roman" w:eastAsia="Calibri" w:hAnsi="Times New Roman" w:cs="Mangal"/>
          <w:bCs/>
          <w:i/>
          <w:iCs/>
          <w:sz w:val="20"/>
          <w:szCs w:val="20"/>
        </w:rPr>
        <w:t>Wangerin</w:t>
      </w:r>
      <w:proofErr w:type="spellEnd"/>
      <w:r w:rsidRPr="00CF1148">
        <w:rPr>
          <w:rFonts w:ascii="Times New Roman" w:eastAsia="Calibri" w:hAnsi="Times New Roman" w:cs="Mangal"/>
          <w:bCs/>
          <w:i/>
          <w:iCs/>
          <w:sz w:val="20"/>
          <w:szCs w:val="20"/>
        </w:rPr>
        <w:t xml:space="preserve"> </w:t>
      </w:r>
      <w:r w:rsidRPr="00CF1148">
        <w:rPr>
          <w:rFonts w:ascii="Times New Roman" w:eastAsia="Calibri" w:hAnsi="Times New Roman" w:cs="Mangal"/>
          <w:bCs/>
          <w:sz w:val="20"/>
          <w:szCs w:val="20"/>
        </w:rPr>
        <w:t>(p&lt;0.001) significantly increased the latency to first attack and decrease the no. of bouts compared to control.</w:t>
      </w:r>
    </w:p>
    <w:p w:rsidR="00CF1148" w:rsidRPr="00CF1148" w:rsidRDefault="00CF1148" w:rsidP="00CF1148">
      <w:pPr>
        <w:tabs>
          <w:tab w:val="left" w:pos="1260"/>
        </w:tabs>
        <w:autoSpaceDE w:val="0"/>
        <w:autoSpaceDN w:val="0"/>
        <w:adjustRightInd w:val="0"/>
        <w:spacing w:after="0" w:line="360" w:lineRule="auto"/>
        <w:jc w:val="center"/>
        <w:rPr>
          <w:rFonts w:ascii="Times New Roman" w:eastAsia="Calibri" w:hAnsi="Times New Roman" w:cs="Mangal"/>
          <w:bCs/>
          <w:sz w:val="20"/>
          <w:szCs w:val="20"/>
        </w:rPr>
      </w:pPr>
      <w:proofErr w:type="gramStart"/>
      <w:r w:rsidRPr="00CF1148">
        <w:rPr>
          <w:rFonts w:ascii="Times New Roman" w:eastAsia="Calibri" w:hAnsi="Times New Roman" w:cs="Mangal"/>
          <w:bCs/>
          <w:sz w:val="20"/>
          <w:szCs w:val="20"/>
        </w:rPr>
        <w:t>Table.</w:t>
      </w:r>
      <w:proofErr w:type="gramEnd"/>
      <w:r w:rsidRPr="00CF1148">
        <w:rPr>
          <w:rFonts w:ascii="Times New Roman" w:eastAsia="Calibri" w:hAnsi="Times New Roman" w:cs="Mangal"/>
          <w:bCs/>
          <w:sz w:val="20"/>
          <w:szCs w:val="20"/>
        </w:rPr>
        <w:t xml:space="preserve"> </w:t>
      </w:r>
      <w:r>
        <w:rPr>
          <w:rFonts w:ascii="Times New Roman" w:hAnsi="Times New Roman"/>
          <w:bCs/>
          <w:sz w:val="20"/>
          <w:szCs w:val="20"/>
        </w:rPr>
        <w:t>5</w:t>
      </w:r>
      <w:r w:rsidRPr="00CF1148">
        <w:rPr>
          <w:rFonts w:ascii="Times New Roman" w:hAnsi="Times New Roman"/>
          <w:bCs/>
          <w:sz w:val="20"/>
          <w:szCs w:val="20"/>
        </w:rPr>
        <w:t xml:space="preserve">: </w:t>
      </w:r>
      <w:proofErr w:type="spellStart"/>
      <w:r w:rsidRPr="00CF1148">
        <w:rPr>
          <w:rFonts w:ascii="Times New Roman" w:eastAsia="Calibri" w:hAnsi="Times New Roman" w:cs="Mangal"/>
          <w:bCs/>
          <w:sz w:val="20"/>
          <w:szCs w:val="20"/>
        </w:rPr>
        <w:t>Clonidine</w:t>
      </w:r>
      <w:proofErr w:type="spellEnd"/>
      <w:r w:rsidRPr="00CF1148">
        <w:rPr>
          <w:rFonts w:ascii="Times New Roman" w:eastAsia="Calibri" w:hAnsi="Times New Roman" w:cs="Mangal"/>
          <w:bCs/>
          <w:sz w:val="20"/>
          <w:szCs w:val="20"/>
        </w:rPr>
        <w:t xml:space="preserve"> induced aggression in mice</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83"/>
        <w:gridCol w:w="2607"/>
        <w:gridCol w:w="1381"/>
        <w:gridCol w:w="2005"/>
      </w:tblGrid>
      <w:tr w:rsidR="00CF1148" w:rsidRPr="00CF1148" w:rsidTr="00CF1148">
        <w:trPr>
          <w:trHeight w:val="277"/>
          <w:jc w:val="center"/>
        </w:trPr>
        <w:tc>
          <w:tcPr>
            <w:tcW w:w="743" w:type="dxa"/>
            <w:vMerge w:val="restart"/>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CF1148">
              <w:rPr>
                <w:rFonts w:ascii="Times New Roman" w:eastAsia="Calibri" w:hAnsi="Times New Roman" w:cs="Mangal"/>
                <w:b/>
                <w:bCs/>
                <w:sz w:val="20"/>
                <w:szCs w:val="20"/>
              </w:rPr>
              <w:t>Group no.</w:t>
            </w:r>
          </w:p>
        </w:tc>
        <w:tc>
          <w:tcPr>
            <w:tcW w:w="2607" w:type="dxa"/>
            <w:vMerge w:val="restart"/>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CF1148">
              <w:rPr>
                <w:rFonts w:ascii="Times New Roman" w:eastAsia="Calibri" w:hAnsi="Times New Roman" w:cs="Mangal"/>
                <w:b/>
                <w:bCs/>
                <w:sz w:val="20"/>
                <w:szCs w:val="20"/>
              </w:rPr>
              <w:t>Treatment  (dose in mg/kg)</w:t>
            </w:r>
          </w:p>
        </w:tc>
        <w:tc>
          <w:tcPr>
            <w:tcW w:w="3385" w:type="dxa"/>
            <w:gridSpan w:val="2"/>
            <w:tcBorders>
              <w:bottom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CF1148">
              <w:rPr>
                <w:rFonts w:ascii="Times New Roman" w:eastAsia="Calibri" w:hAnsi="Times New Roman" w:cs="Mangal"/>
                <w:b/>
                <w:bCs/>
                <w:sz w:val="20"/>
                <w:szCs w:val="20"/>
              </w:rPr>
              <w:t>% Response ( MEAN ± SEM)</w:t>
            </w:r>
          </w:p>
        </w:tc>
      </w:tr>
      <w:tr w:rsidR="00CF1148" w:rsidRPr="00CF1148" w:rsidTr="00CF1148">
        <w:trPr>
          <w:trHeight w:val="324"/>
          <w:jc w:val="center"/>
        </w:trPr>
        <w:tc>
          <w:tcPr>
            <w:tcW w:w="743" w:type="dxa"/>
            <w:vMerge/>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p>
        </w:tc>
        <w:tc>
          <w:tcPr>
            <w:tcW w:w="2607" w:type="dxa"/>
            <w:vMerge/>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p>
        </w:tc>
        <w:tc>
          <w:tcPr>
            <w:tcW w:w="1381" w:type="dxa"/>
            <w:tcBorders>
              <w:top w:val="single" w:sz="4" w:space="0" w:color="auto"/>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CF1148">
              <w:rPr>
                <w:rFonts w:ascii="Times New Roman" w:eastAsia="Calibri" w:hAnsi="Times New Roman" w:cs="Mangal"/>
                <w:b/>
                <w:bCs/>
                <w:sz w:val="20"/>
                <w:szCs w:val="20"/>
              </w:rPr>
              <w:t>Latency to 1</w:t>
            </w:r>
            <w:r w:rsidRPr="00CF1148">
              <w:rPr>
                <w:rFonts w:ascii="Times New Roman" w:eastAsia="Calibri" w:hAnsi="Times New Roman" w:cs="Mangal"/>
                <w:b/>
                <w:bCs/>
                <w:sz w:val="20"/>
                <w:szCs w:val="20"/>
                <w:vertAlign w:val="superscript"/>
              </w:rPr>
              <w:t>st</w:t>
            </w:r>
            <w:r w:rsidRPr="00CF1148">
              <w:rPr>
                <w:rFonts w:ascii="Times New Roman" w:eastAsia="Calibri" w:hAnsi="Times New Roman" w:cs="Mangal"/>
                <w:b/>
                <w:bCs/>
                <w:sz w:val="20"/>
                <w:szCs w:val="20"/>
              </w:rPr>
              <w:t xml:space="preserve"> attack</w:t>
            </w:r>
          </w:p>
        </w:tc>
        <w:tc>
          <w:tcPr>
            <w:tcW w:w="2005" w:type="dxa"/>
            <w:tcBorders>
              <w:top w:val="single" w:sz="4" w:space="0" w:color="auto"/>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
                <w:bCs/>
                <w:sz w:val="20"/>
                <w:szCs w:val="20"/>
              </w:rPr>
            </w:pPr>
            <w:r w:rsidRPr="00CF1148">
              <w:rPr>
                <w:rFonts w:ascii="Times New Roman" w:eastAsia="Calibri" w:hAnsi="Times New Roman" w:cs="Mangal"/>
                <w:b/>
                <w:bCs/>
                <w:sz w:val="20"/>
                <w:szCs w:val="20"/>
              </w:rPr>
              <w:t>Fighting response</w:t>
            </w:r>
          </w:p>
        </w:tc>
      </w:tr>
      <w:tr w:rsidR="00CF1148" w:rsidRPr="00CF1148" w:rsidTr="00CF1148">
        <w:trPr>
          <w:trHeight w:val="393"/>
          <w:jc w:val="center"/>
        </w:trPr>
        <w:tc>
          <w:tcPr>
            <w:tcW w:w="743"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I</w:t>
            </w:r>
          </w:p>
        </w:tc>
        <w:tc>
          <w:tcPr>
            <w:tcW w:w="2607"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Control (0.3% CMC)</w:t>
            </w:r>
          </w:p>
        </w:tc>
        <w:tc>
          <w:tcPr>
            <w:tcW w:w="1381" w:type="dxa"/>
            <w:tcBorders>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101.2 ± 8.2</w:t>
            </w:r>
          </w:p>
        </w:tc>
        <w:tc>
          <w:tcPr>
            <w:tcW w:w="2005" w:type="dxa"/>
            <w:tcBorders>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98.9 ± 5.1</w:t>
            </w:r>
          </w:p>
        </w:tc>
      </w:tr>
      <w:tr w:rsidR="00CF1148" w:rsidRPr="00CF1148" w:rsidTr="00CF1148">
        <w:trPr>
          <w:trHeight w:val="370"/>
          <w:jc w:val="center"/>
        </w:trPr>
        <w:tc>
          <w:tcPr>
            <w:tcW w:w="743"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II</w:t>
            </w:r>
          </w:p>
        </w:tc>
        <w:tc>
          <w:tcPr>
            <w:tcW w:w="2607"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i/>
                <w:iCs/>
                <w:sz w:val="20"/>
                <w:szCs w:val="20"/>
              </w:rPr>
              <w:t xml:space="preserve">EEASW </w:t>
            </w:r>
            <w:r w:rsidRPr="00CF1148">
              <w:rPr>
                <w:rFonts w:ascii="Times New Roman" w:eastAsia="Calibri" w:hAnsi="Times New Roman" w:cs="Mangal"/>
                <w:bCs/>
                <w:sz w:val="20"/>
                <w:szCs w:val="20"/>
              </w:rPr>
              <w:t xml:space="preserve">(100 mg/kg, </w:t>
            </w:r>
            <w:proofErr w:type="spellStart"/>
            <w:r w:rsidRPr="00CF1148">
              <w:rPr>
                <w:rFonts w:ascii="Times New Roman" w:eastAsia="Calibri" w:hAnsi="Times New Roman" w:cs="Mangal"/>
                <w:bCs/>
                <w:sz w:val="20"/>
                <w:szCs w:val="20"/>
              </w:rPr>
              <w:t>p.o</w:t>
            </w:r>
            <w:proofErr w:type="spellEnd"/>
            <w:r w:rsidRPr="00CF1148">
              <w:rPr>
                <w:rFonts w:ascii="Times New Roman" w:eastAsia="Calibri" w:hAnsi="Times New Roman" w:cs="Mangal"/>
                <w:bCs/>
                <w:sz w:val="20"/>
                <w:szCs w:val="20"/>
              </w:rPr>
              <w:t>.)</w:t>
            </w:r>
          </w:p>
        </w:tc>
        <w:tc>
          <w:tcPr>
            <w:tcW w:w="1381" w:type="dxa"/>
            <w:tcBorders>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120.2 ± 10.2</w:t>
            </w:r>
            <w:r w:rsidRPr="00CF1148">
              <w:rPr>
                <w:rFonts w:ascii="Times New Roman" w:eastAsia="Calibri" w:hAnsi="Times New Roman" w:cs="Mangal"/>
                <w:bCs/>
                <w:sz w:val="20"/>
                <w:szCs w:val="20"/>
                <w:vertAlign w:val="superscript"/>
              </w:rPr>
              <w:t xml:space="preserve"> a</w:t>
            </w:r>
          </w:p>
        </w:tc>
        <w:tc>
          <w:tcPr>
            <w:tcW w:w="2005" w:type="dxa"/>
            <w:tcBorders>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86.2 ± 1.5</w:t>
            </w:r>
            <w:r w:rsidRPr="00CF1148">
              <w:rPr>
                <w:rFonts w:ascii="Times New Roman" w:eastAsia="Calibri" w:hAnsi="Times New Roman" w:cs="Mangal"/>
                <w:bCs/>
                <w:sz w:val="20"/>
                <w:szCs w:val="20"/>
                <w:vertAlign w:val="superscript"/>
              </w:rPr>
              <w:t xml:space="preserve"> a</w:t>
            </w:r>
          </w:p>
        </w:tc>
      </w:tr>
      <w:tr w:rsidR="00CF1148" w:rsidRPr="00CF1148" w:rsidTr="00CF1148">
        <w:trPr>
          <w:trHeight w:val="393"/>
          <w:jc w:val="center"/>
        </w:trPr>
        <w:tc>
          <w:tcPr>
            <w:tcW w:w="743"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III</w:t>
            </w:r>
          </w:p>
        </w:tc>
        <w:tc>
          <w:tcPr>
            <w:tcW w:w="2607"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i/>
                <w:iCs/>
                <w:sz w:val="20"/>
                <w:szCs w:val="20"/>
              </w:rPr>
              <w:t xml:space="preserve">EEASW </w:t>
            </w:r>
            <w:r w:rsidRPr="00CF1148">
              <w:rPr>
                <w:rFonts w:ascii="Times New Roman" w:eastAsia="Calibri" w:hAnsi="Times New Roman" w:cs="Mangal"/>
                <w:bCs/>
                <w:sz w:val="20"/>
                <w:szCs w:val="20"/>
              </w:rPr>
              <w:t xml:space="preserve">(200 mg/kg, </w:t>
            </w:r>
            <w:proofErr w:type="spellStart"/>
            <w:r w:rsidRPr="00CF1148">
              <w:rPr>
                <w:rFonts w:ascii="Times New Roman" w:eastAsia="Calibri" w:hAnsi="Times New Roman" w:cs="Mangal"/>
                <w:bCs/>
                <w:sz w:val="20"/>
                <w:szCs w:val="20"/>
              </w:rPr>
              <w:t>p.o</w:t>
            </w:r>
            <w:proofErr w:type="spellEnd"/>
            <w:r w:rsidRPr="00CF1148">
              <w:rPr>
                <w:rFonts w:ascii="Times New Roman" w:eastAsia="Calibri" w:hAnsi="Times New Roman" w:cs="Mangal"/>
                <w:bCs/>
                <w:sz w:val="20"/>
                <w:szCs w:val="20"/>
              </w:rPr>
              <w:t>.)</w:t>
            </w:r>
          </w:p>
        </w:tc>
        <w:tc>
          <w:tcPr>
            <w:tcW w:w="1381" w:type="dxa"/>
            <w:tcBorders>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132.3 ± 15.1</w:t>
            </w:r>
            <w:r w:rsidRPr="00CF1148">
              <w:rPr>
                <w:rFonts w:ascii="Times New Roman" w:eastAsia="Calibri" w:hAnsi="Times New Roman" w:cs="Mangal"/>
                <w:bCs/>
                <w:sz w:val="20"/>
                <w:szCs w:val="20"/>
                <w:vertAlign w:val="superscript"/>
              </w:rPr>
              <w:t xml:space="preserve"> b</w:t>
            </w:r>
          </w:p>
        </w:tc>
        <w:tc>
          <w:tcPr>
            <w:tcW w:w="2005" w:type="dxa"/>
            <w:tcBorders>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65.2± 3.4</w:t>
            </w:r>
            <w:r w:rsidRPr="00CF1148">
              <w:rPr>
                <w:rFonts w:ascii="Times New Roman" w:eastAsia="Calibri" w:hAnsi="Times New Roman" w:cs="Mangal"/>
                <w:bCs/>
                <w:sz w:val="20"/>
                <w:szCs w:val="20"/>
                <w:vertAlign w:val="superscript"/>
              </w:rPr>
              <w:t xml:space="preserve"> b</w:t>
            </w:r>
          </w:p>
        </w:tc>
      </w:tr>
      <w:tr w:rsidR="00CF1148" w:rsidRPr="00CF1148" w:rsidTr="00CF1148">
        <w:trPr>
          <w:trHeight w:val="370"/>
          <w:jc w:val="center"/>
        </w:trPr>
        <w:tc>
          <w:tcPr>
            <w:tcW w:w="743"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IV</w:t>
            </w:r>
          </w:p>
        </w:tc>
        <w:tc>
          <w:tcPr>
            <w:tcW w:w="2607"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i/>
                <w:iCs/>
                <w:sz w:val="20"/>
                <w:szCs w:val="20"/>
              </w:rPr>
              <w:t xml:space="preserve">EEASW </w:t>
            </w:r>
            <w:r w:rsidRPr="00CF1148">
              <w:rPr>
                <w:rFonts w:ascii="Times New Roman" w:eastAsia="Calibri" w:hAnsi="Times New Roman" w:cs="Mangal"/>
                <w:bCs/>
                <w:sz w:val="20"/>
                <w:szCs w:val="20"/>
              </w:rPr>
              <w:t xml:space="preserve">(400 mg/kg, </w:t>
            </w:r>
            <w:proofErr w:type="spellStart"/>
            <w:r w:rsidRPr="00CF1148">
              <w:rPr>
                <w:rFonts w:ascii="Times New Roman" w:eastAsia="Calibri" w:hAnsi="Times New Roman" w:cs="Mangal"/>
                <w:bCs/>
                <w:sz w:val="20"/>
                <w:szCs w:val="20"/>
              </w:rPr>
              <w:t>p.o</w:t>
            </w:r>
            <w:proofErr w:type="spellEnd"/>
            <w:r w:rsidRPr="00CF1148">
              <w:rPr>
                <w:rFonts w:ascii="Times New Roman" w:eastAsia="Calibri" w:hAnsi="Times New Roman" w:cs="Mangal"/>
                <w:bCs/>
                <w:sz w:val="20"/>
                <w:szCs w:val="20"/>
              </w:rPr>
              <w:t>.)</w:t>
            </w:r>
          </w:p>
        </w:tc>
        <w:tc>
          <w:tcPr>
            <w:tcW w:w="1381" w:type="dxa"/>
            <w:tcBorders>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132.1 ± 8.9</w:t>
            </w:r>
            <w:r w:rsidRPr="00CF1148">
              <w:rPr>
                <w:rFonts w:ascii="Times New Roman" w:eastAsia="Calibri" w:hAnsi="Times New Roman" w:cs="Mangal"/>
                <w:bCs/>
                <w:sz w:val="20"/>
                <w:szCs w:val="20"/>
                <w:vertAlign w:val="superscript"/>
              </w:rPr>
              <w:t xml:space="preserve"> b</w:t>
            </w:r>
          </w:p>
        </w:tc>
        <w:tc>
          <w:tcPr>
            <w:tcW w:w="2005" w:type="dxa"/>
            <w:tcBorders>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63.2 ± 4.1</w:t>
            </w:r>
            <w:r w:rsidRPr="00CF1148">
              <w:rPr>
                <w:rFonts w:ascii="Times New Roman" w:eastAsia="Calibri" w:hAnsi="Times New Roman" w:cs="Mangal"/>
                <w:bCs/>
                <w:sz w:val="20"/>
                <w:szCs w:val="20"/>
                <w:vertAlign w:val="superscript"/>
              </w:rPr>
              <w:t xml:space="preserve"> b</w:t>
            </w:r>
          </w:p>
        </w:tc>
      </w:tr>
      <w:tr w:rsidR="00CF1148" w:rsidRPr="00CF1148" w:rsidTr="00CF1148">
        <w:trPr>
          <w:trHeight w:val="393"/>
          <w:jc w:val="center"/>
        </w:trPr>
        <w:tc>
          <w:tcPr>
            <w:tcW w:w="743"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V</w:t>
            </w:r>
          </w:p>
        </w:tc>
        <w:tc>
          <w:tcPr>
            <w:tcW w:w="2607" w:type="dxa"/>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proofErr w:type="spellStart"/>
            <w:r w:rsidRPr="00CF1148">
              <w:rPr>
                <w:rFonts w:ascii="Times New Roman" w:eastAsia="Calibri" w:hAnsi="Times New Roman" w:cs="Mangal"/>
                <w:bCs/>
                <w:sz w:val="20"/>
                <w:szCs w:val="20"/>
              </w:rPr>
              <w:t>Lorazepam</w:t>
            </w:r>
            <w:proofErr w:type="spellEnd"/>
            <w:r w:rsidRPr="00CF1148">
              <w:rPr>
                <w:rFonts w:ascii="Times New Roman" w:eastAsia="Calibri" w:hAnsi="Times New Roman" w:cs="Mangal"/>
                <w:bCs/>
                <w:sz w:val="20"/>
                <w:szCs w:val="20"/>
              </w:rPr>
              <w:t xml:space="preserve"> (2.5 mg/kg, </w:t>
            </w:r>
            <w:proofErr w:type="spellStart"/>
            <w:r w:rsidRPr="00CF1148">
              <w:rPr>
                <w:rFonts w:ascii="Times New Roman" w:eastAsia="Calibri" w:hAnsi="Times New Roman" w:cs="Mangal"/>
                <w:bCs/>
                <w:sz w:val="20"/>
                <w:szCs w:val="20"/>
              </w:rPr>
              <w:t>i.p</w:t>
            </w:r>
            <w:proofErr w:type="spellEnd"/>
            <w:r w:rsidRPr="00CF1148">
              <w:rPr>
                <w:rFonts w:ascii="Times New Roman" w:eastAsia="Calibri" w:hAnsi="Times New Roman" w:cs="Mangal"/>
                <w:bCs/>
                <w:sz w:val="20"/>
                <w:szCs w:val="20"/>
              </w:rPr>
              <w:t>.)</w:t>
            </w:r>
          </w:p>
        </w:tc>
        <w:tc>
          <w:tcPr>
            <w:tcW w:w="1381" w:type="dxa"/>
            <w:tcBorders>
              <w:righ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141.2 ± 6.1</w:t>
            </w:r>
            <w:r w:rsidRPr="00CF1148">
              <w:rPr>
                <w:rFonts w:ascii="Times New Roman" w:eastAsia="Calibri" w:hAnsi="Times New Roman" w:cs="Mangal"/>
                <w:bCs/>
                <w:sz w:val="20"/>
                <w:szCs w:val="20"/>
                <w:vertAlign w:val="superscript"/>
              </w:rPr>
              <w:t xml:space="preserve"> b</w:t>
            </w:r>
          </w:p>
        </w:tc>
        <w:tc>
          <w:tcPr>
            <w:tcW w:w="2005" w:type="dxa"/>
            <w:tcBorders>
              <w:left w:val="single" w:sz="4" w:space="0" w:color="auto"/>
            </w:tcBorders>
            <w:shd w:val="clear" w:color="auto" w:fill="auto"/>
          </w:tcPr>
          <w:p w:rsidR="00CF1148" w:rsidRPr="00CF1148" w:rsidRDefault="00CF1148" w:rsidP="00CF1148">
            <w:pPr>
              <w:tabs>
                <w:tab w:val="left" w:pos="1260"/>
              </w:tabs>
              <w:autoSpaceDE w:val="0"/>
              <w:autoSpaceDN w:val="0"/>
              <w:adjustRightInd w:val="0"/>
              <w:spacing w:after="0" w:line="360" w:lineRule="auto"/>
              <w:jc w:val="both"/>
              <w:rPr>
                <w:rFonts w:ascii="Times New Roman" w:eastAsia="Calibri" w:hAnsi="Times New Roman" w:cs="Mangal"/>
                <w:bCs/>
                <w:sz w:val="20"/>
                <w:szCs w:val="20"/>
              </w:rPr>
            </w:pPr>
            <w:r w:rsidRPr="00CF1148">
              <w:rPr>
                <w:rFonts w:ascii="Times New Roman" w:eastAsia="Calibri" w:hAnsi="Times New Roman" w:cs="Mangal"/>
                <w:bCs/>
                <w:sz w:val="20"/>
                <w:szCs w:val="20"/>
              </w:rPr>
              <w:t>41.3± 2.5</w:t>
            </w:r>
            <w:r w:rsidRPr="00CF1148">
              <w:rPr>
                <w:rFonts w:ascii="Times New Roman" w:eastAsia="Calibri" w:hAnsi="Times New Roman" w:cs="Mangal"/>
                <w:bCs/>
                <w:sz w:val="20"/>
                <w:szCs w:val="20"/>
                <w:vertAlign w:val="superscript"/>
              </w:rPr>
              <w:t xml:space="preserve"> b</w:t>
            </w:r>
          </w:p>
        </w:tc>
      </w:tr>
    </w:tbl>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CF1148" w:rsidRPr="00CF1148" w:rsidRDefault="00CF1148" w:rsidP="00CF1148">
      <w:pPr>
        <w:spacing w:after="0" w:line="360" w:lineRule="auto"/>
        <w:jc w:val="both"/>
        <w:rPr>
          <w:rFonts w:ascii="Times New Roman" w:hAnsi="Times New Roman" w:cs="Times New Roman"/>
          <w:sz w:val="20"/>
          <w:szCs w:val="20"/>
        </w:rPr>
      </w:pPr>
      <w:proofErr w:type="spellStart"/>
      <w:r w:rsidRPr="00CF1148">
        <w:rPr>
          <w:rFonts w:ascii="Times New Roman" w:hAnsi="Times New Roman" w:cs="Times New Roman"/>
          <w:i/>
          <w:sz w:val="20"/>
          <w:szCs w:val="20"/>
        </w:rPr>
        <w:t>Alangium</w:t>
      </w:r>
      <w:proofErr w:type="spellEnd"/>
      <w:r w:rsidRPr="00CF1148">
        <w:rPr>
          <w:rFonts w:ascii="Times New Roman" w:hAnsi="Times New Roman" w:cs="Times New Roman"/>
          <w:i/>
          <w:sz w:val="20"/>
          <w:szCs w:val="20"/>
        </w:rPr>
        <w:t xml:space="preserve"> </w:t>
      </w:r>
      <w:proofErr w:type="spellStart"/>
      <w:r w:rsidRPr="00CF1148">
        <w:rPr>
          <w:rFonts w:ascii="Times New Roman" w:hAnsi="Times New Roman" w:cs="Times New Roman"/>
          <w:i/>
          <w:sz w:val="20"/>
          <w:szCs w:val="20"/>
        </w:rPr>
        <w:t>Salviifolium</w:t>
      </w:r>
      <w:proofErr w:type="spellEnd"/>
      <w:r w:rsidRPr="00CF1148">
        <w:rPr>
          <w:rFonts w:ascii="Times New Roman" w:hAnsi="Times New Roman" w:cs="Times New Roman"/>
          <w:i/>
          <w:sz w:val="20"/>
          <w:szCs w:val="20"/>
        </w:rPr>
        <w:t xml:space="preserve"> (L. F.) </w:t>
      </w:r>
      <w:proofErr w:type="spellStart"/>
      <w:r w:rsidRPr="00CF1148">
        <w:rPr>
          <w:rFonts w:ascii="Times New Roman" w:hAnsi="Times New Roman" w:cs="Times New Roman"/>
          <w:i/>
          <w:sz w:val="20"/>
          <w:szCs w:val="20"/>
        </w:rPr>
        <w:t>Wangerin</w:t>
      </w:r>
      <w:proofErr w:type="spellEnd"/>
      <w:r w:rsidRPr="00CF1148">
        <w:rPr>
          <w:rFonts w:ascii="Times New Roman" w:hAnsi="Times New Roman" w:cs="Times New Roman"/>
          <w:sz w:val="20"/>
          <w:szCs w:val="20"/>
        </w:rPr>
        <w:t xml:space="preserve"> significantly increased the frequency of 5-HTP induced head twitches, </w:t>
      </w:r>
      <w:proofErr w:type="spellStart"/>
      <w:r w:rsidRPr="00CF1148">
        <w:rPr>
          <w:rFonts w:ascii="Times New Roman" w:hAnsi="Times New Roman" w:cs="Times New Roman"/>
          <w:sz w:val="20"/>
          <w:szCs w:val="20"/>
        </w:rPr>
        <w:t>Clonidine</w:t>
      </w:r>
      <w:proofErr w:type="spellEnd"/>
      <w:r w:rsidRPr="00CF1148">
        <w:rPr>
          <w:rFonts w:ascii="Times New Roman" w:hAnsi="Times New Roman" w:cs="Times New Roman"/>
          <w:sz w:val="20"/>
          <w:szCs w:val="20"/>
        </w:rPr>
        <w:t xml:space="preserve"> induced aggression and L-DOPA induced hyperactivity and aggressive behavior indicating its enhanced activity on </w:t>
      </w:r>
      <w:proofErr w:type="spellStart"/>
      <w:r w:rsidRPr="00CF1148">
        <w:rPr>
          <w:rFonts w:ascii="Times New Roman" w:hAnsi="Times New Roman" w:cs="Times New Roman"/>
          <w:sz w:val="20"/>
          <w:szCs w:val="20"/>
        </w:rPr>
        <w:t>serotonergic</w:t>
      </w:r>
      <w:proofErr w:type="spellEnd"/>
      <w:r w:rsidRPr="00CF1148">
        <w:rPr>
          <w:rFonts w:ascii="Times New Roman" w:hAnsi="Times New Roman" w:cs="Times New Roman"/>
          <w:sz w:val="20"/>
          <w:szCs w:val="20"/>
        </w:rPr>
        <w:t xml:space="preserve">, noradrenergic and </w:t>
      </w:r>
      <w:proofErr w:type="spellStart"/>
      <w:r w:rsidRPr="00CF1148">
        <w:rPr>
          <w:rFonts w:ascii="Times New Roman" w:hAnsi="Times New Roman" w:cs="Times New Roman"/>
          <w:sz w:val="20"/>
          <w:szCs w:val="20"/>
        </w:rPr>
        <w:t>dopaminergic</w:t>
      </w:r>
      <w:proofErr w:type="spellEnd"/>
      <w:r w:rsidRPr="00CF1148">
        <w:rPr>
          <w:rFonts w:ascii="Times New Roman" w:hAnsi="Times New Roman" w:cs="Times New Roman"/>
          <w:sz w:val="20"/>
          <w:szCs w:val="20"/>
        </w:rPr>
        <w:t xml:space="preserve"> pathways respectively. Our results also confirm the involvement of </w:t>
      </w:r>
      <w:proofErr w:type="spellStart"/>
      <w:r w:rsidRPr="00CF1148">
        <w:rPr>
          <w:rFonts w:ascii="Times New Roman" w:hAnsi="Times New Roman" w:cs="Times New Roman"/>
          <w:sz w:val="20"/>
          <w:szCs w:val="20"/>
        </w:rPr>
        <w:t>serotonergic</w:t>
      </w:r>
      <w:proofErr w:type="spellEnd"/>
      <w:r w:rsidRPr="00CF1148">
        <w:rPr>
          <w:rFonts w:ascii="Times New Roman" w:hAnsi="Times New Roman" w:cs="Times New Roman"/>
          <w:sz w:val="20"/>
          <w:szCs w:val="20"/>
        </w:rPr>
        <w:t xml:space="preserve">, noradrenergic and </w:t>
      </w:r>
      <w:proofErr w:type="spellStart"/>
      <w:r w:rsidRPr="00CF1148">
        <w:rPr>
          <w:rFonts w:ascii="Times New Roman" w:hAnsi="Times New Roman" w:cs="Times New Roman"/>
          <w:sz w:val="20"/>
          <w:szCs w:val="20"/>
        </w:rPr>
        <w:t>dopaminergic</w:t>
      </w:r>
      <w:proofErr w:type="spellEnd"/>
      <w:r w:rsidRPr="00CF1148">
        <w:rPr>
          <w:rFonts w:ascii="Times New Roman" w:hAnsi="Times New Roman" w:cs="Times New Roman"/>
          <w:sz w:val="20"/>
          <w:szCs w:val="20"/>
        </w:rPr>
        <w:t xml:space="preserve"> pathways in </w:t>
      </w:r>
      <w:proofErr w:type="spellStart"/>
      <w:r w:rsidRPr="00CF1148">
        <w:rPr>
          <w:rFonts w:ascii="Times New Roman" w:hAnsi="Times New Roman" w:cs="Times New Roman"/>
          <w:sz w:val="20"/>
          <w:szCs w:val="20"/>
        </w:rPr>
        <w:t>depression.Pretreatment</w:t>
      </w:r>
      <w:proofErr w:type="spellEnd"/>
      <w:r w:rsidRPr="00CF1148">
        <w:rPr>
          <w:rFonts w:ascii="Times New Roman" w:hAnsi="Times New Roman" w:cs="Times New Roman"/>
          <w:sz w:val="20"/>
          <w:szCs w:val="20"/>
        </w:rPr>
        <w:t xml:space="preserve"> with hibiscus, also significantly increased the levels of SOD and </w:t>
      </w:r>
      <w:proofErr w:type="spellStart"/>
      <w:r w:rsidRPr="00CF1148">
        <w:rPr>
          <w:rFonts w:ascii="Times New Roman" w:hAnsi="Times New Roman" w:cs="Times New Roman"/>
          <w:sz w:val="20"/>
          <w:szCs w:val="20"/>
        </w:rPr>
        <w:t>Catalase</w:t>
      </w:r>
      <w:proofErr w:type="spellEnd"/>
      <w:r w:rsidRPr="00CF1148">
        <w:rPr>
          <w:rFonts w:ascii="Times New Roman" w:hAnsi="Times New Roman" w:cs="Times New Roman"/>
          <w:sz w:val="20"/>
          <w:szCs w:val="20"/>
        </w:rPr>
        <w:t xml:space="preserve"> with simultaneous decrease in LPO levels in mice brain, suggesting its strong antioxidant activity. Since oxidative stress is reported to play an important role in depression, the antioxidant activity of </w:t>
      </w:r>
      <w:proofErr w:type="spellStart"/>
      <w:r w:rsidRPr="00CF1148">
        <w:rPr>
          <w:rFonts w:ascii="Times New Roman" w:hAnsi="Times New Roman" w:cs="Times New Roman"/>
          <w:i/>
          <w:sz w:val="20"/>
          <w:szCs w:val="20"/>
        </w:rPr>
        <w:t>Alangium</w:t>
      </w:r>
      <w:proofErr w:type="spellEnd"/>
      <w:r w:rsidRPr="00CF1148">
        <w:rPr>
          <w:rFonts w:ascii="Times New Roman" w:hAnsi="Times New Roman" w:cs="Times New Roman"/>
          <w:i/>
          <w:sz w:val="20"/>
          <w:szCs w:val="20"/>
        </w:rPr>
        <w:t xml:space="preserve"> </w:t>
      </w:r>
      <w:proofErr w:type="spellStart"/>
      <w:r w:rsidRPr="00CF1148">
        <w:rPr>
          <w:rFonts w:ascii="Times New Roman" w:hAnsi="Times New Roman" w:cs="Times New Roman"/>
          <w:i/>
          <w:sz w:val="20"/>
          <w:szCs w:val="20"/>
        </w:rPr>
        <w:t>Salviifolium</w:t>
      </w:r>
      <w:proofErr w:type="spellEnd"/>
      <w:r w:rsidRPr="00CF1148">
        <w:rPr>
          <w:rFonts w:ascii="Times New Roman" w:hAnsi="Times New Roman" w:cs="Times New Roman"/>
          <w:i/>
          <w:sz w:val="20"/>
          <w:szCs w:val="20"/>
        </w:rPr>
        <w:t xml:space="preserve"> (L. F.) </w:t>
      </w:r>
      <w:proofErr w:type="spellStart"/>
      <w:r w:rsidRPr="00CF1148">
        <w:rPr>
          <w:rFonts w:ascii="Times New Roman" w:hAnsi="Times New Roman" w:cs="Times New Roman"/>
          <w:i/>
          <w:sz w:val="20"/>
          <w:szCs w:val="20"/>
        </w:rPr>
        <w:t>Wangerin</w:t>
      </w:r>
      <w:proofErr w:type="spellEnd"/>
      <w:r w:rsidRPr="00CF1148">
        <w:rPr>
          <w:rFonts w:ascii="Times New Roman" w:hAnsi="Times New Roman" w:cs="Times New Roman"/>
          <w:sz w:val="20"/>
          <w:szCs w:val="20"/>
        </w:rPr>
        <w:t xml:space="preserve"> might be a part of the mechanism for its antidepressant activity.</w:t>
      </w:r>
    </w:p>
    <w:p w:rsidR="00CF1148" w:rsidRPr="00CF1148" w:rsidRDefault="00CF1148" w:rsidP="00CF1148">
      <w:pPr>
        <w:spacing w:after="0" w:line="360" w:lineRule="auto"/>
        <w:jc w:val="both"/>
        <w:rPr>
          <w:rFonts w:ascii="Times New Roman" w:hAnsi="Times New Roman" w:cs="Times New Roman"/>
          <w:sz w:val="20"/>
          <w:szCs w:val="20"/>
        </w:rPr>
      </w:pPr>
      <w:r w:rsidRPr="00CF1148">
        <w:rPr>
          <w:rFonts w:ascii="Times New Roman" w:hAnsi="Times New Roman" w:cs="Times New Roman"/>
          <w:sz w:val="20"/>
          <w:szCs w:val="20"/>
        </w:rPr>
        <w:t xml:space="preserve">Results from behavioral experiments indicate that the antidepressant activity of </w:t>
      </w:r>
      <w:proofErr w:type="spellStart"/>
      <w:r w:rsidRPr="00CF1148">
        <w:rPr>
          <w:rFonts w:ascii="Times New Roman" w:hAnsi="Times New Roman" w:cs="Times New Roman"/>
          <w:i/>
          <w:sz w:val="20"/>
          <w:szCs w:val="20"/>
        </w:rPr>
        <w:t>Alangium</w:t>
      </w:r>
      <w:proofErr w:type="spellEnd"/>
      <w:r w:rsidRPr="00CF1148">
        <w:rPr>
          <w:rFonts w:ascii="Times New Roman" w:hAnsi="Times New Roman" w:cs="Times New Roman"/>
          <w:i/>
          <w:sz w:val="20"/>
          <w:szCs w:val="20"/>
        </w:rPr>
        <w:t xml:space="preserve"> </w:t>
      </w:r>
      <w:proofErr w:type="spellStart"/>
      <w:r w:rsidRPr="00CF1148">
        <w:rPr>
          <w:rFonts w:ascii="Times New Roman" w:hAnsi="Times New Roman" w:cs="Times New Roman"/>
          <w:i/>
          <w:sz w:val="20"/>
          <w:szCs w:val="20"/>
        </w:rPr>
        <w:t>Salviifolium</w:t>
      </w:r>
      <w:proofErr w:type="spellEnd"/>
      <w:r w:rsidRPr="00CF1148">
        <w:rPr>
          <w:rFonts w:ascii="Times New Roman" w:hAnsi="Times New Roman" w:cs="Times New Roman"/>
          <w:i/>
          <w:sz w:val="20"/>
          <w:szCs w:val="20"/>
        </w:rPr>
        <w:t xml:space="preserve"> (L. F.) </w:t>
      </w:r>
      <w:proofErr w:type="spellStart"/>
      <w:proofErr w:type="gramStart"/>
      <w:r w:rsidRPr="00CF1148">
        <w:rPr>
          <w:rFonts w:ascii="Times New Roman" w:hAnsi="Times New Roman" w:cs="Times New Roman"/>
          <w:i/>
          <w:sz w:val="20"/>
          <w:szCs w:val="20"/>
        </w:rPr>
        <w:t>Wangerin</w:t>
      </w:r>
      <w:proofErr w:type="spellEnd"/>
      <w:r w:rsidRPr="00CF1148">
        <w:rPr>
          <w:rFonts w:ascii="Times New Roman" w:hAnsi="Times New Roman" w:cs="Times New Roman"/>
          <w:sz w:val="20"/>
          <w:szCs w:val="20"/>
        </w:rPr>
        <w:t>,</w:t>
      </w:r>
      <w:proofErr w:type="gramEnd"/>
      <w:r w:rsidRPr="00CF1148">
        <w:rPr>
          <w:rFonts w:ascii="Times New Roman" w:hAnsi="Times New Roman" w:cs="Times New Roman"/>
          <w:sz w:val="20"/>
          <w:szCs w:val="20"/>
        </w:rPr>
        <w:t xml:space="preserve"> might be due to the </w:t>
      </w:r>
      <w:proofErr w:type="spellStart"/>
      <w:r w:rsidRPr="00CF1148">
        <w:rPr>
          <w:rFonts w:ascii="Times New Roman" w:hAnsi="Times New Roman" w:cs="Times New Roman"/>
          <w:sz w:val="20"/>
          <w:szCs w:val="20"/>
        </w:rPr>
        <w:t>facilitatory</w:t>
      </w:r>
      <w:proofErr w:type="spellEnd"/>
      <w:r w:rsidRPr="00CF1148">
        <w:rPr>
          <w:rFonts w:ascii="Times New Roman" w:hAnsi="Times New Roman" w:cs="Times New Roman"/>
          <w:sz w:val="20"/>
          <w:szCs w:val="20"/>
        </w:rPr>
        <w:t xml:space="preserve"> effect on </w:t>
      </w:r>
      <w:proofErr w:type="spellStart"/>
      <w:r w:rsidRPr="00CF1148">
        <w:rPr>
          <w:rFonts w:ascii="Times New Roman" w:hAnsi="Times New Roman" w:cs="Times New Roman"/>
          <w:sz w:val="20"/>
          <w:szCs w:val="20"/>
        </w:rPr>
        <w:t>serotonergic</w:t>
      </w:r>
      <w:proofErr w:type="spellEnd"/>
      <w:r w:rsidRPr="00CF1148">
        <w:rPr>
          <w:rFonts w:ascii="Times New Roman" w:hAnsi="Times New Roman" w:cs="Times New Roman"/>
          <w:sz w:val="20"/>
          <w:szCs w:val="20"/>
        </w:rPr>
        <w:t xml:space="preserve">, noradrenergic and </w:t>
      </w:r>
      <w:proofErr w:type="spellStart"/>
      <w:r w:rsidRPr="00CF1148">
        <w:rPr>
          <w:rFonts w:ascii="Times New Roman" w:hAnsi="Times New Roman" w:cs="Times New Roman"/>
          <w:sz w:val="20"/>
          <w:szCs w:val="20"/>
        </w:rPr>
        <w:t>dopaminergic</w:t>
      </w:r>
      <w:proofErr w:type="spellEnd"/>
      <w:r w:rsidRPr="00CF1148">
        <w:rPr>
          <w:rFonts w:ascii="Times New Roman" w:hAnsi="Times New Roman" w:cs="Times New Roman"/>
          <w:sz w:val="20"/>
          <w:szCs w:val="20"/>
        </w:rPr>
        <w:t xml:space="preserve"> systems apart from the antioxidant activity. </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CF1148" w:rsidRPr="00CF1148" w:rsidRDefault="00CF1148" w:rsidP="00CF1148">
      <w:pPr>
        <w:pStyle w:val="ListParagraph"/>
        <w:numPr>
          <w:ilvl w:val="0"/>
          <w:numId w:val="24"/>
        </w:numPr>
        <w:tabs>
          <w:tab w:val="left" w:pos="720"/>
          <w:tab w:val="left" w:pos="810"/>
          <w:tab w:val="left" w:pos="1260"/>
        </w:tabs>
        <w:autoSpaceDE w:val="0"/>
        <w:autoSpaceDN w:val="0"/>
        <w:adjustRightInd w:val="0"/>
        <w:spacing w:after="0" w:line="360" w:lineRule="auto"/>
        <w:jc w:val="both"/>
        <w:rPr>
          <w:rFonts w:ascii="Times New Roman" w:hAnsi="Times New Roman"/>
          <w:sz w:val="20"/>
          <w:szCs w:val="20"/>
        </w:rPr>
      </w:pPr>
      <w:r w:rsidRPr="00CF1148">
        <w:rPr>
          <w:rFonts w:ascii="Times New Roman" w:hAnsi="Times New Roman"/>
          <w:sz w:val="20"/>
          <w:szCs w:val="20"/>
        </w:rPr>
        <w:t xml:space="preserve">Praveen Kumar </w:t>
      </w:r>
      <w:proofErr w:type="spellStart"/>
      <w:r w:rsidRPr="00CF1148">
        <w:rPr>
          <w:rFonts w:ascii="Times New Roman" w:hAnsi="Times New Roman"/>
          <w:sz w:val="20"/>
          <w:szCs w:val="20"/>
        </w:rPr>
        <w:t>Uppala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Murali</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Krishna.B</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Dr.K.Atchuta</w:t>
      </w:r>
      <w:proofErr w:type="spellEnd"/>
      <w:r w:rsidRPr="00CF1148">
        <w:rPr>
          <w:rFonts w:ascii="Times New Roman" w:hAnsi="Times New Roman"/>
          <w:sz w:val="20"/>
          <w:szCs w:val="20"/>
        </w:rPr>
        <w:t xml:space="preserve"> Kumar, </w:t>
      </w:r>
      <w:proofErr w:type="spellStart"/>
      <w:r w:rsidRPr="00CF1148">
        <w:rPr>
          <w:rFonts w:ascii="Times New Roman" w:hAnsi="Times New Roman"/>
          <w:sz w:val="20"/>
          <w:szCs w:val="20"/>
        </w:rPr>
        <w:t>Vinay</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Ramji</w:t>
      </w:r>
      <w:proofErr w:type="spellEnd"/>
      <w:r w:rsidRPr="00CF1148">
        <w:rPr>
          <w:rFonts w:ascii="Times New Roman" w:hAnsi="Times New Roman"/>
          <w:sz w:val="20"/>
          <w:szCs w:val="20"/>
        </w:rPr>
        <w:t xml:space="preserve">. Experimental Evaluation of Antidepressant activity of Aqueous &amp; </w:t>
      </w:r>
      <w:proofErr w:type="spellStart"/>
      <w:r w:rsidRPr="00CF1148">
        <w:rPr>
          <w:rFonts w:ascii="Times New Roman" w:hAnsi="Times New Roman"/>
          <w:sz w:val="20"/>
          <w:szCs w:val="20"/>
        </w:rPr>
        <w:t>Methanolic</w:t>
      </w:r>
      <w:proofErr w:type="spellEnd"/>
      <w:r w:rsidRPr="00CF1148">
        <w:rPr>
          <w:rFonts w:ascii="Times New Roman" w:hAnsi="Times New Roman"/>
          <w:sz w:val="20"/>
          <w:szCs w:val="20"/>
        </w:rPr>
        <w:t xml:space="preserve"> Flower Extracts of </w:t>
      </w:r>
      <w:proofErr w:type="spellStart"/>
      <w:r w:rsidRPr="00CF1148">
        <w:rPr>
          <w:rFonts w:ascii="Times New Roman" w:hAnsi="Times New Roman"/>
          <w:sz w:val="20"/>
          <w:szCs w:val="20"/>
        </w:rPr>
        <w:t>Tridax</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procumbens</w:t>
      </w:r>
      <w:proofErr w:type="spellEnd"/>
      <w:r w:rsidRPr="00CF1148">
        <w:rPr>
          <w:rFonts w:ascii="Times New Roman" w:hAnsi="Times New Roman"/>
          <w:sz w:val="20"/>
          <w:szCs w:val="20"/>
        </w:rPr>
        <w:t xml:space="preserve"> Linn in Mice. Int. </w:t>
      </w:r>
      <w:r>
        <w:rPr>
          <w:rFonts w:ascii="Times New Roman" w:hAnsi="Times New Roman"/>
          <w:sz w:val="20"/>
          <w:szCs w:val="20"/>
        </w:rPr>
        <w:t xml:space="preserve">J. Adv. Res. Biol. Sci., </w:t>
      </w:r>
      <w:proofErr w:type="spellStart"/>
      <w:r>
        <w:rPr>
          <w:rFonts w:ascii="Times New Roman" w:hAnsi="Times New Roman"/>
          <w:sz w:val="20"/>
          <w:szCs w:val="20"/>
        </w:rPr>
        <w:t>vol</w:t>
      </w:r>
      <w:proofErr w:type="spellEnd"/>
      <w:r>
        <w:rPr>
          <w:rFonts w:ascii="Times New Roman" w:hAnsi="Times New Roman"/>
          <w:sz w:val="20"/>
          <w:szCs w:val="20"/>
        </w:rPr>
        <w:t xml:space="preserve"> 3, issue 6, 2016</w:t>
      </w:r>
      <w:proofErr w:type="gramStart"/>
      <w:r>
        <w:rPr>
          <w:rFonts w:ascii="Times New Roman" w:hAnsi="Times New Roman"/>
          <w:sz w:val="20"/>
          <w:szCs w:val="20"/>
        </w:rPr>
        <w:t>,pp</w:t>
      </w:r>
      <w:proofErr w:type="gramEnd"/>
      <w:r>
        <w:rPr>
          <w:rFonts w:ascii="Times New Roman" w:hAnsi="Times New Roman"/>
          <w:sz w:val="20"/>
          <w:szCs w:val="20"/>
        </w:rPr>
        <w:t xml:space="preserve"> </w:t>
      </w:r>
      <w:r w:rsidRPr="00CF1148">
        <w:rPr>
          <w:rFonts w:ascii="Times New Roman" w:hAnsi="Times New Roman"/>
          <w:sz w:val="20"/>
          <w:szCs w:val="20"/>
        </w:rPr>
        <w:t>209-217.</w:t>
      </w:r>
    </w:p>
    <w:p w:rsidR="00CF1148" w:rsidRPr="00CF1148" w:rsidRDefault="00CF1148" w:rsidP="00CF1148">
      <w:pPr>
        <w:pStyle w:val="ListParagraph"/>
        <w:numPr>
          <w:ilvl w:val="0"/>
          <w:numId w:val="24"/>
        </w:numPr>
        <w:tabs>
          <w:tab w:val="left" w:pos="720"/>
          <w:tab w:val="left" w:pos="810"/>
          <w:tab w:val="left" w:pos="1260"/>
        </w:tabs>
        <w:autoSpaceDE w:val="0"/>
        <w:autoSpaceDN w:val="0"/>
        <w:adjustRightInd w:val="0"/>
        <w:spacing w:after="0" w:line="360" w:lineRule="auto"/>
        <w:jc w:val="both"/>
        <w:rPr>
          <w:rFonts w:ascii="Times New Roman" w:hAnsi="Times New Roman"/>
          <w:sz w:val="20"/>
          <w:szCs w:val="20"/>
        </w:rPr>
      </w:pPr>
      <w:r w:rsidRPr="00CF1148">
        <w:rPr>
          <w:rFonts w:ascii="Times New Roman" w:hAnsi="Times New Roman"/>
          <w:sz w:val="20"/>
          <w:szCs w:val="20"/>
        </w:rPr>
        <w:t xml:space="preserve">Praveen </w:t>
      </w:r>
      <w:proofErr w:type="spellStart"/>
      <w:r w:rsidRPr="00CF1148">
        <w:rPr>
          <w:rFonts w:ascii="Times New Roman" w:hAnsi="Times New Roman"/>
          <w:sz w:val="20"/>
          <w:szCs w:val="20"/>
        </w:rPr>
        <w:t>kumar</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uppala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atchuta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kumar</w:t>
      </w:r>
      <w:proofErr w:type="spellEnd"/>
      <w:r w:rsidRPr="00CF1148">
        <w:rPr>
          <w:rFonts w:ascii="Times New Roman" w:hAnsi="Times New Roman"/>
          <w:sz w:val="20"/>
          <w:szCs w:val="20"/>
        </w:rPr>
        <w:t xml:space="preserve"> k, </w:t>
      </w:r>
      <w:proofErr w:type="spellStart"/>
      <w:r w:rsidRPr="00CF1148">
        <w:rPr>
          <w:rFonts w:ascii="Times New Roman" w:hAnsi="Times New Roman"/>
          <w:sz w:val="20"/>
          <w:szCs w:val="20"/>
        </w:rPr>
        <w:t>sujit</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kumar</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patro</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murali</w:t>
      </w:r>
      <w:proofErr w:type="spellEnd"/>
      <w:r w:rsidRPr="00CF1148">
        <w:rPr>
          <w:rFonts w:ascii="Times New Roman" w:hAnsi="Times New Roman"/>
          <w:sz w:val="20"/>
          <w:szCs w:val="20"/>
        </w:rPr>
        <w:t xml:space="preserve"> </w:t>
      </w:r>
      <w:proofErr w:type="spellStart"/>
      <w:proofErr w:type="gramStart"/>
      <w:r w:rsidRPr="00CF1148">
        <w:rPr>
          <w:rFonts w:ascii="Times New Roman" w:hAnsi="Times New Roman"/>
          <w:sz w:val="20"/>
          <w:szCs w:val="20"/>
        </w:rPr>
        <w:t>krishna</w:t>
      </w:r>
      <w:proofErr w:type="spellEnd"/>
      <w:proofErr w:type="gramEnd"/>
      <w:r w:rsidRPr="00CF1148">
        <w:rPr>
          <w:rFonts w:ascii="Times New Roman" w:hAnsi="Times New Roman"/>
          <w:sz w:val="20"/>
          <w:szCs w:val="20"/>
        </w:rPr>
        <w:t xml:space="preserve"> b. Experimental evaluation of antidepressant activity of aqueous and Chloroform leaf and shoot extracts of </w:t>
      </w:r>
      <w:proofErr w:type="spellStart"/>
      <w:r w:rsidRPr="00CF1148">
        <w:rPr>
          <w:rFonts w:ascii="Times New Roman" w:hAnsi="Times New Roman"/>
          <w:sz w:val="20"/>
          <w:szCs w:val="20"/>
        </w:rPr>
        <w:t>eicchornia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crassipes</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linn</w:t>
      </w:r>
      <w:proofErr w:type="spellEnd"/>
      <w:r w:rsidRPr="00CF1148">
        <w:rPr>
          <w:rFonts w:ascii="Times New Roman" w:hAnsi="Times New Roman"/>
          <w:sz w:val="20"/>
          <w:szCs w:val="20"/>
        </w:rPr>
        <w:t xml:space="preserve"> in mice. Asian J </w:t>
      </w:r>
      <w:proofErr w:type="spellStart"/>
      <w:r w:rsidRPr="00CF1148">
        <w:rPr>
          <w:rFonts w:ascii="Times New Roman" w:hAnsi="Times New Roman"/>
          <w:sz w:val="20"/>
          <w:szCs w:val="20"/>
        </w:rPr>
        <w:t>Pharm</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Clin</w:t>
      </w:r>
      <w:proofErr w:type="spellEnd"/>
      <w:r w:rsidRPr="00CF1148">
        <w:rPr>
          <w:rFonts w:ascii="Times New Roman" w:hAnsi="Times New Roman"/>
          <w:sz w:val="20"/>
          <w:szCs w:val="20"/>
        </w:rPr>
        <w:t xml:space="preserve"> Res, </w:t>
      </w:r>
      <w:proofErr w:type="spellStart"/>
      <w:r w:rsidRPr="00CF1148">
        <w:rPr>
          <w:rFonts w:ascii="Times New Roman" w:hAnsi="Times New Roman"/>
          <w:sz w:val="20"/>
          <w:szCs w:val="20"/>
        </w:rPr>
        <w:t>Vol</w:t>
      </w:r>
      <w:proofErr w:type="spellEnd"/>
      <w:r w:rsidRPr="00CF1148">
        <w:rPr>
          <w:rFonts w:ascii="Times New Roman" w:hAnsi="Times New Roman"/>
          <w:sz w:val="20"/>
          <w:szCs w:val="20"/>
        </w:rPr>
        <w:t xml:space="preserve"> 8, Issue 5, 2015, </w:t>
      </w:r>
      <w:r>
        <w:rPr>
          <w:rFonts w:ascii="Times New Roman" w:hAnsi="Times New Roman"/>
          <w:sz w:val="20"/>
          <w:szCs w:val="20"/>
        </w:rPr>
        <w:t>pp</w:t>
      </w:r>
      <w:r w:rsidRPr="00CF1148">
        <w:rPr>
          <w:rFonts w:ascii="Times New Roman" w:hAnsi="Times New Roman"/>
          <w:sz w:val="20"/>
          <w:szCs w:val="20"/>
        </w:rPr>
        <w:t>287-290.</w:t>
      </w:r>
    </w:p>
    <w:p w:rsidR="00CF1148" w:rsidRPr="00CF1148" w:rsidRDefault="00CF1148" w:rsidP="00CF1148">
      <w:pPr>
        <w:pStyle w:val="ListParagraph"/>
        <w:numPr>
          <w:ilvl w:val="0"/>
          <w:numId w:val="24"/>
        </w:numPr>
        <w:tabs>
          <w:tab w:val="left" w:pos="720"/>
          <w:tab w:val="left" w:pos="810"/>
          <w:tab w:val="left" w:pos="1260"/>
        </w:tabs>
        <w:autoSpaceDE w:val="0"/>
        <w:autoSpaceDN w:val="0"/>
        <w:adjustRightInd w:val="0"/>
        <w:spacing w:after="0" w:line="360" w:lineRule="auto"/>
        <w:jc w:val="both"/>
        <w:rPr>
          <w:rFonts w:ascii="Times New Roman" w:hAnsi="Times New Roman"/>
          <w:sz w:val="20"/>
          <w:szCs w:val="20"/>
        </w:rPr>
      </w:pPr>
      <w:r w:rsidRPr="00CF1148">
        <w:rPr>
          <w:rFonts w:ascii="Times New Roman" w:hAnsi="Times New Roman"/>
          <w:sz w:val="20"/>
          <w:szCs w:val="20"/>
        </w:rPr>
        <w:t xml:space="preserve">Ashok Kumar, B.S, </w:t>
      </w:r>
      <w:proofErr w:type="spellStart"/>
      <w:r w:rsidRPr="00CF1148">
        <w:rPr>
          <w:rFonts w:ascii="Times New Roman" w:hAnsi="Times New Roman"/>
          <w:sz w:val="20"/>
          <w:szCs w:val="20"/>
        </w:rPr>
        <w:t>Lakshman</w:t>
      </w:r>
      <w:proofErr w:type="spellEnd"/>
      <w:r w:rsidRPr="00CF1148">
        <w:rPr>
          <w:rFonts w:ascii="Times New Roman" w:hAnsi="Times New Roman"/>
          <w:sz w:val="20"/>
          <w:szCs w:val="20"/>
        </w:rPr>
        <w:t xml:space="preserve">, K, </w:t>
      </w:r>
      <w:proofErr w:type="spellStart"/>
      <w:r w:rsidRPr="00CF1148">
        <w:rPr>
          <w:rFonts w:ascii="Times New Roman" w:hAnsi="Times New Roman"/>
          <w:sz w:val="20"/>
          <w:szCs w:val="20"/>
        </w:rPr>
        <w:t>Velmurugan</w:t>
      </w:r>
      <w:proofErr w:type="spellEnd"/>
      <w:r w:rsidRPr="00CF1148">
        <w:rPr>
          <w:rFonts w:ascii="Times New Roman" w:hAnsi="Times New Roman"/>
          <w:sz w:val="20"/>
          <w:szCs w:val="20"/>
        </w:rPr>
        <w:t xml:space="preserve">, C, Sridhar, S.M, </w:t>
      </w:r>
      <w:proofErr w:type="spellStart"/>
      <w:r w:rsidRPr="00CF1148">
        <w:rPr>
          <w:rFonts w:ascii="Times New Roman" w:hAnsi="Times New Roman"/>
          <w:sz w:val="20"/>
          <w:szCs w:val="20"/>
        </w:rPr>
        <w:t>Gopisetty</w:t>
      </w:r>
      <w:proofErr w:type="spellEnd"/>
      <w:r w:rsidRPr="00CF1148">
        <w:rPr>
          <w:rFonts w:ascii="Times New Roman" w:hAnsi="Times New Roman"/>
          <w:sz w:val="20"/>
          <w:szCs w:val="20"/>
        </w:rPr>
        <w:t xml:space="preserve"> Saran. Antidepressant Activity of </w:t>
      </w:r>
      <w:proofErr w:type="spellStart"/>
      <w:r w:rsidRPr="00CF1148">
        <w:rPr>
          <w:rFonts w:ascii="Times New Roman" w:hAnsi="Times New Roman"/>
          <w:sz w:val="20"/>
          <w:szCs w:val="20"/>
        </w:rPr>
        <w:t>Methanolic</w:t>
      </w:r>
      <w:proofErr w:type="spellEnd"/>
      <w:r w:rsidRPr="00CF1148">
        <w:rPr>
          <w:rFonts w:ascii="Times New Roman" w:hAnsi="Times New Roman"/>
          <w:sz w:val="20"/>
          <w:szCs w:val="20"/>
        </w:rPr>
        <w:t xml:space="preserve"> Extract of </w:t>
      </w:r>
      <w:proofErr w:type="spellStart"/>
      <w:r w:rsidRPr="00CF1148">
        <w:rPr>
          <w:rFonts w:ascii="Times New Roman" w:hAnsi="Times New Roman"/>
          <w:sz w:val="20"/>
          <w:szCs w:val="20"/>
        </w:rPr>
        <w:t>Amaranthus</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Spinosus</w:t>
      </w:r>
      <w:proofErr w:type="spellEnd"/>
      <w:r w:rsidRPr="00CF1148">
        <w:rPr>
          <w:rFonts w:ascii="Times New Roman" w:hAnsi="Times New Roman"/>
          <w:sz w:val="20"/>
          <w:szCs w:val="20"/>
        </w:rPr>
        <w:t xml:space="preserve">. </w:t>
      </w:r>
      <w:r>
        <w:rPr>
          <w:rFonts w:ascii="Times New Roman" w:hAnsi="Times New Roman"/>
          <w:sz w:val="20"/>
          <w:szCs w:val="20"/>
        </w:rPr>
        <w:t>Winter 2014, Volume 5, pp 1254-1261.</w:t>
      </w:r>
    </w:p>
    <w:p w:rsidR="00CF1148" w:rsidRDefault="00CF1148" w:rsidP="00CF1148">
      <w:pPr>
        <w:pStyle w:val="ListParagraph"/>
        <w:numPr>
          <w:ilvl w:val="0"/>
          <w:numId w:val="24"/>
        </w:numPr>
        <w:tabs>
          <w:tab w:val="left" w:pos="720"/>
          <w:tab w:val="left" w:pos="810"/>
          <w:tab w:val="left" w:pos="1260"/>
        </w:tabs>
        <w:autoSpaceDE w:val="0"/>
        <w:autoSpaceDN w:val="0"/>
        <w:adjustRightInd w:val="0"/>
        <w:spacing w:after="0" w:line="360" w:lineRule="auto"/>
        <w:jc w:val="both"/>
        <w:rPr>
          <w:rFonts w:ascii="Times New Roman" w:hAnsi="Times New Roman"/>
          <w:sz w:val="20"/>
          <w:szCs w:val="20"/>
        </w:rPr>
      </w:pPr>
      <w:proofErr w:type="spellStart"/>
      <w:r w:rsidRPr="00CF1148">
        <w:rPr>
          <w:rFonts w:ascii="Times New Roman" w:hAnsi="Times New Roman"/>
          <w:sz w:val="20"/>
          <w:szCs w:val="20"/>
        </w:rPr>
        <w:t>Mishra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Swati</w:t>
      </w:r>
      <w:proofErr w:type="spellEnd"/>
      <w:r w:rsidRPr="00CF1148">
        <w:rPr>
          <w:rFonts w:ascii="Times New Roman" w:hAnsi="Times New Roman"/>
          <w:sz w:val="20"/>
          <w:szCs w:val="20"/>
        </w:rPr>
        <w:t xml:space="preserve">, Jena </w:t>
      </w:r>
      <w:proofErr w:type="spellStart"/>
      <w:r w:rsidRPr="00CF1148">
        <w:rPr>
          <w:rFonts w:ascii="Times New Roman" w:hAnsi="Times New Roman"/>
          <w:sz w:val="20"/>
          <w:szCs w:val="20"/>
        </w:rPr>
        <w:t>Monalisa</w:t>
      </w:r>
      <w:proofErr w:type="spellEnd"/>
      <w:r w:rsidRPr="00CF1148">
        <w:rPr>
          <w:rFonts w:ascii="Times New Roman" w:hAnsi="Times New Roman"/>
          <w:sz w:val="20"/>
          <w:szCs w:val="20"/>
        </w:rPr>
        <w:t xml:space="preserve">, Pal </w:t>
      </w:r>
      <w:proofErr w:type="spellStart"/>
      <w:r w:rsidRPr="00CF1148">
        <w:rPr>
          <w:rFonts w:ascii="Times New Roman" w:hAnsi="Times New Roman"/>
          <w:sz w:val="20"/>
          <w:szCs w:val="20"/>
        </w:rPr>
        <w:t>Abhisek</w:t>
      </w:r>
      <w:proofErr w:type="spellEnd"/>
      <w:r w:rsidRPr="00CF1148">
        <w:rPr>
          <w:rFonts w:ascii="Times New Roman" w:hAnsi="Times New Roman"/>
          <w:sz w:val="20"/>
          <w:szCs w:val="20"/>
        </w:rPr>
        <w:t xml:space="preserve">. Evaluation of antidepressant activity of </w:t>
      </w:r>
      <w:proofErr w:type="spellStart"/>
      <w:r w:rsidRPr="00CF1148">
        <w:rPr>
          <w:rFonts w:ascii="Times New Roman" w:hAnsi="Times New Roman"/>
          <w:sz w:val="20"/>
          <w:szCs w:val="20"/>
        </w:rPr>
        <w:t>eclipta</w:t>
      </w:r>
      <w:proofErr w:type="spellEnd"/>
      <w:r w:rsidRPr="00CF1148">
        <w:rPr>
          <w:rFonts w:ascii="Times New Roman" w:hAnsi="Times New Roman"/>
          <w:sz w:val="20"/>
          <w:szCs w:val="20"/>
        </w:rPr>
        <w:t xml:space="preserve"> </w:t>
      </w:r>
      <w:proofErr w:type="gramStart"/>
      <w:r w:rsidRPr="00CF1148">
        <w:rPr>
          <w:rFonts w:ascii="Times New Roman" w:hAnsi="Times New Roman"/>
          <w:sz w:val="20"/>
          <w:szCs w:val="20"/>
        </w:rPr>
        <w:t>alba</w:t>
      </w:r>
      <w:proofErr w:type="gramEnd"/>
      <w:r w:rsidRPr="00CF1148">
        <w:rPr>
          <w:rFonts w:ascii="Times New Roman" w:hAnsi="Times New Roman"/>
          <w:sz w:val="20"/>
          <w:szCs w:val="20"/>
        </w:rPr>
        <w:t xml:space="preserve"> using animal models. Asian J </w:t>
      </w:r>
      <w:proofErr w:type="spellStart"/>
      <w:r w:rsidRPr="00CF1148">
        <w:rPr>
          <w:rFonts w:ascii="Times New Roman" w:hAnsi="Times New Roman"/>
          <w:sz w:val="20"/>
          <w:szCs w:val="20"/>
        </w:rPr>
        <w:t>Pharm</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Clin</w:t>
      </w:r>
      <w:proofErr w:type="spellEnd"/>
      <w:r w:rsidRPr="00CF1148">
        <w:rPr>
          <w:rFonts w:ascii="Times New Roman" w:hAnsi="Times New Roman"/>
          <w:sz w:val="20"/>
          <w:szCs w:val="20"/>
        </w:rPr>
        <w:t xml:space="preserve"> Res, </w:t>
      </w:r>
      <w:proofErr w:type="spellStart"/>
      <w:r w:rsidRPr="00CF1148">
        <w:rPr>
          <w:rFonts w:ascii="Times New Roman" w:hAnsi="Times New Roman"/>
          <w:sz w:val="20"/>
          <w:szCs w:val="20"/>
        </w:rPr>
        <w:t>Vol</w:t>
      </w:r>
      <w:proofErr w:type="spellEnd"/>
      <w:r w:rsidRPr="00CF1148">
        <w:rPr>
          <w:rFonts w:ascii="Times New Roman" w:hAnsi="Times New Roman"/>
          <w:sz w:val="20"/>
          <w:szCs w:val="20"/>
        </w:rPr>
        <w:t xml:space="preserve"> 6, </w:t>
      </w:r>
      <w:proofErr w:type="spellStart"/>
      <w:r w:rsidRPr="00CF1148">
        <w:rPr>
          <w:rFonts w:ascii="Times New Roman" w:hAnsi="Times New Roman"/>
          <w:sz w:val="20"/>
          <w:szCs w:val="20"/>
        </w:rPr>
        <w:t>Suppl</w:t>
      </w:r>
      <w:proofErr w:type="spellEnd"/>
      <w:r w:rsidRPr="00CF1148">
        <w:rPr>
          <w:rFonts w:ascii="Times New Roman" w:hAnsi="Times New Roman"/>
          <w:sz w:val="20"/>
          <w:szCs w:val="20"/>
        </w:rPr>
        <w:t xml:space="preserve"> 3, 2013, </w:t>
      </w:r>
      <w:r>
        <w:rPr>
          <w:rFonts w:ascii="Times New Roman" w:hAnsi="Times New Roman"/>
          <w:sz w:val="20"/>
          <w:szCs w:val="20"/>
        </w:rPr>
        <w:t>pp</w:t>
      </w:r>
      <w:r w:rsidRPr="00CF1148">
        <w:rPr>
          <w:rFonts w:ascii="Times New Roman" w:hAnsi="Times New Roman"/>
          <w:sz w:val="20"/>
          <w:szCs w:val="20"/>
        </w:rPr>
        <w:t>118-120.</w:t>
      </w:r>
    </w:p>
    <w:p w:rsidR="00CF1148" w:rsidRPr="001C6778" w:rsidRDefault="00CF1148" w:rsidP="001C6778">
      <w:pPr>
        <w:pStyle w:val="ListParagraph"/>
        <w:numPr>
          <w:ilvl w:val="0"/>
          <w:numId w:val="24"/>
        </w:numPr>
        <w:tabs>
          <w:tab w:val="left" w:pos="720"/>
          <w:tab w:val="left" w:pos="810"/>
          <w:tab w:val="left" w:pos="1260"/>
        </w:tabs>
        <w:autoSpaceDE w:val="0"/>
        <w:autoSpaceDN w:val="0"/>
        <w:adjustRightInd w:val="0"/>
        <w:spacing w:after="0" w:line="360" w:lineRule="auto"/>
        <w:jc w:val="both"/>
        <w:rPr>
          <w:rFonts w:ascii="Times New Roman" w:hAnsi="Times New Roman"/>
          <w:sz w:val="20"/>
          <w:szCs w:val="20"/>
        </w:rPr>
      </w:pPr>
      <w:proofErr w:type="spellStart"/>
      <w:r w:rsidRPr="00CF1148">
        <w:rPr>
          <w:rFonts w:ascii="Times New Roman" w:hAnsi="Times New Roman"/>
          <w:sz w:val="20"/>
          <w:szCs w:val="20"/>
        </w:rPr>
        <w:t>Rinki</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Kumari</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Aruna</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Agrawal</w:t>
      </w:r>
      <w:proofErr w:type="spellEnd"/>
      <w:r w:rsidRPr="00CF1148">
        <w:rPr>
          <w:rFonts w:ascii="Times New Roman" w:hAnsi="Times New Roman"/>
          <w:sz w:val="20"/>
          <w:szCs w:val="20"/>
        </w:rPr>
        <w:t xml:space="preserve">, </w:t>
      </w:r>
      <w:proofErr w:type="spellStart"/>
      <w:r w:rsidRPr="00CF1148">
        <w:rPr>
          <w:rFonts w:ascii="Times New Roman" w:hAnsi="Times New Roman"/>
          <w:sz w:val="20"/>
          <w:szCs w:val="20"/>
        </w:rPr>
        <w:t>Ilango</w:t>
      </w:r>
      <w:proofErr w:type="spellEnd"/>
      <w:r w:rsidRPr="00CF1148">
        <w:rPr>
          <w:rFonts w:ascii="Times New Roman" w:hAnsi="Times New Roman"/>
          <w:sz w:val="20"/>
          <w:szCs w:val="20"/>
        </w:rPr>
        <w:t xml:space="preserve"> K, Singh GPI4 and </w:t>
      </w:r>
      <w:proofErr w:type="spellStart"/>
      <w:r w:rsidRPr="00CF1148">
        <w:rPr>
          <w:rFonts w:ascii="Times New Roman" w:hAnsi="Times New Roman"/>
          <w:sz w:val="20"/>
          <w:szCs w:val="20"/>
        </w:rPr>
        <w:t>Dubey</w:t>
      </w:r>
      <w:proofErr w:type="spellEnd"/>
      <w:r w:rsidRPr="00CF1148">
        <w:rPr>
          <w:rFonts w:ascii="Times New Roman" w:hAnsi="Times New Roman"/>
          <w:sz w:val="20"/>
          <w:szCs w:val="20"/>
        </w:rPr>
        <w:t xml:space="preserve"> GP. In Vivo Evaluation of the Antidepressant Activity of a Novel </w:t>
      </w:r>
      <w:proofErr w:type="spellStart"/>
      <w:r w:rsidRPr="00CF1148">
        <w:rPr>
          <w:rFonts w:ascii="Times New Roman" w:hAnsi="Times New Roman"/>
          <w:sz w:val="20"/>
          <w:szCs w:val="20"/>
        </w:rPr>
        <w:t>Polyherbal</w:t>
      </w:r>
      <w:proofErr w:type="spellEnd"/>
      <w:r w:rsidRPr="00CF1148">
        <w:rPr>
          <w:rFonts w:ascii="Times New Roman" w:hAnsi="Times New Roman"/>
          <w:sz w:val="20"/>
          <w:szCs w:val="20"/>
        </w:rPr>
        <w:t xml:space="preserve"> Formulation. </w:t>
      </w:r>
      <w:r>
        <w:rPr>
          <w:rFonts w:ascii="Times New Roman" w:hAnsi="Times New Roman"/>
          <w:sz w:val="20"/>
          <w:szCs w:val="20"/>
        </w:rPr>
        <w:t>Volume 6, Issue 5</w:t>
      </w:r>
      <w:r w:rsidRPr="00CF1148">
        <w:rPr>
          <w:rFonts w:ascii="Times New Roman" w:hAnsi="Times New Roman"/>
          <w:sz w:val="20"/>
          <w:szCs w:val="20"/>
        </w:rPr>
        <w:t>,</w:t>
      </w:r>
      <w:r>
        <w:rPr>
          <w:rFonts w:ascii="Times New Roman" w:hAnsi="Times New Roman"/>
          <w:sz w:val="20"/>
          <w:szCs w:val="20"/>
        </w:rPr>
        <w:t xml:space="preserve"> </w:t>
      </w:r>
      <w:r w:rsidRPr="00CF1148">
        <w:rPr>
          <w:rFonts w:ascii="Times New Roman" w:hAnsi="Times New Roman"/>
          <w:sz w:val="20"/>
          <w:szCs w:val="20"/>
        </w:rPr>
        <w:t>2016</w:t>
      </w:r>
      <w:r>
        <w:rPr>
          <w:rFonts w:ascii="Times New Roman" w:hAnsi="Times New Roman"/>
          <w:sz w:val="20"/>
          <w:szCs w:val="20"/>
        </w:rPr>
        <w:t>, pp 125-132.</w:t>
      </w:r>
      <w:r w:rsidRPr="00CF1148">
        <w:rPr>
          <w:rFonts w:ascii="Times New Roman" w:hAnsi="Times New Roman"/>
          <w:sz w:val="20"/>
          <w:szCs w:val="20"/>
        </w:rPr>
        <w:t xml:space="preserve"> </w:t>
      </w:r>
    </w:p>
    <w:p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C07" w:rsidRDefault="00FD0C07" w:rsidP="00C556D7">
      <w:pPr>
        <w:spacing w:after="0" w:line="240" w:lineRule="auto"/>
      </w:pPr>
      <w:r>
        <w:separator/>
      </w:r>
    </w:p>
  </w:endnote>
  <w:endnote w:type="continuationSeparator" w:id="0">
    <w:p w:rsidR="00FD0C07" w:rsidRDefault="00FD0C07"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C3362A" w:rsidRPr="001E51F3">
          <w:rPr>
            <w:b/>
            <w:bCs/>
          </w:rPr>
          <w:fldChar w:fldCharType="begin"/>
        </w:r>
        <w:r w:rsidRPr="001E51F3">
          <w:rPr>
            <w:b/>
            <w:bCs/>
          </w:rPr>
          <w:instrText xml:space="preserve"> PAGE   \* MERGEFORMAT </w:instrText>
        </w:r>
        <w:r w:rsidR="00C3362A" w:rsidRPr="001E51F3">
          <w:rPr>
            <w:b/>
            <w:bCs/>
          </w:rPr>
          <w:fldChar w:fldCharType="separate"/>
        </w:r>
        <w:r w:rsidR="00B52E91">
          <w:rPr>
            <w:b/>
            <w:bCs/>
            <w:noProof/>
          </w:rPr>
          <w:t>5</w:t>
        </w:r>
        <w:r w:rsidR="00C3362A" w:rsidRPr="001E51F3">
          <w:rPr>
            <w:b/>
            <w:bCs/>
            <w:noProof/>
          </w:rPr>
          <w:fldChar w:fldCharType="end"/>
        </w:r>
        <w:r w:rsidRPr="001E51F3">
          <w:rPr>
            <w:b/>
            <w:bCs/>
          </w:rPr>
          <w:t xml:space="preserve"> </w:t>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C07" w:rsidRDefault="00FD0C07" w:rsidP="00C556D7">
      <w:pPr>
        <w:spacing w:after="0" w:line="240" w:lineRule="auto"/>
      </w:pPr>
      <w:r>
        <w:separator/>
      </w:r>
    </w:p>
  </w:footnote>
  <w:footnote w:type="continuationSeparator" w:id="0">
    <w:p w:rsidR="00FD0C07" w:rsidRDefault="00FD0C07"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71D44B6"/>
    <w:multiLevelType w:val="hybridMultilevel"/>
    <w:tmpl w:val="6504C0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42CDF"/>
    <w:multiLevelType w:val="hybridMultilevel"/>
    <w:tmpl w:val="4CF49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E613A2"/>
    <w:multiLevelType w:val="hybridMultilevel"/>
    <w:tmpl w:val="A0927F6C"/>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4"/>
  </w:num>
  <w:num w:numId="5">
    <w:abstractNumId w:val="7"/>
  </w:num>
  <w:num w:numId="6">
    <w:abstractNumId w:val="18"/>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20"/>
  </w:num>
  <w:num w:numId="16">
    <w:abstractNumId w:val="10"/>
  </w:num>
  <w:num w:numId="17">
    <w:abstractNumId w:val="15"/>
  </w:num>
  <w:num w:numId="18">
    <w:abstractNumId w:val="2"/>
  </w:num>
  <w:num w:numId="19">
    <w:abstractNumId w:val="22"/>
  </w:num>
  <w:num w:numId="20">
    <w:abstractNumId w:val="6"/>
  </w:num>
  <w:num w:numId="21">
    <w:abstractNumId w:val="19"/>
  </w:num>
  <w:num w:numId="22">
    <w:abstractNumId w:val="8"/>
  </w:num>
  <w:num w:numId="23">
    <w:abstractNumId w:val="1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0874"/>
    <w:rsid w:val="001814AA"/>
    <w:rsid w:val="00187922"/>
    <w:rsid w:val="001C0F2F"/>
    <w:rsid w:val="001C15A0"/>
    <w:rsid w:val="001C6778"/>
    <w:rsid w:val="001C75F5"/>
    <w:rsid w:val="001C7C11"/>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75ED"/>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412A"/>
    <w:rsid w:val="00690A1B"/>
    <w:rsid w:val="006918DA"/>
    <w:rsid w:val="006920E7"/>
    <w:rsid w:val="006962A4"/>
    <w:rsid w:val="006A5E5C"/>
    <w:rsid w:val="006A6434"/>
    <w:rsid w:val="006B2ED8"/>
    <w:rsid w:val="006C11CA"/>
    <w:rsid w:val="006C47B3"/>
    <w:rsid w:val="006C74D5"/>
    <w:rsid w:val="006D7E62"/>
    <w:rsid w:val="006E2967"/>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17BC"/>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7DD8"/>
    <w:rsid w:val="00B52E91"/>
    <w:rsid w:val="00B60F30"/>
    <w:rsid w:val="00B71A47"/>
    <w:rsid w:val="00B76621"/>
    <w:rsid w:val="00B82E3B"/>
    <w:rsid w:val="00BA6D24"/>
    <w:rsid w:val="00BC087A"/>
    <w:rsid w:val="00BC37A0"/>
    <w:rsid w:val="00BD0DF3"/>
    <w:rsid w:val="00BE5B25"/>
    <w:rsid w:val="00C13545"/>
    <w:rsid w:val="00C20B7A"/>
    <w:rsid w:val="00C3362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1148"/>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01A1"/>
    <w:rsid w:val="00F42C71"/>
    <w:rsid w:val="00F43ABE"/>
    <w:rsid w:val="00F62C11"/>
    <w:rsid w:val="00F65276"/>
    <w:rsid w:val="00FC7701"/>
    <w:rsid w:val="00FD0C07"/>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817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17BC"/>
    <w:rPr>
      <w:i/>
      <w:iCs/>
    </w:rPr>
  </w:style>
</w:styles>
</file>

<file path=word/webSettings.xml><?xml version="1.0" encoding="utf-8"?>
<w:webSettings xmlns:r="http://schemas.openxmlformats.org/officeDocument/2006/relationships" xmlns:w="http://schemas.openxmlformats.org/wordprocessingml/2006/main">
  <w:divs>
    <w:div w:id="99831145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509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7CB84-D969-4989-A271-AD72018C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2715</Words>
  <Characters>15479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4</cp:revision>
  <cp:lastPrinted>2021-02-22T14:39:00Z</cp:lastPrinted>
  <dcterms:created xsi:type="dcterms:W3CDTF">2024-09-18T09:21:00Z</dcterms:created>
  <dcterms:modified xsi:type="dcterms:W3CDTF">2024-09-18T09:44:00Z</dcterms:modified>
</cp:coreProperties>
</file>