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B153F1" w14:textId="6B484800" w:rsidR="008871F7" w:rsidRPr="00CB05BC" w:rsidRDefault="00000000" w:rsidP="00683864">
      <w:pPr>
        <w:pStyle w:val="Heading1"/>
        <w:spacing w:line="256" w:lineRule="auto"/>
        <w:ind w:left="0" w:right="543"/>
        <w:jc w:val="center"/>
        <w:rPr>
          <w:sz w:val="28"/>
          <w:szCs w:val="28"/>
        </w:rPr>
      </w:pPr>
      <w:r w:rsidRPr="00CB05BC">
        <w:rPr>
          <w:spacing w:val="-2"/>
          <w:sz w:val="28"/>
          <w:szCs w:val="28"/>
        </w:rPr>
        <w:t>A</w:t>
      </w:r>
      <w:r w:rsidRPr="00CB05BC">
        <w:rPr>
          <w:spacing w:val="-14"/>
          <w:sz w:val="28"/>
          <w:szCs w:val="28"/>
        </w:rPr>
        <w:t xml:space="preserve"> </w:t>
      </w:r>
      <w:r w:rsidRPr="00CB05BC">
        <w:rPr>
          <w:spacing w:val="-16"/>
          <w:sz w:val="28"/>
          <w:szCs w:val="28"/>
        </w:rPr>
        <w:t xml:space="preserve"> </w:t>
      </w:r>
      <w:r w:rsidRPr="00CB05BC">
        <w:rPr>
          <w:spacing w:val="-2"/>
          <w:sz w:val="28"/>
          <w:szCs w:val="28"/>
        </w:rPr>
        <w:t>REVIEW</w:t>
      </w:r>
      <w:r w:rsidRPr="00CB05BC">
        <w:rPr>
          <w:spacing w:val="-3"/>
          <w:sz w:val="28"/>
          <w:szCs w:val="28"/>
        </w:rPr>
        <w:t xml:space="preserve"> </w:t>
      </w:r>
      <w:r w:rsidRPr="00CB05BC">
        <w:rPr>
          <w:spacing w:val="-1"/>
          <w:sz w:val="28"/>
          <w:szCs w:val="28"/>
        </w:rPr>
        <w:t>ON</w:t>
      </w:r>
      <w:r w:rsidRPr="00CB05BC">
        <w:rPr>
          <w:spacing w:val="1"/>
          <w:sz w:val="28"/>
          <w:szCs w:val="28"/>
        </w:rPr>
        <w:t xml:space="preserve"> </w:t>
      </w:r>
      <w:r w:rsidR="009E2913" w:rsidRPr="00CB05BC">
        <w:rPr>
          <w:spacing w:val="-1"/>
          <w:sz w:val="28"/>
          <w:szCs w:val="28"/>
        </w:rPr>
        <w:t>METADOXINE</w:t>
      </w:r>
      <w:r w:rsidRPr="00CB05BC">
        <w:rPr>
          <w:spacing w:val="-1"/>
          <w:sz w:val="28"/>
          <w:szCs w:val="28"/>
        </w:rPr>
        <w:t>;</w:t>
      </w:r>
      <w:r w:rsidRPr="00CB05BC">
        <w:rPr>
          <w:spacing w:val="-14"/>
          <w:sz w:val="28"/>
          <w:szCs w:val="28"/>
        </w:rPr>
        <w:t xml:space="preserve"> </w:t>
      </w:r>
      <w:r w:rsidRPr="00CB05BC">
        <w:rPr>
          <w:spacing w:val="-1"/>
          <w:sz w:val="28"/>
          <w:szCs w:val="28"/>
        </w:rPr>
        <w:t>ANALYTICAL</w:t>
      </w:r>
      <w:r w:rsidRPr="00CB05BC">
        <w:rPr>
          <w:spacing w:val="-16"/>
          <w:sz w:val="28"/>
          <w:szCs w:val="28"/>
        </w:rPr>
        <w:t xml:space="preserve"> </w:t>
      </w:r>
      <w:r w:rsidRPr="00CB05BC">
        <w:rPr>
          <w:spacing w:val="-1"/>
          <w:sz w:val="28"/>
          <w:szCs w:val="28"/>
        </w:rPr>
        <w:t>PROFILE</w:t>
      </w:r>
      <w:r w:rsidRPr="00CB05BC">
        <w:rPr>
          <w:spacing w:val="-16"/>
          <w:sz w:val="28"/>
          <w:szCs w:val="28"/>
        </w:rPr>
        <w:t xml:space="preserve"> </w:t>
      </w:r>
      <w:r w:rsidRPr="00CB05BC">
        <w:rPr>
          <w:spacing w:val="-1"/>
          <w:sz w:val="28"/>
          <w:szCs w:val="28"/>
        </w:rPr>
        <w:t>AND</w:t>
      </w:r>
      <w:r w:rsidRPr="00CB05BC">
        <w:rPr>
          <w:spacing w:val="1"/>
          <w:sz w:val="28"/>
          <w:szCs w:val="28"/>
        </w:rPr>
        <w:t xml:space="preserve"> </w:t>
      </w:r>
      <w:r w:rsidRPr="00CB05BC">
        <w:rPr>
          <w:spacing w:val="-1"/>
          <w:sz w:val="28"/>
          <w:szCs w:val="28"/>
        </w:rPr>
        <w:t>RECENT</w:t>
      </w:r>
      <w:r w:rsidRPr="00CB05BC">
        <w:rPr>
          <w:spacing w:val="-57"/>
          <w:sz w:val="28"/>
          <w:szCs w:val="28"/>
        </w:rPr>
        <w:t xml:space="preserve"> </w:t>
      </w:r>
      <w:r w:rsidR="009E2913" w:rsidRPr="00CB05BC">
        <w:rPr>
          <w:spacing w:val="-57"/>
          <w:sz w:val="28"/>
          <w:szCs w:val="28"/>
        </w:rPr>
        <w:t xml:space="preserve">        </w:t>
      </w:r>
      <w:r w:rsidR="00683864" w:rsidRPr="00CB05BC">
        <w:rPr>
          <w:spacing w:val="-57"/>
          <w:sz w:val="28"/>
          <w:szCs w:val="28"/>
        </w:rPr>
        <w:t xml:space="preserve">  </w:t>
      </w:r>
      <w:r w:rsidRPr="00CB05BC">
        <w:rPr>
          <w:sz w:val="28"/>
          <w:szCs w:val="28"/>
        </w:rPr>
        <w:t>ADVANCEMENTS</w:t>
      </w:r>
    </w:p>
    <w:p w14:paraId="51EE35EB" w14:textId="3BBEE8D5" w:rsidR="008871F7" w:rsidRPr="00CB05BC" w:rsidRDefault="00212152" w:rsidP="00212152">
      <w:pPr>
        <w:pStyle w:val="BodyText"/>
        <w:spacing w:before="165"/>
        <w:ind w:left="0"/>
        <w:jc w:val="left"/>
        <w:rPr>
          <w:b/>
          <w:bCs/>
        </w:rPr>
      </w:pPr>
      <w:r w:rsidRPr="00CB05BC">
        <w:rPr>
          <w:b/>
          <w:bCs/>
          <w:spacing w:val="-1"/>
        </w:rPr>
        <w:t xml:space="preserve">      </w:t>
      </w:r>
      <w:r w:rsidR="009E2913" w:rsidRPr="00CB05BC">
        <w:rPr>
          <w:b/>
          <w:bCs/>
          <w:spacing w:val="-1"/>
        </w:rPr>
        <w:t>Afirin Farahana</w:t>
      </w:r>
      <w:r w:rsidR="009E2913" w:rsidRPr="00CB05BC">
        <w:rPr>
          <w:b/>
          <w:bCs/>
          <w:spacing w:val="-1"/>
          <w:vertAlign w:val="superscript"/>
        </w:rPr>
        <w:t>1</w:t>
      </w:r>
      <w:r w:rsidR="009E2913" w:rsidRPr="00CB05BC">
        <w:rPr>
          <w:b/>
          <w:bCs/>
          <w:spacing w:val="-1"/>
        </w:rPr>
        <w:t>,</w:t>
      </w:r>
      <w:r w:rsidR="009E2913" w:rsidRPr="00CB05BC">
        <w:rPr>
          <w:b/>
          <w:bCs/>
        </w:rPr>
        <w:t xml:space="preserve"> </w:t>
      </w:r>
      <w:r w:rsidR="00436DDE" w:rsidRPr="00CB05BC">
        <w:rPr>
          <w:b/>
          <w:bCs/>
          <w:spacing w:val="-1"/>
        </w:rPr>
        <w:t>N</w:t>
      </w:r>
      <w:r w:rsidR="009E2913" w:rsidRPr="00CB05BC">
        <w:rPr>
          <w:b/>
          <w:bCs/>
          <w:spacing w:val="-1"/>
        </w:rPr>
        <w:t>.</w:t>
      </w:r>
      <w:r w:rsidR="00852409" w:rsidRPr="00CB05BC">
        <w:rPr>
          <w:b/>
          <w:bCs/>
          <w:spacing w:val="-1"/>
        </w:rPr>
        <w:t xml:space="preserve"> </w:t>
      </w:r>
      <w:r w:rsidR="009E2913" w:rsidRPr="00CB05BC">
        <w:rPr>
          <w:b/>
          <w:bCs/>
          <w:spacing w:val="-1"/>
        </w:rPr>
        <w:t>Indira Rani</w:t>
      </w:r>
      <w:r w:rsidR="003F3571" w:rsidRPr="00CB05BC">
        <w:rPr>
          <w:b/>
          <w:bCs/>
          <w:vertAlign w:val="superscript"/>
        </w:rPr>
        <w:t>*</w:t>
      </w:r>
      <w:r w:rsidRPr="00CB05BC">
        <w:rPr>
          <w:b/>
          <w:bCs/>
        </w:rPr>
        <w:t>,Dr.K.Sirisha</w:t>
      </w:r>
      <w:r w:rsidRPr="00CB05BC">
        <w:rPr>
          <w:b/>
          <w:bCs/>
          <w:vertAlign w:val="superscript"/>
        </w:rPr>
        <w:t>2</w:t>
      </w:r>
      <w:r w:rsidRPr="00CB05BC">
        <w:rPr>
          <w:b/>
          <w:bCs/>
        </w:rPr>
        <w:t>,Samreen Begum</w:t>
      </w:r>
      <w:r w:rsidR="00F87BC7" w:rsidRPr="00CB05BC">
        <w:rPr>
          <w:b/>
          <w:bCs/>
          <w:vertAlign w:val="superscript"/>
        </w:rPr>
        <w:t>3</w:t>
      </w:r>
      <w:r w:rsidRPr="00CB05BC">
        <w:rPr>
          <w:b/>
          <w:bCs/>
        </w:rPr>
        <w:t>, Dr.P.Vivek Sagar</w:t>
      </w:r>
      <w:r w:rsidR="00F87BC7" w:rsidRPr="00CB05BC">
        <w:rPr>
          <w:b/>
          <w:bCs/>
          <w:vertAlign w:val="superscript"/>
        </w:rPr>
        <w:t>4</w:t>
      </w:r>
    </w:p>
    <w:p w14:paraId="3A974B78" w14:textId="70DDFBB8" w:rsidR="008871F7" w:rsidRPr="00CB05BC" w:rsidRDefault="00000000">
      <w:pPr>
        <w:pStyle w:val="BodyText"/>
        <w:spacing w:before="179" w:line="261" w:lineRule="auto"/>
        <w:ind w:left="430" w:right="631" w:hanging="6"/>
        <w:jc w:val="center"/>
      </w:pPr>
      <w:r w:rsidRPr="00CB05BC">
        <w:rPr>
          <w:spacing w:val="-1"/>
          <w:vertAlign w:val="superscript"/>
        </w:rPr>
        <w:t>1</w:t>
      </w:r>
      <w:r w:rsidRPr="00CB05BC">
        <w:rPr>
          <w:spacing w:val="-1"/>
        </w:rPr>
        <w:t xml:space="preserve"> Research student, Department of </w:t>
      </w:r>
      <w:r w:rsidR="009E2913" w:rsidRPr="00CB05BC">
        <w:rPr>
          <w:spacing w:val="-1"/>
        </w:rPr>
        <w:t>Pharmaceutical Analysis</w:t>
      </w:r>
      <w:r w:rsidRPr="00CB05BC">
        <w:rPr>
          <w:spacing w:val="-1"/>
        </w:rPr>
        <w:t xml:space="preserve">, Sarojini </w:t>
      </w:r>
      <w:r w:rsidRPr="00CB05BC">
        <w:t>Naidu Vanitha Pharmacy</w:t>
      </w:r>
      <w:r w:rsidRPr="00CB05BC">
        <w:rPr>
          <w:spacing w:val="1"/>
        </w:rPr>
        <w:t xml:space="preserve"> </w:t>
      </w:r>
      <w:r w:rsidRPr="00CB05BC">
        <w:rPr>
          <w:spacing w:val="-1"/>
        </w:rPr>
        <w:t>Maha</w:t>
      </w:r>
      <w:r w:rsidRPr="00CB05BC">
        <w:rPr>
          <w:spacing w:val="-14"/>
        </w:rPr>
        <w:t xml:space="preserve"> </w:t>
      </w:r>
      <w:r w:rsidRPr="00CB05BC">
        <w:rPr>
          <w:spacing w:val="-1"/>
        </w:rPr>
        <w:t>Vidyalaya,</w:t>
      </w:r>
      <w:r w:rsidRPr="00CB05BC">
        <w:rPr>
          <w:spacing w:val="-8"/>
        </w:rPr>
        <w:t xml:space="preserve"> </w:t>
      </w:r>
      <w:r w:rsidRPr="00CB05BC">
        <w:rPr>
          <w:spacing w:val="-1"/>
        </w:rPr>
        <w:t>Osmania</w:t>
      </w:r>
      <w:r w:rsidRPr="00CB05BC">
        <w:rPr>
          <w:spacing w:val="-9"/>
        </w:rPr>
        <w:t xml:space="preserve"> </w:t>
      </w:r>
      <w:r w:rsidRPr="00CB05BC">
        <w:t>University,</w:t>
      </w:r>
      <w:r w:rsidRPr="00CB05BC">
        <w:rPr>
          <w:spacing w:val="-13"/>
        </w:rPr>
        <w:t xml:space="preserve"> </w:t>
      </w:r>
      <w:r w:rsidRPr="00CB05BC">
        <w:t>Tarnaka</w:t>
      </w:r>
      <w:r w:rsidRPr="00CB05BC">
        <w:rPr>
          <w:spacing w:val="-5"/>
        </w:rPr>
        <w:t xml:space="preserve"> </w:t>
      </w:r>
      <w:r w:rsidRPr="00CB05BC">
        <w:t>–</w:t>
      </w:r>
      <w:r w:rsidRPr="00CB05BC">
        <w:rPr>
          <w:spacing w:val="-7"/>
        </w:rPr>
        <w:t xml:space="preserve"> </w:t>
      </w:r>
      <w:r w:rsidRPr="00CB05BC">
        <w:t>500071,</w:t>
      </w:r>
      <w:r w:rsidRPr="00CB05BC">
        <w:rPr>
          <w:spacing w:val="-8"/>
        </w:rPr>
        <w:t xml:space="preserve"> </w:t>
      </w:r>
      <w:r w:rsidRPr="00CB05BC">
        <w:t>Secunderabad,</w:t>
      </w:r>
      <w:r w:rsidRPr="00CB05BC">
        <w:rPr>
          <w:spacing w:val="-13"/>
        </w:rPr>
        <w:t xml:space="preserve"> </w:t>
      </w:r>
      <w:r w:rsidRPr="00CB05BC">
        <w:t>Telangana,</w:t>
      </w:r>
      <w:r w:rsidRPr="00CB05BC">
        <w:rPr>
          <w:spacing w:val="-7"/>
        </w:rPr>
        <w:t xml:space="preserve"> </w:t>
      </w:r>
      <w:r w:rsidRPr="00CB05BC">
        <w:t>India.</w:t>
      </w:r>
    </w:p>
    <w:p w14:paraId="5936FEED" w14:textId="25F7190F" w:rsidR="008871F7" w:rsidRPr="00CB05BC" w:rsidRDefault="00000000">
      <w:pPr>
        <w:pStyle w:val="BodyText"/>
        <w:spacing w:before="153" w:line="261" w:lineRule="auto"/>
        <w:ind w:left="336" w:right="543"/>
        <w:jc w:val="center"/>
      </w:pPr>
      <w:r w:rsidRPr="00CB05BC">
        <w:rPr>
          <w:spacing w:val="-1"/>
          <w:vertAlign w:val="superscript"/>
        </w:rPr>
        <w:t>*</w:t>
      </w:r>
      <w:r w:rsidRPr="00CB05BC">
        <w:rPr>
          <w:spacing w:val="-15"/>
        </w:rPr>
        <w:t xml:space="preserve"> </w:t>
      </w:r>
      <w:r w:rsidRPr="00CB05BC">
        <w:rPr>
          <w:spacing w:val="-1"/>
        </w:rPr>
        <w:t>Assistant</w:t>
      </w:r>
      <w:r w:rsidRPr="00CB05BC">
        <w:rPr>
          <w:spacing w:val="-2"/>
        </w:rPr>
        <w:t xml:space="preserve"> </w:t>
      </w:r>
      <w:r w:rsidRPr="00CB05BC">
        <w:rPr>
          <w:spacing w:val="-1"/>
        </w:rPr>
        <w:t>professor,</w:t>
      </w:r>
      <w:r w:rsidRPr="00CB05BC">
        <w:rPr>
          <w:spacing w:val="1"/>
        </w:rPr>
        <w:t xml:space="preserve"> </w:t>
      </w:r>
      <w:r w:rsidRPr="00CB05BC">
        <w:rPr>
          <w:spacing w:val="-1"/>
        </w:rPr>
        <w:t>Department</w:t>
      </w:r>
      <w:r w:rsidRPr="00CB05BC">
        <w:rPr>
          <w:spacing w:val="-2"/>
        </w:rPr>
        <w:t xml:space="preserve"> </w:t>
      </w:r>
      <w:r w:rsidRPr="00CB05BC">
        <w:rPr>
          <w:spacing w:val="-1"/>
        </w:rPr>
        <w:t>of</w:t>
      </w:r>
      <w:r w:rsidRPr="00CB05BC">
        <w:t xml:space="preserve"> </w:t>
      </w:r>
      <w:r w:rsidR="009E2913" w:rsidRPr="00CB05BC">
        <w:rPr>
          <w:spacing w:val="-1"/>
        </w:rPr>
        <w:t>Pharmaceutical Analysis</w:t>
      </w:r>
      <w:r w:rsidRPr="00CB05BC">
        <w:rPr>
          <w:spacing w:val="-1"/>
        </w:rPr>
        <w:t>,</w:t>
      </w:r>
      <w:r w:rsidRPr="00CB05BC">
        <w:t xml:space="preserve"> </w:t>
      </w:r>
      <w:r w:rsidRPr="00CB05BC">
        <w:rPr>
          <w:spacing w:val="-1"/>
        </w:rPr>
        <w:t xml:space="preserve">Sarojini </w:t>
      </w:r>
      <w:r w:rsidRPr="00CB05BC">
        <w:t>Naidu</w:t>
      </w:r>
      <w:r w:rsidRPr="00CB05BC">
        <w:rPr>
          <w:spacing w:val="-6"/>
        </w:rPr>
        <w:t xml:space="preserve"> </w:t>
      </w:r>
      <w:r w:rsidRPr="00CB05BC">
        <w:t>Vanitha</w:t>
      </w:r>
      <w:r w:rsidRPr="00CB05BC">
        <w:rPr>
          <w:spacing w:val="-2"/>
        </w:rPr>
        <w:t xml:space="preserve"> </w:t>
      </w:r>
      <w:r w:rsidRPr="00CB05BC">
        <w:t>Pharmacy</w:t>
      </w:r>
      <w:r w:rsidRPr="00CB05BC">
        <w:rPr>
          <w:spacing w:val="-57"/>
        </w:rPr>
        <w:t xml:space="preserve"> </w:t>
      </w:r>
      <w:r w:rsidRPr="00CB05BC">
        <w:rPr>
          <w:spacing w:val="-1"/>
        </w:rPr>
        <w:t>Maha</w:t>
      </w:r>
      <w:r w:rsidRPr="00CB05BC">
        <w:rPr>
          <w:spacing w:val="-14"/>
        </w:rPr>
        <w:t xml:space="preserve"> </w:t>
      </w:r>
      <w:r w:rsidRPr="00CB05BC">
        <w:rPr>
          <w:spacing w:val="-1"/>
        </w:rPr>
        <w:t>Vidyalaya,</w:t>
      </w:r>
      <w:r w:rsidRPr="00CB05BC">
        <w:rPr>
          <w:spacing w:val="-8"/>
        </w:rPr>
        <w:t xml:space="preserve"> </w:t>
      </w:r>
      <w:r w:rsidRPr="00CB05BC">
        <w:rPr>
          <w:spacing w:val="-1"/>
        </w:rPr>
        <w:t>Osmania</w:t>
      </w:r>
      <w:r w:rsidRPr="00CB05BC">
        <w:rPr>
          <w:spacing w:val="-9"/>
        </w:rPr>
        <w:t xml:space="preserve"> </w:t>
      </w:r>
      <w:r w:rsidRPr="00CB05BC">
        <w:t>University,</w:t>
      </w:r>
      <w:r w:rsidRPr="00CB05BC">
        <w:rPr>
          <w:spacing w:val="-13"/>
        </w:rPr>
        <w:t xml:space="preserve"> </w:t>
      </w:r>
      <w:r w:rsidRPr="00CB05BC">
        <w:t>Tarnaka</w:t>
      </w:r>
      <w:r w:rsidRPr="00CB05BC">
        <w:rPr>
          <w:spacing w:val="-5"/>
        </w:rPr>
        <w:t xml:space="preserve"> </w:t>
      </w:r>
      <w:r w:rsidRPr="00CB05BC">
        <w:t>–</w:t>
      </w:r>
      <w:r w:rsidRPr="00CB05BC">
        <w:rPr>
          <w:spacing w:val="-7"/>
        </w:rPr>
        <w:t xml:space="preserve"> </w:t>
      </w:r>
      <w:r w:rsidRPr="00CB05BC">
        <w:t>500071,</w:t>
      </w:r>
      <w:r w:rsidRPr="00CB05BC">
        <w:rPr>
          <w:spacing w:val="-8"/>
        </w:rPr>
        <w:t xml:space="preserve"> </w:t>
      </w:r>
      <w:r w:rsidRPr="00CB05BC">
        <w:t>Secunderabad,</w:t>
      </w:r>
      <w:r w:rsidRPr="00CB05BC">
        <w:rPr>
          <w:spacing w:val="-13"/>
        </w:rPr>
        <w:t xml:space="preserve"> </w:t>
      </w:r>
      <w:r w:rsidRPr="00CB05BC">
        <w:t>Telangana,</w:t>
      </w:r>
      <w:r w:rsidRPr="00CB05BC">
        <w:rPr>
          <w:spacing w:val="-7"/>
        </w:rPr>
        <w:t xml:space="preserve"> </w:t>
      </w:r>
      <w:r w:rsidRPr="00CB05BC">
        <w:t>India.</w:t>
      </w:r>
    </w:p>
    <w:p w14:paraId="5C213846" w14:textId="12862697" w:rsidR="00F87BC7" w:rsidRPr="00CB05BC" w:rsidRDefault="00F87BC7" w:rsidP="00F87BC7">
      <w:pPr>
        <w:pStyle w:val="BodyText"/>
        <w:spacing w:before="153" w:line="261" w:lineRule="auto"/>
        <w:ind w:left="336" w:right="543"/>
        <w:jc w:val="center"/>
      </w:pPr>
      <w:r w:rsidRPr="00CB05BC">
        <w:rPr>
          <w:vertAlign w:val="superscript"/>
        </w:rPr>
        <w:t>2</w:t>
      </w:r>
      <w:r w:rsidRPr="00CB05BC">
        <w:t>Professer,</w:t>
      </w:r>
      <w:r w:rsidRPr="00CB05BC">
        <w:rPr>
          <w:spacing w:val="-1"/>
        </w:rPr>
        <w:t xml:space="preserve"> </w:t>
      </w:r>
      <w:r w:rsidRPr="00CB05BC">
        <w:rPr>
          <w:spacing w:val="-1"/>
        </w:rPr>
        <w:t>Department</w:t>
      </w:r>
      <w:r w:rsidRPr="00CB05BC">
        <w:rPr>
          <w:spacing w:val="-2"/>
        </w:rPr>
        <w:t xml:space="preserve"> </w:t>
      </w:r>
      <w:r w:rsidRPr="00CB05BC">
        <w:rPr>
          <w:spacing w:val="-1"/>
        </w:rPr>
        <w:t>of</w:t>
      </w:r>
      <w:r w:rsidRPr="00CB05BC">
        <w:t xml:space="preserve"> </w:t>
      </w:r>
      <w:r w:rsidRPr="00CB05BC">
        <w:rPr>
          <w:spacing w:val="-1"/>
        </w:rPr>
        <w:t>Pharmaceutical Analysis,</w:t>
      </w:r>
      <w:r w:rsidRPr="00CB05BC">
        <w:t xml:space="preserve"> </w:t>
      </w:r>
      <w:r w:rsidRPr="00CB05BC">
        <w:rPr>
          <w:spacing w:val="-1"/>
        </w:rPr>
        <w:t xml:space="preserve">Sarojini </w:t>
      </w:r>
      <w:r w:rsidRPr="00CB05BC">
        <w:t>Naidu</w:t>
      </w:r>
      <w:r w:rsidRPr="00CB05BC">
        <w:rPr>
          <w:spacing w:val="-6"/>
        </w:rPr>
        <w:t xml:space="preserve"> </w:t>
      </w:r>
      <w:r w:rsidRPr="00CB05BC">
        <w:t>Vanitha</w:t>
      </w:r>
      <w:r w:rsidRPr="00CB05BC">
        <w:rPr>
          <w:spacing w:val="-2"/>
        </w:rPr>
        <w:t xml:space="preserve"> </w:t>
      </w:r>
      <w:r w:rsidRPr="00CB05BC">
        <w:t>Pharmacy</w:t>
      </w:r>
      <w:r w:rsidRPr="00CB05BC">
        <w:rPr>
          <w:spacing w:val="-57"/>
        </w:rPr>
        <w:t xml:space="preserve"> </w:t>
      </w:r>
      <w:r w:rsidRPr="00CB05BC">
        <w:rPr>
          <w:spacing w:val="-1"/>
        </w:rPr>
        <w:t>Maha</w:t>
      </w:r>
      <w:r w:rsidRPr="00CB05BC">
        <w:rPr>
          <w:spacing w:val="-14"/>
        </w:rPr>
        <w:t xml:space="preserve"> </w:t>
      </w:r>
      <w:r w:rsidRPr="00CB05BC">
        <w:rPr>
          <w:spacing w:val="-1"/>
        </w:rPr>
        <w:t>Vidyalaya,</w:t>
      </w:r>
      <w:r w:rsidRPr="00CB05BC">
        <w:rPr>
          <w:spacing w:val="-8"/>
        </w:rPr>
        <w:t xml:space="preserve"> </w:t>
      </w:r>
      <w:r w:rsidRPr="00CB05BC">
        <w:rPr>
          <w:spacing w:val="-1"/>
        </w:rPr>
        <w:t>Osmania</w:t>
      </w:r>
      <w:r w:rsidRPr="00CB05BC">
        <w:rPr>
          <w:spacing w:val="-9"/>
        </w:rPr>
        <w:t xml:space="preserve"> </w:t>
      </w:r>
      <w:r w:rsidRPr="00CB05BC">
        <w:t>University,</w:t>
      </w:r>
      <w:r w:rsidRPr="00CB05BC">
        <w:rPr>
          <w:spacing w:val="-13"/>
        </w:rPr>
        <w:t xml:space="preserve"> </w:t>
      </w:r>
      <w:r w:rsidRPr="00CB05BC">
        <w:t>Tarnaka</w:t>
      </w:r>
      <w:r w:rsidRPr="00CB05BC">
        <w:rPr>
          <w:spacing w:val="-5"/>
        </w:rPr>
        <w:t xml:space="preserve"> </w:t>
      </w:r>
      <w:r w:rsidRPr="00CB05BC">
        <w:t>–</w:t>
      </w:r>
      <w:r w:rsidRPr="00CB05BC">
        <w:rPr>
          <w:spacing w:val="-7"/>
        </w:rPr>
        <w:t xml:space="preserve"> </w:t>
      </w:r>
      <w:r w:rsidRPr="00CB05BC">
        <w:t>500071,</w:t>
      </w:r>
      <w:r w:rsidRPr="00CB05BC">
        <w:rPr>
          <w:spacing w:val="-8"/>
        </w:rPr>
        <w:t xml:space="preserve"> </w:t>
      </w:r>
      <w:r w:rsidRPr="00CB05BC">
        <w:t>Secunderabad,</w:t>
      </w:r>
      <w:r w:rsidRPr="00CB05BC">
        <w:rPr>
          <w:spacing w:val="-13"/>
        </w:rPr>
        <w:t xml:space="preserve"> </w:t>
      </w:r>
      <w:r w:rsidRPr="00CB05BC">
        <w:t>Telangana,</w:t>
      </w:r>
      <w:r w:rsidRPr="00CB05BC">
        <w:rPr>
          <w:spacing w:val="-7"/>
        </w:rPr>
        <w:t xml:space="preserve"> </w:t>
      </w:r>
      <w:r w:rsidRPr="00CB05BC">
        <w:t>India.</w:t>
      </w:r>
    </w:p>
    <w:p w14:paraId="75930188" w14:textId="2E9F41FE" w:rsidR="00F87BC7" w:rsidRPr="00CB05BC" w:rsidRDefault="00F87BC7" w:rsidP="00F87BC7">
      <w:pPr>
        <w:pStyle w:val="BodyText"/>
        <w:spacing w:before="153" w:line="261" w:lineRule="auto"/>
        <w:ind w:left="336" w:right="543"/>
        <w:jc w:val="center"/>
      </w:pPr>
      <w:r w:rsidRPr="00CB05BC">
        <w:rPr>
          <w:vertAlign w:val="superscript"/>
        </w:rPr>
        <w:t>3</w:t>
      </w:r>
      <w:r w:rsidRPr="00CB05BC">
        <w:rPr>
          <w:spacing w:val="-1"/>
        </w:rPr>
        <w:t>Assistant</w:t>
      </w:r>
      <w:r w:rsidRPr="00CB05BC">
        <w:rPr>
          <w:spacing w:val="-2"/>
        </w:rPr>
        <w:t xml:space="preserve"> </w:t>
      </w:r>
      <w:r w:rsidRPr="00CB05BC">
        <w:rPr>
          <w:spacing w:val="-1"/>
        </w:rPr>
        <w:t>professor,</w:t>
      </w:r>
      <w:r w:rsidRPr="00CB05BC">
        <w:rPr>
          <w:spacing w:val="1"/>
        </w:rPr>
        <w:t xml:space="preserve"> </w:t>
      </w:r>
      <w:r w:rsidRPr="00CB05BC">
        <w:rPr>
          <w:spacing w:val="-1"/>
        </w:rPr>
        <w:t>Department</w:t>
      </w:r>
      <w:r w:rsidRPr="00CB05BC">
        <w:rPr>
          <w:spacing w:val="-2"/>
        </w:rPr>
        <w:t xml:space="preserve"> </w:t>
      </w:r>
      <w:r w:rsidRPr="00CB05BC">
        <w:rPr>
          <w:spacing w:val="-1"/>
        </w:rPr>
        <w:t>of</w:t>
      </w:r>
      <w:r w:rsidRPr="00CB05BC">
        <w:t xml:space="preserve"> </w:t>
      </w:r>
      <w:r w:rsidRPr="00CB05BC">
        <w:rPr>
          <w:spacing w:val="-1"/>
        </w:rPr>
        <w:t>Pharmaceutical Analysis,</w:t>
      </w:r>
      <w:r w:rsidRPr="00CB05BC">
        <w:t xml:space="preserve"> </w:t>
      </w:r>
      <w:r w:rsidRPr="00CB05BC">
        <w:rPr>
          <w:spacing w:val="-1"/>
        </w:rPr>
        <w:t xml:space="preserve">Sarojini </w:t>
      </w:r>
      <w:r w:rsidRPr="00CB05BC">
        <w:t>Naidu</w:t>
      </w:r>
      <w:r w:rsidRPr="00CB05BC">
        <w:rPr>
          <w:spacing w:val="-6"/>
        </w:rPr>
        <w:t xml:space="preserve"> </w:t>
      </w:r>
      <w:r w:rsidRPr="00CB05BC">
        <w:t>Vanitha</w:t>
      </w:r>
      <w:r w:rsidRPr="00CB05BC">
        <w:rPr>
          <w:spacing w:val="-2"/>
        </w:rPr>
        <w:t xml:space="preserve"> </w:t>
      </w:r>
      <w:r w:rsidRPr="00CB05BC">
        <w:t>Pharmacy</w:t>
      </w:r>
      <w:r w:rsidRPr="00CB05BC">
        <w:rPr>
          <w:spacing w:val="-57"/>
        </w:rPr>
        <w:t xml:space="preserve"> </w:t>
      </w:r>
      <w:r w:rsidRPr="00CB05BC">
        <w:rPr>
          <w:spacing w:val="-1"/>
        </w:rPr>
        <w:t>Maha</w:t>
      </w:r>
      <w:r w:rsidRPr="00CB05BC">
        <w:rPr>
          <w:spacing w:val="-14"/>
        </w:rPr>
        <w:t xml:space="preserve"> </w:t>
      </w:r>
      <w:r w:rsidRPr="00CB05BC">
        <w:rPr>
          <w:spacing w:val="-1"/>
        </w:rPr>
        <w:t>Vidyalaya,</w:t>
      </w:r>
      <w:r w:rsidRPr="00CB05BC">
        <w:rPr>
          <w:spacing w:val="-8"/>
        </w:rPr>
        <w:t xml:space="preserve"> </w:t>
      </w:r>
      <w:r w:rsidRPr="00CB05BC">
        <w:rPr>
          <w:spacing w:val="-1"/>
        </w:rPr>
        <w:t>Osmania</w:t>
      </w:r>
      <w:r w:rsidRPr="00CB05BC">
        <w:rPr>
          <w:spacing w:val="-9"/>
        </w:rPr>
        <w:t xml:space="preserve"> </w:t>
      </w:r>
      <w:r w:rsidRPr="00CB05BC">
        <w:t>University,</w:t>
      </w:r>
      <w:r w:rsidRPr="00CB05BC">
        <w:rPr>
          <w:spacing w:val="-13"/>
        </w:rPr>
        <w:t xml:space="preserve"> </w:t>
      </w:r>
      <w:r w:rsidRPr="00CB05BC">
        <w:t>Tarnaka</w:t>
      </w:r>
      <w:r w:rsidRPr="00CB05BC">
        <w:rPr>
          <w:spacing w:val="-5"/>
        </w:rPr>
        <w:t xml:space="preserve"> </w:t>
      </w:r>
      <w:r w:rsidRPr="00CB05BC">
        <w:t>–</w:t>
      </w:r>
      <w:r w:rsidRPr="00CB05BC">
        <w:rPr>
          <w:spacing w:val="-7"/>
        </w:rPr>
        <w:t xml:space="preserve"> </w:t>
      </w:r>
      <w:r w:rsidRPr="00CB05BC">
        <w:t>500071,</w:t>
      </w:r>
      <w:r w:rsidRPr="00CB05BC">
        <w:rPr>
          <w:spacing w:val="-8"/>
        </w:rPr>
        <w:t xml:space="preserve"> </w:t>
      </w:r>
      <w:r w:rsidRPr="00CB05BC">
        <w:t>Secunderabad,</w:t>
      </w:r>
      <w:r w:rsidRPr="00CB05BC">
        <w:rPr>
          <w:spacing w:val="-13"/>
        </w:rPr>
        <w:t xml:space="preserve"> </w:t>
      </w:r>
      <w:r w:rsidRPr="00CB05BC">
        <w:t>Telangana,</w:t>
      </w:r>
      <w:r w:rsidRPr="00CB05BC">
        <w:rPr>
          <w:spacing w:val="-7"/>
        </w:rPr>
        <w:t xml:space="preserve"> </w:t>
      </w:r>
      <w:r w:rsidRPr="00CB05BC">
        <w:t>India.</w:t>
      </w:r>
    </w:p>
    <w:p w14:paraId="46A08C54" w14:textId="296210BB" w:rsidR="00F87BC7" w:rsidRPr="00CB05BC" w:rsidRDefault="00F87BC7" w:rsidP="00F87BC7">
      <w:pPr>
        <w:pStyle w:val="BodyText"/>
        <w:spacing w:before="153" w:line="261" w:lineRule="auto"/>
        <w:ind w:left="336" w:right="543"/>
        <w:jc w:val="center"/>
      </w:pPr>
      <w:r w:rsidRPr="00CB05BC">
        <w:rPr>
          <w:vertAlign w:val="superscript"/>
        </w:rPr>
        <w:t>4</w:t>
      </w:r>
      <w:r w:rsidRPr="00CB05BC">
        <w:t>Professer,</w:t>
      </w:r>
      <w:r w:rsidRPr="00CB05BC">
        <w:rPr>
          <w:spacing w:val="-1"/>
        </w:rPr>
        <w:t xml:space="preserve"> Department</w:t>
      </w:r>
      <w:r w:rsidRPr="00CB05BC">
        <w:rPr>
          <w:spacing w:val="-2"/>
        </w:rPr>
        <w:t xml:space="preserve"> </w:t>
      </w:r>
      <w:r w:rsidRPr="00CB05BC">
        <w:rPr>
          <w:spacing w:val="-1"/>
        </w:rPr>
        <w:t>of</w:t>
      </w:r>
      <w:r w:rsidRPr="00CB05BC">
        <w:t xml:space="preserve"> </w:t>
      </w:r>
      <w:r w:rsidRPr="00CB05BC">
        <w:rPr>
          <w:spacing w:val="-1"/>
        </w:rPr>
        <w:t>Pharmaceutical Analysis,</w:t>
      </w:r>
      <w:r w:rsidRPr="00CB05BC">
        <w:t xml:space="preserve"> </w:t>
      </w:r>
      <w:r w:rsidRPr="00CB05BC">
        <w:rPr>
          <w:spacing w:val="-1"/>
        </w:rPr>
        <w:t xml:space="preserve">Sarojini </w:t>
      </w:r>
      <w:r w:rsidRPr="00CB05BC">
        <w:t>Naidu</w:t>
      </w:r>
      <w:r w:rsidRPr="00CB05BC">
        <w:rPr>
          <w:spacing w:val="-6"/>
        </w:rPr>
        <w:t xml:space="preserve"> </w:t>
      </w:r>
      <w:r w:rsidRPr="00CB05BC">
        <w:t>Vanitha</w:t>
      </w:r>
      <w:r w:rsidRPr="00CB05BC">
        <w:rPr>
          <w:spacing w:val="-2"/>
        </w:rPr>
        <w:t xml:space="preserve"> </w:t>
      </w:r>
      <w:r w:rsidRPr="00CB05BC">
        <w:t>Pharmacy</w:t>
      </w:r>
      <w:r w:rsidRPr="00CB05BC">
        <w:rPr>
          <w:spacing w:val="-57"/>
        </w:rPr>
        <w:t xml:space="preserve"> </w:t>
      </w:r>
      <w:r w:rsidRPr="00CB05BC">
        <w:rPr>
          <w:spacing w:val="-1"/>
        </w:rPr>
        <w:t>Maha</w:t>
      </w:r>
      <w:r w:rsidRPr="00CB05BC">
        <w:rPr>
          <w:spacing w:val="-14"/>
        </w:rPr>
        <w:t xml:space="preserve"> </w:t>
      </w:r>
      <w:r w:rsidRPr="00CB05BC">
        <w:rPr>
          <w:spacing w:val="-1"/>
        </w:rPr>
        <w:t>Vidyalaya,</w:t>
      </w:r>
      <w:r w:rsidRPr="00CB05BC">
        <w:rPr>
          <w:spacing w:val="-8"/>
        </w:rPr>
        <w:t xml:space="preserve"> </w:t>
      </w:r>
      <w:r w:rsidRPr="00CB05BC">
        <w:rPr>
          <w:spacing w:val="-1"/>
        </w:rPr>
        <w:t>Osmania</w:t>
      </w:r>
      <w:r w:rsidRPr="00CB05BC">
        <w:rPr>
          <w:spacing w:val="-9"/>
        </w:rPr>
        <w:t xml:space="preserve"> </w:t>
      </w:r>
      <w:r w:rsidRPr="00CB05BC">
        <w:t>University,</w:t>
      </w:r>
      <w:r w:rsidRPr="00CB05BC">
        <w:rPr>
          <w:spacing w:val="-13"/>
        </w:rPr>
        <w:t xml:space="preserve"> </w:t>
      </w:r>
      <w:r w:rsidRPr="00CB05BC">
        <w:t>Tarnaka</w:t>
      </w:r>
      <w:r w:rsidRPr="00CB05BC">
        <w:rPr>
          <w:spacing w:val="-5"/>
        </w:rPr>
        <w:t xml:space="preserve"> </w:t>
      </w:r>
      <w:r w:rsidRPr="00CB05BC">
        <w:t>–</w:t>
      </w:r>
      <w:r w:rsidRPr="00CB05BC">
        <w:rPr>
          <w:spacing w:val="-7"/>
        </w:rPr>
        <w:t xml:space="preserve"> </w:t>
      </w:r>
      <w:r w:rsidRPr="00CB05BC">
        <w:t>500071,</w:t>
      </w:r>
      <w:r w:rsidRPr="00CB05BC">
        <w:rPr>
          <w:spacing w:val="-8"/>
        </w:rPr>
        <w:t xml:space="preserve"> </w:t>
      </w:r>
      <w:r w:rsidRPr="00CB05BC">
        <w:t>Secunderabad,</w:t>
      </w:r>
      <w:r w:rsidRPr="00CB05BC">
        <w:rPr>
          <w:spacing w:val="-13"/>
        </w:rPr>
        <w:t xml:space="preserve"> </w:t>
      </w:r>
      <w:r w:rsidRPr="00CB05BC">
        <w:t>Telangana,</w:t>
      </w:r>
      <w:r w:rsidRPr="00CB05BC">
        <w:rPr>
          <w:spacing w:val="-7"/>
        </w:rPr>
        <w:t xml:space="preserve"> </w:t>
      </w:r>
      <w:r w:rsidRPr="00CB05BC">
        <w:t>India.</w:t>
      </w:r>
    </w:p>
    <w:p w14:paraId="23DA5ECA" w14:textId="23AEC3B5" w:rsidR="00F87BC7" w:rsidRPr="00CB05BC" w:rsidRDefault="00F87BC7" w:rsidP="00F87BC7">
      <w:pPr>
        <w:pStyle w:val="BodyText"/>
        <w:spacing w:before="153" w:line="261" w:lineRule="auto"/>
        <w:ind w:left="336" w:right="543"/>
      </w:pPr>
    </w:p>
    <w:p w14:paraId="0DCDA092" w14:textId="0178CE12" w:rsidR="00F87BC7" w:rsidRPr="00683864" w:rsidRDefault="00F87BC7">
      <w:pPr>
        <w:pStyle w:val="BodyText"/>
        <w:spacing w:before="153" w:line="261" w:lineRule="auto"/>
        <w:ind w:left="336" w:right="543"/>
        <w:jc w:val="center"/>
        <w:rPr>
          <w:rFonts w:asciiTheme="minorHAnsi" w:hAnsiTheme="minorHAnsi" w:cstheme="minorHAnsi"/>
        </w:rPr>
      </w:pPr>
    </w:p>
    <w:p w14:paraId="2DDEBD1D" w14:textId="77777777" w:rsidR="008871F7" w:rsidRDefault="008871F7">
      <w:pPr>
        <w:pStyle w:val="BodyText"/>
        <w:ind w:left="0"/>
        <w:jc w:val="left"/>
        <w:rPr>
          <w:sz w:val="26"/>
        </w:rPr>
      </w:pPr>
    </w:p>
    <w:p w14:paraId="5509D468" w14:textId="77777777" w:rsidR="008871F7" w:rsidRDefault="008871F7">
      <w:pPr>
        <w:pStyle w:val="BodyText"/>
        <w:spacing w:before="5"/>
        <w:ind w:left="0"/>
        <w:jc w:val="left"/>
        <w:rPr>
          <w:sz w:val="27"/>
        </w:rPr>
      </w:pPr>
    </w:p>
    <w:p w14:paraId="08190D55" w14:textId="77777777" w:rsidR="003B5F20" w:rsidRDefault="003B5F20" w:rsidP="009609F5">
      <w:pPr>
        <w:pStyle w:val="Heading1"/>
        <w:spacing w:before="0"/>
        <w:ind w:left="0"/>
        <w:jc w:val="both"/>
      </w:pPr>
    </w:p>
    <w:p w14:paraId="16B9C446" w14:textId="77777777" w:rsidR="008C1BC7" w:rsidRDefault="008C1BC7" w:rsidP="009609F5">
      <w:pPr>
        <w:pStyle w:val="Heading1"/>
        <w:spacing w:before="0"/>
        <w:ind w:left="0"/>
        <w:jc w:val="both"/>
        <w:rPr>
          <w:rFonts w:asciiTheme="minorHAnsi" w:hAnsiTheme="minorHAnsi" w:cstheme="minorHAnsi"/>
        </w:rPr>
      </w:pPr>
    </w:p>
    <w:p w14:paraId="1C53C372" w14:textId="77777777" w:rsidR="008C1BC7" w:rsidRDefault="008C1BC7" w:rsidP="009609F5">
      <w:pPr>
        <w:pStyle w:val="Heading1"/>
        <w:spacing w:before="0"/>
        <w:ind w:left="0"/>
        <w:jc w:val="both"/>
        <w:rPr>
          <w:rFonts w:asciiTheme="minorHAnsi" w:hAnsiTheme="minorHAnsi" w:cstheme="minorHAnsi"/>
        </w:rPr>
      </w:pPr>
    </w:p>
    <w:p w14:paraId="7431EB10" w14:textId="77777777" w:rsidR="008C1BC7" w:rsidRDefault="008C1BC7" w:rsidP="009609F5">
      <w:pPr>
        <w:pStyle w:val="Heading1"/>
        <w:spacing w:before="0"/>
        <w:ind w:left="0"/>
        <w:jc w:val="both"/>
        <w:rPr>
          <w:rFonts w:asciiTheme="minorHAnsi" w:hAnsiTheme="minorHAnsi" w:cstheme="minorHAnsi"/>
        </w:rPr>
      </w:pPr>
    </w:p>
    <w:p w14:paraId="2390FB2B" w14:textId="77777777" w:rsidR="008C1BC7" w:rsidRDefault="008C1BC7" w:rsidP="009609F5">
      <w:pPr>
        <w:pStyle w:val="Heading1"/>
        <w:spacing w:before="0"/>
        <w:ind w:left="0"/>
        <w:jc w:val="both"/>
        <w:rPr>
          <w:rFonts w:asciiTheme="minorHAnsi" w:hAnsiTheme="minorHAnsi" w:cstheme="minorHAnsi"/>
        </w:rPr>
      </w:pPr>
    </w:p>
    <w:p w14:paraId="05702032" w14:textId="77777777" w:rsidR="008C1BC7" w:rsidRDefault="008C1BC7" w:rsidP="009609F5">
      <w:pPr>
        <w:pStyle w:val="Heading1"/>
        <w:spacing w:before="0"/>
        <w:ind w:left="0"/>
        <w:jc w:val="both"/>
        <w:rPr>
          <w:rFonts w:asciiTheme="minorHAnsi" w:hAnsiTheme="minorHAnsi" w:cstheme="minorHAnsi"/>
        </w:rPr>
      </w:pPr>
    </w:p>
    <w:p w14:paraId="5CE33854" w14:textId="77777777" w:rsidR="008C1BC7" w:rsidRDefault="008C1BC7" w:rsidP="009609F5">
      <w:pPr>
        <w:pStyle w:val="Heading1"/>
        <w:spacing w:before="0"/>
        <w:ind w:left="0"/>
        <w:jc w:val="both"/>
        <w:rPr>
          <w:rFonts w:asciiTheme="minorHAnsi" w:hAnsiTheme="minorHAnsi" w:cstheme="minorHAnsi"/>
        </w:rPr>
      </w:pPr>
    </w:p>
    <w:p w14:paraId="30EDBA46" w14:textId="77777777" w:rsidR="008C1BC7" w:rsidRDefault="008C1BC7" w:rsidP="009609F5">
      <w:pPr>
        <w:pStyle w:val="Heading1"/>
        <w:spacing w:before="0"/>
        <w:ind w:left="0"/>
        <w:jc w:val="both"/>
        <w:rPr>
          <w:rFonts w:asciiTheme="minorHAnsi" w:hAnsiTheme="minorHAnsi" w:cstheme="minorHAnsi"/>
        </w:rPr>
      </w:pPr>
    </w:p>
    <w:p w14:paraId="1C27313C" w14:textId="77777777" w:rsidR="008C1BC7" w:rsidRDefault="008C1BC7" w:rsidP="009609F5">
      <w:pPr>
        <w:pStyle w:val="Heading1"/>
        <w:spacing w:before="0"/>
        <w:ind w:left="0"/>
        <w:jc w:val="both"/>
        <w:rPr>
          <w:rFonts w:asciiTheme="minorHAnsi" w:hAnsiTheme="minorHAnsi" w:cstheme="minorHAnsi"/>
        </w:rPr>
      </w:pPr>
    </w:p>
    <w:p w14:paraId="428D3C79" w14:textId="77777777" w:rsidR="008C1BC7" w:rsidRDefault="008C1BC7" w:rsidP="009609F5">
      <w:pPr>
        <w:pStyle w:val="Heading1"/>
        <w:spacing w:before="0"/>
        <w:ind w:left="0"/>
        <w:jc w:val="both"/>
        <w:rPr>
          <w:rFonts w:asciiTheme="minorHAnsi" w:hAnsiTheme="minorHAnsi" w:cstheme="minorHAnsi"/>
        </w:rPr>
      </w:pPr>
    </w:p>
    <w:p w14:paraId="59828769" w14:textId="77777777" w:rsidR="008C1BC7" w:rsidRDefault="008C1BC7" w:rsidP="009609F5">
      <w:pPr>
        <w:pStyle w:val="Heading1"/>
        <w:spacing w:before="0"/>
        <w:ind w:left="0"/>
        <w:jc w:val="both"/>
        <w:rPr>
          <w:rFonts w:asciiTheme="minorHAnsi" w:hAnsiTheme="minorHAnsi" w:cstheme="minorHAnsi"/>
        </w:rPr>
      </w:pPr>
    </w:p>
    <w:p w14:paraId="10135E25" w14:textId="77777777" w:rsidR="008C1BC7" w:rsidRDefault="008C1BC7" w:rsidP="009609F5">
      <w:pPr>
        <w:pStyle w:val="Heading1"/>
        <w:spacing w:before="0"/>
        <w:ind w:left="0"/>
        <w:jc w:val="both"/>
        <w:rPr>
          <w:rFonts w:asciiTheme="minorHAnsi" w:hAnsiTheme="minorHAnsi" w:cstheme="minorHAnsi"/>
        </w:rPr>
      </w:pPr>
    </w:p>
    <w:p w14:paraId="35EF8267" w14:textId="77777777" w:rsidR="008C1BC7" w:rsidRDefault="008C1BC7" w:rsidP="009609F5">
      <w:pPr>
        <w:pStyle w:val="Heading1"/>
        <w:spacing w:before="0"/>
        <w:ind w:left="0"/>
        <w:jc w:val="both"/>
        <w:rPr>
          <w:rFonts w:asciiTheme="minorHAnsi" w:hAnsiTheme="minorHAnsi" w:cstheme="minorHAnsi"/>
        </w:rPr>
      </w:pPr>
    </w:p>
    <w:p w14:paraId="506B55F6" w14:textId="77777777" w:rsidR="008C1BC7" w:rsidRDefault="008C1BC7" w:rsidP="009609F5">
      <w:pPr>
        <w:pStyle w:val="Heading1"/>
        <w:spacing w:before="0"/>
        <w:ind w:left="0"/>
        <w:jc w:val="both"/>
        <w:rPr>
          <w:rFonts w:asciiTheme="minorHAnsi" w:hAnsiTheme="minorHAnsi" w:cstheme="minorHAnsi"/>
        </w:rPr>
      </w:pPr>
    </w:p>
    <w:p w14:paraId="28BCCD4B" w14:textId="77777777" w:rsidR="008C1BC7" w:rsidRDefault="008C1BC7" w:rsidP="009609F5">
      <w:pPr>
        <w:pStyle w:val="Heading1"/>
        <w:spacing w:before="0"/>
        <w:ind w:left="0"/>
        <w:jc w:val="both"/>
        <w:rPr>
          <w:rFonts w:asciiTheme="minorHAnsi" w:hAnsiTheme="minorHAnsi" w:cstheme="minorHAnsi"/>
        </w:rPr>
      </w:pPr>
    </w:p>
    <w:p w14:paraId="54751FD7" w14:textId="77777777" w:rsidR="008C1BC7" w:rsidRDefault="008C1BC7" w:rsidP="009609F5">
      <w:pPr>
        <w:pStyle w:val="Heading1"/>
        <w:spacing w:before="0"/>
        <w:ind w:left="0"/>
        <w:jc w:val="both"/>
        <w:rPr>
          <w:rFonts w:asciiTheme="minorHAnsi" w:hAnsiTheme="minorHAnsi" w:cstheme="minorHAnsi"/>
        </w:rPr>
      </w:pPr>
    </w:p>
    <w:p w14:paraId="17CB6D1A" w14:textId="77777777" w:rsidR="008C1BC7" w:rsidRDefault="008C1BC7" w:rsidP="009609F5">
      <w:pPr>
        <w:pStyle w:val="Heading1"/>
        <w:spacing w:before="0"/>
        <w:ind w:left="0"/>
        <w:jc w:val="both"/>
        <w:rPr>
          <w:rFonts w:asciiTheme="minorHAnsi" w:hAnsiTheme="minorHAnsi" w:cstheme="minorHAnsi"/>
        </w:rPr>
      </w:pPr>
    </w:p>
    <w:p w14:paraId="182CBA15" w14:textId="77777777" w:rsidR="008C1BC7" w:rsidRDefault="008C1BC7" w:rsidP="009609F5">
      <w:pPr>
        <w:pStyle w:val="Heading1"/>
        <w:spacing w:before="0"/>
        <w:ind w:left="0"/>
        <w:jc w:val="both"/>
        <w:rPr>
          <w:rFonts w:asciiTheme="minorHAnsi" w:hAnsiTheme="minorHAnsi" w:cstheme="minorHAnsi"/>
        </w:rPr>
      </w:pPr>
    </w:p>
    <w:p w14:paraId="10C938DD" w14:textId="77777777" w:rsidR="008C1BC7" w:rsidRDefault="008C1BC7" w:rsidP="009609F5">
      <w:pPr>
        <w:pStyle w:val="Heading1"/>
        <w:spacing w:before="0"/>
        <w:ind w:left="0"/>
        <w:jc w:val="both"/>
        <w:rPr>
          <w:rFonts w:asciiTheme="minorHAnsi" w:hAnsiTheme="minorHAnsi" w:cstheme="minorHAnsi"/>
        </w:rPr>
      </w:pPr>
    </w:p>
    <w:p w14:paraId="4C0D30CE" w14:textId="77777777" w:rsidR="008C1BC7" w:rsidRDefault="008C1BC7" w:rsidP="009609F5">
      <w:pPr>
        <w:pStyle w:val="Heading1"/>
        <w:spacing w:before="0"/>
        <w:ind w:left="0"/>
        <w:jc w:val="both"/>
        <w:rPr>
          <w:rFonts w:asciiTheme="minorHAnsi" w:hAnsiTheme="minorHAnsi" w:cstheme="minorHAnsi"/>
        </w:rPr>
      </w:pPr>
    </w:p>
    <w:p w14:paraId="3A7F4262" w14:textId="77777777" w:rsidR="008C1BC7" w:rsidRDefault="008C1BC7" w:rsidP="009609F5">
      <w:pPr>
        <w:pStyle w:val="Heading1"/>
        <w:spacing w:before="0"/>
        <w:ind w:left="0"/>
        <w:jc w:val="both"/>
        <w:rPr>
          <w:rFonts w:asciiTheme="minorHAnsi" w:hAnsiTheme="minorHAnsi" w:cstheme="minorHAnsi"/>
        </w:rPr>
      </w:pPr>
    </w:p>
    <w:p w14:paraId="27843578" w14:textId="77777777" w:rsidR="008C1BC7" w:rsidRDefault="008C1BC7" w:rsidP="009609F5">
      <w:pPr>
        <w:pStyle w:val="Heading1"/>
        <w:spacing w:before="0"/>
        <w:ind w:left="0"/>
        <w:jc w:val="both"/>
        <w:rPr>
          <w:rFonts w:asciiTheme="minorHAnsi" w:hAnsiTheme="minorHAnsi" w:cstheme="minorHAnsi"/>
        </w:rPr>
      </w:pPr>
    </w:p>
    <w:p w14:paraId="341D062C" w14:textId="77777777" w:rsidR="008C1BC7" w:rsidRDefault="008C1BC7" w:rsidP="009609F5">
      <w:pPr>
        <w:pStyle w:val="Heading1"/>
        <w:spacing w:before="0"/>
        <w:ind w:left="0"/>
        <w:jc w:val="both"/>
        <w:rPr>
          <w:rFonts w:asciiTheme="minorHAnsi" w:hAnsiTheme="minorHAnsi" w:cstheme="minorHAnsi"/>
        </w:rPr>
      </w:pPr>
    </w:p>
    <w:p w14:paraId="24C48423" w14:textId="77777777" w:rsidR="008C1BC7" w:rsidRDefault="008C1BC7" w:rsidP="009609F5">
      <w:pPr>
        <w:pStyle w:val="Heading1"/>
        <w:spacing w:before="0"/>
        <w:ind w:left="0"/>
        <w:jc w:val="both"/>
        <w:rPr>
          <w:rFonts w:asciiTheme="minorHAnsi" w:hAnsiTheme="minorHAnsi" w:cstheme="minorHAnsi"/>
        </w:rPr>
      </w:pPr>
    </w:p>
    <w:p w14:paraId="70C531AF" w14:textId="77777777" w:rsidR="00CB05BC" w:rsidRDefault="00CB05BC" w:rsidP="009609F5">
      <w:pPr>
        <w:pStyle w:val="Heading1"/>
        <w:spacing w:before="0"/>
        <w:ind w:left="0"/>
        <w:jc w:val="both"/>
        <w:rPr>
          <w:rFonts w:asciiTheme="minorHAnsi" w:hAnsiTheme="minorHAnsi" w:cstheme="minorHAnsi"/>
        </w:rPr>
      </w:pPr>
    </w:p>
    <w:p w14:paraId="75266F92" w14:textId="09E9FE15" w:rsidR="008871F7" w:rsidRPr="00CB05BC" w:rsidRDefault="00000000" w:rsidP="009609F5">
      <w:pPr>
        <w:pStyle w:val="Heading1"/>
        <w:spacing w:before="0"/>
        <w:ind w:left="0"/>
        <w:jc w:val="both"/>
      </w:pPr>
      <w:r w:rsidRPr="00CB05BC">
        <w:lastRenderedPageBreak/>
        <w:t>ABSTRACT</w:t>
      </w:r>
    </w:p>
    <w:p w14:paraId="31A9A85A" w14:textId="5F1636DF" w:rsidR="009609F5" w:rsidRPr="00CB05BC" w:rsidRDefault="009609F5" w:rsidP="009609F5">
      <w:pPr>
        <w:jc w:val="both"/>
        <w:rPr>
          <w:sz w:val="24"/>
          <w:szCs w:val="24"/>
          <w:lang w:val="en-IN"/>
        </w:rPr>
      </w:pPr>
      <w:r w:rsidRPr="00CB05BC">
        <w:rPr>
          <w:sz w:val="24"/>
          <w:szCs w:val="24"/>
          <w:lang w:val="en-IN"/>
        </w:rPr>
        <w:t>Pyridoxine derivative met</w:t>
      </w:r>
      <w:r w:rsidR="00852409" w:rsidRPr="00CB05BC">
        <w:rPr>
          <w:sz w:val="24"/>
          <w:szCs w:val="24"/>
          <w:lang w:val="en-IN"/>
        </w:rPr>
        <w:t>a</w:t>
      </w:r>
      <w:r w:rsidRPr="00CB05BC">
        <w:rPr>
          <w:sz w:val="24"/>
          <w:szCs w:val="24"/>
          <w:lang w:val="en-IN"/>
        </w:rPr>
        <w:t>doxine has shown great promise as a medicinal agent, especially for the treatment of liver ailments. This article offers a thorough analysis of the pharmacological characteristics of metadoxine, covering its mode of action, recommended uses, and side effects. The paper also discusses the analytical techniques used to quantify metadoxine in a variety of matrices, including biological fluids and pharmaceutical formulations. It is stressed how crucial reliable and precise analytical techniques are for therapeutic medication monitoring, quality assurance, and pharmacokinetic research.</w:t>
      </w:r>
    </w:p>
    <w:p w14:paraId="63466605" w14:textId="77777777" w:rsidR="005244F2" w:rsidRPr="00CB05BC" w:rsidRDefault="005244F2" w:rsidP="005244F2">
      <w:pPr>
        <w:jc w:val="both"/>
        <w:rPr>
          <w:b/>
          <w:bCs/>
          <w:sz w:val="24"/>
          <w:szCs w:val="24"/>
          <w:lang w:val="en-IN"/>
        </w:rPr>
      </w:pPr>
    </w:p>
    <w:p w14:paraId="5F4877D1" w14:textId="292A9FEF" w:rsidR="005244F2" w:rsidRPr="00CB05BC" w:rsidRDefault="005244F2" w:rsidP="005244F2">
      <w:pPr>
        <w:jc w:val="both"/>
        <w:rPr>
          <w:sz w:val="24"/>
          <w:szCs w:val="24"/>
          <w:lang w:val="en-IN"/>
        </w:rPr>
      </w:pPr>
      <w:r w:rsidRPr="00CB05BC">
        <w:rPr>
          <w:b/>
          <w:bCs/>
          <w:sz w:val="24"/>
          <w:szCs w:val="24"/>
          <w:lang w:val="en-IN"/>
        </w:rPr>
        <w:t>Keywords:</w:t>
      </w:r>
      <w:r w:rsidRPr="00CB05BC">
        <w:rPr>
          <w:sz w:val="24"/>
          <w:szCs w:val="24"/>
          <w:lang w:val="en-IN"/>
        </w:rPr>
        <w:t xml:space="preserve"> metadoxine, pharmacological properties, analytical methods, liver diseases, chromatography, mass spectrometry.</w:t>
      </w:r>
    </w:p>
    <w:p w14:paraId="3835CAC2" w14:textId="77777777" w:rsidR="008871F7" w:rsidRDefault="008871F7">
      <w:pPr>
        <w:sectPr w:rsidR="008871F7" w:rsidSect="00683864">
          <w:type w:val="continuous"/>
          <w:pgSz w:w="11910" w:h="16840"/>
          <w:pgMar w:top="1600" w:right="980" w:bottom="280" w:left="11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02B03E96" w14:textId="77777777" w:rsidR="008871F7" w:rsidRDefault="008871F7">
      <w:pPr>
        <w:pStyle w:val="BodyText"/>
        <w:spacing w:before="9"/>
        <w:ind w:left="0"/>
        <w:jc w:val="left"/>
        <w:rPr>
          <w:sz w:val="18"/>
        </w:rPr>
      </w:pPr>
    </w:p>
    <w:p w14:paraId="3E5DA642" w14:textId="77777777" w:rsidR="008871F7" w:rsidRPr="00CB05BC" w:rsidRDefault="00000000">
      <w:pPr>
        <w:pStyle w:val="Heading1"/>
      </w:pPr>
      <w:r w:rsidRPr="00CB05BC">
        <w:t>INTRODUCTION</w:t>
      </w:r>
    </w:p>
    <w:p w14:paraId="0A13B9C5" w14:textId="77777777" w:rsidR="009609F5" w:rsidRPr="00CB05BC" w:rsidRDefault="009609F5">
      <w:pPr>
        <w:pStyle w:val="Heading1"/>
      </w:pPr>
    </w:p>
    <w:p w14:paraId="54A27AAA" w14:textId="1E9C1845" w:rsidR="00BC59D4" w:rsidRPr="00CB05BC" w:rsidRDefault="00BC59D4" w:rsidP="00BC59D4">
      <w:pPr>
        <w:pStyle w:val="BodyText"/>
        <w:rPr>
          <w:lang w:val="en-IN"/>
        </w:rPr>
      </w:pPr>
      <w:r w:rsidRPr="00CB05BC">
        <w:rPr>
          <w:lang w:val="en-IN"/>
        </w:rPr>
        <w:t>Alcohol intoxication, both acute and chronic, is treated with met</w:t>
      </w:r>
      <w:r w:rsidR="00852409" w:rsidRPr="00CB05BC">
        <w:rPr>
          <w:lang w:val="en-IN"/>
        </w:rPr>
        <w:t>a</w:t>
      </w:r>
      <w:r w:rsidRPr="00CB05BC">
        <w:rPr>
          <w:lang w:val="en-IN"/>
        </w:rPr>
        <w:t>doxine, often referred to as pyridoxine-pyrrolidone carboxylate. Blood alcohol removal from the body is accelerated by met</w:t>
      </w:r>
      <w:r w:rsidR="00852409" w:rsidRPr="00CB05BC">
        <w:rPr>
          <w:lang w:val="en-IN"/>
        </w:rPr>
        <w:t>a</w:t>
      </w:r>
      <w:r w:rsidRPr="00CB05BC">
        <w:rPr>
          <w:lang w:val="en-IN"/>
        </w:rPr>
        <w:t>doxine. The main conditions for which met</w:t>
      </w:r>
      <w:r w:rsidR="00852409" w:rsidRPr="00CB05BC">
        <w:rPr>
          <w:lang w:val="en-IN"/>
        </w:rPr>
        <w:t>a</w:t>
      </w:r>
      <w:r w:rsidRPr="00CB05BC">
        <w:rPr>
          <w:lang w:val="en-IN"/>
        </w:rPr>
        <w:t>doxine is prescribed are fatty liver disease and alcoholism. Alcohol is better metabolized and liver function is enhanced. The possibility of using it to treat cognitive impairment and ADHD has also been studied.</w:t>
      </w:r>
    </w:p>
    <w:p w14:paraId="5FE8A2A2" w14:textId="6A2AD412" w:rsidR="008871F7" w:rsidRPr="00683864" w:rsidRDefault="008871F7">
      <w:pPr>
        <w:pStyle w:val="BodyText"/>
        <w:spacing w:before="6"/>
        <w:ind w:left="0"/>
        <w:jc w:val="left"/>
        <w:rPr>
          <w:rFonts w:asciiTheme="minorHAnsi" w:hAnsiTheme="minorHAnsi" w:cstheme="minorHAnsi"/>
          <w:sz w:val="29"/>
        </w:rPr>
      </w:pPr>
    </w:p>
    <w:p w14:paraId="29D3158C" w14:textId="77777777" w:rsidR="004A32E4" w:rsidRPr="00683864" w:rsidRDefault="004A32E4">
      <w:pPr>
        <w:pStyle w:val="Heading1"/>
        <w:spacing w:before="175"/>
        <w:ind w:left="345" w:right="543"/>
        <w:jc w:val="center"/>
        <w:rPr>
          <w:rFonts w:asciiTheme="minorHAnsi" w:hAnsiTheme="minorHAnsi" w:cstheme="minorHAnsi"/>
        </w:rPr>
      </w:pPr>
      <w:r w:rsidRPr="00683864">
        <w:rPr>
          <w:rFonts w:asciiTheme="minorHAnsi" w:hAnsiTheme="minorHAnsi" w:cstheme="minorHAnsi"/>
          <w:noProof/>
        </w:rPr>
        <w:drawing>
          <wp:inline distT="0" distB="0" distL="0" distR="0" wp14:anchorId="7947D05A" wp14:editId="53110E52">
            <wp:extent cx="227647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76475" cy="866775"/>
                    </a:xfrm>
                    <a:prstGeom prst="rect">
                      <a:avLst/>
                    </a:prstGeom>
                  </pic:spPr>
                </pic:pic>
              </a:graphicData>
            </a:graphic>
          </wp:inline>
        </w:drawing>
      </w:r>
    </w:p>
    <w:p w14:paraId="7AB40C12" w14:textId="3D17FE9F" w:rsidR="008871F7" w:rsidRPr="00CB05BC" w:rsidRDefault="004A32E4">
      <w:pPr>
        <w:pStyle w:val="Heading1"/>
        <w:spacing w:before="175"/>
        <w:ind w:left="345" w:right="543"/>
        <w:jc w:val="center"/>
      </w:pPr>
      <w:r w:rsidRPr="00CB05BC">
        <w:t>Figure-1:Structure</w:t>
      </w:r>
      <w:r w:rsidRPr="00CB05BC">
        <w:rPr>
          <w:spacing w:val="-9"/>
        </w:rPr>
        <w:t xml:space="preserve"> </w:t>
      </w:r>
      <w:r w:rsidRPr="00CB05BC">
        <w:t>of</w:t>
      </w:r>
      <w:r w:rsidRPr="00CB05BC">
        <w:rPr>
          <w:spacing w:val="-6"/>
        </w:rPr>
        <w:t xml:space="preserve"> </w:t>
      </w:r>
      <w:r w:rsidRPr="00CB05BC">
        <w:t>Metadoxine</w:t>
      </w:r>
    </w:p>
    <w:p w14:paraId="68400BF8" w14:textId="77777777" w:rsidR="008871F7" w:rsidRPr="00683864" w:rsidRDefault="008871F7">
      <w:pPr>
        <w:pStyle w:val="BodyText"/>
        <w:ind w:left="0"/>
        <w:jc w:val="left"/>
        <w:rPr>
          <w:rFonts w:asciiTheme="minorHAnsi" w:hAnsiTheme="minorHAnsi" w:cstheme="minorHAnsi"/>
          <w:b/>
          <w:sz w:val="26"/>
        </w:rPr>
      </w:pPr>
    </w:p>
    <w:p w14:paraId="7C1805A0" w14:textId="77777777" w:rsidR="008871F7" w:rsidRDefault="008871F7">
      <w:pPr>
        <w:pStyle w:val="BodyText"/>
        <w:spacing w:before="7"/>
        <w:ind w:left="0"/>
        <w:jc w:val="left"/>
        <w:rPr>
          <w:b/>
          <w:sz w:val="29"/>
        </w:rPr>
      </w:pPr>
    </w:p>
    <w:p w14:paraId="4366745E" w14:textId="0564B6DB" w:rsidR="004A32E4" w:rsidRPr="00CB05BC" w:rsidRDefault="00000000" w:rsidP="009609F5">
      <w:pPr>
        <w:pStyle w:val="BodyText"/>
        <w:spacing w:line="259" w:lineRule="auto"/>
        <w:ind w:right="553"/>
      </w:pPr>
      <w:r w:rsidRPr="00CB05BC">
        <w:rPr>
          <w:b/>
        </w:rPr>
        <w:t>Chemical name:</w:t>
      </w:r>
      <w:r w:rsidR="004A32E4" w:rsidRPr="00CB05BC">
        <w:rPr>
          <w:b/>
        </w:rPr>
        <w:t xml:space="preserve"> </w:t>
      </w:r>
      <w:r w:rsidRPr="00CB05BC">
        <w:t>Chemically</w:t>
      </w:r>
      <w:r w:rsidR="004A32E4" w:rsidRPr="00CB05BC">
        <w:t xml:space="preserve"> </w:t>
      </w:r>
      <w:r w:rsidRPr="00CB05BC">
        <w:t>it is</w:t>
      </w:r>
      <w:r w:rsidR="004A32E4" w:rsidRPr="00CB05BC">
        <w:t xml:space="preserve"> 5-Oxo-L-proline-4, 5-bis (hydroxymethyl)-2-</w:t>
      </w:r>
      <w:r w:rsidR="009609F5" w:rsidRPr="00CB05BC">
        <w:t xml:space="preserve"> </w:t>
      </w:r>
      <w:r w:rsidR="004A32E4" w:rsidRPr="00CB05BC">
        <w:t>methylpyridin-3-ol</w:t>
      </w:r>
    </w:p>
    <w:p w14:paraId="3DE0EE30" w14:textId="77777777" w:rsidR="009609F5" w:rsidRPr="00CB05BC" w:rsidRDefault="009609F5" w:rsidP="004A32E4">
      <w:pPr>
        <w:pStyle w:val="BodyText"/>
        <w:spacing w:line="259" w:lineRule="auto"/>
        <w:ind w:right="553"/>
      </w:pPr>
    </w:p>
    <w:p w14:paraId="29A5C160" w14:textId="77777777" w:rsidR="004A32E4" w:rsidRPr="00CB05BC" w:rsidRDefault="00000000" w:rsidP="004A32E4">
      <w:pPr>
        <w:pStyle w:val="BodyText"/>
        <w:spacing w:line="259" w:lineRule="auto"/>
        <w:ind w:right="553"/>
        <w:rPr>
          <w:bCs/>
          <w:vertAlign w:val="subscript"/>
        </w:rPr>
      </w:pPr>
      <w:r w:rsidRPr="00CB05BC">
        <w:rPr>
          <w:b/>
        </w:rPr>
        <w:t xml:space="preserve">Chemical formula: </w:t>
      </w:r>
      <w:r w:rsidR="004A32E4" w:rsidRPr="00CB05BC">
        <w:rPr>
          <w:bCs/>
        </w:rPr>
        <w:t>C</w:t>
      </w:r>
      <w:r w:rsidR="004A32E4" w:rsidRPr="00CB05BC">
        <w:rPr>
          <w:bCs/>
          <w:vertAlign w:val="subscript"/>
        </w:rPr>
        <w:t>13</w:t>
      </w:r>
      <w:r w:rsidR="004A32E4" w:rsidRPr="00CB05BC">
        <w:rPr>
          <w:bCs/>
        </w:rPr>
        <w:t>H</w:t>
      </w:r>
      <w:r w:rsidR="004A32E4" w:rsidRPr="00CB05BC">
        <w:rPr>
          <w:bCs/>
          <w:vertAlign w:val="subscript"/>
        </w:rPr>
        <w:t>18</w:t>
      </w:r>
      <w:r w:rsidR="004A32E4" w:rsidRPr="00CB05BC">
        <w:rPr>
          <w:bCs/>
        </w:rPr>
        <w:t>N</w:t>
      </w:r>
      <w:r w:rsidR="004A32E4" w:rsidRPr="00CB05BC">
        <w:rPr>
          <w:bCs/>
          <w:vertAlign w:val="subscript"/>
        </w:rPr>
        <w:t>2</w:t>
      </w:r>
      <w:r w:rsidR="004A32E4" w:rsidRPr="00CB05BC">
        <w:rPr>
          <w:bCs/>
        </w:rPr>
        <w:t>O</w:t>
      </w:r>
      <w:r w:rsidR="004A32E4" w:rsidRPr="00CB05BC">
        <w:rPr>
          <w:bCs/>
          <w:vertAlign w:val="subscript"/>
        </w:rPr>
        <w:t>6</w:t>
      </w:r>
    </w:p>
    <w:p w14:paraId="1EF9B902" w14:textId="77777777" w:rsidR="009609F5" w:rsidRPr="00CB05BC" w:rsidRDefault="009609F5" w:rsidP="004A32E4">
      <w:pPr>
        <w:pStyle w:val="BodyText"/>
        <w:spacing w:line="259" w:lineRule="auto"/>
        <w:ind w:right="553"/>
        <w:rPr>
          <w:b/>
        </w:rPr>
      </w:pPr>
    </w:p>
    <w:p w14:paraId="38E94A43" w14:textId="77777777" w:rsidR="004A32E4" w:rsidRPr="00CB05BC" w:rsidRDefault="00000000" w:rsidP="004A32E4">
      <w:pPr>
        <w:pStyle w:val="BodyText"/>
        <w:spacing w:line="259" w:lineRule="auto"/>
        <w:ind w:right="553"/>
        <w:rPr>
          <w:vertAlign w:val="superscript"/>
        </w:rPr>
      </w:pPr>
      <w:r w:rsidRPr="00CB05BC">
        <w:rPr>
          <w:b/>
        </w:rPr>
        <w:t>Molecular weight:</w:t>
      </w:r>
      <w:r w:rsidRPr="00CB05BC">
        <w:rPr>
          <w:b/>
          <w:spacing w:val="1"/>
        </w:rPr>
        <w:t xml:space="preserve"> </w:t>
      </w:r>
      <w:r w:rsidR="004A32E4" w:rsidRPr="00CB05BC">
        <w:t>298.295 g.mol</w:t>
      </w:r>
      <w:r w:rsidR="004A32E4" w:rsidRPr="00CB05BC">
        <w:rPr>
          <w:vertAlign w:val="superscript"/>
        </w:rPr>
        <w:t>−1</w:t>
      </w:r>
    </w:p>
    <w:p w14:paraId="1374DD91" w14:textId="77777777" w:rsidR="009609F5" w:rsidRPr="00CB05BC" w:rsidRDefault="009609F5" w:rsidP="004A32E4">
      <w:pPr>
        <w:pStyle w:val="BodyText"/>
        <w:spacing w:line="259" w:lineRule="auto"/>
        <w:ind w:right="553"/>
        <w:rPr>
          <w:vertAlign w:val="superscript"/>
        </w:rPr>
      </w:pPr>
    </w:p>
    <w:p w14:paraId="2214010C" w14:textId="77777777" w:rsidR="004A32E4" w:rsidRPr="00CB05BC" w:rsidRDefault="00000000" w:rsidP="004A32E4">
      <w:pPr>
        <w:pStyle w:val="BodyText"/>
        <w:spacing w:line="259" w:lineRule="auto"/>
        <w:ind w:right="553"/>
        <w:jc w:val="left"/>
        <w:rPr>
          <w:bCs/>
          <w:spacing w:val="-2"/>
        </w:rPr>
      </w:pPr>
      <w:r w:rsidRPr="00CB05BC">
        <w:rPr>
          <w:b/>
        </w:rPr>
        <w:t>Category:</w:t>
      </w:r>
      <w:r w:rsidRPr="00CB05BC">
        <w:rPr>
          <w:b/>
          <w:spacing w:val="-2"/>
        </w:rPr>
        <w:t xml:space="preserve"> </w:t>
      </w:r>
      <w:r w:rsidR="004A32E4" w:rsidRPr="00CB05BC">
        <w:rPr>
          <w:bCs/>
          <w:spacing w:val="-2"/>
        </w:rPr>
        <w:t>Hepatoprotective.</w:t>
      </w:r>
    </w:p>
    <w:p w14:paraId="24A393D3" w14:textId="77777777" w:rsidR="002776B9" w:rsidRPr="00683864" w:rsidRDefault="002776B9" w:rsidP="004A32E4">
      <w:pPr>
        <w:pStyle w:val="BodyText"/>
        <w:spacing w:line="259" w:lineRule="auto"/>
        <w:ind w:right="553"/>
        <w:jc w:val="left"/>
        <w:rPr>
          <w:rFonts w:asciiTheme="minorHAnsi" w:hAnsiTheme="minorHAnsi" w:cstheme="minorHAnsi"/>
          <w:bCs/>
          <w:spacing w:val="-2"/>
        </w:rPr>
      </w:pPr>
    </w:p>
    <w:p w14:paraId="1305B20C" w14:textId="4C9C2C2C" w:rsidR="002776B9" w:rsidRPr="00CB05BC" w:rsidRDefault="002776B9" w:rsidP="002776B9">
      <w:pPr>
        <w:pStyle w:val="BodyText"/>
        <w:spacing w:line="259" w:lineRule="auto"/>
        <w:ind w:right="553"/>
        <w:rPr>
          <w:lang w:val="en-IN"/>
        </w:rPr>
      </w:pPr>
      <w:r w:rsidRPr="00CB05BC">
        <w:rPr>
          <w:lang w:val="en-IN"/>
        </w:rPr>
        <w:t xml:space="preserve">Pyridoxine and pyrrolidone carboxylate (PCA) ion pair salts are combined to form metadoxine. Vitamin B6, pyridoxine, is a precursor of coenzymes that include pyridoxal 5'-phosphate (PLP), which prevents acetaldehyde from inactivating adenosine triphosphate (ATP) and speeds up the metabolism of ethanol. Serotonin (5-HT), epinephrine, norepinephrine, and GABA are four major neurotransmitters that are also produced by pyridoxal phosphate-dependent enzymes. </w:t>
      </w:r>
    </w:p>
    <w:p w14:paraId="5C1131BD" w14:textId="7478DCC2" w:rsidR="008871F7" w:rsidRPr="00CB05BC" w:rsidRDefault="008871F7" w:rsidP="004A32E4">
      <w:pPr>
        <w:pStyle w:val="BodyText"/>
        <w:spacing w:line="259" w:lineRule="auto"/>
        <w:ind w:right="553"/>
        <w:jc w:val="left"/>
      </w:pPr>
    </w:p>
    <w:p w14:paraId="1AAE0950" w14:textId="77777777" w:rsidR="008871F7" w:rsidRDefault="008871F7">
      <w:pPr>
        <w:spacing w:line="396" w:lineRule="auto"/>
        <w:jc w:val="both"/>
        <w:rPr>
          <w:sz w:val="24"/>
        </w:rPr>
        <w:sectPr w:rsidR="008871F7" w:rsidSect="00683864">
          <w:pgSz w:w="11910" w:h="16840"/>
          <w:pgMar w:top="1600" w:right="980" w:bottom="280" w:left="11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21A7F9E3" w14:textId="77777777" w:rsidR="008871F7" w:rsidRDefault="008871F7">
      <w:pPr>
        <w:pStyle w:val="BodyText"/>
        <w:spacing w:before="9"/>
        <w:ind w:left="0"/>
        <w:jc w:val="left"/>
        <w:rPr>
          <w:sz w:val="18"/>
        </w:rPr>
      </w:pPr>
    </w:p>
    <w:p w14:paraId="442A394E" w14:textId="64B25420" w:rsidR="008871F7" w:rsidRPr="000E1086" w:rsidRDefault="005B0948" w:rsidP="009609F5">
      <w:pPr>
        <w:pStyle w:val="Heading1"/>
        <w:spacing w:line="256" w:lineRule="auto"/>
        <w:ind w:right="553"/>
        <w:jc w:val="both"/>
      </w:pPr>
      <w:r w:rsidRPr="000E1086">
        <w:t>Table 1: Spectrophotometric analysis techniques reported in the literature for the determination of metadoxine</w:t>
      </w:r>
    </w:p>
    <w:p w14:paraId="22E535E3" w14:textId="77777777" w:rsidR="008871F7" w:rsidRPr="000E1086" w:rsidRDefault="008871F7" w:rsidP="009609F5">
      <w:pPr>
        <w:pStyle w:val="BodyText"/>
        <w:spacing w:before="9" w:after="1"/>
        <w:ind w:left="0"/>
        <w:rPr>
          <w:b/>
          <w:sz w:val="13"/>
        </w:rPr>
      </w:pP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6"/>
        <w:gridCol w:w="2071"/>
        <w:gridCol w:w="1530"/>
        <w:gridCol w:w="2071"/>
        <w:gridCol w:w="1426"/>
      </w:tblGrid>
      <w:tr w:rsidR="008871F7" w:rsidRPr="00683864" w14:paraId="67DEB07C" w14:textId="77777777">
        <w:trPr>
          <w:trHeight w:val="275"/>
        </w:trPr>
        <w:tc>
          <w:tcPr>
            <w:tcW w:w="2066" w:type="dxa"/>
          </w:tcPr>
          <w:p w14:paraId="4E51030E" w14:textId="77777777" w:rsidR="008871F7" w:rsidRPr="000E1086" w:rsidRDefault="00000000">
            <w:pPr>
              <w:pStyle w:val="TableParagraph"/>
              <w:spacing w:line="254" w:lineRule="exact"/>
              <w:ind w:left="105"/>
              <w:rPr>
                <w:b/>
                <w:sz w:val="24"/>
              </w:rPr>
            </w:pPr>
            <w:r w:rsidRPr="000E1086">
              <w:rPr>
                <w:b/>
                <w:sz w:val="24"/>
              </w:rPr>
              <w:t>Title</w:t>
            </w:r>
          </w:p>
        </w:tc>
        <w:tc>
          <w:tcPr>
            <w:tcW w:w="2071" w:type="dxa"/>
          </w:tcPr>
          <w:p w14:paraId="14EF15C4" w14:textId="77777777" w:rsidR="008871F7" w:rsidRPr="000E1086" w:rsidRDefault="00000000">
            <w:pPr>
              <w:pStyle w:val="TableParagraph"/>
              <w:spacing w:line="254" w:lineRule="exact"/>
              <w:rPr>
                <w:b/>
                <w:sz w:val="24"/>
              </w:rPr>
            </w:pPr>
            <w:r w:rsidRPr="000E1086">
              <w:rPr>
                <w:b/>
                <w:sz w:val="24"/>
              </w:rPr>
              <w:t>Method</w:t>
            </w:r>
          </w:p>
        </w:tc>
        <w:tc>
          <w:tcPr>
            <w:tcW w:w="1530" w:type="dxa"/>
          </w:tcPr>
          <w:p w14:paraId="3322C656" w14:textId="77777777" w:rsidR="008871F7" w:rsidRPr="000E1086" w:rsidRDefault="00000000">
            <w:pPr>
              <w:pStyle w:val="TableParagraph"/>
              <w:spacing w:line="254" w:lineRule="exact"/>
              <w:rPr>
                <w:b/>
                <w:sz w:val="24"/>
              </w:rPr>
            </w:pPr>
            <w:r w:rsidRPr="000E1086">
              <w:rPr>
                <w:b/>
                <w:sz w:val="24"/>
              </w:rPr>
              <w:t>Wavelength</w:t>
            </w:r>
          </w:p>
        </w:tc>
        <w:tc>
          <w:tcPr>
            <w:tcW w:w="2071" w:type="dxa"/>
          </w:tcPr>
          <w:p w14:paraId="581FABAE" w14:textId="77777777" w:rsidR="008871F7" w:rsidRPr="000E1086" w:rsidRDefault="00000000">
            <w:pPr>
              <w:pStyle w:val="TableParagraph"/>
              <w:spacing w:line="254" w:lineRule="exact"/>
              <w:rPr>
                <w:b/>
                <w:sz w:val="24"/>
              </w:rPr>
            </w:pPr>
            <w:r w:rsidRPr="000E1086">
              <w:rPr>
                <w:b/>
                <w:sz w:val="24"/>
              </w:rPr>
              <w:t>Description</w:t>
            </w:r>
          </w:p>
        </w:tc>
        <w:tc>
          <w:tcPr>
            <w:tcW w:w="1426" w:type="dxa"/>
          </w:tcPr>
          <w:p w14:paraId="520A1544" w14:textId="77777777" w:rsidR="008871F7" w:rsidRPr="000E1086" w:rsidRDefault="00000000">
            <w:pPr>
              <w:pStyle w:val="TableParagraph"/>
              <w:spacing w:line="254" w:lineRule="exact"/>
              <w:rPr>
                <w:b/>
                <w:sz w:val="24"/>
              </w:rPr>
            </w:pPr>
            <w:r w:rsidRPr="000E1086">
              <w:rPr>
                <w:b/>
                <w:sz w:val="24"/>
              </w:rPr>
              <w:t>Reference</w:t>
            </w:r>
          </w:p>
        </w:tc>
      </w:tr>
      <w:tr w:rsidR="008871F7" w14:paraId="78AEB9BB" w14:textId="77777777">
        <w:trPr>
          <w:trHeight w:val="2205"/>
        </w:trPr>
        <w:tc>
          <w:tcPr>
            <w:tcW w:w="2066" w:type="dxa"/>
          </w:tcPr>
          <w:p w14:paraId="6A2B28CB" w14:textId="46C73AB7" w:rsidR="008871F7" w:rsidRPr="000E1086" w:rsidRDefault="00463EE8">
            <w:pPr>
              <w:pStyle w:val="TableParagraph"/>
              <w:spacing w:before="0" w:line="253" w:lineRule="exact"/>
              <w:ind w:left="105"/>
              <w:rPr>
                <w:sz w:val="24"/>
                <w:szCs w:val="24"/>
              </w:rPr>
            </w:pPr>
            <w:r w:rsidRPr="000E1086">
              <w:rPr>
                <w:sz w:val="24"/>
                <w:szCs w:val="24"/>
              </w:rPr>
              <w:t>Derivative spectroscopy: Development and validation of new spectroscopic method for the estimation of metadoxine in bulk and solid dosage form</w:t>
            </w:r>
          </w:p>
        </w:tc>
        <w:tc>
          <w:tcPr>
            <w:tcW w:w="2071" w:type="dxa"/>
          </w:tcPr>
          <w:p w14:paraId="14C8DAB3" w14:textId="77777777" w:rsidR="008871F7" w:rsidRPr="000E1086" w:rsidRDefault="00000000">
            <w:pPr>
              <w:pStyle w:val="TableParagraph"/>
              <w:ind w:right="96"/>
              <w:rPr>
                <w:sz w:val="24"/>
                <w:szCs w:val="24"/>
              </w:rPr>
            </w:pPr>
            <w:r w:rsidRPr="000E1086">
              <w:rPr>
                <w:sz w:val="24"/>
                <w:szCs w:val="24"/>
              </w:rPr>
              <w:t>UV-Visible</w:t>
            </w:r>
            <w:r w:rsidRPr="000E1086">
              <w:rPr>
                <w:spacing w:val="1"/>
                <w:sz w:val="24"/>
                <w:szCs w:val="24"/>
              </w:rPr>
              <w:t xml:space="preserve"> </w:t>
            </w:r>
            <w:r w:rsidRPr="000E1086">
              <w:rPr>
                <w:spacing w:val="-1"/>
                <w:sz w:val="24"/>
                <w:szCs w:val="24"/>
              </w:rPr>
              <w:t>spectrophotometric</w:t>
            </w:r>
          </w:p>
        </w:tc>
        <w:tc>
          <w:tcPr>
            <w:tcW w:w="1530" w:type="dxa"/>
          </w:tcPr>
          <w:p w14:paraId="64BD368F" w14:textId="298ACD03" w:rsidR="008871F7" w:rsidRPr="000E1086" w:rsidRDefault="00463EE8">
            <w:pPr>
              <w:pStyle w:val="TableParagraph"/>
              <w:rPr>
                <w:sz w:val="24"/>
                <w:szCs w:val="24"/>
              </w:rPr>
            </w:pPr>
            <w:r w:rsidRPr="000E1086">
              <w:rPr>
                <w:sz w:val="24"/>
                <w:szCs w:val="24"/>
              </w:rPr>
              <w:t>292nm for zero order</w:t>
            </w:r>
          </w:p>
          <w:p w14:paraId="1993C122" w14:textId="607466D9" w:rsidR="00463EE8" w:rsidRPr="000E1086" w:rsidRDefault="00463EE8">
            <w:pPr>
              <w:pStyle w:val="TableParagraph"/>
              <w:rPr>
                <w:sz w:val="24"/>
                <w:szCs w:val="24"/>
              </w:rPr>
            </w:pPr>
            <w:r w:rsidRPr="000E1086">
              <w:rPr>
                <w:sz w:val="24"/>
                <w:szCs w:val="24"/>
              </w:rPr>
              <w:t>302nm for first order</w:t>
            </w:r>
          </w:p>
          <w:p w14:paraId="4CE280EF" w14:textId="28A8FECC" w:rsidR="00463EE8" w:rsidRPr="000E1086" w:rsidRDefault="00463EE8">
            <w:pPr>
              <w:pStyle w:val="TableParagraph"/>
              <w:rPr>
                <w:sz w:val="24"/>
                <w:szCs w:val="24"/>
              </w:rPr>
            </w:pPr>
            <w:r w:rsidRPr="000E1086">
              <w:rPr>
                <w:sz w:val="24"/>
                <w:szCs w:val="24"/>
              </w:rPr>
              <w:t>270nm for second order</w:t>
            </w:r>
          </w:p>
          <w:p w14:paraId="787ACE87" w14:textId="4BE21B6A" w:rsidR="00463EE8" w:rsidRPr="000E1086" w:rsidRDefault="00463EE8">
            <w:pPr>
              <w:pStyle w:val="TableParagraph"/>
              <w:rPr>
                <w:sz w:val="24"/>
                <w:szCs w:val="24"/>
              </w:rPr>
            </w:pPr>
            <w:r w:rsidRPr="000E1086">
              <w:rPr>
                <w:sz w:val="24"/>
                <w:szCs w:val="24"/>
              </w:rPr>
              <w:t>314nm for third order</w:t>
            </w:r>
          </w:p>
        </w:tc>
        <w:tc>
          <w:tcPr>
            <w:tcW w:w="2071" w:type="dxa"/>
          </w:tcPr>
          <w:p w14:paraId="1A521884" w14:textId="544FB026" w:rsidR="008871F7" w:rsidRPr="000E1086" w:rsidRDefault="00463EE8">
            <w:pPr>
              <w:pStyle w:val="TableParagraph"/>
              <w:ind w:right="195"/>
              <w:rPr>
                <w:sz w:val="24"/>
                <w:szCs w:val="24"/>
              </w:rPr>
            </w:pPr>
            <w:r w:rsidRPr="000E1086">
              <w:rPr>
                <w:sz w:val="24"/>
                <w:szCs w:val="24"/>
              </w:rPr>
              <w:t>The proposed method is precise, accurate, linear, stable and reproducible and can be extended to the analysis of Metadoxine in bulk and tablet formulations.</w:t>
            </w:r>
          </w:p>
        </w:tc>
        <w:tc>
          <w:tcPr>
            <w:tcW w:w="1426" w:type="dxa"/>
          </w:tcPr>
          <w:p w14:paraId="332733D7" w14:textId="77777777" w:rsidR="008871F7" w:rsidRPr="000E1086" w:rsidRDefault="008871F7">
            <w:pPr>
              <w:pStyle w:val="TableParagraph"/>
              <w:rPr>
                <w:sz w:val="24"/>
                <w:szCs w:val="24"/>
              </w:rPr>
            </w:pPr>
          </w:p>
          <w:p w14:paraId="5A834303" w14:textId="57928B74" w:rsidR="00D63621" w:rsidRPr="000E1086" w:rsidRDefault="009609F5">
            <w:pPr>
              <w:pStyle w:val="TableParagraph"/>
              <w:rPr>
                <w:sz w:val="24"/>
                <w:szCs w:val="24"/>
              </w:rPr>
            </w:pPr>
            <w:r w:rsidRPr="000E1086">
              <w:rPr>
                <w:sz w:val="24"/>
                <w:szCs w:val="24"/>
              </w:rPr>
              <w:t>12</w:t>
            </w:r>
          </w:p>
        </w:tc>
      </w:tr>
      <w:tr w:rsidR="00BA5E72" w14:paraId="146195FE" w14:textId="77777777">
        <w:trPr>
          <w:trHeight w:val="2205"/>
        </w:trPr>
        <w:tc>
          <w:tcPr>
            <w:tcW w:w="2066" w:type="dxa"/>
          </w:tcPr>
          <w:p w14:paraId="6CA4921A" w14:textId="6DAD3DA6" w:rsidR="00BA5E72" w:rsidRPr="000E1086" w:rsidRDefault="00CC08A4" w:rsidP="00BA5E72">
            <w:pPr>
              <w:pStyle w:val="TableParagraph"/>
              <w:spacing w:line="253" w:lineRule="exact"/>
              <w:ind w:left="105"/>
              <w:rPr>
                <w:sz w:val="24"/>
                <w:szCs w:val="24"/>
                <w:lang w:val="en-IN"/>
              </w:rPr>
            </w:pPr>
            <w:r w:rsidRPr="000E1086">
              <w:rPr>
                <w:sz w:val="24"/>
                <w:szCs w:val="24"/>
                <w:lang w:val="en-IN"/>
              </w:rPr>
              <w:t>Q</w:t>
            </w:r>
            <w:r w:rsidR="00BA5E72" w:rsidRPr="000E1086">
              <w:rPr>
                <w:sz w:val="24"/>
                <w:szCs w:val="24"/>
                <w:lang w:val="en-IN"/>
              </w:rPr>
              <w:t>uantification of metadoxine in pharmaceutical dosage forms by uv-spectrophotometry</w:t>
            </w:r>
          </w:p>
          <w:p w14:paraId="6D8EC366" w14:textId="77777777" w:rsidR="00BA5E72" w:rsidRPr="000E1086" w:rsidRDefault="00BA5E72">
            <w:pPr>
              <w:pStyle w:val="TableParagraph"/>
              <w:spacing w:before="0" w:line="253" w:lineRule="exact"/>
              <w:ind w:left="105"/>
              <w:rPr>
                <w:sz w:val="24"/>
                <w:szCs w:val="24"/>
              </w:rPr>
            </w:pPr>
          </w:p>
        </w:tc>
        <w:tc>
          <w:tcPr>
            <w:tcW w:w="2071" w:type="dxa"/>
          </w:tcPr>
          <w:p w14:paraId="18EB0AFB" w14:textId="1D86CE19" w:rsidR="00BA5E72" w:rsidRPr="000E1086" w:rsidRDefault="00CC08A4">
            <w:pPr>
              <w:pStyle w:val="TableParagraph"/>
              <w:ind w:right="96"/>
              <w:rPr>
                <w:sz w:val="24"/>
                <w:szCs w:val="24"/>
              </w:rPr>
            </w:pPr>
            <w:r w:rsidRPr="000E1086">
              <w:rPr>
                <w:sz w:val="24"/>
                <w:szCs w:val="24"/>
              </w:rPr>
              <w:t>UV-Visible</w:t>
            </w:r>
            <w:r w:rsidRPr="000E1086">
              <w:rPr>
                <w:spacing w:val="1"/>
                <w:sz w:val="24"/>
                <w:szCs w:val="24"/>
              </w:rPr>
              <w:t xml:space="preserve"> </w:t>
            </w:r>
            <w:r w:rsidRPr="000E1086">
              <w:rPr>
                <w:spacing w:val="-1"/>
                <w:sz w:val="24"/>
                <w:szCs w:val="24"/>
              </w:rPr>
              <w:t>spectrophotometric</w:t>
            </w:r>
          </w:p>
        </w:tc>
        <w:tc>
          <w:tcPr>
            <w:tcW w:w="1530" w:type="dxa"/>
          </w:tcPr>
          <w:p w14:paraId="0C10FA75" w14:textId="631CFAD4" w:rsidR="00BA5E72" w:rsidRPr="000E1086" w:rsidRDefault="00CC08A4">
            <w:pPr>
              <w:pStyle w:val="TableParagraph"/>
              <w:rPr>
                <w:sz w:val="24"/>
                <w:szCs w:val="24"/>
              </w:rPr>
            </w:pPr>
            <w:r w:rsidRPr="000E1086">
              <w:rPr>
                <w:sz w:val="24"/>
                <w:szCs w:val="24"/>
              </w:rPr>
              <w:t>291nm</w:t>
            </w:r>
          </w:p>
        </w:tc>
        <w:tc>
          <w:tcPr>
            <w:tcW w:w="2071" w:type="dxa"/>
          </w:tcPr>
          <w:p w14:paraId="0265019F" w14:textId="50E4260F" w:rsidR="00BA5E72" w:rsidRPr="000E1086" w:rsidRDefault="00CC08A4">
            <w:pPr>
              <w:pStyle w:val="TableParagraph"/>
              <w:ind w:right="195"/>
              <w:rPr>
                <w:sz w:val="24"/>
                <w:szCs w:val="24"/>
              </w:rPr>
            </w:pPr>
            <w:r w:rsidRPr="000E1086">
              <w:rPr>
                <w:sz w:val="24"/>
                <w:szCs w:val="24"/>
              </w:rPr>
              <w:t>The proposed methods are sensitive, accurate, reproducible and useful for routine determination of metadoxine in pharmaceutical dosage forms</w:t>
            </w:r>
          </w:p>
        </w:tc>
        <w:tc>
          <w:tcPr>
            <w:tcW w:w="1426" w:type="dxa"/>
          </w:tcPr>
          <w:p w14:paraId="3F95D8C3" w14:textId="77777777" w:rsidR="00BA5E72" w:rsidRPr="000E1086" w:rsidRDefault="00CC08A4">
            <w:pPr>
              <w:pStyle w:val="TableParagraph"/>
              <w:rPr>
                <w:sz w:val="24"/>
                <w:szCs w:val="24"/>
              </w:rPr>
            </w:pPr>
            <w:r w:rsidRPr="000E1086">
              <w:rPr>
                <w:sz w:val="24"/>
                <w:szCs w:val="24"/>
              </w:rPr>
              <w:t>17</w:t>
            </w:r>
          </w:p>
          <w:p w14:paraId="77FBDD31" w14:textId="3E7BF6AB" w:rsidR="0026105F" w:rsidRPr="000E1086" w:rsidRDefault="0026105F">
            <w:pPr>
              <w:pStyle w:val="TableParagraph"/>
              <w:rPr>
                <w:sz w:val="24"/>
                <w:szCs w:val="24"/>
              </w:rPr>
            </w:pPr>
          </w:p>
        </w:tc>
      </w:tr>
      <w:tr w:rsidR="0026105F" w14:paraId="405815DB" w14:textId="77777777">
        <w:trPr>
          <w:trHeight w:val="2205"/>
        </w:trPr>
        <w:tc>
          <w:tcPr>
            <w:tcW w:w="2066" w:type="dxa"/>
          </w:tcPr>
          <w:p w14:paraId="3805E74B" w14:textId="0FA26040" w:rsidR="0026105F" w:rsidRPr="000E1086" w:rsidRDefault="0026105F" w:rsidP="0026105F">
            <w:pPr>
              <w:pStyle w:val="TableParagraph"/>
              <w:spacing w:line="253" w:lineRule="exact"/>
              <w:ind w:left="105"/>
              <w:rPr>
                <w:sz w:val="24"/>
                <w:szCs w:val="24"/>
                <w:lang w:val="en-IN"/>
              </w:rPr>
            </w:pPr>
            <w:r w:rsidRPr="000E1086">
              <w:rPr>
                <w:sz w:val="24"/>
                <w:szCs w:val="24"/>
                <w:lang w:val="en-IN"/>
              </w:rPr>
              <w:t>New spectrophotometric methods for estimation of Metadoxine in bulk and pharmaceutical formulations based on redox and oxidative coupling reactions</w:t>
            </w:r>
          </w:p>
          <w:p w14:paraId="4B9AFA36" w14:textId="77777777" w:rsidR="0026105F" w:rsidRPr="000E1086" w:rsidRDefault="0026105F" w:rsidP="00BA5E72">
            <w:pPr>
              <w:pStyle w:val="TableParagraph"/>
              <w:spacing w:line="253" w:lineRule="exact"/>
              <w:ind w:left="105"/>
              <w:rPr>
                <w:sz w:val="24"/>
                <w:szCs w:val="24"/>
                <w:lang w:val="en-IN"/>
              </w:rPr>
            </w:pPr>
          </w:p>
        </w:tc>
        <w:tc>
          <w:tcPr>
            <w:tcW w:w="2071" w:type="dxa"/>
          </w:tcPr>
          <w:p w14:paraId="137DD91D" w14:textId="362C63E1" w:rsidR="0026105F" w:rsidRPr="000E1086" w:rsidRDefault="0026105F">
            <w:pPr>
              <w:pStyle w:val="TableParagraph"/>
              <w:ind w:right="96"/>
              <w:rPr>
                <w:sz w:val="24"/>
                <w:szCs w:val="24"/>
              </w:rPr>
            </w:pPr>
            <w:r w:rsidRPr="000E1086">
              <w:rPr>
                <w:sz w:val="24"/>
                <w:szCs w:val="24"/>
              </w:rPr>
              <w:t>Spectrophotometric method</w:t>
            </w:r>
          </w:p>
        </w:tc>
        <w:tc>
          <w:tcPr>
            <w:tcW w:w="1530" w:type="dxa"/>
          </w:tcPr>
          <w:p w14:paraId="492C0314" w14:textId="77777777" w:rsidR="0026105F" w:rsidRPr="000E1086" w:rsidRDefault="0026105F">
            <w:pPr>
              <w:pStyle w:val="TableParagraph"/>
              <w:rPr>
                <w:sz w:val="24"/>
                <w:szCs w:val="24"/>
              </w:rPr>
            </w:pPr>
            <w:r w:rsidRPr="000E1086">
              <w:rPr>
                <w:sz w:val="24"/>
                <w:szCs w:val="24"/>
              </w:rPr>
              <w:t>Method-</w:t>
            </w:r>
            <w:r w:rsidRPr="000E1086">
              <w:rPr>
                <w:color w:val="2E3743"/>
                <w:sz w:val="24"/>
                <w:szCs w:val="24"/>
                <w:shd w:val="clear" w:color="auto" w:fill="EBECED"/>
              </w:rPr>
              <w:t xml:space="preserve"> </w:t>
            </w:r>
            <w:r w:rsidRPr="000E1086">
              <w:rPr>
                <w:sz w:val="24"/>
                <w:szCs w:val="24"/>
              </w:rPr>
              <w:t>660nm</w:t>
            </w:r>
          </w:p>
          <w:p w14:paraId="5DFEEBCD" w14:textId="1554676D" w:rsidR="0026105F" w:rsidRPr="000E1086" w:rsidRDefault="0026105F">
            <w:pPr>
              <w:pStyle w:val="TableParagraph"/>
              <w:rPr>
                <w:sz w:val="24"/>
                <w:szCs w:val="24"/>
              </w:rPr>
            </w:pPr>
            <w:r w:rsidRPr="000E1086">
              <w:rPr>
                <w:sz w:val="24"/>
                <w:szCs w:val="24"/>
              </w:rPr>
              <w:t>Method-</w:t>
            </w:r>
            <w:r w:rsidRPr="000E1086">
              <w:rPr>
                <w:color w:val="2E3743"/>
                <w:sz w:val="24"/>
                <w:szCs w:val="24"/>
                <w:shd w:val="clear" w:color="auto" w:fill="EBECED"/>
              </w:rPr>
              <w:t xml:space="preserve"> </w:t>
            </w:r>
            <w:r w:rsidRPr="000E1086">
              <w:rPr>
                <w:sz w:val="24"/>
                <w:szCs w:val="24"/>
              </w:rPr>
              <w:t>460nm</w:t>
            </w:r>
          </w:p>
        </w:tc>
        <w:tc>
          <w:tcPr>
            <w:tcW w:w="2071" w:type="dxa"/>
          </w:tcPr>
          <w:p w14:paraId="6B7B6F86" w14:textId="77777777" w:rsidR="0026105F" w:rsidRPr="000E1086" w:rsidRDefault="0026105F">
            <w:pPr>
              <w:pStyle w:val="TableParagraph"/>
              <w:ind w:right="195"/>
              <w:rPr>
                <w:sz w:val="24"/>
                <w:szCs w:val="24"/>
              </w:rPr>
            </w:pPr>
            <w:r w:rsidRPr="000E1086">
              <w:rPr>
                <w:sz w:val="24"/>
                <w:szCs w:val="24"/>
              </w:rPr>
              <w:t xml:space="preserve">Method A in the concentration range of 5-30 μg/mL </w:t>
            </w:r>
          </w:p>
          <w:p w14:paraId="17A8EF24" w14:textId="0F4BD6C8" w:rsidR="0026105F" w:rsidRPr="000E1086" w:rsidRDefault="0026105F">
            <w:pPr>
              <w:pStyle w:val="TableParagraph"/>
              <w:ind w:right="195"/>
              <w:rPr>
                <w:sz w:val="24"/>
                <w:szCs w:val="24"/>
              </w:rPr>
            </w:pPr>
            <w:r w:rsidRPr="000E1086">
              <w:rPr>
                <w:sz w:val="24"/>
                <w:szCs w:val="24"/>
              </w:rPr>
              <w:t>Method B in concentration of 424 μg/mL. </w:t>
            </w:r>
          </w:p>
        </w:tc>
        <w:tc>
          <w:tcPr>
            <w:tcW w:w="1426" w:type="dxa"/>
          </w:tcPr>
          <w:p w14:paraId="46EAFF7C" w14:textId="6E40D6F4" w:rsidR="0026105F" w:rsidRPr="000E1086" w:rsidRDefault="00D515E7">
            <w:pPr>
              <w:pStyle w:val="TableParagraph"/>
              <w:rPr>
                <w:sz w:val="24"/>
                <w:szCs w:val="24"/>
              </w:rPr>
            </w:pPr>
            <w:r w:rsidRPr="000E1086">
              <w:rPr>
                <w:sz w:val="24"/>
                <w:szCs w:val="24"/>
              </w:rPr>
              <w:t>19</w:t>
            </w:r>
          </w:p>
        </w:tc>
      </w:tr>
    </w:tbl>
    <w:p w14:paraId="4C0ADF6C" w14:textId="77777777" w:rsidR="008871F7" w:rsidRDefault="008871F7">
      <w:pPr>
        <w:pStyle w:val="BodyText"/>
        <w:ind w:left="0"/>
        <w:jc w:val="left"/>
        <w:rPr>
          <w:b/>
          <w:sz w:val="20"/>
        </w:rPr>
      </w:pPr>
    </w:p>
    <w:p w14:paraId="46F99317" w14:textId="77777777" w:rsidR="00D63621" w:rsidRDefault="00D63621">
      <w:pPr>
        <w:pStyle w:val="BodyText"/>
        <w:ind w:left="0"/>
        <w:jc w:val="left"/>
        <w:rPr>
          <w:b/>
          <w:sz w:val="20"/>
        </w:rPr>
      </w:pPr>
    </w:p>
    <w:p w14:paraId="582A1E0E" w14:textId="5BE9E67C" w:rsidR="008871F7" w:rsidRPr="000E1086" w:rsidRDefault="00000000">
      <w:pPr>
        <w:spacing w:before="230"/>
        <w:ind w:left="260"/>
        <w:rPr>
          <w:b/>
          <w:sz w:val="24"/>
        </w:rPr>
      </w:pPr>
      <w:r w:rsidRPr="000E1086">
        <w:rPr>
          <w:b/>
          <w:sz w:val="24"/>
        </w:rPr>
        <w:t>Reported</w:t>
      </w:r>
      <w:r w:rsidRPr="000E1086">
        <w:rPr>
          <w:b/>
          <w:spacing w:val="-1"/>
          <w:sz w:val="24"/>
        </w:rPr>
        <w:t xml:space="preserve"> </w:t>
      </w:r>
      <w:r w:rsidRPr="000E1086">
        <w:rPr>
          <w:b/>
          <w:sz w:val="24"/>
        </w:rPr>
        <w:t>HPLC</w:t>
      </w:r>
      <w:r w:rsidRPr="000E1086">
        <w:rPr>
          <w:b/>
          <w:spacing w:val="-1"/>
          <w:sz w:val="24"/>
        </w:rPr>
        <w:t xml:space="preserve"> </w:t>
      </w:r>
      <w:r w:rsidRPr="000E1086">
        <w:rPr>
          <w:b/>
          <w:sz w:val="24"/>
        </w:rPr>
        <w:t>methods</w:t>
      </w:r>
      <w:r w:rsidRPr="000E1086">
        <w:rPr>
          <w:b/>
          <w:spacing w:val="-1"/>
          <w:sz w:val="24"/>
        </w:rPr>
        <w:t xml:space="preserve"> </w:t>
      </w:r>
      <w:r w:rsidRPr="000E1086">
        <w:rPr>
          <w:b/>
          <w:sz w:val="24"/>
        </w:rPr>
        <w:t>of</w:t>
      </w:r>
      <w:r w:rsidRPr="000E1086">
        <w:rPr>
          <w:b/>
          <w:spacing w:val="1"/>
          <w:sz w:val="24"/>
        </w:rPr>
        <w:t xml:space="preserve"> </w:t>
      </w:r>
      <w:r w:rsidR="00D82C73" w:rsidRPr="000E1086">
        <w:rPr>
          <w:b/>
          <w:sz w:val="24"/>
        </w:rPr>
        <w:t>Metadoxine</w:t>
      </w:r>
    </w:p>
    <w:p w14:paraId="62CFE789" w14:textId="77777777" w:rsidR="008871F7" w:rsidRPr="000E1086" w:rsidRDefault="008871F7">
      <w:pPr>
        <w:pStyle w:val="BodyText"/>
        <w:ind w:left="0"/>
        <w:jc w:val="left"/>
        <w:rPr>
          <w:b/>
          <w:sz w:val="20"/>
        </w:rPr>
      </w:pPr>
    </w:p>
    <w:p w14:paraId="5CF2548D" w14:textId="77777777" w:rsidR="008871F7" w:rsidRDefault="008871F7">
      <w:pPr>
        <w:pStyle w:val="BodyText"/>
        <w:ind w:left="0"/>
        <w:jc w:val="left"/>
        <w:rPr>
          <w:b/>
          <w:sz w:val="20"/>
        </w:rPr>
      </w:pPr>
    </w:p>
    <w:p w14:paraId="57A280A2" w14:textId="77777777" w:rsidR="008871F7" w:rsidRDefault="008871F7">
      <w:pPr>
        <w:pStyle w:val="BodyText"/>
        <w:spacing w:before="2"/>
        <w:ind w:left="0"/>
        <w:jc w:val="left"/>
        <w:rPr>
          <w:b/>
          <w:sz w:val="15"/>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6"/>
        <w:gridCol w:w="1138"/>
        <w:gridCol w:w="1704"/>
        <w:gridCol w:w="1988"/>
        <w:gridCol w:w="1562"/>
        <w:gridCol w:w="1417"/>
      </w:tblGrid>
      <w:tr w:rsidR="008871F7" w14:paraId="6FC3D01B" w14:textId="77777777" w:rsidTr="009C5B97">
        <w:trPr>
          <w:trHeight w:val="275"/>
        </w:trPr>
        <w:tc>
          <w:tcPr>
            <w:tcW w:w="1846" w:type="dxa"/>
          </w:tcPr>
          <w:p w14:paraId="102DB7C6" w14:textId="77777777" w:rsidR="008871F7" w:rsidRPr="000E1086" w:rsidRDefault="00000000">
            <w:pPr>
              <w:pStyle w:val="TableParagraph"/>
              <w:spacing w:line="254" w:lineRule="exact"/>
              <w:ind w:left="105"/>
              <w:rPr>
                <w:b/>
                <w:sz w:val="24"/>
              </w:rPr>
            </w:pPr>
            <w:r w:rsidRPr="000E1086">
              <w:rPr>
                <w:b/>
                <w:sz w:val="24"/>
              </w:rPr>
              <w:t>Title</w:t>
            </w:r>
          </w:p>
        </w:tc>
        <w:tc>
          <w:tcPr>
            <w:tcW w:w="1138" w:type="dxa"/>
          </w:tcPr>
          <w:p w14:paraId="44EFD024" w14:textId="77777777" w:rsidR="008871F7" w:rsidRPr="000E1086" w:rsidRDefault="00000000">
            <w:pPr>
              <w:pStyle w:val="TableParagraph"/>
              <w:spacing w:line="254" w:lineRule="exact"/>
              <w:rPr>
                <w:b/>
                <w:sz w:val="24"/>
              </w:rPr>
            </w:pPr>
            <w:r w:rsidRPr="000E1086">
              <w:rPr>
                <w:b/>
                <w:sz w:val="24"/>
              </w:rPr>
              <w:t>Method</w:t>
            </w:r>
          </w:p>
        </w:tc>
        <w:tc>
          <w:tcPr>
            <w:tcW w:w="1704" w:type="dxa"/>
          </w:tcPr>
          <w:p w14:paraId="3F10CB2C" w14:textId="77777777" w:rsidR="008871F7" w:rsidRPr="000E1086" w:rsidRDefault="00000000">
            <w:pPr>
              <w:pStyle w:val="TableParagraph"/>
              <w:spacing w:line="254" w:lineRule="exact"/>
              <w:rPr>
                <w:b/>
                <w:sz w:val="24"/>
              </w:rPr>
            </w:pPr>
            <w:r w:rsidRPr="000E1086">
              <w:rPr>
                <w:b/>
                <w:sz w:val="24"/>
              </w:rPr>
              <w:t>Mobile</w:t>
            </w:r>
            <w:r w:rsidRPr="000E1086">
              <w:rPr>
                <w:b/>
                <w:spacing w:val="-3"/>
                <w:sz w:val="24"/>
              </w:rPr>
              <w:t xml:space="preserve"> </w:t>
            </w:r>
            <w:r w:rsidRPr="000E1086">
              <w:rPr>
                <w:b/>
                <w:sz w:val="24"/>
              </w:rPr>
              <w:t>phase</w:t>
            </w:r>
          </w:p>
        </w:tc>
        <w:tc>
          <w:tcPr>
            <w:tcW w:w="1988" w:type="dxa"/>
          </w:tcPr>
          <w:p w14:paraId="024F2583" w14:textId="77777777" w:rsidR="008871F7" w:rsidRPr="000E1086" w:rsidRDefault="00000000">
            <w:pPr>
              <w:pStyle w:val="TableParagraph"/>
              <w:spacing w:line="254" w:lineRule="exact"/>
              <w:ind w:left="111"/>
              <w:rPr>
                <w:b/>
                <w:sz w:val="24"/>
              </w:rPr>
            </w:pPr>
            <w:r w:rsidRPr="000E1086">
              <w:rPr>
                <w:b/>
                <w:sz w:val="24"/>
              </w:rPr>
              <w:t>Stationary phase</w:t>
            </w:r>
          </w:p>
        </w:tc>
        <w:tc>
          <w:tcPr>
            <w:tcW w:w="1562" w:type="dxa"/>
          </w:tcPr>
          <w:p w14:paraId="315ED3DB" w14:textId="77777777" w:rsidR="008871F7" w:rsidRPr="000E1086" w:rsidRDefault="00000000">
            <w:pPr>
              <w:pStyle w:val="TableParagraph"/>
              <w:spacing w:line="254" w:lineRule="exact"/>
              <w:ind w:left="112"/>
              <w:rPr>
                <w:b/>
                <w:sz w:val="24"/>
              </w:rPr>
            </w:pPr>
            <w:r w:rsidRPr="000E1086">
              <w:rPr>
                <w:b/>
                <w:sz w:val="24"/>
              </w:rPr>
              <w:t>Wavelength</w:t>
            </w:r>
          </w:p>
        </w:tc>
        <w:tc>
          <w:tcPr>
            <w:tcW w:w="1417" w:type="dxa"/>
          </w:tcPr>
          <w:p w14:paraId="1DF2340E" w14:textId="77777777" w:rsidR="008871F7" w:rsidRPr="000E1086" w:rsidRDefault="00000000">
            <w:pPr>
              <w:pStyle w:val="TableParagraph"/>
              <w:spacing w:line="254" w:lineRule="exact"/>
              <w:ind w:left="113"/>
              <w:rPr>
                <w:b/>
                <w:sz w:val="24"/>
              </w:rPr>
            </w:pPr>
            <w:r w:rsidRPr="000E1086">
              <w:rPr>
                <w:b/>
                <w:sz w:val="24"/>
              </w:rPr>
              <w:t>Reference</w:t>
            </w:r>
          </w:p>
        </w:tc>
      </w:tr>
      <w:tr w:rsidR="008871F7" w14:paraId="3FF739FA" w14:textId="77777777" w:rsidTr="009C5B97">
        <w:trPr>
          <w:trHeight w:val="1935"/>
        </w:trPr>
        <w:tc>
          <w:tcPr>
            <w:tcW w:w="1846" w:type="dxa"/>
          </w:tcPr>
          <w:p w14:paraId="489C2A9C" w14:textId="77777777" w:rsidR="009274E7" w:rsidRPr="000E1086" w:rsidRDefault="009274E7" w:rsidP="009274E7">
            <w:pPr>
              <w:pStyle w:val="TableParagraph"/>
              <w:spacing w:before="4" w:line="254" w:lineRule="exact"/>
              <w:ind w:left="105"/>
              <w:rPr>
                <w:sz w:val="24"/>
                <w:lang w:val="en-IN"/>
              </w:rPr>
            </w:pPr>
            <w:r w:rsidRPr="000E1086">
              <w:rPr>
                <w:sz w:val="24"/>
                <w:lang w:val="en-IN"/>
              </w:rPr>
              <w:t>Stability-Indicating HPLC Method for the Determination of Metadoxine as Bulk Drug and in Pharmaceutical Dosage Form</w:t>
            </w:r>
          </w:p>
          <w:p w14:paraId="7510A1FA" w14:textId="25211000" w:rsidR="008871F7" w:rsidRPr="000E1086" w:rsidRDefault="008871F7" w:rsidP="009274E7">
            <w:pPr>
              <w:pStyle w:val="TableParagraph"/>
              <w:spacing w:before="4" w:line="254" w:lineRule="exact"/>
              <w:ind w:left="105"/>
              <w:rPr>
                <w:sz w:val="24"/>
              </w:rPr>
            </w:pPr>
          </w:p>
        </w:tc>
        <w:tc>
          <w:tcPr>
            <w:tcW w:w="1138" w:type="dxa"/>
          </w:tcPr>
          <w:p w14:paraId="1A22F3A7" w14:textId="231B591E" w:rsidR="008871F7" w:rsidRPr="000E1086" w:rsidRDefault="00000000">
            <w:pPr>
              <w:pStyle w:val="TableParagraph"/>
              <w:spacing w:line="242" w:lineRule="auto"/>
              <w:ind w:right="381"/>
              <w:rPr>
                <w:sz w:val="24"/>
              </w:rPr>
            </w:pPr>
            <w:r w:rsidRPr="000E1086">
              <w:rPr>
                <w:spacing w:val="1"/>
                <w:sz w:val="24"/>
              </w:rPr>
              <w:t xml:space="preserve"> </w:t>
            </w:r>
            <w:r w:rsidRPr="000E1086">
              <w:rPr>
                <w:sz w:val="24"/>
              </w:rPr>
              <w:t>HPLC</w:t>
            </w:r>
          </w:p>
        </w:tc>
        <w:tc>
          <w:tcPr>
            <w:tcW w:w="1704" w:type="dxa"/>
          </w:tcPr>
          <w:p w14:paraId="308E41E0" w14:textId="04D4A9CB" w:rsidR="008871F7" w:rsidRPr="000E1086" w:rsidRDefault="00456FD3">
            <w:pPr>
              <w:pStyle w:val="TableParagraph"/>
              <w:spacing w:before="4"/>
              <w:ind w:right="172"/>
              <w:rPr>
                <w:sz w:val="24"/>
              </w:rPr>
            </w:pPr>
            <w:r w:rsidRPr="000E1086">
              <w:rPr>
                <w:sz w:val="24"/>
              </w:rPr>
              <w:t>methanol and water (50: 50, </w:t>
            </w:r>
            <w:r w:rsidRPr="000E1086">
              <w:rPr>
                <w:i/>
                <w:iCs/>
                <w:sz w:val="24"/>
              </w:rPr>
              <w:t>v/v</w:t>
            </w:r>
            <w:r w:rsidRPr="000E1086">
              <w:rPr>
                <w:sz w:val="24"/>
              </w:rPr>
              <w:t>).</w:t>
            </w:r>
          </w:p>
        </w:tc>
        <w:tc>
          <w:tcPr>
            <w:tcW w:w="1988" w:type="dxa"/>
          </w:tcPr>
          <w:p w14:paraId="00405D29" w14:textId="1022D38E" w:rsidR="008871F7" w:rsidRPr="000E1086" w:rsidRDefault="00456FD3" w:rsidP="00852409">
            <w:pPr>
              <w:pStyle w:val="TableParagraph"/>
              <w:spacing w:before="240"/>
              <w:ind w:left="111" w:right="139"/>
              <w:rPr>
                <w:sz w:val="24"/>
              </w:rPr>
            </w:pPr>
            <w:r w:rsidRPr="000E1086">
              <w:rPr>
                <w:sz w:val="24"/>
              </w:rPr>
              <w:t>C</w:t>
            </w:r>
            <w:r w:rsidRPr="000E1086">
              <w:rPr>
                <w:sz w:val="24"/>
                <w:vertAlign w:val="subscript"/>
              </w:rPr>
              <w:t>18</w:t>
            </w:r>
            <w:r w:rsidRPr="000E1086">
              <w:rPr>
                <w:sz w:val="24"/>
              </w:rPr>
              <w:t> (5-micron, 25 cm × 4.6 mm, i.d</w:t>
            </w:r>
            <w:r w:rsidR="00852409" w:rsidRPr="000E1086">
              <w:rPr>
                <w:sz w:val="24"/>
              </w:rPr>
              <w:t>)</w:t>
            </w:r>
          </w:p>
        </w:tc>
        <w:tc>
          <w:tcPr>
            <w:tcW w:w="1562" w:type="dxa"/>
          </w:tcPr>
          <w:p w14:paraId="4042A6C4" w14:textId="648EC908" w:rsidR="008871F7" w:rsidRPr="000E1086" w:rsidRDefault="00000000">
            <w:pPr>
              <w:pStyle w:val="TableParagraph"/>
              <w:ind w:left="112"/>
              <w:rPr>
                <w:sz w:val="24"/>
              </w:rPr>
            </w:pPr>
            <w:r w:rsidRPr="000E1086">
              <w:rPr>
                <w:sz w:val="24"/>
              </w:rPr>
              <w:t>2</w:t>
            </w:r>
            <w:r w:rsidR="00456FD3" w:rsidRPr="000E1086">
              <w:rPr>
                <w:sz w:val="24"/>
              </w:rPr>
              <w:t>86</w:t>
            </w:r>
            <w:r w:rsidRPr="000E1086">
              <w:rPr>
                <w:sz w:val="24"/>
              </w:rPr>
              <w:t>nm</w:t>
            </w:r>
          </w:p>
        </w:tc>
        <w:tc>
          <w:tcPr>
            <w:tcW w:w="1417" w:type="dxa"/>
          </w:tcPr>
          <w:p w14:paraId="580481DF" w14:textId="5C0B7932" w:rsidR="008871F7" w:rsidRPr="000E1086" w:rsidRDefault="00D069D8">
            <w:pPr>
              <w:pStyle w:val="TableParagraph"/>
              <w:ind w:left="113"/>
              <w:rPr>
                <w:sz w:val="24"/>
              </w:rPr>
            </w:pPr>
            <w:r w:rsidRPr="000E1086">
              <w:rPr>
                <w:sz w:val="24"/>
              </w:rPr>
              <w:t>9</w:t>
            </w:r>
          </w:p>
        </w:tc>
      </w:tr>
      <w:tr w:rsidR="008871F7" w14:paraId="28D95493" w14:textId="77777777" w:rsidTr="009C5B97">
        <w:trPr>
          <w:trHeight w:val="1930"/>
        </w:trPr>
        <w:tc>
          <w:tcPr>
            <w:tcW w:w="1846" w:type="dxa"/>
          </w:tcPr>
          <w:p w14:paraId="20F784C0" w14:textId="77777777" w:rsidR="00456FD3" w:rsidRPr="000E1086" w:rsidRDefault="00456FD3" w:rsidP="00456FD3">
            <w:pPr>
              <w:pStyle w:val="TableParagraph"/>
              <w:spacing w:before="0" w:line="254" w:lineRule="exact"/>
              <w:ind w:left="105"/>
              <w:rPr>
                <w:sz w:val="24"/>
                <w:lang w:val="en-IN"/>
              </w:rPr>
            </w:pPr>
            <w:r w:rsidRPr="000E1086">
              <w:rPr>
                <w:sz w:val="24"/>
                <w:lang w:val="en-IN"/>
              </w:rPr>
              <w:lastRenderedPageBreak/>
              <w:t>Determination of metadoxine in human serum by HPLC and its pharmacokinetic studies</w:t>
            </w:r>
          </w:p>
          <w:p w14:paraId="3B1343D5" w14:textId="5DDF77C7" w:rsidR="008871F7" w:rsidRPr="000E1086" w:rsidRDefault="008871F7">
            <w:pPr>
              <w:pStyle w:val="TableParagraph"/>
              <w:spacing w:before="0" w:line="254" w:lineRule="exact"/>
              <w:ind w:left="105"/>
              <w:rPr>
                <w:sz w:val="24"/>
              </w:rPr>
            </w:pPr>
          </w:p>
        </w:tc>
        <w:tc>
          <w:tcPr>
            <w:tcW w:w="1138" w:type="dxa"/>
          </w:tcPr>
          <w:p w14:paraId="6D1E1625" w14:textId="77777777" w:rsidR="008871F7" w:rsidRPr="000E1086" w:rsidRDefault="00000000">
            <w:pPr>
              <w:pStyle w:val="TableParagraph"/>
              <w:rPr>
                <w:sz w:val="24"/>
              </w:rPr>
            </w:pPr>
            <w:r w:rsidRPr="000E1086">
              <w:rPr>
                <w:sz w:val="24"/>
              </w:rPr>
              <w:t>HPLC</w:t>
            </w:r>
          </w:p>
        </w:tc>
        <w:tc>
          <w:tcPr>
            <w:tcW w:w="1704" w:type="dxa"/>
          </w:tcPr>
          <w:p w14:paraId="36448C7E" w14:textId="204E5357" w:rsidR="008871F7" w:rsidRPr="000E1086" w:rsidRDefault="00456FD3">
            <w:pPr>
              <w:pStyle w:val="TableParagraph"/>
              <w:ind w:right="272"/>
              <w:rPr>
                <w:sz w:val="24"/>
              </w:rPr>
            </w:pPr>
            <w:r w:rsidRPr="000E1086">
              <w:rPr>
                <w:sz w:val="24"/>
              </w:rPr>
              <w:t>methanol-5 mmol·L </w:t>
            </w:r>
            <w:r w:rsidRPr="000E1086">
              <w:rPr>
                <w:sz w:val="24"/>
                <w:vertAlign w:val="superscript"/>
              </w:rPr>
              <w:t>-1</w:t>
            </w:r>
            <w:r w:rsidRPr="000E1086">
              <w:rPr>
                <w:sz w:val="24"/>
              </w:rPr>
              <w:t> ammonium acetate (14:86, v/v</w:t>
            </w:r>
          </w:p>
        </w:tc>
        <w:tc>
          <w:tcPr>
            <w:tcW w:w="1988" w:type="dxa"/>
          </w:tcPr>
          <w:p w14:paraId="54D50824" w14:textId="5A4931A3" w:rsidR="008871F7" w:rsidRPr="000E1086" w:rsidRDefault="00456FD3">
            <w:pPr>
              <w:pStyle w:val="TableParagraph"/>
              <w:spacing w:before="0"/>
              <w:ind w:left="111" w:right="203"/>
              <w:rPr>
                <w:sz w:val="24"/>
              </w:rPr>
            </w:pPr>
            <w:r w:rsidRPr="000E1086">
              <w:rPr>
                <w:sz w:val="24"/>
              </w:rPr>
              <w:t>C</w:t>
            </w:r>
            <w:r w:rsidRPr="000E1086">
              <w:rPr>
                <w:sz w:val="24"/>
                <w:vertAlign w:val="subscript"/>
              </w:rPr>
              <w:t>18</w:t>
            </w:r>
            <w:r w:rsidRPr="000E1086">
              <w:rPr>
                <w:sz w:val="24"/>
              </w:rPr>
              <w:t> column (250 mm ×4.6 mm, 5 μm)</w:t>
            </w:r>
          </w:p>
        </w:tc>
        <w:tc>
          <w:tcPr>
            <w:tcW w:w="1562" w:type="dxa"/>
          </w:tcPr>
          <w:p w14:paraId="0BA6256C" w14:textId="5FA1BA5B" w:rsidR="008871F7" w:rsidRPr="000E1086" w:rsidRDefault="00000000">
            <w:pPr>
              <w:pStyle w:val="TableParagraph"/>
              <w:ind w:left="112"/>
              <w:rPr>
                <w:sz w:val="24"/>
              </w:rPr>
            </w:pPr>
            <w:r w:rsidRPr="000E1086">
              <w:rPr>
                <w:sz w:val="24"/>
              </w:rPr>
              <w:t>2</w:t>
            </w:r>
            <w:r w:rsidR="00456FD3" w:rsidRPr="000E1086">
              <w:rPr>
                <w:sz w:val="24"/>
              </w:rPr>
              <w:t>86</w:t>
            </w:r>
            <w:r w:rsidRPr="000E1086">
              <w:rPr>
                <w:sz w:val="24"/>
              </w:rPr>
              <w:t>nm</w:t>
            </w:r>
          </w:p>
        </w:tc>
        <w:tc>
          <w:tcPr>
            <w:tcW w:w="1417" w:type="dxa"/>
          </w:tcPr>
          <w:p w14:paraId="7FF659A0" w14:textId="0AA3EDC1" w:rsidR="008871F7" w:rsidRPr="000E1086" w:rsidRDefault="00D069D8">
            <w:pPr>
              <w:pStyle w:val="TableParagraph"/>
              <w:ind w:left="113"/>
              <w:rPr>
                <w:sz w:val="24"/>
              </w:rPr>
            </w:pPr>
            <w:r w:rsidRPr="000E1086">
              <w:rPr>
                <w:sz w:val="24"/>
              </w:rPr>
              <w:t>8</w:t>
            </w:r>
          </w:p>
        </w:tc>
      </w:tr>
      <w:tr w:rsidR="008871F7" w14:paraId="2966BFC5" w14:textId="77777777" w:rsidTr="009C5B97">
        <w:trPr>
          <w:trHeight w:val="2351"/>
        </w:trPr>
        <w:tc>
          <w:tcPr>
            <w:tcW w:w="1846" w:type="dxa"/>
          </w:tcPr>
          <w:p w14:paraId="348E5236" w14:textId="196A4419" w:rsidR="008871F7" w:rsidRPr="000E1086" w:rsidRDefault="00DF45F3">
            <w:pPr>
              <w:pStyle w:val="TableParagraph"/>
              <w:ind w:left="105" w:right="104"/>
              <w:rPr>
                <w:sz w:val="24"/>
              </w:rPr>
            </w:pPr>
            <w:r w:rsidRPr="000E1086">
              <w:rPr>
                <w:sz w:val="24"/>
              </w:rPr>
              <w:t>Pharmacokinetics of metadoxine for injection after repeated doses in healthy volunteers</w:t>
            </w:r>
          </w:p>
        </w:tc>
        <w:tc>
          <w:tcPr>
            <w:tcW w:w="1138" w:type="dxa"/>
          </w:tcPr>
          <w:p w14:paraId="52F4AE0B" w14:textId="42A019FB" w:rsidR="008871F7" w:rsidRPr="000E1086" w:rsidRDefault="00000000">
            <w:pPr>
              <w:pStyle w:val="TableParagraph"/>
              <w:ind w:right="381"/>
              <w:rPr>
                <w:sz w:val="24"/>
              </w:rPr>
            </w:pPr>
            <w:r w:rsidRPr="000E1086">
              <w:rPr>
                <w:sz w:val="24"/>
              </w:rPr>
              <w:t>HPLC</w:t>
            </w:r>
          </w:p>
        </w:tc>
        <w:tc>
          <w:tcPr>
            <w:tcW w:w="1704" w:type="dxa"/>
          </w:tcPr>
          <w:p w14:paraId="3070124F" w14:textId="50CF4FC3" w:rsidR="008871F7" w:rsidRPr="000E1086" w:rsidRDefault="00DF45F3">
            <w:pPr>
              <w:pStyle w:val="TableParagraph"/>
              <w:spacing w:before="3"/>
              <w:rPr>
                <w:sz w:val="24"/>
              </w:rPr>
            </w:pPr>
            <w:r w:rsidRPr="000E1086">
              <w:rPr>
                <w:sz w:val="24"/>
              </w:rPr>
              <w:t>1:9 (v/v) of acetonitrile- phosphate buffer (pH 7, 0.05 mol/L).</w:t>
            </w:r>
          </w:p>
        </w:tc>
        <w:tc>
          <w:tcPr>
            <w:tcW w:w="1988" w:type="dxa"/>
          </w:tcPr>
          <w:p w14:paraId="5036D52B" w14:textId="3D5F447B" w:rsidR="008871F7" w:rsidRPr="000E1086" w:rsidRDefault="00DF45F3">
            <w:pPr>
              <w:pStyle w:val="TableParagraph"/>
              <w:spacing w:before="3"/>
              <w:ind w:left="111"/>
              <w:rPr>
                <w:sz w:val="24"/>
              </w:rPr>
            </w:pPr>
            <w:r w:rsidRPr="000E1086">
              <w:rPr>
                <w:sz w:val="24"/>
              </w:rPr>
              <w:t>C</w:t>
            </w:r>
            <w:r w:rsidRPr="000E1086">
              <w:rPr>
                <w:sz w:val="24"/>
                <w:vertAlign w:val="subscript"/>
              </w:rPr>
              <w:t>18</w:t>
            </w:r>
            <w:r w:rsidRPr="000E1086">
              <w:rPr>
                <w:sz w:val="24"/>
              </w:rPr>
              <w:t> column 125×4 mm (5 µm)</w:t>
            </w:r>
          </w:p>
        </w:tc>
        <w:tc>
          <w:tcPr>
            <w:tcW w:w="1562" w:type="dxa"/>
          </w:tcPr>
          <w:p w14:paraId="629CA411" w14:textId="195342B6" w:rsidR="008871F7" w:rsidRPr="000E1086" w:rsidRDefault="00DF45F3">
            <w:pPr>
              <w:pStyle w:val="TableParagraph"/>
              <w:ind w:left="112"/>
              <w:rPr>
                <w:sz w:val="24"/>
              </w:rPr>
            </w:pPr>
            <w:r w:rsidRPr="000E1086">
              <w:rPr>
                <w:sz w:val="24"/>
              </w:rPr>
              <w:t>315nm</w:t>
            </w:r>
          </w:p>
        </w:tc>
        <w:tc>
          <w:tcPr>
            <w:tcW w:w="1417" w:type="dxa"/>
          </w:tcPr>
          <w:p w14:paraId="2E4F0B06" w14:textId="2275FC5B" w:rsidR="008871F7" w:rsidRPr="000E1086" w:rsidRDefault="00D069D8">
            <w:pPr>
              <w:pStyle w:val="TableParagraph"/>
              <w:ind w:left="113"/>
              <w:rPr>
                <w:sz w:val="24"/>
              </w:rPr>
            </w:pPr>
            <w:r w:rsidRPr="000E1086">
              <w:rPr>
                <w:sz w:val="24"/>
              </w:rPr>
              <w:t>7</w:t>
            </w:r>
          </w:p>
        </w:tc>
      </w:tr>
      <w:tr w:rsidR="004D0137" w14:paraId="58E72570" w14:textId="77777777" w:rsidTr="009C5B97">
        <w:trPr>
          <w:trHeight w:val="2351"/>
        </w:trPr>
        <w:tc>
          <w:tcPr>
            <w:tcW w:w="1841" w:type="dxa"/>
            <w:tcBorders>
              <w:top w:val="single" w:sz="4" w:space="0" w:color="000000"/>
              <w:left w:val="single" w:sz="4" w:space="0" w:color="000000"/>
              <w:bottom w:val="single" w:sz="4" w:space="0" w:color="000000"/>
              <w:right w:val="single" w:sz="4" w:space="0" w:color="000000"/>
            </w:tcBorders>
          </w:tcPr>
          <w:p w14:paraId="462C9BE3" w14:textId="77777777" w:rsidR="004D0137" w:rsidRPr="000E1086" w:rsidRDefault="004D0137" w:rsidP="004D0137">
            <w:pPr>
              <w:pStyle w:val="TableParagraph"/>
              <w:ind w:left="105" w:right="104"/>
              <w:rPr>
                <w:sz w:val="24"/>
              </w:rPr>
            </w:pPr>
            <w:r w:rsidRPr="000E1086">
              <w:rPr>
                <w:sz w:val="24"/>
              </w:rPr>
              <w:t>Development of RP-HPLC Method for estimation of metadoxine in pharmaceutical formulations.</w:t>
            </w:r>
          </w:p>
        </w:tc>
        <w:tc>
          <w:tcPr>
            <w:tcW w:w="1138" w:type="dxa"/>
            <w:tcBorders>
              <w:top w:val="single" w:sz="4" w:space="0" w:color="000000"/>
              <w:left w:val="single" w:sz="4" w:space="0" w:color="000000"/>
              <w:bottom w:val="single" w:sz="4" w:space="0" w:color="000000"/>
              <w:right w:val="single" w:sz="4" w:space="0" w:color="000000"/>
            </w:tcBorders>
          </w:tcPr>
          <w:p w14:paraId="38652EBA" w14:textId="77777777" w:rsidR="004D0137" w:rsidRPr="000E1086" w:rsidRDefault="004D0137" w:rsidP="00C83627">
            <w:pPr>
              <w:pStyle w:val="TableParagraph"/>
              <w:ind w:right="381"/>
              <w:rPr>
                <w:sz w:val="24"/>
              </w:rPr>
            </w:pPr>
            <w:r w:rsidRPr="000E1086">
              <w:rPr>
                <w:sz w:val="24"/>
              </w:rPr>
              <w:t>RP- HPLC</w:t>
            </w:r>
          </w:p>
        </w:tc>
        <w:tc>
          <w:tcPr>
            <w:tcW w:w="1704" w:type="dxa"/>
            <w:tcBorders>
              <w:top w:val="single" w:sz="4" w:space="0" w:color="000000"/>
              <w:left w:val="single" w:sz="4" w:space="0" w:color="000000"/>
              <w:bottom w:val="single" w:sz="4" w:space="0" w:color="000000"/>
              <w:right w:val="single" w:sz="4" w:space="0" w:color="000000"/>
            </w:tcBorders>
          </w:tcPr>
          <w:p w14:paraId="1CBE788E" w14:textId="77777777" w:rsidR="004D0137" w:rsidRPr="000E1086" w:rsidRDefault="004D0137" w:rsidP="004D0137">
            <w:pPr>
              <w:pStyle w:val="TableParagraph"/>
              <w:spacing w:before="3"/>
              <w:rPr>
                <w:sz w:val="24"/>
              </w:rPr>
            </w:pPr>
            <w:r w:rsidRPr="000E1086">
              <w:rPr>
                <w:sz w:val="24"/>
              </w:rPr>
              <w:t>water: methanol 85:15 v/v</w:t>
            </w:r>
          </w:p>
        </w:tc>
        <w:tc>
          <w:tcPr>
            <w:tcW w:w="1988" w:type="dxa"/>
            <w:tcBorders>
              <w:top w:val="single" w:sz="4" w:space="0" w:color="000000"/>
              <w:left w:val="single" w:sz="4" w:space="0" w:color="000000"/>
              <w:bottom w:val="single" w:sz="4" w:space="0" w:color="000000"/>
              <w:right w:val="single" w:sz="4" w:space="0" w:color="000000"/>
            </w:tcBorders>
          </w:tcPr>
          <w:p w14:paraId="5223910A" w14:textId="77777777" w:rsidR="004D0137" w:rsidRPr="000E1086" w:rsidRDefault="004D0137" w:rsidP="004D0137">
            <w:pPr>
              <w:pStyle w:val="TableParagraph"/>
              <w:spacing w:before="3"/>
              <w:ind w:left="111"/>
              <w:rPr>
                <w:sz w:val="24"/>
              </w:rPr>
            </w:pPr>
            <w:r w:rsidRPr="000E1086">
              <w:rPr>
                <w:sz w:val="24"/>
              </w:rPr>
              <w:t>C18 column (250 mm length, 4.6 mm internal diameter and 5μm particle size)</w:t>
            </w:r>
          </w:p>
        </w:tc>
        <w:tc>
          <w:tcPr>
            <w:tcW w:w="1562" w:type="dxa"/>
            <w:tcBorders>
              <w:top w:val="single" w:sz="4" w:space="0" w:color="000000"/>
              <w:left w:val="single" w:sz="4" w:space="0" w:color="000000"/>
              <w:bottom w:val="single" w:sz="4" w:space="0" w:color="000000"/>
              <w:right w:val="single" w:sz="4" w:space="0" w:color="000000"/>
            </w:tcBorders>
          </w:tcPr>
          <w:p w14:paraId="398001FA" w14:textId="77777777" w:rsidR="004D0137" w:rsidRPr="000E1086" w:rsidRDefault="004D0137" w:rsidP="00C83627">
            <w:pPr>
              <w:pStyle w:val="TableParagraph"/>
              <w:ind w:left="112"/>
              <w:rPr>
                <w:sz w:val="24"/>
              </w:rPr>
            </w:pPr>
            <w:r w:rsidRPr="000E1086">
              <w:rPr>
                <w:sz w:val="24"/>
              </w:rPr>
              <w:t>290nm</w:t>
            </w:r>
          </w:p>
        </w:tc>
        <w:tc>
          <w:tcPr>
            <w:tcW w:w="1417" w:type="dxa"/>
            <w:tcBorders>
              <w:top w:val="single" w:sz="4" w:space="0" w:color="000000"/>
              <w:left w:val="single" w:sz="4" w:space="0" w:color="000000"/>
              <w:bottom w:val="single" w:sz="4" w:space="0" w:color="000000"/>
              <w:right w:val="single" w:sz="4" w:space="0" w:color="000000"/>
            </w:tcBorders>
          </w:tcPr>
          <w:p w14:paraId="7ED8A963" w14:textId="77777777" w:rsidR="004D0137" w:rsidRPr="000E1086" w:rsidRDefault="004D0137" w:rsidP="00C83627">
            <w:pPr>
              <w:pStyle w:val="TableParagraph"/>
              <w:ind w:left="113"/>
              <w:rPr>
                <w:sz w:val="24"/>
              </w:rPr>
            </w:pPr>
            <w:r w:rsidRPr="000E1086">
              <w:rPr>
                <w:sz w:val="24"/>
              </w:rPr>
              <w:t>6</w:t>
            </w:r>
          </w:p>
        </w:tc>
      </w:tr>
      <w:tr w:rsidR="004D0137" w14:paraId="6A299E05" w14:textId="77777777" w:rsidTr="009C5B97">
        <w:trPr>
          <w:trHeight w:val="2351"/>
        </w:trPr>
        <w:tc>
          <w:tcPr>
            <w:tcW w:w="1841" w:type="dxa"/>
            <w:tcBorders>
              <w:top w:val="single" w:sz="4" w:space="0" w:color="000000"/>
              <w:left w:val="single" w:sz="4" w:space="0" w:color="000000"/>
              <w:bottom w:val="single" w:sz="4" w:space="0" w:color="000000"/>
              <w:right w:val="single" w:sz="4" w:space="0" w:color="000000"/>
            </w:tcBorders>
          </w:tcPr>
          <w:p w14:paraId="369417E0" w14:textId="77777777" w:rsidR="004D0137" w:rsidRPr="000E1086" w:rsidRDefault="004D0137" w:rsidP="004D0137">
            <w:pPr>
              <w:pStyle w:val="TableParagraph"/>
              <w:ind w:left="105" w:right="104"/>
              <w:rPr>
                <w:sz w:val="24"/>
              </w:rPr>
            </w:pPr>
            <w:r w:rsidRPr="000E1086">
              <w:rPr>
                <w:sz w:val="24"/>
              </w:rPr>
              <w:t>Application of stability-indicating HPTLC method for quantitative determination of metadoxine in pharmaceutical dosage form</w:t>
            </w:r>
          </w:p>
          <w:p w14:paraId="6A64AC36" w14:textId="77777777" w:rsidR="004D0137" w:rsidRPr="000E1086" w:rsidRDefault="004D0137" w:rsidP="004D0137">
            <w:pPr>
              <w:pStyle w:val="TableParagraph"/>
              <w:ind w:left="105" w:right="104"/>
              <w:rPr>
                <w:sz w:val="24"/>
              </w:rPr>
            </w:pPr>
          </w:p>
        </w:tc>
        <w:tc>
          <w:tcPr>
            <w:tcW w:w="1138" w:type="dxa"/>
            <w:tcBorders>
              <w:top w:val="single" w:sz="4" w:space="0" w:color="000000"/>
              <w:left w:val="single" w:sz="4" w:space="0" w:color="000000"/>
              <w:bottom w:val="single" w:sz="4" w:space="0" w:color="000000"/>
              <w:right w:val="single" w:sz="4" w:space="0" w:color="000000"/>
            </w:tcBorders>
          </w:tcPr>
          <w:p w14:paraId="332F8A88" w14:textId="77777777" w:rsidR="004D0137" w:rsidRPr="000E1086" w:rsidRDefault="004D0137" w:rsidP="00C83627">
            <w:pPr>
              <w:pStyle w:val="TableParagraph"/>
              <w:ind w:right="381"/>
              <w:rPr>
                <w:sz w:val="24"/>
              </w:rPr>
            </w:pPr>
            <w:r w:rsidRPr="000E1086">
              <w:rPr>
                <w:sz w:val="24"/>
              </w:rPr>
              <w:t>HPTLC</w:t>
            </w:r>
          </w:p>
        </w:tc>
        <w:tc>
          <w:tcPr>
            <w:tcW w:w="1704" w:type="dxa"/>
            <w:tcBorders>
              <w:top w:val="single" w:sz="4" w:space="0" w:color="000000"/>
              <w:left w:val="single" w:sz="4" w:space="0" w:color="000000"/>
              <w:bottom w:val="single" w:sz="4" w:space="0" w:color="000000"/>
              <w:right w:val="single" w:sz="4" w:space="0" w:color="000000"/>
            </w:tcBorders>
          </w:tcPr>
          <w:p w14:paraId="41E240FF" w14:textId="77777777" w:rsidR="004D0137" w:rsidRPr="000E1086" w:rsidRDefault="004D0137" w:rsidP="004D0137">
            <w:pPr>
              <w:pStyle w:val="TableParagraph"/>
              <w:spacing w:before="3"/>
              <w:rPr>
                <w:sz w:val="24"/>
              </w:rPr>
            </w:pPr>
            <w:r w:rsidRPr="000E1086">
              <w:rPr>
                <w:sz w:val="24"/>
              </w:rPr>
              <w:t>acetone-chloroform-methanol-ammonia (7.0:4.0:3.0:1.2, v/v/v/v)</w:t>
            </w:r>
          </w:p>
        </w:tc>
        <w:tc>
          <w:tcPr>
            <w:tcW w:w="1988" w:type="dxa"/>
            <w:tcBorders>
              <w:top w:val="single" w:sz="4" w:space="0" w:color="000000"/>
              <w:left w:val="single" w:sz="4" w:space="0" w:color="000000"/>
              <w:bottom w:val="single" w:sz="4" w:space="0" w:color="000000"/>
              <w:right w:val="single" w:sz="4" w:space="0" w:color="000000"/>
            </w:tcBorders>
          </w:tcPr>
          <w:p w14:paraId="1FE45C51" w14:textId="77777777" w:rsidR="004D0137" w:rsidRPr="000E1086" w:rsidRDefault="004D0137" w:rsidP="004D0137">
            <w:pPr>
              <w:pStyle w:val="TableParagraph"/>
              <w:spacing w:before="3"/>
              <w:ind w:left="111"/>
              <w:rPr>
                <w:sz w:val="24"/>
              </w:rPr>
            </w:pPr>
            <w:r w:rsidRPr="000E1086">
              <w:rPr>
                <w:sz w:val="24"/>
              </w:rPr>
              <w:t>TLC aluminium plates precoated with silica gel 60F-254</w:t>
            </w:r>
          </w:p>
        </w:tc>
        <w:tc>
          <w:tcPr>
            <w:tcW w:w="1562" w:type="dxa"/>
            <w:tcBorders>
              <w:top w:val="single" w:sz="4" w:space="0" w:color="000000"/>
              <w:left w:val="single" w:sz="4" w:space="0" w:color="000000"/>
              <w:bottom w:val="single" w:sz="4" w:space="0" w:color="000000"/>
              <w:right w:val="single" w:sz="4" w:space="0" w:color="000000"/>
            </w:tcBorders>
          </w:tcPr>
          <w:p w14:paraId="16B65590" w14:textId="77777777" w:rsidR="004D0137" w:rsidRPr="000E1086" w:rsidRDefault="004D0137" w:rsidP="00C83627">
            <w:pPr>
              <w:pStyle w:val="TableParagraph"/>
              <w:ind w:left="112"/>
              <w:rPr>
                <w:sz w:val="24"/>
              </w:rPr>
            </w:pPr>
            <w:r w:rsidRPr="000E1086">
              <w:rPr>
                <w:sz w:val="24"/>
              </w:rPr>
              <w:t>315 nm</w:t>
            </w:r>
          </w:p>
        </w:tc>
        <w:tc>
          <w:tcPr>
            <w:tcW w:w="1417" w:type="dxa"/>
            <w:tcBorders>
              <w:top w:val="single" w:sz="4" w:space="0" w:color="000000"/>
              <w:left w:val="single" w:sz="4" w:space="0" w:color="000000"/>
              <w:bottom w:val="single" w:sz="4" w:space="0" w:color="000000"/>
              <w:right w:val="single" w:sz="4" w:space="0" w:color="000000"/>
            </w:tcBorders>
          </w:tcPr>
          <w:p w14:paraId="6BFD2963" w14:textId="77777777" w:rsidR="004D0137" w:rsidRPr="000E1086" w:rsidRDefault="004D0137" w:rsidP="00C83627">
            <w:pPr>
              <w:pStyle w:val="TableParagraph"/>
              <w:ind w:left="113"/>
              <w:rPr>
                <w:sz w:val="24"/>
              </w:rPr>
            </w:pPr>
            <w:r w:rsidRPr="000E1086">
              <w:rPr>
                <w:sz w:val="24"/>
              </w:rPr>
              <w:t>13</w:t>
            </w:r>
          </w:p>
        </w:tc>
      </w:tr>
      <w:tr w:rsidR="004D0137" w14:paraId="5342DA6F" w14:textId="77777777" w:rsidTr="009C5B97">
        <w:trPr>
          <w:trHeight w:val="2351"/>
        </w:trPr>
        <w:tc>
          <w:tcPr>
            <w:tcW w:w="1841" w:type="dxa"/>
            <w:tcBorders>
              <w:top w:val="single" w:sz="4" w:space="0" w:color="000000"/>
              <w:left w:val="single" w:sz="4" w:space="0" w:color="000000"/>
              <w:bottom w:val="single" w:sz="4" w:space="0" w:color="000000"/>
              <w:right w:val="single" w:sz="4" w:space="0" w:color="000000"/>
            </w:tcBorders>
          </w:tcPr>
          <w:p w14:paraId="59A004C0" w14:textId="77777777" w:rsidR="004D0137" w:rsidRPr="000E1086" w:rsidRDefault="004D0137" w:rsidP="004D0137">
            <w:pPr>
              <w:pStyle w:val="TableParagraph"/>
              <w:ind w:left="105" w:right="104"/>
              <w:rPr>
                <w:sz w:val="24"/>
              </w:rPr>
            </w:pPr>
            <w:r w:rsidRPr="000E1086">
              <w:rPr>
                <w:sz w:val="24"/>
              </w:rPr>
              <w:t>Method Development and Validation of Metadoxine and Atazanavir in Solid Dosage Form by RP-HPLC</w:t>
            </w:r>
          </w:p>
        </w:tc>
        <w:tc>
          <w:tcPr>
            <w:tcW w:w="1138" w:type="dxa"/>
            <w:tcBorders>
              <w:top w:val="single" w:sz="4" w:space="0" w:color="000000"/>
              <w:left w:val="single" w:sz="4" w:space="0" w:color="000000"/>
              <w:bottom w:val="single" w:sz="4" w:space="0" w:color="000000"/>
              <w:right w:val="single" w:sz="4" w:space="0" w:color="000000"/>
            </w:tcBorders>
          </w:tcPr>
          <w:p w14:paraId="6AE318E8" w14:textId="77777777" w:rsidR="004D0137" w:rsidRPr="000E1086" w:rsidRDefault="004D0137" w:rsidP="00C83627">
            <w:pPr>
              <w:pStyle w:val="TableParagraph"/>
              <w:ind w:right="381"/>
              <w:rPr>
                <w:sz w:val="24"/>
              </w:rPr>
            </w:pPr>
            <w:r w:rsidRPr="000E1086">
              <w:rPr>
                <w:sz w:val="24"/>
              </w:rPr>
              <w:t>RP-HPLC</w:t>
            </w:r>
          </w:p>
        </w:tc>
        <w:tc>
          <w:tcPr>
            <w:tcW w:w="1704" w:type="dxa"/>
            <w:tcBorders>
              <w:top w:val="single" w:sz="4" w:space="0" w:color="000000"/>
              <w:left w:val="single" w:sz="4" w:space="0" w:color="000000"/>
              <w:bottom w:val="single" w:sz="4" w:space="0" w:color="000000"/>
              <w:right w:val="single" w:sz="4" w:space="0" w:color="000000"/>
            </w:tcBorders>
          </w:tcPr>
          <w:p w14:paraId="253F7059" w14:textId="77777777" w:rsidR="004D0137" w:rsidRPr="000E1086" w:rsidRDefault="004D0137" w:rsidP="004D0137">
            <w:pPr>
              <w:pStyle w:val="TableParagraph"/>
              <w:spacing w:before="3"/>
              <w:rPr>
                <w:sz w:val="24"/>
              </w:rPr>
            </w:pPr>
            <w:r w:rsidRPr="000E1086">
              <w:rPr>
                <w:sz w:val="24"/>
              </w:rPr>
              <w:t>Methanol and 5mM Tetra Butyl Ammonium Hydrogen Sulphate (TBHS) 50:50.</w:t>
            </w:r>
          </w:p>
        </w:tc>
        <w:tc>
          <w:tcPr>
            <w:tcW w:w="1988" w:type="dxa"/>
            <w:tcBorders>
              <w:top w:val="single" w:sz="4" w:space="0" w:color="000000"/>
              <w:left w:val="single" w:sz="4" w:space="0" w:color="000000"/>
              <w:bottom w:val="single" w:sz="4" w:space="0" w:color="000000"/>
              <w:right w:val="single" w:sz="4" w:space="0" w:color="000000"/>
            </w:tcBorders>
          </w:tcPr>
          <w:p w14:paraId="0DC5C7BF" w14:textId="77777777" w:rsidR="004D0137" w:rsidRPr="000E1086" w:rsidRDefault="004D0137" w:rsidP="004D0137">
            <w:pPr>
              <w:pStyle w:val="TableParagraph"/>
              <w:spacing w:before="3"/>
              <w:ind w:left="111"/>
              <w:rPr>
                <w:sz w:val="24"/>
              </w:rPr>
            </w:pPr>
            <w:r w:rsidRPr="000E1086">
              <w:rPr>
                <w:sz w:val="24"/>
              </w:rPr>
              <w:t>C18 RP Column (250 mm x 4.6mm x 5 µm)</w:t>
            </w:r>
          </w:p>
        </w:tc>
        <w:tc>
          <w:tcPr>
            <w:tcW w:w="1562" w:type="dxa"/>
            <w:tcBorders>
              <w:top w:val="single" w:sz="4" w:space="0" w:color="000000"/>
              <w:left w:val="single" w:sz="4" w:space="0" w:color="000000"/>
              <w:bottom w:val="single" w:sz="4" w:space="0" w:color="000000"/>
              <w:right w:val="single" w:sz="4" w:space="0" w:color="000000"/>
            </w:tcBorders>
          </w:tcPr>
          <w:p w14:paraId="778CB3D0" w14:textId="77777777" w:rsidR="004D0137" w:rsidRPr="000E1086" w:rsidRDefault="004D0137" w:rsidP="00C83627">
            <w:pPr>
              <w:pStyle w:val="TableParagraph"/>
              <w:ind w:left="112"/>
              <w:rPr>
                <w:sz w:val="24"/>
              </w:rPr>
            </w:pPr>
            <w:r w:rsidRPr="000E1086">
              <w:rPr>
                <w:sz w:val="24"/>
              </w:rPr>
              <w:t>274(Metadoxine), 249( Atazanavir)</w:t>
            </w:r>
          </w:p>
        </w:tc>
        <w:tc>
          <w:tcPr>
            <w:tcW w:w="1417" w:type="dxa"/>
            <w:tcBorders>
              <w:top w:val="single" w:sz="4" w:space="0" w:color="000000"/>
              <w:left w:val="single" w:sz="4" w:space="0" w:color="000000"/>
              <w:bottom w:val="single" w:sz="4" w:space="0" w:color="000000"/>
              <w:right w:val="single" w:sz="4" w:space="0" w:color="000000"/>
            </w:tcBorders>
          </w:tcPr>
          <w:p w14:paraId="6BDB3310" w14:textId="77777777" w:rsidR="004D0137" w:rsidRPr="000E1086" w:rsidRDefault="004D0137" w:rsidP="00C83627">
            <w:pPr>
              <w:pStyle w:val="TableParagraph"/>
              <w:ind w:left="113"/>
              <w:rPr>
                <w:sz w:val="24"/>
              </w:rPr>
            </w:pPr>
            <w:r w:rsidRPr="000E1086">
              <w:rPr>
                <w:sz w:val="24"/>
              </w:rPr>
              <w:t>16</w:t>
            </w:r>
          </w:p>
        </w:tc>
      </w:tr>
      <w:tr w:rsidR="00287694" w14:paraId="08E00B04" w14:textId="77777777" w:rsidTr="009C5B97">
        <w:trPr>
          <w:trHeight w:val="2351"/>
        </w:trPr>
        <w:tc>
          <w:tcPr>
            <w:tcW w:w="1841" w:type="dxa"/>
            <w:tcBorders>
              <w:top w:val="single" w:sz="4" w:space="0" w:color="000000"/>
              <w:left w:val="single" w:sz="4" w:space="0" w:color="000000"/>
              <w:bottom w:val="single" w:sz="4" w:space="0" w:color="000000"/>
              <w:right w:val="single" w:sz="4" w:space="0" w:color="000000"/>
            </w:tcBorders>
          </w:tcPr>
          <w:p w14:paraId="78D149CA" w14:textId="5F459F98" w:rsidR="00287694" w:rsidRPr="000E1086" w:rsidRDefault="00287694" w:rsidP="004D0137">
            <w:pPr>
              <w:pStyle w:val="TableParagraph"/>
              <w:ind w:left="105" w:right="104"/>
              <w:rPr>
                <w:sz w:val="24"/>
              </w:rPr>
            </w:pPr>
            <w:r w:rsidRPr="000E1086">
              <w:rPr>
                <w:sz w:val="24"/>
              </w:rPr>
              <w:t>Determination of the Related Substances in Metadoxine by HPLC-ELSD</w:t>
            </w:r>
          </w:p>
        </w:tc>
        <w:tc>
          <w:tcPr>
            <w:tcW w:w="1138" w:type="dxa"/>
            <w:tcBorders>
              <w:top w:val="single" w:sz="4" w:space="0" w:color="000000"/>
              <w:left w:val="single" w:sz="4" w:space="0" w:color="000000"/>
              <w:bottom w:val="single" w:sz="4" w:space="0" w:color="000000"/>
              <w:right w:val="single" w:sz="4" w:space="0" w:color="000000"/>
            </w:tcBorders>
          </w:tcPr>
          <w:p w14:paraId="1008AFD7" w14:textId="10C14BED" w:rsidR="00287694" w:rsidRPr="000E1086" w:rsidRDefault="00287694" w:rsidP="00C83627">
            <w:pPr>
              <w:pStyle w:val="TableParagraph"/>
              <w:ind w:right="381"/>
              <w:rPr>
                <w:sz w:val="24"/>
              </w:rPr>
            </w:pPr>
            <w:r w:rsidRPr="000E1086">
              <w:rPr>
                <w:sz w:val="24"/>
              </w:rPr>
              <w:t>HPLC-ELSD</w:t>
            </w:r>
          </w:p>
        </w:tc>
        <w:tc>
          <w:tcPr>
            <w:tcW w:w="1704" w:type="dxa"/>
            <w:tcBorders>
              <w:top w:val="single" w:sz="4" w:space="0" w:color="000000"/>
              <w:left w:val="single" w:sz="4" w:space="0" w:color="000000"/>
              <w:bottom w:val="single" w:sz="4" w:space="0" w:color="000000"/>
              <w:right w:val="single" w:sz="4" w:space="0" w:color="000000"/>
            </w:tcBorders>
          </w:tcPr>
          <w:p w14:paraId="384E7C7C" w14:textId="7AE8224C" w:rsidR="00287694" w:rsidRPr="000E1086" w:rsidRDefault="00287694" w:rsidP="004D0137">
            <w:pPr>
              <w:pStyle w:val="TableParagraph"/>
              <w:spacing w:before="3"/>
              <w:rPr>
                <w:sz w:val="24"/>
              </w:rPr>
            </w:pPr>
            <w:r w:rsidRPr="000E1086">
              <w:rPr>
                <w:sz w:val="24"/>
              </w:rPr>
              <w:t>0.2 mol·L 1 trifluoroacetic acid-methanol(92</w:t>
            </w:r>
            <w:r w:rsidRPr="000E1086">
              <w:rPr>
                <w:rFonts w:ascii="Cambria Math" w:hAnsi="Cambria Math" w:cs="Cambria Math"/>
                <w:sz w:val="24"/>
              </w:rPr>
              <w:t>∶</w:t>
            </w:r>
            <w:r w:rsidRPr="000E1086">
              <w:rPr>
                <w:sz w:val="24"/>
              </w:rPr>
              <w:t>8)</w:t>
            </w:r>
          </w:p>
        </w:tc>
        <w:tc>
          <w:tcPr>
            <w:tcW w:w="1988" w:type="dxa"/>
            <w:tcBorders>
              <w:top w:val="single" w:sz="4" w:space="0" w:color="000000"/>
              <w:left w:val="single" w:sz="4" w:space="0" w:color="000000"/>
              <w:bottom w:val="single" w:sz="4" w:space="0" w:color="000000"/>
              <w:right w:val="single" w:sz="4" w:space="0" w:color="000000"/>
            </w:tcBorders>
          </w:tcPr>
          <w:p w14:paraId="360A6F6C" w14:textId="45A776A4" w:rsidR="00287694" w:rsidRPr="000E1086" w:rsidRDefault="00287694" w:rsidP="004D0137">
            <w:pPr>
              <w:pStyle w:val="TableParagraph"/>
              <w:spacing w:before="3"/>
              <w:ind w:left="111"/>
              <w:rPr>
                <w:sz w:val="24"/>
              </w:rPr>
            </w:pPr>
            <w:r w:rsidRPr="000E1086">
              <w:rPr>
                <w:sz w:val="24"/>
              </w:rPr>
              <w:t>Agilent Zorbax SB-C18 column(250 mm×4.6 mm,5 μm)</w:t>
            </w:r>
          </w:p>
        </w:tc>
        <w:tc>
          <w:tcPr>
            <w:tcW w:w="1562" w:type="dxa"/>
            <w:tcBorders>
              <w:top w:val="single" w:sz="4" w:space="0" w:color="000000"/>
              <w:left w:val="single" w:sz="4" w:space="0" w:color="000000"/>
              <w:bottom w:val="single" w:sz="4" w:space="0" w:color="000000"/>
              <w:right w:val="single" w:sz="4" w:space="0" w:color="000000"/>
            </w:tcBorders>
          </w:tcPr>
          <w:p w14:paraId="49615BEC" w14:textId="628A8A0E" w:rsidR="00287694" w:rsidRPr="000E1086" w:rsidRDefault="00287694" w:rsidP="00C83627">
            <w:pPr>
              <w:pStyle w:val="TableParagraph"/>
              <w:ind w:left="112"/>
              <w:rPr>
                <w:sz w:val="24"/>
              </w:rPr>
            </w:pPr>
            <w:r w:rsidRPr="000E1086">
              <w:rPr>
                <w:sz w:val="24"/>
              </w:rPr>
              <w:t>-</w:t>
            </w:r>
          </w:p>
        </w:tc>
        <w:tc>
          <w:tcPr>
            <w:tcW w:w="1417" w:type="dxa"/>
            <w:tcBorders>
              <w:top w:val="single" w:sz="4" w:space="0" w:color="000000"/>
              <w:left w:val="single" w:sz="4" w:space="0" w:color="000000"/>
              <w:bottom w:val="single" w:sz="4" w:space="0" w:color="000000"/>
              <w:right w:val="single" w:sz="4" w:space="0" w:color="000000"/>
            </w:tcBorders>
          </w:tcPr>
          <w:p w14:paraId="371056D5" w14:textId="71A18766" w:rsidR="00287694" w:rsidRPr="000E1086" w:rsidRDefault="00287694" w:rsidP="00C83627">
            <w:pPr>
              <w:pStyle w:val="TableParagraph"/>
              <w:ind w:left="113"/>
              <w:rPr>
                <w:sz w:val="24"/>
              </w:rPr>
            </w:pPr>
            <w:r w:rsidRPr="000E1086">
              <w:rPr>
                <w:sz w:val="24"/>
              </w:rPr>
              <w:t>18</w:t>
            </w:r>
          </w:p>
        </w:tc>
      </w:tr>
    </w:tbl>
    <w:p w14:paraId="6512DCF2" w14:textId="77777777" w:rsidR="008871F7" w:rsidRDefault="008871F7">
      <w:pPr>
        <w:rPr>
          <w:sz w:val="24"/>
        </w:rPr>
        <w:sectPr w:rsidR="008871F7" w:rsidSect="00683864">
          <w:pgSz w:w="11910" w:h="16840"/>
          <w:pgMar w:top="1440" w:right="980" w:bottom="280" w:left="1180" w:header="720" w:footer="720" w:gutter="0"/>
          <w:pgBorders w:offsetFrom="page">
            <w:top w:val="single" w:sz="4" w:space="24" w:color="auto"/>
            <w:left w:val="single" w:sz="4" w:space="24" w:color="auto"/>
            <w:bottom w:val="single" w:sz="4" w:space="24" w:color="auto"/>
            <w:right w:val="single" w:sz="4" w:space="24" w:color="auto"/>
          </w:pgBorders>
          <w:cols w:space="720"/>
        </w:sectPr>
      </w:pPr>
    </w:p>
    <w:p w14:paraId="58339FD2" w14:textId="77777777" w:rsidR="009C5B97" w:rsidRDefault="009C5B97" w:rsidP="00A41C7E">
      <w:pPr>
        <w:pStyle w:val="Heading1"/>
        <w:spacing w:before="0"/>
        <w:ind w:left="0"/>
      </w:pPr>
    </w:p>
    <w:p w14:paraId="6FDE5362" w14:textId="13CA6FE7" w:rsidR="008871F7" w:rsidRPr="000E1086" w:rsidRDefault="00A41C7E" w:rsidP="00A41C7E">
      <w:pPr>
        <w:pStyle w:val="Heading1"/>
        <w:spacing w:before="0"/>
        <w:ind w:left="0"/>
      </w:pPr>
      <w:r w:rsidRPr="000E1086">
        <w:t>CONCLUSION</w:t>
      </w:r>
    </w:p>
    <w:p w14:paraId="716FE39B" w14:textId="19542ACF" w:rsidR="008871F7" w:rsidRPr="000E1086" w:rsidRDefault="00E50F6E" w:rsidP="00656671">
      <w:pPr>
        <w:spacing w:line="259" w:lineRule="auto"/>
        <w:jc w:val="both"/>
        <w:rPr>
          <w:sz w:val="24"/>
          <w:szCs w:val="24"/>
          <w:lang w:val="en-IN"/>
        </w:rPr>
        <w:sectPr w:rsidR="008871F7" w:rsidRPr="000E1086" w:rsidSect="00683864">
          <w:pgSz w:w="11910" w:h="16840"/>
          <w:pgMar w:top="1440" w:right="980" w:bottom="280" w:left="1180" w:header="720" w:footer="720" w:gutter="0"/>
          <w:pgBorders w:offsetFrom="page">
            <w:top w:val="single" w:sz="4" w:space="24" w:color="auto"/>
            <w:left w:val="single" w:sz="4" w:space="24" w:color="auto"/>
            <w:bottom w:val="single" w:sz="4" w:space="24" w:color="auto"/>
            <w:right w:val="single" w:sz="4" w:space="24" w:color="auto"/>
          </w:pgBorders>
          <w:cols w:space="720"/>
        </w:sectPr>
      </w:pPr>
      <w:r w:rsidRPr="000E1086">
        <w:rPr>
          <w:sz w:val="24"/>
          <w:szCs w:val="24"/>
          <w:lang w:val="en-IN"/>
        </w:rPr>
        <w:t>According to the review's findings, there are numerous spectroscopic and chromatographic methods available for studying a single hepatoprotective ingredient, such met</w:t>
      </w:r>
      <w:r w:rsidR="00852409" w:rsidRPr="000E1086">
        <w:rPr>
          <w:sz w:val="24"/>
          <w:szCs w:val="24"/>
          <w:lang w:val="en-IN"/>
        </w:rPr>
        <w:t>a</w:t>
      </w:r>
      <w:r w:rsidRPr="000E1086">
        <w:rPr>
          <w:sz w:val="24"/>
          <w:szCs w:val="24"/>
          <w:lang w:val="en-IN"/>
        </w:rPr>
        <w:t>doxine. It was discovered that the majority of chromatographic methods included a mobile phase consisting of acetonitrile, methanol, water, and ammonium acetate to improve resolution. For the chromatographic approach, the flow rate and an appropriate retention period are recorded. Consequently, it has been determined that every procedure is simple, accurate, repeatable, economical, and exact. HPLC was the method most often employed because it provided the best possible sensitivity, reproducibility, dependability, and analysis time.</w:t>
      </w:r>
    </w:p>
    <w:p w14:paraId="5BCF5461" w14:textId="177D9897" w:rsidR="008871F7" w:rsidRPr="000E1086" w:rsidRDefault="00656671" w:rsidP="00656671">
      <w:pPr>
        <w:pStyle w:val="Heading1"/>
        <w:ind w:left="0"/>
      </w:pPr>
      <w:r>
        <w:lastRenderedPageBreak/>
        <w:t xml:space="preserve">    </w:t>
      </w:r>
      <w:r w:rsidRPr="000E1086">
        <w:t>ACKNOWLEDGEMENT</w:t>
      </w:r>
    </w:p>
    <w:p w14:paraId="3BE4F1DE" w14:textId="77777777" w:rsidR="008871F7" w:rsidRPr="000E1086" w:rsidRDefault="00000000">
      <w:pPr>
        <w:pStyle w:val="BodyText"/>
        <w:spacing w:before="180"/>
        <w:jc w:val="left"/>
      </w:pPr>
      <w:r w:rsidRPr="000E1086">
        <w:rPr>
          <w:spacing w:val="-1"/>
        </w:rPr>
        <w:t>I</w:t>
      </w:r>
      <w:r w:rsidRPr="000E1086">
        <w:rPr>
          <w:spacing w:val="-10"/>
        </w:rPr>
        <w:t xml:space="preserve"> </w:t>
      </w:r>
      <w:r w:rsidRPr="000E1086">
        <w:rPr>
          <w:spacing w:val="-1"/>
        </w:rPr>
        <w:t>would</w:t>
      </w:r>
      <w:r w:rsidRPr="000E1086">
        <w:rPr>
          <w:spacing w:val="-11"/>
        </w:rPr>
        <w:t xml:space="preserve"> </w:t>
      </w:r>
      <w:r w:rsidRPr="000E1086">
        <w:rPr>
          <w:spacing w:val="-1"/>
        </w:rPr>
        <w:t>like</w:t>
      </w:r>
      <w:r w:rsidRPr="000E1086">
        <w:rPr>
          <w:spacing w:val="-6"/>
        </w:rPr>
        <w:t xml:space="preserve"> </w:t>
      </w:r>
      <w:r w:rsidRPr="000E1086">
        <w:rPr>
          <w:spacing w:val="-1"/>
        </w:rPr>
        <w:t>to</w:t>
      </w:r>
      <w:r w:rsidRPr="000E1086">
        <w:rPr>
          <w:spacing w:val="-11"/>
        </w:rPr>
        <w:t xml:space="preserve"> </w:t>
      </w:r>
      <w:r w:rsidRPr="000E1086">
        <w:rPr>
          <w:spacing w:val="-1"/>
        </w:rPr>
        <w:t>thank</w:t>
      </w:r>
      <w:r w:rsidRPr="000E1086">
        <w:rPr>
          <w:spacing w:val="-10"/>
        </w:rPr>
        <w:t xml:space="preserve"> </w:t>
      </w:r>
      <w:r w:rsidRPr="000E1086">
        <w:rPr>
          <w:spacing w:val="-1"/>
        </w:rPr>
        <w:t>Sarojini</w:t>
      </w:r>
      <w:r w:rsidRPr="000E1086">
        <w:rPr>
          <w:spacing w:val="-9"/>
        </w:rPr>
        <w:t xml:space="preserve"> </w:t>
      </w:r>
      <w:r w:rsidRPr="000E1086">
        <w:rPr>
          <w:spacing w:val="-1"/>
        </w:rPr>
        <w:t>Naidu</w:t>
      </w:r>
      <w:r w:rsidRPr="000E1086">
        <w:rPr>
          <w:spacing w:val="-10"/>
        </w:rPr>
        <w:t xml:space="preserve"> </w:t>
      </w:r>
      <w:r w:rsidRPr="000E1086">
        <w:rPr>
          <w:spacing w:val="-1"/>
        </w:rPr>
        <w:t>Vanitha</w:t>
      </w:r>
      <w:r w:rsidRPr="000E1086">
        <w:rPr>
          <w:spacing w:val="-11"/>
        </w:rPr>
        <w:t xml:space="preserve"> </w:t>
      </w:r>
      <w:r w:rsidRPr="000E1086">
        <w:rPr>
          <w:spacing w:val="-1"/>
        </w:rPr>
        <w:t>Pharmacy</w:t>
      </w:r>
      <w:r w:rsidRPr="000E1086">
        <w:rPr>
          <w:spacing w:val="-10"/>
        </w:rPr>
        <w:t xml:space="preserve"> </w:t>
      </w:r>
      <w:r w:rsidRPr="000E1086">
        <w:rPr>
          <w:spacing w:val="-1"/>
        </w:rPr>
        <w:t>Maha</w:t>
      </w:r>
      <w:r w:rsidRPr="000E1086">
        <w:rPr>
          <w:spacing w:val="-17"/>
        </w:rPr>
        <w:t xml:space="preserve"> </w:t>
      </w:r>
      <w:r w:rsidRPr="000E1086">
        <w:rPr>
          <w:spacing w:val="-1"/>
        </w:rPr>
        <w:t>Vidyalaya</w:t>
      </w:r>
      <w:r w:rsidRPr="000E1086">
        <w:rPr>
          <w:spacing w:val="-6"/>
        </w:rPr>
        <w:t xml:space="preserve"> </w:t>
      </w:r>
      <w:r w:rsidRPr="000E1086">
        <w:t>for</w:t>
      </w:r>
      <w:r w:rsidRPr="000E1086">
        <w:rPr>
          <w:spacing w:val="-10"/>
        </w:rPr>
        <w:t xml:space="preserve"> </w:t>
      </w:r>
      <w:r w:rsidRPr="000E1086">
        <w:t>continuous</w:t>
      </w:r>
      <w:r w:rsidRPr="000E1086">
        <w:rPr>
          <w:spacing w:val="-8"/>
        </w:rPr>
        <w:t xml:space="preserve"> </w:t>
      </w:r>
      <w:r w:rsidRPr="000E1086">
        <w:t>support</w:t>
      </w:r>
    </w:p>
    <w:p w14:paraId="06854E00" w14:textId="77777777" w:rsidR="006D7557" w:rsidRPr="000E1086" w:rsidRDefault="006D7557">
      <w:pPr>
        <w:pStyle w:val="Heading1"/>
        <w:spacing w:before="184"/>
      </w:pPr>
    </w:p>
    <w:p w14:paraId="591FA950" w14:textId="3488FE01" w:rsidR="008871F7" w:rsidRPr="000E1086" w:rsidRDefault="00000000">
      <w:pPr>
        <w:pStyle w:val="Heading1"/>
        <w:spacing w:before="184"/>
      </w:pPr>
      <w:r w:rsidRPr="000E1086">
        <w:t>REFERENCES</w:t>
      </w:r>
    </w:p>
    <w:p w14:paraId="65C78542" w14:textId="3EA19C4E" w:rsidR="007E19D1" w:rsidRPr="000E1086" w:rsidRDefault="00000000" w:rsidP="009609F5">
      <w:pPr>
        <w:pStyle w:val="Heading1"/>
        <w:numPr>
          <w:ilvl w:val="0"/>
          <w:numId w:val="4"/>
        </w:numPr>
        <w:spacing w:before="184"/>
        <w:jc w:val="both"/>
        <w:rPr>
          <w:b w:val="0"/>
          <w:bCs w:val="0"/>
        </w:rPr>
      </w:pPr>
      <w:hyperlink r:id="rId6" w:history="1">
        <w:r w:rsidR="007E19D1" w:rsidRPr="000E1086">
          <w:rPr>
            <w:rStyle w:val="Hyperlink"/>
            <w:b w:val="0"/>
            <w:bCs w:val="0"/>
            <w:color w:val="auto"/>
            <w:u w:val="none"/>
          </w:rPr>
          <w:t>https://en.wikipedia.org/wiki/Metadoxine</w:t>
        </w:r>
      </w:hyperlink>
      <w:r w:rsidR="007E19D1" w:rsidRPr="000E1086">
        <w:rPr>
          <w:b w:val="0"/>
          <w:bCs w:val="0"/>
        </w:rPr>
        <w:t>.</w:t>
      </w:r>
    </w:p>
    <w:p w14:paraId="45411477" w14:textId="77777777" w:rsidR="007E19D1" w:rsidRPr="000E1086" w:rsidRDefault="007E19D1" w:rsidP="009609F5">
      <w:pPr>
        <w:pStyle w:val="ListParagraph"/>
        <w:numPr>
          <w:ilvl w:val="0"/>
          <w:numId w:val="4"/>
        </w:numPr>
        <w:spacing w:before="120" w:after="120" w:line="360" w:lineRule="auto"/>
        <w:ind w:right="0"/>
        <w:rPr>
          <w:color w:val="212121"/>
          <w:sz w:val="24"/>
          <w:szCs w:val="24"/>
          <w:shd w:val="clear" w:color="auto" w:fill="FFFFFF"/>
        </w:rPr>
      </w:pPr>
      <w:r w:rsidRPr="000E1086">
        <w:rPr>
          <w:color w:val="212121"/>
          <w:sz w:val="24"/>
          <w:szCs w:val="24"/>
          <w:shd w:val="clear" w:color="auto" w:fill="FFFFFF"/>
        </w:rPr>
        <w:t>Metadoxine, Indian Pharmacopoeia 2022 9</w:t>
      </w:r>
      <w:r w:rsidRPr="000E1086">
        <w:rPr>
          <w:color w:val="212121"/>
          <w:sz w:val="24"/>
          <w:szCs w:val="24"/>
          <w:shd w:val="clear" w:color="auto" w:fill="FFFFFF"/>
          <w:vertAlign w:val="superscript"/>
        </w:rPr>
        <w:t>th</w:t>
      </w:r>
      <w:r w:rsidRPr="000E1086">
        <w:rPr>
          <w:color w:val="212121"/>
          <w:sz w:val="24"/>
          <w:szCs w:val="24"/>
          <w:shd w:val="clear" w:color="auto" w:fill="FFFFFF"/>
        </w:rPr>
        <w:t xml:space="preserve"> edition vol 2 pg 2873-2874.</w:t>
      </w:r>
    </w:p>
    <w:p w14:paraId="65357981" w14:textId="77777777" w:rsidR="007E19D1" w:rsidRPr="000E1086" w:rsidRDefault="007E19D1" w:rsidP="009609F5">
      <w:pPr>
        <w:pStyle w:val="ListParagraph"/>
        <w:numPr>
          <w:ilvl w:val="0"/>
          <w:numId w:val="4"/>
        </w:numPr>
        <w:spacing w:before="120" w:after="120" w:line="360" w:lineRule="auto"/>
        <w:ind w:right="0"/>
        <w:rPr>
          <w:sz w:val="24"/>
          <w:szCs w:val="24"/>
          <w:shd w:val="clear" w:color="auto" w:fill="FFFFFF"/>
        </w:rPr>
      </w:pPr>
      <w:r w:rsidRPr="000E1086">
        <w:rPr>
          <w:color w:val="212121"/>
          <w:sz w:val="24"/>
          <w:szCs w:val="24"/>
          <w:shd w:val="clear" w:color="auto" w:fill="FFFFFF"/>
        </w:rPr>
        <w:t xml:space="preserve">Mirijello A, Sestito L, Antonelli M, Gasbarrini A, Addolorato G. Identification and management of acute alcohol intoxication. European Journal of Internal Medicine </w:t>
      </w:r>
      <w:r w:rsidRPr="000E1086">
        <w:rPr>
          <w:b/>
          <w:bCs/>
          <w:color w:val="212121"/>
          <w:sz w:val="24"/>
          <w:szCs w:val="24"/>
          <w:shd w:val="clear" w:color="auto" w:fill="FFFFFF"/>
        </w:rPr>
        <w:t xml:space="preserve">2023, </w:t>
      </w:r>
      <w:r w:rsidRPr="000E1086">
        <w:rPr>
          <w:color w:val="212121"/>
          <w:sz w:val="24"/>
          <w:szCs w:val="24"/>
          <w:shd w:val="clear" w:color="auto" w:fill="FFFFFF"/>
        </w:rPr>
        <w:t xml:space="preserve">108:1-8. </w:t>
      </w:r>
      <w:hyperlink r:id="rId7" w:history="1">
        <w:r w:rsidRPr="000E1086">
          <w:rPr>
            <w:rStyle w:val="Hyperlink"/>
            <w:color w:val="auto"/>
            <w:sz w:val="24"/>
            <w:szCs w:val="24"/>
            <w:u w:val="none"/>
            <w:shd w:val="clear" w:color="auto" w:fill="FFFFFF"/>
          </w:rPr>
          <w:t>https://doi.org/10.1016/j.ejim.2022.08.013</w:t>
        </w:r>
      </w:hyperlink>
      <w:r w:rsidRPr="000E1086">
        <w:rPr>
          <w:sz w:val="24"/>
          <w:szCs w:val="24"/>
          <w:shd w:val="clear" w:color="auto" w:fill="FFFFFF"/>
        </w:rPr>
        <w:t>.</w:t>
      </w:r>
    </w:p>
    <w:p w14:paraId="051AC85C" w14:textId="77777777" w:rsidR="007E19D1" w:rsidRPr="000E1086" w:rsidRDefault="007E19D1" w:rsidP="009609F5">
      <w:pPr>
        <w:pStyle w:val="ListParagraph"/>
        <w:numPr>
          <w:ilvl w:val="0"/>
          <w:numId w:val="4"/>
        </w:numPr>
        <w:spacing w:before="120" w:after="120" w:line="360" w:lineRule="auto"/>
        <w:ind w:right="0"/>
        <w:rPr>
          <w:color w:val="212121"/>
          <w:sz w:val="24"/>
          <w:szCs w:val="24"/>
          <w:shd w:val="clear" w:color="auto" w:fill="FFFFFF"/>
        </w:rPr>
      </w:pPr>
      <w:r w:rsidRPr="000E1086">
        <w:rPr>
          <w:color w:val="212121"/>
          <w:sz w:val="24"/>
          <w:szCs w:val="24"/>
          <w:shd w:val="clear" w:color="auto" w:fill="FFFFFF"/>
        </w:rPr>
        <w:t xml:space="preserve">Suresh Babu K, Paradesi D. Investigation of Related Impurities in Metadoxine by a Reversed Phase High Performance Liquid Chromatography Technique. Analytical Sciences </w:t>
      </w:r>
      <w:r w:rsidRPr="000E1086">
        <w:rPr>
          <w:b/>
          <w:bCs/>
          <w:color w:val="212121"/>
          <w:sz w:val="24"/>
          <w:szCs w:val="24"/>
          <w:shd w:val="clear" w:color="auto" w:fill="FFFFFF"/>
        </w:rPr>
        <w:t xml:space="preserve">2021, </w:t>
      </w:r>
      <w:r w:rsidRPr="000E1086">
        <w:rPr>
          <w:color w:val="212121"/>
          <w:sz w:val="24"/>
          <w:szCs w:val="24"/>
          <w:shd w:val="clear" w:color="auto" w:fill="FFFFFF"/>
        </w:rPr>
        <w:t>37(4):581-584</w:t>
      </w:r>
      <w:r w:rsidRPr="000E1086">
        <w:rPr>
          <w:sz w:val="24"/>
          <w:szCs w:val="24"/>
          <w:shd w:val="clear" w:color="auto" w:fill="FFFFFF"/>
        </w:rPr>
        <w:t xml:space="preserve">. </w:t>
      </w:r>
      <w:hyperlink r:id="rId8" w:history="1">
        <w:r w:rsidRPr="000E1086">
          <w:rPr>
            <w:rStyle w:val="Hyperlink"/>
            <w:color w:val="auto"/>
            <w:sz w:val="24"/>
            <w:szCs w:val="24"/>
            <w:u w:val="none"/>
          </w:rPr>
          <w:t>https://doi.org/10.2116/analsci.20p271</w:t>
        </w:r>
      </w:hyperlink>
    </w:p>
    <w:p w14:paraId="1FA8C966" w14:textId="77777777" w:rsidR="007E19D1" w:rsidRPr="000E1086" w:rsidRDefault="007E19D1" w:rsidP="009609F5">
      <w:pPr>
        <w:pStyle w:val="ListParagraph"/>
        <w:numPr>
          <w:ilvl w:val="0"/>
          <w:numId w:val="4"/>
        </w:numPr>
        <w:spacing w:before="120" w:after="120" w:line="360" w:lineRule="auto"/>
        <w:ind w:right="0"/>
        <w:rPr>
          <w:rStyle w:val="Hyperlink"/>
          <w:i/>
          <w:iCs/>
          <w:color w:val="auto"/>
          <w:sz w:val="24"/>
          <w:szCs w:val="24"/>
          <w:u w:val="none"/>
          <w:shd w:val="clear" w:color="auto" w:fill="FFFFFF"/>
        </w:rPr>
      </w:pPr>
      <w:r w:rsidRPr="000E1086">
        <w:rPr>
          <w:rStyle w:val="Hyperlink"/>
          <w:color w:val="auto"/>
          <w:sz w:val="24"/>
          <w:szCs w:val="24"/>
          <w:u w:val="none"/>
          <w:shd w:val="clear" w:color="auto" w:fill="FFFFFF"/>
        </w:rPr>
        <w:t>Sneha Lakshmi RP. A Review on Chromatography with High Performance Liquid Chromatography (HPLC) and its Functions. Research and Reviews: Journal of Pharmaceutical Analysis</w:t>
      </w:r>
      <w:r w:rsidRPr="000E1086">
        <w:rPr>
          <w:rStyle w:val="Hyperlink"/>
          <w:i/>
          <w:iCs/>
          <w:color w:val="auto"/>
          <w:sz w:val="24"/>
          <w:szCs w:val="24"/>
          <w:u w:val="none"/>
          <w:shd w:val="clear" w:color="auto" w:fill="FFFFFF"/>
        </w:rPr>
        <w:t xml:space="preserve"> </w:t>
      </w:r>
      <w:r w:rsidRPr="000E1086">
        <w:rPr>
          <w:rStyle w:val="Hyperlink"/>
          <w:b/>
          <w:bCs/>
          <w:color w:val="auto"/>
          <w:sz w:val="24"/>
          <w:szCs w:val="24"/>
          <w:u w:val="none"/>
          <w:shd w:val="clear" w:color="auto" w:fill="FFFFFF"/>
        </w:rPr>
        <w:t>2015,</w:t>
      </w:r>
      <w:r w:rsidRPr="000E1086">
        <w:rPr>
          <w:rStyle w:val="Hyperlink"/>
          <w:color w:val="auto"/>
          <w:sz w:val="24"/>
          <w:szCs w:val="24"/>
          <w:u w:val="none"/>
          <w:shd w:val="clear" w:color="auto" w:fill="FFFFFF"/>
        </w:rPr>
        <w:t xml:space="preserve"> 4(1): 1-15. </w:t>
      </w:r>
    </w:p>
    <w:p w14:paraId="197B51C6" w14:textId="77777777" w:rsidR="007E19D1" w:rsidRPr="000E1086" w:rsidRDefault="007E19D1" w:rsidP="007E19D1">
      <w:pPr>
        <w:pStyle w:val="ListParagraph"/>
        <w:numPr>
          <w:ilvl w:val="0"/>
          <w:numId w:val="4"/>
        </w:numPr>
        <w:spacing w:before="120" w:after="120" w:line="360" w:lineRule="auto"/>
        <w:ind w:right="0"/>
        <w:rPr>
          <w:rStyle w:val="Hyperlink"/>
          <w:b/>
          <w:bCs/>
          <w:color w:val="212121"/>
          <w:sz w:val="24"/>
          <w:szCs w:val="24"/>
          <w:u w:val="none"/>
          <w:shd w:val="clear" w:color="auto" w:fill="FFFFFF"/>
        </w:rPr>
      </w:pPr>
      <w:r w:rsidRPr="000E1086">
        <w:rPr>
          <w:rStyle w:val="Hyperlink"/>
          <w:color w:val="212121"/>
          <w:sz w:val="24"/>
          <w:szCs w:val="24"/>
          <w:u w:val="none"/>
          <w:shd w:val="clear" w:color="auto" w:fill="FFFFFF"/>
        </w:rPr>
        <w:t>Rajasekhar Reddy D, Azizunissa, Venkatesh S, Gananadhamu S. Development of RP-HPLC Method for Estimation of Metadoxine in Pharmaceutical</w:t>
      </w:r>
      <w:r w:rsidRPr="000E1086">
        <w:rPr>
          <w:rStyle w:val="Hyperlink"/>
          <w:b/>
          <w:bCs/>
          <w:color w:val="212121"/>
          <w:sz w:val="24"/>
          <w:szCs w:val="24"/>
          <w:u w:val="none"/>
          <w:shd w:val="clear" w:color="auto" w:fill="FFFFFF"/>
        </w:rPr>
        <w:t xml:space="preserve"> </w:t>
      </w:r>
      <w:r w:rsidRPr="000E1086">
        <w:rPr>
          <w:rStyle w:val="Hyperlink"/>
          <w:color w:val="212121"/>
          <w:sz w:val="24"/>
          <w:szCs w:val="24"/>
          <w:u w:val="none"/>
          <w:shd w:val="clear" w:color="auto" w:fill="FFFFFF"/>
        </w:rPr>
        <w:t>Formulations. Journal of Innovative Trends in Pharmaceutical Sciences</w:t>
      </w:r>
      <w:r w:rsidRPr="000E1086">
        <w:rPr>
          <w:rStyle w:val="Hyperlink"/>
          <w:i/>
          <w:iCs/>
          <w:color w:val="212121"/>
          <w:sz w:val="24"/>
          <w:szCs w:val="24"/>
          <w:u w:val="none"/>
          <w:shd w:val="clear" w:color="auto" w:fill="FFFFFF"/>
        </w:rPr>
        <w:t xml:space="preserve"> </w:t>
      </w:r>
      <w:r w:rsidRPr="000E1086">
        <w:rPr>
          <w:rStyle w:val="Hyperlink"/>
          <w:b/>
          <w:bCs/>
          <w:color w:val="212121"/>
          <w:sz w:val="24"/>
          <w:szCs w:val="24"/>
          <w:u w:val="none"/>
          <w:shd w:val="clear" w:color="auto" w:fill="FFFFFF"/>
        </w:rPr>
        <w:t xml:space="preserve">2010, </w:t>
      </w:r>
      <w:r w:rsidRPr="000E1086">
        <w:rPr>
          <w:rStyle w:val="Hyperlink"/>
          <w:color w:val="212121"/>
          <w:sz w:val="24"/>
          <w:szCs w:val="24"/>
          <w:u w:val="none"/>
          <w:shd w:val="clear" w:color="auto" w:fill="FFFFFF"/>
        </w:rPr>
        <w:t>1(1): 64-68.</w:t>
      </w:r>
    </w:p>
    <w:p w14:paraId="2EADC07E" w14:textId="77777777" w:rsidR="007E19D1" w:rsidRPr="000E1086" w:rsidRDefault="007E19D1" w:rsidP="007E19D1">
      <w:pPr>
        <w:pStyle w:val="ListParagraph"/>
        <w:numPr>
          <w:ilvl w:val="0"/>
          <w:numId w:val="4"/>
        </w:numPr>
        <w:spacing w:before="120" w:after="120" w:line="360" w:lineRule="auto"/>
        <w:ind w:right="0"/>
        <w:rPr>
          <w:b/>
          <w:bCs/>
          <w:color w:val="212121"/>
          <w:sz w:val="24"/>
          <w:szCs w:val="24"/>
          <w:shd w:val="clear" w:color="auto" w:fill="FFFFFF"/>
        </w:rPr>
      </w:pPr>
      <w:r w:rsidRPr="000E1086">
        <w:rPr>
          <w:sz w:val="24"/>
          <w:szCs w:val="24"/>
        </w:rPr>
        <w:t xml:space="preserve">Lü Y, Kang ZS, Liu Y, Li TY, Xiao YH. Pharmacokinetics of metadoxine for injection after repeated doses in healthy volunteers. Chinese Medical Journal </w:t>
      </w:r>
      <w:r w:rsidRPr="000E1086">
        <w:rPr>
          <w:b/>
          <w:bCs/>
          <w:sz w:val="24"/>
          <w:szCs w:val="24"/>
        </w:rPr>
        <w:t xml:space="preserve">2007, </w:t>
      </w:r>
      <w:r w:rsidRPr="000E1086">
        <w:rPr>
          <w:sz w:val="24"/>
          <w:szCs w:val="24"/>
        </w:rPr>
        <w:t>120 (2):166-168.</w:t>
      </w:r>
    </w:p>
    <w:p w14:paraId="5783CAF6" w14:textId="77777777" w:rsidR="007E19D1" w:rsidRPr="000E1086" w:rsidRDefault="007E19D1" w:rsidP="007E19D1">
      <w:pPr>
        <w:pStyle w:val="ListParagraph"/>
        <w:numPr>
          <w:ilvl w:val="0"/>
          <w:numId w:val="4"/>
        </w:numPr>
        <w:spacing w:before="120" w:after="120" w:line="360" w:lineRule="auto"/>
        <w:ind w:right="0"/>
        <w:rPr>
          <w:b/>
          <w:bCs/>
          <w:sz w:val="24"/>
          <w:szCs w:val="24"/>
          <w:shd w:val="clear" w:color="auto" w:fill="FFFFFF"/>
        </w:rPr>
      </w:pPr>
      <w:r w:rsidRPr="000E1086">
        <w:rPr>
          <w:color w:val="212121"/>
          <w:sz w:val="24"/>
          <w:szCs w:val="24"/>
          <w:shd w:val="clear" w:color="auto" w:fill="FFFFFF"/>
        </w:rPr>
        <w:t>YUAN Gui-yan, WANG Ben-jie, WEI Chun-min, GUO Rui-chen. Determination of metadoxine in human serum by HPLC and its pharmacokinetic studies. Chinese Journal of Clinical Pharmacology and Therapeutics</w:t>
      </w:r>
      <w:r w:rsidRPr="000E1086">
        <w:rPr>
          <w:i/>
          <w:iCs/>
          <w:color w:val="212121"/>
          <w:sz w:val="24"/>
          <w:szCs w:val="24"/>
          <w:shd w:val="clear" w:color="auto" w:fill="FFFFFF"/>
        </w:rPr>
        <w:t xml:space="preserve"> </w:t>
      </w:r>
      <w:r w:rsidRPr="000E1086">
        <w:rPr>
          <w:b/>
          <w:bCs/>
          <w:color w:val="212121"/>
          <w:sz w:val="24"/>
          <w:szCs w:val="24"/>
          <w:shd w:val="clear" w:color="auto" w:fill="FFFFFF"/>
        </w:rPr>
        <w:t>2006,</w:t>
      </w:r>
      <w:r w:rsidRPr="000E1086">
        <w:rPr>
          <w:color w:val="212121"/>
          <w:sz w:val="24"/>
          <w:szCs w:val="24"/>
          <w:shd w:val="clear" w:color="auto" w:fill="FFFFFF"/>
        </w:rPr>
        <w:t xml:space="preserve"> 11(4): 440-443. </w:t>
      </w:r>
      <w:hyperlink r:id="rId9" w:history="1">
        <w:r w:rsidRPr="000E1086">
          <w:rPr>
            <w:rStyle w:val="Hyperlink"/>
            <w:color w:val="auto"/>
            <w:sz w:val="24"/>
            <w:szCs w:val="24"/>
            <w:u w:val="none"/>
            <w:shd w:val="clear" w:color="auto" w:fill="FFFFFF"/>
          </w:rPr>
          <w:t>https://manu41.magtech.com.cn/Jweb_clyl/EN/Y2006/V11/I4/440</w:t>
        </w:r>
      </w:hyperlink>
    </w:p>
    <w:p w14:paraId="608B20EE" w14:textId="77777777" w:rsidR="007E19D1" w:rsidRPr="000E1086" w:rsidRDefault="007E19D1" w:rsidP="007E19D1">
      <w:pPr>
        <w:pStyle w:val="ListParagraph"/>
        <w:numPr>
          <w:ilvl w:val="0"/>
          <w:numId w:val="4"/>
        </w:numPr>
        <w:spacing w:before="120" w:after="120" w:line="360" w:lineRule="auto"/>
        <w:ind w:right="0"/>
        <w:rPr>
          <w:b/>
          <w:bCs/>
          <w:color w:val="212121"/>
          <w:sz w:val="24"/>
          <w:szCs w:val="24"/>
          <w:shd w:val="clear" w:color="auto" w:fill="FFFFFF"/>
        </w:rPr>
      </w:pPr>
      <w:r w:rsidRPr="000E1086">
        <w:rPr>
          <w:color w:val="212121"/>
          <w:sz w:val="24"/>
          <w:szCs w:val="24"/>
          <w:shd w:val="clear" w:color="auto" w:fill="FFFFFF"/>
        </w:rPr>
        <w:t>Kaul N, Agrawal H, Patil B, Kakad A, Dhaneshwar SR. Stability-Indicating HPLC Method for the Determination of Metadoxine as Bulk Drug and in Pharmaceutical Dosage Form. Chromatographia</w:t>
      </w:r>
      <w:r w:rsidRPr="000E1086">
        <w:rPr>
          <w:i/>
          <w:iCs/>
          <w:color w:val="212121"/>
          <w:sz w:val="24"/>
          <w:szCs w:val="24"/>
          <w:shd w:val="clear" w:color="auto" w:fill="FFFFFF"/>
        </w:rPr>
        <w:t xml:space="preserve"> </w:t>
      </w:r>
      <w:r w:rsidRPr="000E1086">
        <w:rPr>
          <w:b/>
          <w:bCs/>
          <w:color w:val="212121"/>
          <w:sz w:val="24"/>
          <w:szCs w:val="24"/>
          <w:shd w:val="clear" w:color="auto" w:fill="FFFFFF"/>
        </w:rPr>
        <w:t>2004,</w:t>
      </w:r>
      <w:r w:rsidRPr="000E1086">
        <w:rPr>
          <w:color w:val="212121"/>
          <w:sz w:val="24"/>
          <w:szCs w:val="24"/>
          <w:shd w:val="clear" w:color="auto" w:fill="FFFFFF"/>
        </w:rPr>
        <w:t xml:space="preserve"> 60: 501–510. </w:t>
      </w:r>
      <w:hyperlink r:id="rId10" w:history="1">
        <w:r w:rsidRPr="000E1086">
          <w:rPr>
            <w:rStyle w:val="Hyperlink"/>
            <w:color w:val="auto"/>
            <w:sz w:val="24"/>
            <w:szCs w:val="24"/>
            <w:u w:val="none"/>
            <w:shd w:val="clear" w:color="auto" w:fill="FFFFFF"/>
          </w:rPr>
          <w:t>https://doi.org/10.1365/s10337-004-0429-z</w:t>
        </w:r>
      </w:hyperlink>
    </w:p>
    <w:p w14:paraId="1F8FDC0B" w14:textId="761B00C2" w:rsidR="007E19D1" w:rsidRPr="000E1086" w:rsidRDefault="007E19D1" w:rsidP="00D82C73">
      <w:pPr>
        <w:pStyle w:val="Heading1"/>
        <w:numPr>
          <w:ilvl w:val="0"/>
          <w:numId w:val="4"/>
        </w:numPr>
        <w:spacing w:before="184"/>
        <w:jc w:val="both"/>
        <w:rPr>
          <w:b w:val="0"/>
          <w:bCs w:val="0"/>
        </w:rPr>
      </w:pPr>
      <w:r w:rsidRPr="000E1086">
        <w:rPr>
          <w:b w:val="0"/>
          <w:bCs w:val="0"/>
        </w:rPr>
        <w:t>Shpilenya LS, Muzychenko AP, Gasbarrini G, Addolorato G. Metadoxine in acute alcohol intoxication:a double blind, randomized, placebo-controlled study[J].Alcohol Clin Exp Res, 2002;26:340-6</w:t>
      </w:r>
    </w:p>
    <w:p w14:paraId="6E9B71A9" w14:textId="77777777" w:rsidR="008C1BC7" w:rsidRPr="000E1086" w:rsidRDefault="007E19D1" w:rsidP="008C1BC7">
      <w:pPr>
        <w:pStyle w:val="Heading1"/>
        <w:numPr>
          <w:ilvl w:val="0"/>
          <w:numId w:val="4"/>
        </w:numPr>
        <w:spacing w:before="184"/>
        <w:jc w:val="both"/>
        <w:rPr>
          <w:b w:val="0"/>
          <w:bCs w:val="0"/>
        </w:rPr>
      </w:pPr>
      <w:r w:rsidRPr="000E1086">
        <w:rPr>
          <w:b w:val="0"/>
          <w:bCs w:val="0"/>
        </w:rPr>
        <w:t>DiazMMC, DiazMA, Villamil SV, Cruz FC.Efficacy of metadoxine in the management of acute alcohol intoxication[J].J Int Med Res, 2002;30:44-51</w:t>
      </w:r>
    </w:p>
    <w:p w14:paraId="59AC2CC2" w14:textId="77777777" w:rsidR="008C1BC7" w:rsidRPr="000E1086" w:rsidRDefault="009609F5" w:rsidP="008C1BC7">
      <w:pPr>
        <w:pStyle w:val="Heading1"/>
        <w:numPr>
          <w:ilvl w:val="0"/>
          <w:numId w:val="4"/>
        </w:numPr>
        <w:spacing w:before="184"/>
        <w:jc w:val="both"/>
        <w:rPr>
          <w:b w:val="0"/>
          <w:bCs w:val="0"/>
        </w:rPr>
      </w:pPr>
      <w:r w:rsidRPr="000E1086">
        <w:rPr>
          <w:b w:val="0"/>
          <w:bCs w:val="0"/>
        </w:rPr>
        <w:t>P. Kumar</w:t>
      </w:r>
      <w:r w:rsidRPr="000E1086">
        <w:rPr>
          <w:b w:val="0"/>
          <w:bCs w:val="0"/>
          <w:vertAlign w:val="superscript"/>
        </w:rPr>
        <w:t>1</w:t>
      </w:r>
      <w:r w:rsidRPr="000E1086">
        <w:rPr>
          <w:b w:val="0"/>
          <w:bCs w:val="0"/>
        </w:rPr>
        <w:t>, D.S. Mittan</w:t>
      </w:r>
      <w:r w:rsidRPr="000E1086">
        <w:rPr>
          <w:b w:val="0"/>
          <w:bCs w:val="0"/>
          <w:vertAlign w:val="superscript"/>
        </w:rPr>
        <w:t>3</w:t>
      </w:r>
      <w:r w:rsidRPr="000E1086">
        <w:rPr>
          <w:b w:val="0"/>
          <w:bCs w:val="0"/>
        </w:rPr>
        <w:t>, A. Malik</w:t>
      </w:r>
      <w:r w:rsidRPr="000E1086">
        <w:rPr>
          <w:b w:val="0"/>
          <w:bCs w:val="0"/>
          <w:vertAlign w:val="superscript"/>
        </w:rPr>
        <w:t>2</w:t>
      </w:r>
      <w:r w:rsidRPr="000E1086">
        <w:rPr>
          <w:b w:val="0"/>
          <w:bCs w:val="0"/>
        </w:rPr>
        <w:t>, N. Kaushik</w:t>
      </w:r>
      <w:r w:rsidRPr="000E1086">
        <w:rPr>
          <w:b w:val="0"/>
          <w:bCs w:val="0"/>
          <w:vertAlign w:val="superscript"/>
        </w:rPr>
        <w:t>2</w:t>
      </w:r>
      <w:r w:rsidRPr="000E1086">
        <w:rPr>
          <w:b w:val="0"/>
          <w:bCs w:val="0"/>
        </w:rPr>
        <w:t>, A. Kushnoor</w:t>
      </w:r>
      <w:r w:rsidRPr="000E1086">
        <w:rPr>
          <w:b w:val="0"/>
          <w:bCs w:val="0"/>
          <w:vertAlign w:val="superscript"/>
        </w:rPr>
        <w:t>2</w:t>
      </w:r>
      <w:r w:rsidRPr="000E1086">
        <w:rPr>
          <w:b w:val="0"/>
          <w:bCs w:val="0"/>
        </w:rPr>
        <w:t> and N. Derivative spectroscopy: Development and validation of new spectroscopic method for the estimation of metadoxine in bulk and solid dosage form.</w:t>
      </w:r>
      <w:r w:rsidRPr="000E1086">
        <w:rPr>
          <w:b w:val="0"/>
          <w:bCs w:val="0"/>
          <w:color w:val="000000"/>
          <w:sz w:val="27"/>
          <w:szCs w:val="27"/>
          <w:lang w:val="en-IN" w:eastAsia="en-IN"/>
        </w:rPr>
        <w:t xml:space="preserve"> </w:t>
      </w:r>
      <w:r w:rsidRPr="000E1086">
        <w:rPr>
          <w:b w:val="0"/>
          <w:bCs w:val="0"/>
          <w:lang w:val="en-IN"/>
        </w:rPr>
        <w:t>Oriental Journal of Chemistry</w:t>
      </w:r>
      <w:r w:rsidRPr="000E1086">
        <w:rPr>
          <w:b w:val="0"/>
          <w:bCs w:val="0"/>
          <w:sz w:val="22"/>
          <w:szCs w:val="22"/>
        </w:rPr>
        <w:t xml:space="preserve"> </w:t>
      </w:r>
      <w:r w:rsidRPr="000E1086">
        <w:rPr>
          <w:b w:val="0"/>
          <w:bCs w:val="0"/>
        </w:rPr>
        <w:t>Vol. 24(1), 313-317 (2008).</w:t>
      </w:r>
    </w:p>
    <w:p w14:paraId="53593D53" w14:textId="54FF1A98" w:rsidR="002D0D9F" w:rsidRPr="000E1086" w:rsidRDefault="00D069D8" w:rsidP="008C1BC7">
      <w:pPr>
        <w:pStyle w:val="Heading1"/>
        <w:numPr>
          <w:ilvl w:val="0"/>
          <w:numId w:val="4"/>
        </w:numPr>
        <w:spacing w:before="184"/>
        <w:jc w:val="both"/>
        <w:rPr>
          <w:b w:val="0"/>
          <w:bCs w:val="0"/>
        </w:rPr>
      </w:pPr>
      <w:r w:rsidRPr="000E1086">
        <w:rPr>
          <w:b w:val="0"/>
          <w:bCs w:val="0"/>
        </w:rPr>
        <w:lastRenderedPageBreak/>
        <w:t>Neeraj Kaul, Himani Agarwal, Bharat patil, Abhijit kakad,S.R.Dhaneshwar. Application of stability indicating HPTLC method for quantitative determination of metadoxine in pharmaceutical dosage form.Il Farmaco,2005 volume60,Pages 351-360</w:t>
      </w:r>
    </w:p>
    <w:p w14:paraId="46220156" w14:textId="22C2DEB8" w:rsidR="00D82C73" w:rsidRPr="000E1086" w:rsidRDefault="00D82C73" w:rsidP="00D82C73">
      <w:pPr>
        <w:pStyle w:val="Heading1"/>
        <w:numPr>
          <w:ilvl w:val="0"/>
          <w:numId w:val="4"/>
        </w:numPr>
        <w:spacing w:before="184"/>
        <w:jc w:val="both"/>
        <w:rPr>
          <w:b w:val="0"/>
          <w:bCs w:val="0"/>
        </w:rPr>
      </w:pPr>
      <w:r w:rsidRPr="000E1086">
        <w:rPr>
          <w:b w:val="0"/>
          <w:bCs w:val="0"/>
        </w:rPr>
        <w:t>Pradeep kumar*, Dhirender singh mittan, Anuj malik¹, Niranjan kaushik¹, Ashok kushnoor¹ and Nagaraj gowda. Derivative spectroscopy: Development and validation of new spectroscopic method for the estimation of metadoxine in bulk and solid dosage form. Oriental Journal of Chemistry, Vol. 24(1), 313-317 (2008).</w:t>
      </w:r>
    </w:p>
    <w:p w14:paraId="546BEEAD" w14:textId="68DF2BBE" w:rsidR="004F3B95" w:rsidRPr="000E1086" w:rsidRDefault="004F3B95" w:rsidP="004F3B95">
      <w:pPr>
        <w:pStyle w:val="Heading1"/>
        <w:numPr>
          <w:ilvl w:val="0"/>
          <w:numId w:val="4"/>
        </w:numPr>
        <w:spacing w:before="184"/>
        <w:jc w:val="both"/>
        <w:rPr>
          <w:b w:val="0"/>
          <w:bCs w:val="0"/>
          <w:lang w:val="en-IN"/>
        </w:rPr>
      </w:pPr>
      <w:r w:rsidRPr="000E1086">
        <w:rPr>
          <w:b w:val="0"/>
          <w:bCs w:val="0"/>
        </w:rPr>
        <w:t>Lorenzo Leggio, George A. Kenna, Anna Ferrulli, William H. Zywiak, Fabio Caputo, Robert M. Swift, Giovanni Addolorato.</w:t>
      </w:r>
      <w:r w:rsidRPr="000E1086">
        <w:rPr>
          <w:b w:val="0"/>
          <w:bCs w:val="0"/>
          <w:color w:val="1C1D1E"/>
          <w:kern w:val="36"/>
          <w:lang w:val="en-IN" w:eastAsia="en-IN"/>
        </w:rPr>
        <w:t xml:space="preserve"> </w:t>
      </w:r>
      <w:r w:rsidRPr="000E1086">
        <w:rPr>
          <w:b w:val="0"/>
          <w:bCs w:val="0"/>
          <w:lang w:val="en-IN"/>
        </w:rPr>
        <w:t>Preliminary findings on the use of metadoxine for the treatment of alcohol dependence and alcoholic liver disease.</w:t>
      </w:r>
      <w:r w:rsidRPr="000E1086">
        <w:rPr>
          <w:b w:val="0"/>
          <w:bCs w:val="0"/>
          <w:color w:val="1C1D1E"/>
          <w:shd w:val="clear" w:color="auto" w:fill="FFFFFF"/>
        </w:rPr>
        <w:t xml:space="preserve"> </w:t>
      </w:r>
      <w:r w:rsidRPr="000E1086">
        <w:rPr>
          <w:b w:val="0"/>
          <w:bCs w:val="0"/>
        </w:rPr>
        <w:t>Human Psychopharmacology 16 November 2011</w:t>
      </w:r>
    </w:p>
    <w:p w14:paraId="4CEAF3E8" w14:textId="01C525B5" w:rsidR="00981D0B" w:rsidRPr="000E1086" w:rsidRDefault="00981D0B" w:rsidP="004F3B95">
      <w:pPr>
        <w:pStyle w:val="Heading1"/>
        <w:numPr>
          <w:ilvl w:val="0"/>
          <w:numId w:val="4"/>
        </w:numPr>
        <w:spacing w:before="184"/>
        <w:jc w:val="both"/>
        <w:rPr>
          <w:b w:val="0"/>
          <w:bCs w:val="0"/>
          <w:lang w:val="en-IN"/>
        </w:rPr>
      </w:pPr>
      <w:r w:rsidRPr="000E1086">
        <w:rPr>
          <w:b w:val="0"/>
          <w:bCs w:val="0"/>
        </w:rPr>
        <w:t>Upender Rao Eslawath*, Rajashekar Vadlakonda1, Thandra Yakaiah2*. Method Development and Validation of Metadoxine and Atazanavir in Solid Dosage Form by RP-HPLC. IJSRM July 2017 Vol.:7, Issue: 1.</w:t>
      </w:r>
    </w:p>
    <w:p w14:paraId="3609C47C" w14:textId="1D373656" w:rsidR="00CC08A4" w:rsidRPr="000E1086" w:rsidRDefault="00000000" w:rsidP="00CC08A4">
      <w:pPr>
        <w:pStyle w:val="Heading1"/>
        <w:numPr>
          <w:ilvl w:val="0"/>
          <w:numId w:val="4"/>
        </w:numPr>
        <w:spacing w:before="184"/>
        <w:jc w:val="both"/>
        <w:rPr>
          <w:b w:val="0"/>
          <w:bCs w:val="0"/>
          <w:lang w:val="en-IN"/>
        </w:rPr>
      </w:pPr>
      <w:hyperlink r:id="rId11" w:history="1">
        <w:r w:rsidR="00CC08A4" w:rsidRPr="000E1086">
          <w:rPr>
            <w:rStyle w:val="Hyperlink"/>
            <w:b w:val="0"/>
            <w:bCs w:val="0"/>
            <w:color w:val="auto"/>
            <w:u w:val="none"/>
          </w:rPr>
          <w:t>V. Venugopal</w:t>
        </w:r>
      </w:hyperlink>
      <w:r w:rsidR="00CC08A4" w:rsidRPr="000E1086">
        <w:rPr>
          <w:b w:val="0"/>
          <w:bCs w:val="0"/>
        </w:rPr>
        <w:t>, </w:t>
      </w:r>
      <w:hyperlink r:id="rId12" w:history="1">
        <w:r w:rsidR="00CC08A4" w:rsidRPr="000E1086">
          <w:rPr>
            <w:rStyle w:val="Hyperlink"/>
            <w:b w:val="0"/>
            <w:bCs w:val="0"/>
            <w:color w:val="auto"/>
            <w:u w:val="none"/>
          </w:rPr>
          <w:t>B. Arun</w:t>
        </w:r>
      </w:hyperlink>
      <w:r w:rsidR="00CC08A4" w:rsidRPr="000E1086">
        <w:rPr>
          <w:b w:val="0"/>
          <w:bCs w:val="0"/>
        </w:rPr>
        <w:t>, </w:t>
      </w:r>
      <w:hyperlink r:id="rId13" w:history="1">
        <w:r w:rsidR="00CC08A4" w:rsidRPr="000E1086">
          <w:rPr>
            <w:rStyle w:val="Hyperlink"/>
            <w:b w:val="0"/>
            <w:bCs w:val="0"/>
            <w:color w:val="auto"/>
            <w:u w:val="none"/>
          </w:rPr>
          <w:t>T. Mahati</w:t>
        </w:r>
      </w:hyperlink>
      <w:r w:rsidR="00CC08A4" w:rsidRPr="000E1086">
        <w:rPr>
          <w:b w:val="0"/>
          <w:bCs w:val="0"/>
        </w:rPr>
        <w:t>, </w:t>
      </w:r>
      <w:hyperlink r:id="rId14" w:history="1">
        <w:r w:rsidR="00CC08A4" w:rsidRPr="000E1086">
          <w:rPr>
            <w:rStyle w:val="Hyperlink"/>
            <w:b w:val="0"/>
            <w:bCs w:val="0"/>
            <w:color w:val="auto"/>
            <w:u w:val="none"/>
          </w:rPr>
          <w:t>R. Himaja</w:t>
        </w:r>
      </w:hyperlink>
      <w:r w:rsidR="00CC08A4" w:rsidRPr="000E1086">
        <w:rPr>
          <w:b w:val="0"/>
          <w:bCs w:val="0"/>
        </w:rPr>
        <w:t>, </w:t>
      </w:r>
      <w:hyperlink r:id="rId15" w:history="1">
        <w:r w:rsidR="00CC08A4" w:rsidRPr="000E1086">
          <w:rPr>
            <w:rStyle w:val="Hyperlink"/>
            <w:b w:val="0"/>
            <w:bCs w:val="0"/>
            <w:color w:val="auto"/>
            <w:u w:val="none"/>
          </w:rPr>
          <w:t>T. Kavitha</w:t>
        </w:r>
      </w:hyperlink>
      <w:r w:rsidR="00CC08A4" w:rsidRPr="000E1086">
        <w:rPr>
          <w:b w:val="0"/>
          <w:bCs w:val="0"/>
        </w:rPr>
        <w:t xml:space="preserve">. </w:t>
      </w:r>
      <w:r w:rsidR="00CC08A4" w:rsidRPr="000E1086">
        <w:rPr>
          <w:b w:val="0"/>
          <w:bCs w:val="0"/>
          <w:lang w:val="en-IN"/>
        </w:rPr>
        <w:t>Quantification of metadoxine in pharmaceutical dosage forms by uv-spectrophotometry semantic scholar 2011</w:t>
      </w:r>
    </w:p>
    <w:p w14:paraId="7B236BEC" w14:textId="5762CBF9" w:rsidR="00CC08A4" w:rsidRPr="000E1086" w:rsidRDefault="00287694" w:rsidP="004F3B95">
      <w:pPr>
        <w:pStyle w:val="Heading1"/>
        <w:numPr>
          <w:ilvl w:val="0"/>
          <w:numId w:val="4"/>
        </w:numPr>
        <w:spacing w:before="184"/>
        <w:jc w:val="both"/>
        <w:rPr>
          <w:b w:val="0"/>
          <w:bCs w:val="0"/>
          <w:lang w:val="en-IN"/>
        </w:rPr>
      </w:pPr>
      <w:r w:rsidRPr="000E1086">
        <w:rPr>
          <w:b w:val="0"/>
          <w:bCs w:val="0"/>
        </w:rPr>
        <w:t>Y. Wei-feng, Lin Yi.</w:t>
      </w:r>
      <w:r w:rsidRPr="000E1086">
        <w:t xml:space="preserve"> </w:t>
      </w:r>
      <w:r w:rsidRPr="000E1086">
        <w:rPr>
          <w:b w:val="0"/>
          <w:bCs w:val="0"/>
        </w:rPr>
        <w:t>Determination of the Related Substances in Metadoxine by HPLC-ELSD.2012</w:t>
      </w:r>
    </w:p>
    <w:p w14:paraId="483EA8E0" w14:textId="6282E075" w:rsidR="00D515E7" w:rsidRPr="000E1086" w:rsidRDefault="0026105F" w:rsidP="00D515E7">
      <w:pPr>
        <w:pStyle w:val="Heading1"/>
        <w:numPr>
          <w:ilvl w:val="0"/>
          <w:numId w:val="4"/>
        </w:numPr>
        <w:spacing w:before="184"/>
        <w:jc w:val="both"/>
        <w:rPr>
          <w:b w:val="0"/>
          <w:bCs w:val="0"/>
          <w:lang w:val="en-IN"/>
        </w:rPr>
      </w:pPr>
      <w:r w:rsidRPr="000E1086">
        <w:rPr>
          <w:b w:val="0"/>
          <w:bCs w:val="0"/>
          <w:lang w:val="en-IN"/>
        </w:rPr>
        <w:t xml:space="preserve">A. Unnisa, Rajasekhar Dirisala, S. Gananathamu. </w:t>
      </w:r>
      <w:r w:rsidR="00D515E7" w:rsidRPr="000E1086">
        <w:rPr>
          <w:b w:val="0"/>
          <w:bCs w:val="0"/>
          <w:lang w:val="en-IN"/>
        </w:rPr>
        <w:t>New spectrophotometric methods for estimation of metadoxine in bulk and pharmaceutical formulations based on redox and oxidative coupling reactions. Chemistry medicine.2011</w:t>
      </w:r>
      <w:r w:rsidR="00876731" w:rsidRPr="000E1086">
        <w:rPr>
          <w:b w:val="0"/>
          <w:bCs w:val="0"/>
          <w:lang w:val="en-IN"/>
        </w:rPr>
        <w:t>.</w:t>
      </w:r>
    </w:p>
    <w:p w14:paraId="42998F40" w14:textId="05021003" w:rsidR="0026105F" w:rsidRPr="000E1086" w:rsidRDefault="00D515E7" w:rsidP="00876731">
      <w:pPr>
        <w:pStyle w:val="Heading1"/>
        <w:spacing w:before="184"/>
        <w:ind w:left="644"/>
        <w:jc w:val="both"/>
        <w:rPr>
          <w:lang w:val="en-IN"/>
        </w:rPr>
      </w:pPr>
      <w:r w:rsidRPr="000E1086">
        <w:rPr>
          <w:color w:val="536479"/>
          <w:sz w:val="18"/>
          <w:szCs w:val="18"/>
          <w:lang w:val="en-IN" w:eastAsia="en-IN"/>
        </w:rPr>
        <w:t xml:space="preserve"> </w:t>
      </w:r>
    </w:p>
    <w:p w14:paraId="6C1FE6EF" w14:textId="77777777" w:rsidR="00981D0B" w:rsidRPr="00D515E7" w:rsidRDefault="00981D0B" w:rsidP="00D515E7">
      <w:pPr>
        <w:pStyle w:val="Heading1"/>
        <w:spacing w:before="184"/>
        <w:jc w:val="both"/>
        <w:rPr>
          <w:b w:val="0"/>
          <w:bCs w:val="0"/>
          <w:lang w:val="en-IN"/>
        </w:rPr>
      </w:pPr>
    </w:p>
    <w:p w14:paraId="209BE0AC" w14:textId="77777777" w:rsidR="00607816" w:rsidRPr="004F3B95" w:rsidRDefault="00607816" w:rsidP="00607816">
      <w:pPr>
        <w:pStyle w:val="Heading1"/>
        <w:spacing w:before="184"/>
        <w:ind w:left="284"/>
        <w:jc w:val="both"/>
        <w:rPr>
          <w:b w:val="0"/>
          <w:bCs w:val="0"/>
          <w:lang w:val="en-IN"/>
        </w:rPr>
      </w:pPr>
    </w:p>
    <w:p w14:paraId="04AE9045" w14:textId="77777777" w:rsidR="00876182" w:rsidRPr="0077787A" w:rsidRDefault="00876182" w:rsidP="0077787A">
      <w:pPr>
        <w:tabs>
          <w:tab w:val="left" w:pos="666"/>
        </w:tabs>
        <w:spacing w:before="156" w:line="259" w:lineRule="auto"/>
        <w:ind w:right="454"/>
        <w:rPr>
          <w:sz w:val="24"/>
        </w:rPr>
      </w:pPr>
    </w:p>
    <w:sectPr w:rsidR="00876182" w:rsidRPr="0077787A" w:rsidSect="00683864">
      <w:pgSz w:w="11910" w:h="16840"/>
      <w:pgMar w:top="1380" w:right="980" w:bottom="280" w:left="1180"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33AF1"/>
    <w:multiLevelType w:val="multilevel"/>
    <w:tmpl w:val="D4F68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3D3914"/>
    <w:multiLevelType w:val="hybridMultilevel"/>
    <w:tmpl w:val="C83AF1C2"/>
    <w:lvl w:ilvl="0" w:tplc="3154D9F8">
      <w:start w:val="1"/>
      <w:numFmt w:val="decimal"/>
      <w:lvlText w:val="%1."/>
      <w:lvlJc w:val="left"/>
      <w:pPr>
        <w:ind w:left="260" w:hanging="220"/>
      </w:pPr>
      <w:rPr>
        <w:rFonts w:ascii="Times New Roman" w:eastAsia="Times New Roman" w:hAnsi="Times New Roman" w:cs="Times New Roman" w:hint="default"/>
        <w:w w:val="100"/>
        <w:sz w:val="24"/>
        <w:szCs w:val="24"/>
        <w:lang w:val="en-US" w:eastAsia="en-US" w:bidi="ar-SA"/>
      </w:rPr>
    </w:lvl>
    <w:lvl w:ilvl="1" w:tplc="C14E84E6">
      <w:numFmt w:val="bullet"/>
      <w:lvlText w:val="•"/>
      <w:lvlJc w:val="left"/>
      <w:pPr>
        <w:ind w:left="1208" w:hanging="220"/>
      </w:pPr>
      <w:rPr>
        <w:rFonts w:hint="default"/>
        <w:lang w:val="en-US" w:eastAsia="en-US" w:bidi="ar-SA"/>
      </w:rPr>
    </w:lvl>
    <w:lvl w:ilvl="2" w:tplc="CDCEE640">
      <w:numFmt w:val="bullet"/>
      <w:lvlText w:val="•"/>
      <w:lvlJc w:val="left"/>
      <w:pPr>
        <w:ind w:left="2157" w:hanging="220"/>
      </w:pPr>
      <w:rPr>
        <w:rFonts w:hint="default"/>
        <w:lang w:val="en-US" w:eastAsia="en-US" w:bidi="ar-SA"/>
      </w:rPr>
    </w:lvl>
    <w:lvl w:ilvl="3" w:tplc="DA0EC346">
      <w:numFmt w:val="bullet"/>
      <w:lvlText w:val="•"/>
      <w:lvlJc w:val="left"/>
      <w:pPr>
        <w:ind w:left="3105" w:hanging="220"/>
      </w:pPr>
      <w:rPr>
        <w:rFonts w:hint="default"/>
        <w:lang w:val="en-US" w:eastAsia="en-US" w:bidi="ar-SA"/>
      </w:rPr>
    </w:lvl>
    <w:lvl w:ilvl="4" w:tplc="EEF4BC10">
      <w:numFmt w:val="bullet"/>
      <w:lvlText w:val="•"/>
      <w:lvlJc w:val="left"/>
      <w:pPr>
        <w:ind w:left="4054" w:hanging="220"/>
      </w:pPr>
      <w:rPr>
        <w:rFonts w:hint="default"/>
        <w:lang w:val="en-US" w:eastAsia="en-US" w:bidi="ar-SA"/>
      </w:rPr>
    </w:lvl>
    <w:lvl w:ilvl="5" w:tplc="25AA3828">
      <w:numFmt w:val="bullet"/>
      <w:lvlText w:val="•"/>
      <w:lvlJc w:val="left"/>
      <w:pPr>
        <w:ind w:left="5002" w:hanging="220"/>
      </w:pPr>
      <w:rPr>
        <w:rFonts w:hint="default"/>
        <w:lang w:val="en-US" w:eastAsia="en-US" w:bidi="ar-SA"/>
      </w:rPr>
    </w:lvl>
    <w:lvl w:ilvl="6" w:tplc="A550852C">
      <w:numFmt w:val="bullet"/>
      <w:lvlText w:val="•"/>
      <w:lvlJc w:val="left"/>
      <w:pPr>
        <w:ind w:left="5951" w:hanging="220"/>
      </w:pPr>
      <w:rPr>
        <w:rFonts w:hint="default"/>
        <w:lang w:val="en-US" w:eastAsia="en-US" w:bidi="ar-SA"/>
      </w:rPr>
    </w:lvl>
    <w:lvl w:ilvl="7" w:tplc="7FDA346A">
      <w:numFmt w:val="bullet"/>
      <w:lvlText w:val="•"/>
      <w:lvlJc w:val="left"/>
      <w:pPr>
        <w:ind w:left="6899" w:hanging="220"/>
      </w:pPr>
      <w:rPr>
        <w:rFonts w:hint="default"/>
        <w:lang w:val="en-US" w:eastAsia="en-US" w:bidi="ar-SA"/>
      </w:rPr>
    </w:lvl>
    <w:lvl w:ilvl="8" w:tplc="17A6829E">
      <w:numFmt w:val="bullet"/>
      <w:lvlText w:val="•"/>
      <w:lvlJc w:val="left"/>
      <w:pPr>
        <w:ind w:left="7848" w:hanging="220"/>
      </w:pPr>
      <w:rPr>
        <w:rFonts w:hint="default"/>
        <w:lang w:val="en-US" w:eastAsia="en-US" w:bidi="ar-SA"/>
      </w:rPr>
    </w:lvl>
  </w:abstractNum>
  <w:abstractNum w:abstractNumId="2" w15:restartNumberingAfterBreak="0">
    <w:nsid w:val="34C52897"/>
    <w:multiLevelType w:val="hybridMultilevel"/>
    <w:tmpl w:val="BD6EDD0C"/>
    <w:lvl w:ilvl="0" w:tplc="930CC118">
      <w:start w:val="1"/>
      <w:numFmt w:val="decimal"/>
      <w:lvlText w:val="%1."/>
      <w:lvlJc w:val="left"/>
      <w:pPr>
        <w:ind w:left="644" w:hanging="360"/>
      </w:pPr>
      <w:rPr>
        <w:rFonts w:hint="default"/>
        <w:b w:val="0"/>
        <w:bCs w:val="0"/>
        <w:i w:val="0"/>
        <w:iCs w:val="0"/>
      </w:rPr>
    </w:lvl>
    <w:lvl w:ilvl="1" w:tplc="40090019" w:tentative="1">
      <w:start w:val="1"/>
      <w:numFmt w:val="lowerLetter"/>
      <w:lvlText w:val="%2."/>
      <w:lvlJc w:val="left"/>
      <w:pPr>
        <w:ind w:left="1340" w:hanging="360"/>
      </w:pPr>
    </w:lvl>
    <w:lvl w:ilvl="2" w:tplc="4009001B" w:tentative="1">
      <w:start w:val="1"/>
      <w:numFmt w:val="lowerRoman"/>
      <w:lvlText w:val="%3."/>
      <w:lvlJc w:val="right"/>
      <w:pPr>
        <w:ind w:left="2060" w:hanging="180"/>
      </w:pPr>
    </w:lvl>
    <w:lvl w:ilvl="3" w:tplc="4009000F" w:tentative="1">
      <w:start w:val="1"/>
      <w:numFmt w:val="decimal"/>
      <w:lvlText w:val="%4."/>
      <w:lvlJc w:val="left"/>
      <w:pPr>
        <w:ind w:left="2780" w:hanging="360"/>
      </w:pPr>
    </w:lvl>
    <w:lvl w:ilvl="4" w:tplc="40090019" w:tentative="1">
      <w:start w:val="1"/>
      <w:numFmt w:val="lowerLetter"/>
      <w:lvlText w:val="%5."/>
      <w:lvlJc w:val="left"/>
      <w:pPr>
        <w:ind w:left="3500" w:hanging="360"/>
      </w:pPr>
    </w:lvl>
    <w:lvl w:ilvl="5" w:tplc="4009001B" w:tentative="1">
      <w:start w:val="1"/>
      <w:numFmt w:val="lowerRoman"/>
      <w:lvlText w:val="%6."/>
      <w:lvlJc w:val="right"/>
      <w:pPr>
        <w:ind w:left="4220" w:hanging="180"/>
      </w:pPr>
    </w:lvl>
    <w:lvl w:ilvl="6" w:tplc="4009000F" w:tentative="1">
      <w:start w:val="1"/>
      <w:numFmt w:val="decimal"/>
      <w:lvlText w:val="%7."/>
      <w:lvlJc w:val="left"/>
      <w:pPr>
        <w:ind w:left="4940" w:hanging="360"/>
      </w:pPr>
    </w:lvl>
    <w:lvl w:ilvl="7" w:tplc="40090019" w:tentative="1">
      <w:start w:val="1"/>
      <w:numFmt w:val="lowerLetter"/>
      <w:lvlText w:val="%8."/>
      <w:lvlJc w:val="left"/>
      <w:pPr>
        <w:ind w:left="5660" w:hanging="360"/>
      </w:pPr>
    </w:lvl>
    <w:lvl w:ilvl="8" w:tplc="4009001B" w:tentative="1">
      <w:start w:val="1"/>
      <w:numFmt w:val="lowerRoman"/>
      <w:lvlText w:val="%9."/>
      <w:lvlJc w:val="right"/>
      <w:pPr>
        <w:ind w:left="6380" w:hanging="180"/>
      </w:pPr>
    </w:lvl>
  </w:abstractNum>
  <w:abstractNum w:abstractNumId="3" w15:restartNumberingAfterBreak="0">
    <w:nsid w:val="433A4647"/>
    <w:multiLevelType w:val="multilevel"/>
    <w:tmpl w:val="9C24A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E0332"/>
    <w:multiLevelType w:val="hybridMultilevel"/>
    <w:tmpl w:val="889AFB1A"/>
    <w:lvl w:ilvl="0" w:tplc="C93CA7CA">
      <w:start w:val="10"/>
      <w:numFmt w:val="decimal"/>
      <w:lvlText w:val="%1."/>
      <w:lvlJc w:val="left"/>
      <w:pPr>
        <w:ind w:left="260" w:hanging="370"/>
      </w:pPr>
      <w:rPr>
        <w:rFonts w:ascii="Times New Roman" w:eastAsia="Times New Roman" w:hAnsi="Times New Roman" w:cs="Times New Roman" w:hint="default"/>
        <w:w w:val="100"/>
        <w:sz w:val="24"/>
        <w:szCs w:val="24"/>
        <w:lang w:val="en-US" w:eastAsia="en-US" w:bidi="ar-SA"/>
      </w:rPr>
    </w:lvl>
    <w:lvl w:ilvl="1" w:tplc="99D888B6">
      <w:numFmt w:val="bullet"/>
      <w:lvlText w:val="•"/>
      <w:lvlJc w:val="left"/>
      <w:pPr>
        <w:ind w:left="1208" w:hanging="370"/>
      </w:pPr>
      <w:rPr>
        <w:rFonts w:hint="default"/>
        <w:lang w:val="en-US" w:eastAsia="en-US" w:bidi="ar-SA"/>
      </w:rPr>
    </w:lvl>
    <w:lvl w:ilvl="2" w:tplc="34D4FC26">
      <w:numFmt w:val="bullet"/>
      <w:lvlText w:val="•"/>
      <w:lvlJc w:val="left"/>
      <w:pPr>
        <w:ind w:left="2157" w:hanging="370"/>
      </w:pPr>
      <w:rPr>
        <w:rFonts w:hint="default"/>
        <w:lang w:val="en-US" w:eastAsia="en-US" w:bidi="ar-SA"/>
      </w:rPr>
    </w:lvl>
    <w:lvl w:ilvl="3" w:tplc="E820CC20">
      <w:numFmt w:val="bullet"/>
      <w:lvlText w:val="•"/>
      <w:lvlJc w:val="left"/>
      <w:pPr>
        <w:ind w:left="3105" w:hanging="370"/>
      </w:pPr>
      <w:rPr>
        <w:rFonts w:hint="default"/>
        <w:lang w:val="en-US" w:eastAsia="en-US" w:bidi="ar-SA"/>
      </w:rPr>
    </w:lvl>
    <w:lvl w:ilvl="4" w:tplc="62ACBAF8">
      <w:numFmt w:val="bullet"/>
      <w:lvlText w:val="•"/>
      <w:lvlJc w:val="left"/>
      <w:pPr>
        <w:ind w:left="4054" w:hanging="370"/>
      </w:pPr>
      <w:rPr>
        <w:rFonts w:hint="default"/>
        <w:lang w:val="en-US" w:eastAsia="en-US" w:bidi="ar-SA"/>
      </w:rPr>
    </w:lvl>
    <w:lvl w:ilvl="5" w:tplc="5C80EE3A">
      <w:numFmt w:val="bullet"/>
      <w:lvlText w:val="•"/>
      <w:lvlJc w:val="left"/>
      <w:pPr>
        <w:ind w:left="5002" w:hanging="370"/>
      </w:pPr>
      <w:rPr>
        <w:rFonts w:hint="default"/>
        <w:lang w:val="en-US" w:eastAsia="en-US" w:bidi="ar-SA"/>
      </w:rPr>
    </w:lvl>
    <w:lvl w:ilvl="6" w:tplc="D63A2E86">
      <w:numFmt w:val="bullet"/>
      <w:lvlText w:val="•"/>
      <w:lvlJc w:val="left"/>
      <w:pPr>
        <w:ind w:left="5951" w:hanging="370"/>
      </w:pPr>
      <w:rPr>
        <w:rFonts w:hint="default"/>
        <w:lang w:val="en-US" w:eastAsia="en-US" w:bidi="ar-SA"/>
      </w:rPr>
    </w:lvl>
    <w:lvl w:ilvl="7" w:tplc="121C3EF6">
      <w:numFmt w:val="bullet"/>
      <w:lvlText w:val="•"/>
      <w:lvlJc w:val="left"/>
      <w:pPr>
        <w:ind w:left="6899" w:hanging="370"/>
      </w:pPr>
      <w:rPr>
        <w:rFonts w:hint="default"/>
        <w:lang w:val="en-US" w:eastAsia="en-US" w:bidi="ar-SA"/>
      </w:rPr>
    </w:lvl>
    <w:lvl w:ilvl="8" w:tplc="C9CC55CE">
      <w:numFmt w:val="bullet"/>
      <w:lvlText w:val="•"/>
      <w:lvlJc w:val="left"/>
      <w:pPr>
        <w:ind w:left="7848" w:hanging="370"/>
      </w:pPr>
      <w:rPr>
        <w:rFonts w:hint="default"/>
        <w:lang w:val="en-US" w:eastAsia="en-US" w:bidi="ar-SA"/>
      </w:rPr>
    </w:lvl>
  </w:abstractNum>
  <w:abstractNum w:abstractNumId="5" w15:restartNumberingAfterBreak="0">
    <w:nsid w:val="6FA96556"/>
    <w:multiLevelType w:val="multilevel"/>
    <w:tmpl w:val="6FA96556"/>
    <w:lvl w:ilvl="0">
      <w:start w:val="1"/>
      <w:numFmt w:val="decimal"/>
      <w:lvlText w:val="%1."/>
      <w:lvlJc w:val="left"/>
      <w:pPr>
        <w:ind w:left="720" w:hanging="360"/>
      </w:pPr>
      <w:rPr>
        <w:b/>
        <w:i w:val="0"/>
        <w:iCs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114157987">
    <w:abstractNumId w:val="4"/>
  </w:num>
  <w:num w:numId="2" w16cid:durableId="479922936">
    <w:abstractNumId w:val="1"/>
  </w:num>
  <w:num w:numId="3" w16cid:durableId="1121415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91550619">
    <w:abstractNumId w:val="2"/>
  </w:num>
  <w:num w:numId="5" w16cid:durableId="441613254">
    <w:abstractNumId w:val="3"/>
  </w:num>
  <w:num w:numId="6" w16cid:durableId="5389347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1F7"/>
    <w:rsid w:val="000C1CBF"/>
    <w:rsid w:val="000E1086"/>
    <w:rsid w:val="001C288F"/>
    <w:rsid w:val="00212152"/>
    <w:rsid w:val="0026105F"/>
    <w:rsid w:val="00275BCE"/>
    <w:rsid w:val="002776B9"/>
    <w:rsid w:val="00287694"/>
    <w:rsid w:val="002A4BC9"/>
    <w:rsid w:val="002B3E8A"/>
    <w:rsid w:val="002C21BD"/>
    <w:rsid w:val="002D0D9F"/>
    <w:rsid w:val="00303DCE"/>
    <w:rsid w:val="003B5F20"/>
    <w:rsid w:val="003F3571"/>
    <w:rsid w:val="00436DDE"/>
    <w:rsid w:val="00455193"/>
    <w:rsid w:val="00456FD3"/>
    <w:rsid w:val="00463EE8"/>
    <w:rsid w:val="00480CF0"/>
    <w:rsid w:val="004A32E4"/>
    <w:rsid w:val="004D0137"/>
    <w:rsid w:val="004D56EA"/>
    <w:rsid w:val="004F3B95"/>
    <w:rsid w:val="005244F2"/>
    <w:rsid w:val="00531CD4"/>
    <w:rsid w:val="005B0948"/>
    <w:rsid w:val="00607816"/>
    <w:rsid w:val="00656671"/>
    <w:rsid w:val="00683864"/>
    <w:rsid w:val="006C7097"/>
    <w:rsid w:val="006D7557"/>
    <w:rsid w:val="0077787A"/>
    <w:rsid w:val="007E19D1"/>
    <w:rsid w:val="00852409"/>
    <w:rsid w:val="00867461"/>
    <w:rsid w:val="00876182"/>
    <w:rsid w:val="00876731"/>
    <w:rsid w:val="008871F7"/>
    <w:rsid w:val="008C1BC7"/>
    <w:rsid w:val="0090143E"/>
    <w:rsid w:val="009274E7"/>
    <w:rsid w:val="009609F5"/>
    <w:rsid w:val="00981D0B"/>
    <w:rsid w:val="009C5B97"/>
    <w:rsid w:val="009E2913"/>
    <w:rsid w:val="00A41C7E"/>
    <w:rsid w:val="00B26AD4"/>
    <w:rsid w:val="00B93459"/>
    <w:rsid w:val="00BA5E72"/>
    <w:rsid w:val="00BC59D4"/>
    <w:rsid w:val="00C0358F"/>
    <w:rsid w:val="00C2184B"/>
    <w:rsid w:val="00C41E9B"/>
    <w:rsid w:val="00CB05BC"/>
    <w:rsid w:val="00CC08A4"/>
    <w:rsid w:val="00CD2828"/>
    <w:rsid w:val="00D069D8"/>
    <w:rsid w:val="00D50D76"/>
    <w:rsid w:val="00D515E7"/>
    <w:rsid w:val="00D63621"/>
    <w:rsid w:val="00D82C73"/>
    <w:rsid w:val="00DC78D0"/>
    <w:rsid w:val="00DF45F3"/>
    <w:rsid w:val="00E50F6E"/>
    <w:rsid w:val="00F46A48"/>
    <w:rsid w:val="00F87B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9080CD"/>
  <w15:docId w15:val="{395C8D81-B2C7-4086-B696-C6694BBEA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0"/>
      <w:ind w:left="260"/>
      <w:outlineLvl w:val="0"/>
    </w:pPr>
    <w:rPr>
      <w:b/>
      <w:bCs/>
      <w:sz w:val="24"/>
      <w:szCs w:val="24"/>
    </w:rPr>
  </w:style>
  <w:style w:type="paragraph" w:styleId="Heading2">
    <w:name w:val="heading 2"/>
    <w:basedOn w:val="Normal"/>
    <w:next w:val="Normal"/>
    <w:link w:val="Heading2Char"/>
    <w:uiPriority w:val="9"/>
    <w:semiHidden/>
    <w:unhideWhenUsed/>
    <w:qFormat/>
    <w:rsid w:val="006D755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56FD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60"/>
      <w:jc w:val="both"/>
    </w:pPr>
    <w:rPr>
      <w:sz w:val="24"/>
      <w:szCs w:val="24"/>
    </w:rPr>
  </w:style>
  <w:style w:type="paragraph" w:styleId="ListParagraph">
    <w:name w:val="List Paragraph"/>
    <w:basedOn w:val="Normal"/>
    <w:uiPriority w:val="34"/>
    <w:qFormat/>
    <w:pPr>
      <w:spacing w:before="161"/>
      <w:ind w:left="260" w:right="464"/>
      <w:jc w:val="both"/>
    </w:pPr>
  </w:style>
  <w:style w:type="paragraph" w:customStyle="1" w:styleId="TableParagraph">
    <w:name w:val="Table Paragraph"/>
    <w:basedOn w:val="Normal"/>
    <w:uiPriority w:val="1"/>
    <w:qFormat/>
    <w:pPr>
      <w:spacing w:before="1"/>
      <w:ind w:left="110"/>
    </w:pPr>
  </w:style>
  <w:style w:type="character" w:styleId="Hyperlink">
    <w:name w:val="Hyperlink"/>
    <w:basedOn w:val="DefaultParagraphFont"/>
    <w:uiPriority w:val="99"/>
    <w:unhideWhenUsed/>
    <w:rsid w:val="004A32E4"/>
    <w:rPr>
      <w:color w:val="0000FF" w:themeColor="hyperlink"/>
      <w:u w:val="single"/>
    </w:rPr>
  </w:style>
  <w:style w:type="character" w:styleId="UnresolvedMention">
    <w:name w:val="Unresolved Mention"/>
    <w:basedOn w:val="DefaultParagraphFont"/>
    <w:uiPriority w:val="99"/>
    <w:semiHidden/>
    <w:unhideWhenUsed/>
    <w:rsid w:val="004A32E4"/>
    <w:rPr>
      <w:color w:val="605E5C"/>
      <w:shd w:val="clear" w:color="auto" w:fill="E1DFDD"/>
    </w:rPr>
  </w:style>
  <w:style w:type="character" w:customStyle="1" w:styleId="Heading3Char">
    <w:name w:val="Heading 3 Char"/>
    <w:basedOn w:val="DefaultParagraphFont"/>
    <w:link w:val="Heading3"/>
    <w:uiPriority w:val="9"/>
    <w:semiHidden/>
    <w:rsid w:val="00456FD3"/>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semiHidden/>
    <w:rsid w:val="006D7557"/>
    <w:rPr>
      <w:rFonts w:asciiTheme="majorHAnsi" w:eastAsiaTheme="majorEastAsia" w:hAnsiTheme="majorHAnsi" w:cstheme="majorBidi"/>
      <w:color w:val="365F91" w:themeColor="accent1" w:themeShade="BF"/>
      <w:sz w:val="26"/>
      <w:szCs w:val="26"/>
    </w:rPr>
  </w:style>
  <w:style w:type="paragraph" w:customStyle="1" w:styleId="paper-meta-item">
    <w:name w:val="paper-meta-item"/>
    <w:basedOn w:val="Normal"/>
    <w:rsid w:val="0026105F"/>
    <w:pPr>
      <w:widowControl/>
      <w:autoSpaceDE/>
      <w:autoSpaceDN/>
      <w:spacing w:before="100" w:beforeAutospacing="1" w:after="100" w:afterAutospacing="1"/>
    </w:pPr>
    <w:rPr>
      <w:sz w:val="24"/>
      <w:szCs w:val="24"/>
      <w:lang w:val="en-IN" w:eastAsia="en-IN"/>
    </w:rPr>
  </w:style>
  <w:style w:type="character" w:customStyle="1" w:styleId="author-list">
    <w:name w:val="author-list"/>
    <w:basedOn w:val="DefaultParagraphFont"/>
    <w:rsid w:val="00261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109548">
      <w:bodyDiv w:val="1"/>
      <w:marLeft w:val="0"/>
      <w:marRight w:val="0"/>
      <w:marTop w:val="0"/>
      <w:marBottom w:val="0"/>
      <w:divBdr>
        <w:top w:val="none" w:sz="0" w:space="0" w:color="auto"/>
        <w:left w:val="none" w:sz="0" w:space="0" w:color="auto"/>
        <w:bottom w:val="none" w:sz="0" w:space="0" w:color="auto"/>
        <w:right w:val="none" w:sz="0" w:space="0" w:color="auto"/>
      </w:divBdr>
    </w:div>
    <w:div w:id="124353991">
      <w:bodyDiv w:val="1"/>
      <w:marLeft w:val="0"/>
      <w:marRight w:val="0"/>
      <w:marTop w:val="0"/>
      <w:marBottom w:val="0"/>
      <w:divBdr>
        <w:top w:val="none" w:sz="0" w:space="0" w:color="auto"/>
        <w:left w:val="none" w:sz="0" w:space="0" w:color="auto"/>
        <w:bottom w:val="none" w:sz="0" w:space="0" w:color="auto"/>
        <w:right w:val="none" w:sz="0" w:space="0" w:color="auto"/>
      </w:divBdr>
    </w:div>
    <w:div w:id="125395115">
      <w:bodyDiv w:val="1"/>
      <w:marLeft w:val="0"/>
      <w:marRight w:val="0"/>
      <w:marTop w:val="0"/>
      <w:marBottom w:val="0"/>
      <w:divBdr>
        <w:top w:val="none" w:sz="0" w:space="0" w:color="auto"/>
        <w:left w:val="none" w:sz="0" w:space="0" w:color="auto"/>
        <w:bottom w:val="none" w:sz="0" w:space="0" w:color="auto"/>
        <w:right w:val="none" w:sz="0" w:space="0" w:color="auto"/>
      </w:divBdr>
    </w:div>
    <w:div w:id="168646556">
      <w:bodyDiv w:val="1"/>
      <w:marLeft w:val="0"/>
      <w:marRight w:val="0"/>
      <w:marTop w:val="0"/>
      <w:marBottom w:val="0"/>
      <w:divBdr>
        <w:top w:val="none" w:sz="0" w:space="0" w:color="auto"/>
        <w:left w:val="none" w:sz="0" w:space="0" w:color="auto"/>
        <w:bottom w:val="none" w:sz="0" w:space="0" w:color="auto"/>
        <w:right w:val="none" w:sz="0" w:space="0" w:color="auto"/>
      </w:divBdr>
    </w:div>
    <w:div w:id="178205041">
      <w:bodyDiv w:val="1"/>
      <w:marLeft w:val="0"/>
      <w:marRight w:val="0"/>
      <w:marTop w:val="0"/>
      <w:marBottom w:val="0"/>
      <w:divBdr>
        <w:top w:val="none" w:sz="0" w:space="0" w:color="auto"/>
        <w:left w:val="none" w:sz="0" w:space="0" w:color="auto"/>
        <w:bottom w:val="none" w:sz="0" w:space="0" w:color="auto"/>
        <w:right w:val="none" w:sz="0" w:space="0" w:color="auto"/>
      </w:divBdr>
    </w:div>
    <w:div w:id="196816616">
      <w:bodyDiv w:val="1"/>
      <w:marLeft w:val="0"/>
      <w:marRight w:val="0"/>
      <w:marTop w:val="0"/>
      <w:marBottom w:val="0"/>
      <w:divBdr>
        <w:top w:val="none" w:sz="0" w:space="0" w:color="auto"/>
        <w:left w:val="none" w:sz="0" w:space="0" w:color="auto"/>
        <w:bottom w:val="none" w:sz="0" w:space="0" w:color="auto"/>
        <w:right w:val="none" w:sz="0" w:space="0" w:color="auto"/>
      </w:divBdr>
    </w:div>
    <w:div w:id="207571544">
      <w:bodyDiv w:val="1"/>
      <w:marLeft w:val="0"/>
      <w:marRight w:val="0"/>
      <w:marTop w:val="0"/>
      <w:marBottom w:val="0"/>
      <w:divBdr>
        <w:top w:val="none" w:sz="0" w:space="0" w:color="auto"/>
        <w:left w:val="none" w:sz="0" w:space="0" w:color="auto"/>
        <w:bottom w:val="none" w:sz="0" w:space="0" w:color="auto"/>
        <w:right w:val="none" w:sz="0" w:space="0" w:color="auto"/>
      </w:divBdr>
    </w:div>
    <w:div w:id="238635478">
      <w:bodyDiv w:val="1"/>
      <w:marLeft w:val="0"/>
      <w:marRight w:val="0"/>
      <w:marTop w:val="0"/>
      <w:marBottom w:val="0"/>
      <w:divBdr>
        <w:top w:val="none" w:sz="0" w:space="0" w:color="auto"/>
        <w:left w:val="none" w:sz="0" w:space="0" w:color="auto"/>
        <w:bottom w:val="none" w:sz="0" w:space="0" w:color="auto"/>
        <w:right w:val="none" w:sz="0" w:space="0" w:color="auto"/>
      </w:divBdr>
    </w:div>
    <w:div w:id="263346889">
      <w:bodyDiv w:val="1"/>
      <w:marLeft w:val="0"/>
      <w:marRight w:val="0"/>
      <w:marTop w:val="0"/>
      <w:marBottom w:val="0"/>
      <w:divBdr>
        <w:top w:val="none" w:sz="0" w:space="0" w:color="auto"/>
        <w:left w:val="none" w:sz="0" w:space="0" w:color="auto"/>
        <w:bottom w:val="none" w:sz="0" w:space="0" w:color="auto"/>
        <w:right w:val="none" w:sz="0" w:space="0" w:color="auto"/>
      </w:divBdr>
    </w:div>
    <w:div w:id="312376683">
      <w:bodyDiv w:val="1"/>
      <w:marLeft w:val="0"/>
      <w:marRight w:val="0"/>
      <w:marTop w:val="0"/>
      <w:marBottom w:val="0"/>
      <w:divBdr>
        <w:top w:val="none" w:sz="0" w:space="0" w:color="auto"/>
        <w:left w:val="none" w:sz="0" w:space="0" w:color="auto"/>
        <w:bottom w:val="none" w:sz="0" w:space="0" w:color="auto"/>
        <w:right w:val="none" w:sz="0" w:space="0" w:color="auto"/>
      </w:divBdr>
    </w:div>
    <w:div w:id="318584409">
      <w:bodyDiv w:val="1"/>
      <w:marLeft w:val="0"/>
      <w:marRight w:val="0"/>
      <w:marTop w:val="0"/>
      <w:marBottom w:val="0"/>
      <w:divBdr>
        <w:top w:val="none" w:sz="0" w:space="0" w:color="auto"/>
        <w:left w:val="none" w:sz="0" w:space="0" w:color="auto"/>
        <w:bottom w:val="none" w:sz="0" w:space="0" w:color="auto"/>
        <w:right w:val="none" w:sz="0" w:space="0" w:color="auto"/>
      </w:divBdr>
    </w:div>
    <w:div w:id="322776085">
      <w:bodyDiv w:val="1"/>
      <w:marLeft w:val="0"/>
      <w:marRight w:val="0"/>
      <w:marTop w:val="0"/>
      <w:marBottom w:val="0"/>
      <w:divBdr>
        <w:top w:val="none" w:sz="0" w:space="0" w:color="auto"/>
        <w:left w:val="none" w:sz="0" w:space="0" w:color="auto"/>
        <w:bottom w:val="none" w:sz="0" w:space="0" w:color="auto"/>
        <w:right w:val="none" w:sz="0" w:space="0" w:color="auto"/>
      </w:divBdr>
    </w:div>
    <w:div w:id="329911285">
      <w:bodyDiv w:val="1"/>
      <w:marLeft w:val="0"/>
      <w:marRight w:val="0"/>
      <w:marTop w:val="0"/>
      <w:marBottom w:val="0"/>
      <w:divBdr>
        <w:top w:val="none" w:sz="0" w:space="0" w:color="auto"/>
        <w:left w:val="none" w:sz="0" w:space="0" w:color="auto"/>
        <w:bottom w:val="none" w:sz="0" w:space="0" w:color="auto"/>
        <w:right w:val="none" w:sz="0" w:space="0" w:color="auto"/>
      </w:divBdr>
    </w:div>
    <w:div w:id="344135716">
      <w:bodyDiv w:val="1"/>
      <w:marLeft w:val="0"/>
      <w:marRight w:val="0"/>
      <w:marTop w:val="0"/>
      <w:marBottom w:val="0"/>
      <w:divBdr>
        <w:top w:val="none" w:sz="0" w:space="0" w:color="auto"/>
        <w:left w:val="none" w:sz="0" w:space="0" w:color="auto"/>
        <w:bottom w:val="none" w:sz="0" w:space="0" w:color="auto"/>
        <w:right w:val="none" w:sz="0" w:space="0" w:color="auto"/>
      </w:divBdr>
    </w:div>
    <w:div w:id="415979744">
      <w:bodyDiv w:val="1"/>
      <w:marLeft w:val="0"/>
      <w:marRight w:val="0"/>
      <w:marTop w:val="0"/>
      <w:marBottom w:val="0"/>
      <w:divBdr>
        <w:top w:val="none" w:sz="0" w:space="0" w:color="auto"/>
        <w:left w:val="none" w:sz="0" w:space="0" w:color="auto"/>
        <w:bottom w:val="none" w:sz="0" w:space="0" w:color="auto"/>
        <w:right w:val="none" w:sz="0" w:space="0" w:color="auto"/>
      </w:divBdr>
    </w:div>
    <w:div w:id="432360510">
      <w:bodyDiv w:val="1"/>
      <w:marLeft w:val="0"/>
      <w:marRight w:val="0"/>
      <w:marTop w:val="0"/>
      <w:marBottom w:val="0"/>
      <w:divBdr>
        <w:top w:val="none" w:sz="0" w:space="0" w:color="auto"/>
        <w:left w:val="none" w:sz="0" w:space="0" w:color="auto"/>
        <w:bottom w:val="none" w:sz="0" w:space="0" w:color="auto"/>
        <w:right w:val="none" w:sz="0" w:space="0" w:color="auto"/>
      </w:divBdr>
    </w:div>
    <w:div w:id="450439831">
      <w:bodyDiv w:val="1"/>
      <w:marLeft w:val="0"/>
      <w:marRight w:val="0"/>
      <w:marTop w:val="0"/>
      <w:marBottom w:val="0"/>
      <w:divBdr>
        <w:top w:val="none" w:sz="0" w:space="0" w:color="auto"/>
        <w:left w:val="none" w:sz="0" w:space="0" w:color="auto"/>
        <w:bottom w:val="none" w:sz="0" w:space="0" w:color="auto"/>
        <w:right w:val="none" w:sz="0" w:space="0" w:color="auto"/>
      </w:divBdr>
    </w:div>
    <w:div w:id="526598756">
      <w:bodyDiv w:val="1"/>
      <w:marLeft w:val="0"/>
      <w:marRight w:val="0"/>
      <w:marTop w:val="0"/>
      <w:marBottom w:val="0"/>
      <w:divBdr>
        <w:top w:val="none" w:sz="0" w:space="0" w:color="auto"/>
        <w:left w:val="none" w:sz="0" w:space="0" w:color="auto"/>
        <w:bottom w:val="none" w:sz="0" w:space="0" w:color="auto"/>
        <w:right w:val="none" w:sz="0" w:space="0" w:color="auto"/>
      </w:divBdr>
    </w:div>
    <w:div w:id="557012958">
      <w:bodyDiv w:val="1"/>
      <w:marLeft w:val="0"/>
      <w:marRight w:val="0"/>
      <w:marTop w:val="0"/>
      <w:marBottom w:val="0"/>
      <w:divBdr>
        <w:top w:val="none" w:sz="0" w:space="0" w:color="auto"/>
        <w:left w:val="none" w:sz="0" w:space="0" w:color="auto"/>
        <w:bottom w:val="none" w:sz="0" w:space="0" w:color="auto"/>
        <w:right w:val="none" w:sz="0" w:space="0" w:color="auto"/>
      </w:divBdr>
    </w:div>
    <w:div w:id="558328162">
      <w:bodyDiv w:val="1"/>
      <w:marLeft w:val="0"/>
      <w:marRight w:val="0"/>
      <w:marTop w:val="0"/>
      <w:marBottom w:val="0"/>
      <w:divBdr>
        <w:top w:val="none" w:sz="0" w:space="0" w:color="auto"/>
        <w:left w:val="none" w:sz="0" w:space="0" w:color="auto"/>
        <w:bottom w:val="none" w:sz="0" w:space="0" w:color="auto"/>
        <w:right w:val="none" w:sz="0" w:space="0" w:color="auto"/>
      </w:divBdr>
    </w:div>
    <w:div w:id="564418206">
      <w:bodyDiv w:val="1"/>
      <w:marLeft w:val="0"/>
      <w:marRight w:val="0"/>
      <w:marTop w:val="0"/>
      <w:marBottom w:val="0"/>
      <w:divBdr>
        <w:top w:val="none" w:sz="0" w:space="0" w:color="auto"/>
        <w:left w:val="none" w:sz="0" w:space="0" w:color="auto"/>
        <w:bottom w:val="none" w:sz="0" w:space="0" w:color="auto"/>
        <w:right w:val="none" w:sz="0" w:space="0" w:color="auto"/>
      </w:divBdr>
    </w:div>
    <w:div w:id="607548256">
      <w:bodyDiv w:val="1"/>
      <w:marLeft w:val="0"/>
      <w:marRight w:val="0"/>
      <w:marTop w:val="0"/>
      <w:marBottom w:val="0"/>
      <w:divBdr>
        <w:top w:val="none" w:sz="0" w:space="0" w:color="auto"/>
        <w:left w:val="none" w:sz="0" w:space="0" w:color="auto"/>
        <w:bottom w:val="none" w:sz="0" w:space="0" w:color="auto"/>
        <w:right w:val="none" w:sz="0" w:space="0" w:color="auto"/>
      </w:divBdr>
    </w:div>
    <w:div w:id="621572804">
      <w:bodyDiv w:val="1"/>
      <w:marLeft w:val="0"/>
      <w:marRight w:val="0"/>
      <w:marTop w:val="0"/>
      <w:marBottom w:val="0"/>
      <w:divBdr>
        <w:top w:val="none" w:sz="0" w:space="0" w:color="auto"/>
        <w:left w:val="none" w:sz="0" w:space="0" w:color="auto"/>
        <w:bottom w:val="none" w:sz="0" w:space="0" w:color="auto"/>
        <w:right w:val="none" w:sz="0" w:space="0" w:color="auto"/>
      </w:divBdr>
    </w:div>
    <w:div w:id="738594448">
      <w:bodyDiv w:val="1"/>
      <w:marLeft w:val="0"/>
      <w:marRight w:val="0"/>
      <w:marTop w:val="0"/>
      <w:marBottom w:val="0"/>
      <w:divBdr>
        <w:top w:val="none" w:sz="0" w:space="0" w:color="auto"/>
        <w:left w:val="none" w:sz="0" w:space="0" w:color="auto"/>
        <w:bottom w:val="none" w:sz="0" w:space="0" w:color="auto"/>
        <w:right w:val="none" w:sz="0" w:space="0" w:color="auto"/>
      </w:divBdr>
    </w:div>
    <w:div w:id="740979114">
      <w:bodyDiv w:val="1"/>
      <w:marLeft w:val="0"/>
      <w:marRight w:val="0"/>
      <w:marTop w:val="0"/>
      <w:marBottom w:val="0"/>
      <w:divBdr>
        <w:top w:val="none" w:sz="0" w:space="0" w:color="auto"/>
        <w:left w:val="none" w:sz="0" w:space="0" w:color="auto"/>
        <w:bottom w:val="none" w:sz="0" w:space="0" w:color="auto"/>
        <w:right w:val="none" w:sz="0" w:space="0" w:color="auto"/>
      </w:divBdr>
    </w:div>
    <w:div w:id="757142905">
      <w:bodyDiv w:val="1"/>
      <w:marLeft w:val="0"/>
      <w:marRight w:val="0"/>
      <w:marTop w:val="0"/>
      <w:marBottom w:val="0"/>
      <w:divBdr>
        <w:top w:val="none" w:sz="0" w:space="0" w:color="auto"/>
        <w:left w:val="none" w:sz="0" w:space="0" w:color="auto"/>
        <w:bottom w:val="none" w:sz="0" w:space="0" w:color="auto"/>
        <w:right w:val="none" w:sz="0" w:space="0" w:color="auto"/>
      </w:divBdr>
    </w:div>
    <w:div w:id="792020244">
      <w:bodyDiv w:val="1"/>
      <w:marLeft w:val="0"/>
      <w:marRight w:val="0"/>
      <w:marTop w:val="0"/>
      <w:marBottom w:val="0"/>
      <w:divBdr>
        <w:top w:val="none" w:sz="0" w:space="0" w:color="auto"/>
        <w:left w:val="none" w:sz="0" w:space="0" w:color="auto"/>
        <w:bottom w:val="none" w:sz="0" w:space="0" w:color="auto"/>
        <w:right w:val="none" w:sz="0" w:space="0" w:color="auto"/>
      </w:divBdr>
    </w:div>
    <w:div w:id="794787657">
      <w:bodyDiv w:val="1"/>
      <w:marLeft w:val="0"/>
      <w:marRight w:val="0"/>
      <w:marTop w:val="0"/>
      <w:marBottom w:val="0"/>
      <w:divBdr>
        <w:top w:val="none" w:sz="0" w:space="0" w:color="auto"/>
        <w:left w:val="none" w:sz="0" w:space="0" w:color="auto"/>
        <w:bottom w:val="none" w:sz="0" w:space="0" w:color="auto"/>
        <w:right w:val="none" w:sz="0" w:space="0" w:color="auto"/>
      </w:divBdr>
    </w:div>
    <w:div w:id="830752833">
      <w:bodyDiv w:val="1"/>
      <w:marLeft w:val="0"/>
      <w:marRight w:val="0"/>
      <w:marTop w:val="0"/>
      <w:marBottom w:val="0"/>
      <w:divBdr>
        <w:top w:val="none" w:sz="0" w:space="0" w:color="auto"/>
        <w:left w:val="none" w:sz="0" w:space="0" w:color="auto"/>
        <w:bottom w:val="none" w:sz="0" w:space="0" w:color="auto"/>
        <w:right w:val="none" w:sz="0" w:space="0" w:color="auto"/>
      </w:divBdr>
    </w:div>
    <w:div w:id="832138838">
      <w:bodyDiv w:val="1"/>
      <w:marLeft w:val="0"/>
      <w:marRight w:val="0"/>
      <w:marTop w:val="0"/>
      <w:marBottom w:val="0"/>
      <w:divBdr>
        <w:top w:val="none" w:sz="0" w:space="0" w:color="auto"/>
        <w:left w:val="none" w:sz="0" w:space="0" w:color="auto"/>
        <w:bottom w:val="none" w:sz="0" w:space="0" w:color="auto"/>
        <w:right w:val="none" w:sz="0" w:space="0" w:color="auto"/>
      </w:divBdr>
    </w:div>
    <w:div w:id="921185344">
      <w:bodyDiv w:val="1"/>
      <w:marLeft w:val="0"/>
      <w:marRight w:val="0"/>
      <w:marTop w:val="0"/>
      <w:marBottom w:val="0"/>
      <w:divBdr>
        <w:top w:val="none" w:sz="0" w:space="0" w:color="auto"/>
        <w:left w:val="none" w:sz="0" w:space="0" w:color="auto"/>
        <w:bottom w:val="none" w:sz="0" w:space="0" w:color="auto"/>
        <w:right w:val="none" w:sz="0" w:space="0" w:color="auto"/>
      </w:divBdr>
    </w:div>
    <w:div w:id="923564541">
      <w:bodyDiv w:val="1"/>
      <w:marLeft w:val="0"/>
      <w:marRight w:val="0"/>
      <w:marTop w:val="0"/>
      <w:marBottom w:val="0"/>
      <w:divBdr>
        <w:top w:val="none" w:sz="0" w:space="0" w:color="auto"/>
        <w:left w:val="none" w:sz="0" w:space="0" w:color="auto"/>
        <w:bottom w:val="none" w:sz="0" w:space="0" w:color="auto"/>
        <w:right w:val="none" w:sz="0" w:space="0" w:color="auto"/>
      </w:divBdr>
    </w:div>
    <w:div w:id="958727529">
      <w:bodyDiv w:val="1"/>
      <w:marLeft w:val="0"/>
      <w:marRight w:val="0"/>
      <w:marTop w:val="0"/>
      <w:marBottom w:val="0"/>
      <w:divBdr>
        <w:top w:val="none" w:sz="0" w:space="0" w:color="auto"/>
        <w:left w:val="none" w:sz="0" w:space="0" w:color="auto"/>
        <w:bottom w:val="none" w:sz="0" w:space="0" w:color="auto"/>
        <w:right w:val="none" w:sz="0" w:space="0" w:color="auto"/>
      </w:divBdr>
    </w:div>
    <w:div w:id="963003981">
      <w:bodyDiv w:val="1"/>
      <w:marLeft w:val="0"/>
      <w:marRight w:val="0"/>
      <w:marTop w:val="0"/>
      <w:marBottom w:val="0"/>
      <w:divBdr>
        <w:top w:val="none" w:sz="0" w:space="0" w:color="auto"/>
        <w:left w:val="none" w:sz="0" w:space="0" w:color="auto"/>
        <w:bottom w:val="none" w:sz="0" w:space="0" w:color="auto"/>
        <w:right w:val="none" w:sz="0" w:space="0" w:color="auto"/>
      </w:divBdr>
    </w:div>
    <w:div w:id="1000347349">
      <w:bodyDiv w:val="1"/>
      <w:marLeft w:val="0"/>
      <w:marRight w:val="0"/>
      <w:marTop w:val="0"/>
      <w:marBottom w:val="0"/>
      <w:divBdr>
        <w:top w:val="none" w:sz="0" w:space="0" w:color="auto"/>
        <w:left w:val="none" w:sz="0" w:space="0" w:color="auto"/>
        <w:bottom w:val="none" w:sz="0" w:space="0" w:color="auto"/>
        <w:right w:val="none" w:sz="0" w:space="0" w:color="auto"/>
      </w:divBdr>
    </w:div>
    <w:div w:id="1030448240">
      <w:bodyDiv w:val="1"/>
      <w:marLeft w:val="0"/>
      <w:marRight w:val="0"/>
      <w:marTop w:val="0"/>
      <w:marBottom w:val="0"/>
      <w:divBdr>
        <w:top w:val="none" w:sz="0" w:space="0" w:color="auto"/>
        <w:left w:val="none" w:sz="0" w:space="0" w:color="auto"/>
        <w:bottom w:val="none" w:sz="0" w:space="0" w:color="auto"/>
        <w:right w:val="none" w:sz="0" w:space="0" w:color="auto"/>
      </w:divBdr>
    </w:div>
    <w:div w:id="1041830915">
      <w:bodyDiv w:val="1"/>
      <w:marLeft w:val="0"/>
      <w:marRight w:val="0"/>
      <w:marTop w:val="0"/>
      <w:marBottom w:val="0"/>
      <w:divBdr>
        <w:top w:val="none" w:sz="0" w:space="0" w:color="auto"/>
        <w:left w:val="none" w:sz="0" w:space="0" w:color="auto"/>
        <w:bottom w:val="none" w:sz="0" w:space="0" w:color="auto"/>
        <w:right w:val="none" w:sz="0" w:space="0" w:color="auto"/>
      </w:divBdr>
    </w:div>
    <w:div w:id="1098913477">
      <w:bodyDiv w:val="1"/>
      <w:marLeft w:val="0"/>
      <w:marRight w:val="0"/>
      <w:marTop w:val="0"/>
      <w:marBottom w:val="0"/>
      <w:divBdr>
        <w:top w:val="none" w:sz="0" w:space="0" w:color="auto"/>
        <w:left w:val="none" w:sz="0" w:space="0" w:color="auto"/>
        <w:bottom w:val="none" w:sz="0" w:space="0" w:color="auto"/>
        <w:right w:val="none" w:sz="0" w:space="0" w:color="auto"/>
      </w:divBdr>
    </w:div>
    <w:div w:id="1122648174">
      <w:bodyDiv w:val="1"/>
      <w:marLeft w:val="0"/>
      <w:marRight w:val="0"/>
      <w:marTop w:val="0"/>
      <w:marBottom w:val="0"/>
      <w:divBdr>
        <w:top w:val="none" w:sz="0" w:space="0" w:color="auto"/>
        <w:left w:val="none" w:sz="0" w:space="0" w:color="auto"/>
        <w:bottom w:val="none" w:sz="0" w:space="0" w:color="auto"/>
        <w:right w:val="none" w:sz="0" w:space="0" w:color="auto"/>
      </w:divBdr>
    </w:div>
    <w:div w:id="1150293380">
      <w:bodyDiv w:val="1"/>
      <w:marLeft w:val="0"/>
      <w:marRight w:val="0"/>
      <w:marTop w:val="0"/>
      <w:marBottom w:val="0"/>
      <w:divBdr>
        <w:top w:val="none" w:sz="0" w:space="0" w:color="auto"/>
        <w:left w:val="none" w:sz="0" w:space="0" w:color="auto"/>
        <w:bottom w:val="none" w:sz="0" w:space="0" w:color="auto"/>
        <w:right w:val="none" w:sz="0" w:space="0" w:color="auto"/>
      </w:divBdr>
    </w:div>
    <w:div w:id="1251045146">
      <w:bodyDiv w:val="1"/>
      <w:marLeft w:val="0"/>
      <w:marRight w:val="0"/>
      <w:marTop w:val="0"/>
      <w:marBottom w:val="0"/>
      <w:divBdr>
        <w:top w:val="none" w:sz="0" w:space="0" w:color="auto"/>
        <w:left w:val="none" w:sz="0" w:space="0" w:color="auto"/>
        <w:bottom w:val="none" w:sz="0" w:space="0" w:color="auto"/>
        <w:right w:val="none" w:sz="0" w:space="0" w:color="auto"/>
      </w:divBdr>
    </w:div>
    <w:div w:id="1284968390">
      <w:bodyDiv w:val="1"/>
      <w:marLeft w:val="0"/>
      <w:marRight w:val="0"/>
      <w:marTop w:val="0"/>
      <w:marBottom w:val="0"/>
      <w:divBdr>
        <w:top w:val="none" w:sz="0" w:space="0" w:color="auto"/>
        <w:left w:val="none" w:sz="0" w:space="0" w:color="auto"/>
        <w:bottom w:val="none" w:sz="0" w:space="0" w:color="auto"/>
        <w:right w:val="none" w:sz="0" w:space="0" w:color="auto"/>
      </w:divBdr>
    </w:div>
    <w:div w:id="1288001917">
      <w:bodyDiv w:val="1"/>
      <w:marLeft w:val="0"/>
      <w:marRight w:val="0"/>
      <w:marTop w:val="0"/>
      <w:marBottom w:val="0"/>
      <w:divBdr>
        <w:top w:val="none" w:sz="0" w:space="0" w:color="auto"/>
        <w:left w:val="none" w:sz="0" w:space="0" w:color="auto"/>
        <w:bottom w:val="none" w:sz="0" w:space="0" w:color="auto"/>
        <w:right w:val="none" w:sz="0" w:space="0" w:color="auto"/>
      </w:divBdr>
    </w:div>
    <w:div w:id="1428040792">
      <w:bodyDiv w:val="1"/>
      <w:marLeft w:val="0"/>
      <w:marRight w:val="0"/>
      <w:marTop w:val="0"/>
      <w:marBottom w:val="0"/>
      <w:divBdr>
        <w:top w:val="none" w:sz="0" w:space="0" w:color="auto"/>
        <w:left w:val="none" w:sz="0" w:space="0" w:color="auto"/>
        <w:bottom w:val="none" w:sz="0" w:space="0" w:color="auto"/>
        <w:right w:val="none" w:sz="0" w:space="0" w:color="auto"/>
      </w:divBdr>
    </w:div>
    <w:div w:id="1456633508">
      <w:bodyDiv w:val="1"/>
      <w:marLeft w:val="0"/>
      <w:marRight w:val="0"/>
      <w:marTop w:val="0"/>
      <w:marBottom w:val="0"/>
      <w:divBdr>
        <w:top w:val="none" w:sz="0" w:space="0" w:color="auto"/>
        <w:left w:val="none" w:sz="0" w:space="0" w:color="auto"/>
        <w:bottom w:val="none" w:sz="0" w:space="0" w:color="auto"/>
        <w:right w:val="none" w:sz="0" w:space="0" w:color="auto"/>
      </w:divBdr>
    </w:div>
    <w:div w:id="1502889149">
      <w:bodyDiv w:val="1"/>
      <w:marLeft w:val="0"/>
      <w:marRight w:val="0"/>
      <w:marTop w:val="0"/>
      <w:marBottom w:val="0"/>
      <w:divBdr>
        <w:top w:val="none" w:sz="0" w:space="0" w:color="auto"/>
        <w:left w:val="none" w:sz="0" w:space="0" w:color="auto"/>
        <w:bottom w:val="none" w:sz="0" w:space="0" w:color="auto"/>
        <w:right w:val="none" w:sz="0" w:space="0" w:color="auto"/>
      </w:divBdr>
    </w:div>
    <w:div w:id="1556241227">
      <w:bodyDiv w:val="1"/>
      <w:marLeft w:val="0"/>
      <w:marRight w:val="0"/>
      <w:marTop w:val="0"/>
      <w:marBottom w:val="0"/>
      <w:divBdr>
        <w:top w:val="none" w:sz="0" w:space="0" w:color="auto"/>
        <w:left w:val="none" w:sz="0" w:space="0" w:color="auto"/>
        <w:bottom w:val="none" w:sz="0" w:space="0" w:color="auto"/>
        <w:right w:val="none" w:sz="0" w:space="0" w:color="auto"/>
      </w:divBdr>
    </w:div>
    <w:div w:id="1570458279">
      <w:bodyDiv w:val="1"/>
      <w:marLeft w:val="0"/>
      <w:marRight w:val="0"/>
      <w:marTop w:val="0"/>
      <w:marBottom w:val="0"/>
      <w:divBdr>
        <w:top w:val="none" w:sz="0" w:space="0" w:color="auto"/>
        <w:left w:val="none" w:sz="0" w:space="0" w:color="auto"/>
        <w:bottom w:val="none" w:sz="0" w:space="0" w:color="auto"/>
        <w:right w:val="none" w:sz="0" w:space="0" w:color="auto"/>
      </w:divBdr>
    </w:div>
    <w:div w:id="1603298407">
      <w:bodyDiv w:val="1"/>
      <w:marLeft w:val="0"/>
      <w:marRight w:val="0"/>
      <w:marTop w:val="0"/>
      <w:marBottom w:val="0"/>
      <w:divBdr>
        <w:top w:val="none" w:sz="0" w:space="0" w:color="auto"/>
        <w:left w:val="none" w:sz="0" w:space="0" w:color="auto"/>
        <w:bottom w:val="none" w:sz="0" w:space="0" w:color="auto"/>
        <w:right w:val="none" w:sz="0" w:space="0" w:color="auto"/>
      </w:divBdr>
    </w:div>
    <w:div w:id="1627349608">
      <w:bodyDiv w:val="1"/>
      <w:marLeft w:val="0"/>
      <w:marRight w:val="0"/>
      <w:marTop w:val="0"/>
      <w:marBottom w:val="0"/>
      <w:divBdr>
        <w:top w:val="none" w:sz="0" w:space="0" w:color="auto"/>
        <w:left w:val="none" w:sz="0" w:space="0" w:color="auto"/>
        <w:bottom w:val="none" w:sz="0" w:space="0" w:color="auto"/>
        <w:right w:val="none" w:sz="0" w:space="0" w:color="auto"/>
      </w:divBdr>
    </w:div>
    <w:div w:id="1809399918">
      <w:bodyDiv w:val="1"/>
      <w:marLeft w:val="0"/>
      <w:marRight w:val="0"/>
      <w:marTop w:val="0"/>
      <w:marBottom w:val="0"/>
      <w:divBdr>
        <w:top w:val="none" w:sz="0" w:space="0" w:color="auto"/>
        <w:left w:val="none" w:sz="0" w:space="0" w:color="auto"/>
        <w:bottom w:val="none" w:sz="0" w:space="0" w:color="auto"/>
        <w:right w:val="none" w:sz="0" w:space="0" w:color="auto"/>
      </w:divBdr>
    </w:div>
    <w:div w:id="1843163153">
      <w:bodyDiv w:val="1"/>
      <w:marLeft w:val="0"/>
      <w:marRight w:val="0"/>
      <w:marTop w:val="0"/>
      <w:marBottom w:val="0"/>
      <w:divBdr>
        <w:top w:val="none" w:sz="0" w:space="0" w:color="auto"/>
        <w:left w:val="none" w:sz="0" w:space="0" w:color="auto"/>
        <w:bottom w:val="none" w:sz="0" w:space="0" w:color="auto"/>
        <w:right w:val="none" w:sz="0" w:space="0" w:color="auto"/>
      </w:divBdr>
    </w:div>
    <w:div w:id="1856309518">
      <w:bodyDiv w:val="1"/>
      <w:marLeft w:val="0"/>
      <w:marRight w:val="0"/>
      <w:marTop w:val="0"/>
      <w:marBottom w:val="0"/>
      <w:divBdr>
        <w:top w:val="none" w:sz="0" w:space="0" w:color="auto"/>
        <w:left w:val="none" w:sz="0" w:space="0" w:color="auto"/>
        <w:bottom w:val="none" w:sz="0" w:space="0" w:color="auto"/>
        <w:right w:val="none" w:sz="0" w:space="0" w:color="auto"/>
      </w:divBdr>
    </w:div>
    <w:div w:id="1928033362">
      <w:bodyDiv w:val="1"/>
      <w:marLeft w:val="0"/>
      <w:marRight w:val="0"/>
      <w:marTop w:val="0"/>
      <w:marBottom w:val="0"/>
      <w:divBdr>
        <w:top w:val="none" w:sz="0" w:space="0" w:color="auto"/>
        <w:left w:val="none" w:sz="0" w:space="0" w:color="auto"/>
        <w:bottom w:val="none" w:sz="0" w:space="0" w:color="auto"/>
        <w:right w:val="none" w:sz="0" w:space="0" w:color="auto"/>
      </w:divBdr>
    </w:div>
    <w:div w:id="1992518809">
      <w:bodyDiv w:val="1"/>
      <w:marLeft w:val="0"/>
      <w:marRight w:val="0"/>
      <w:marTop w:val="0"/>
      <w:marBottom w:val="0"/>
      <w:divBdr>
        <w:top w:val="none" w:sz="0" w:space="0" w:color="auto"/>
        <w:left w:val="none" w:sz="0" w:space="0" w:color="auto"/>
        <w:bottom w:val="none" w:sz="0" w:space="0" w:color="auto"/>
        <w:right w:val="none" w:sz="0" w:space="0" w:color="auto"/>
      </w:divBdr>
    </w:div>
    <w:div w:id="1999534251">
      <w:bodyDiv w:val="1"/>
      <w:marLeft w:val="0"/>
      <w:marRight w:val="0"/>
      <w:marTop w:val="0"/>
      <w:marBottom w:val="0"/>
      <w:divBdr>
        <w:top w:val="none" w:sz="0" w:space="0" w:color="auto"/>
        <w:left w:val="none" w:sz="0" w:space="0" w:color="auto"/>
        <w:bottom w:val="none" w:sz="0" w:space="0" w:color="auto"/>
        <w:right w:val="none" w:sz="0" w:space="0" w:color="auto"/>
      </w:divBdr>
    </w:div>
    <w:div w:id="2031180811">
      <w:bodyDiv w:val="1"/>
      <w:marLeft w:val="0"/>
      <w:marRight w:val="0"/>
      <w:marTop w:val="0"/>
      <w:marBottom w:val="0"/>
      <w:divBdr>
        <w:top w:val="none" w:sz="0" w:space="0" w:color="auto"/>
        <w:left w:val="none" w:sz="0" w:space="0" w:color="auto"/>
        <w:bottom w:val="none" w:sz="0" w:space="0" w:color="auto"/>
        <w:right w:val="none" w:sz="0" w:space="0" w:color="auto"/>
      </w:divBdr>
    </w:div>
    <w:div w:id="2054303126">
      <w:bodyDiv w:val="1"/>
      <w:marLeft w:val="0"/>
      <w:marRight w:val="0"/>
      <w:marTop w:val="0"/>
      <w:marBottom w:val="0"/>
      <w:divBdr>
        <w:top w:val="none" w:sz="0" w:space="0" w:color="auto"/>
        <w:left w:val="none" w:sz="0" w:space="0" w:color="auto"/>
        <w:bottom w:val="none" w:sz="0" w:space="0" w:color="auto"/>
        <w:right w:val="none" w:sz="0" w:space="0" w:color="auto"/>
      </w:divBdr>
    </w:div>
    <w:div w:id="2103646152">
      <w:bodyDiv w:val="1"/>
      <w:marLeft w:val="0"/>
      <w:marRight w:val="0"/>
      <w:marTop w:val="0"/>
      <w:marBottom w:val="0"/>
      <w:divBdr>
        <w:top w:val="none" w:sz="0" w:space="0" w:color="auto"/>
        <w:left w:val="none" w:sz="0" w:space="0" w:color="auto"/>
        <w:bottom w:val="none" w:sz="0" w:space="0" w:color="auto"/>
        <w:right w:val="none" w:sz="0" w:space="0" w:color="auto"/>
      </w:divBdr>
    </w:div>
    <w:div w:id="2112318004">
      <w:bodyDiv w:val="1"/>
      <w:marLeft w:val="0"/>
      <w:marRight w:val="0"/>
      <w:marTop w:val="0"/>
      <w:marBottom w:val="0"/>
      <w:divBdr>
        <w:top w:val="none" w:sz="0" w:space="0" w:color="auto"/>
        <w:left w:val="none" w:sz="0" w:space="0" w:color="auto"/>
        <w:bottom w:val="none" w:sz="0" w:space="0" w:color="auto"/>
        <w:right w:val="none" w:sz="0" w:space="0" w:color="auto"/>
      </w:divBdr>
    </w:div>
    <w:div w:id="2118673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2116/analsci.20p271" TargetMode="External"/><Relationship Id="rId13" Type="http://schemas.openxmlformats.org/officeDocument/2006/relationships/hyperlink" Target="https://www.semanticscholar.org/author/T.-Mahati/98160473" TargetMode="External"/><Relationship Id="rId3" Type="http://schemas.openxmlformats.org/officeDocument/2006/relationships/settings" Target="settings.xml"/><Relationship Id="rId7" Type="http://schemas.openxmlformats.org/officeDocument/2006/relationships/hyperlink" Target="https://doi.org/10.1016/j.ejim.2022.08.013" TargetMode="External"/><Relationship Id="rId12" Type="http://schemas.openxmlformats.org/officeDocument/2006/relationships/hyperlink" Target="https://www.semanticscholar.org/author/B.-Arun/832947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Metadoxine" TargetMode="External"/><Relationship Id="rId11" Type="http://schemas.openxmlformats.org/officeDocument/2006/relationships/hyperlink" Target="https://www.semanticscholar.org/author/V.-Venugopal/2076298445" TargetMode="External"/><Relationship Id="rId5" Type="http://schemas.openxmlformats.org/officeDocument/2006/relationships/image" Target="media/image1.png"/><Relationship Id="rId15" Type="http://schemas.openxmlformats.org/officeDocument/2006/relationships/hyperlink" Target="https://www.semanticscholar.org/author/T.-Kavitha/2102108174" TargetMode="External"/><Relationship Id="rId10" Type="http://schemas.openxmlformats.org/officeDocument/2006/relationships/hyperlink" Target="https://doi.org/10.1365/s10337-004-0429-z" TargetMode="External"/><Relationship Id="rId4" Type="http://schemas.openxmlformats.org/officeDocument/2006/relationships/webSettings" Target="webSettings.xml"/><Relationship Id="rId9" Type="http://schemas.openxmlformats.org/officeDocument/2006/relationships/hyperlink" Target="https://manu41.magtech.com.cn/Jweb_clyl/EN/Y2006/V11/I4/440" TargetMode="External"/><Relationship Id="rId14" Type="http://schemas.openxmlformats.org/officeDocument/2006/relationships/hyperlink" Target="https://www.semanticscholar.org/author/R.-Himaja/977697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769</TotalTime>
  <Pages>8</Pages>
  <Words>1640</Words>
  <Characters>9349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anusha anu</dc:creator>
  <cp:lastModifiedBy>saaniamohammad@outlook.com</cp:lastModifiedBy>
  <cp:revision>18</cp:revision>
  <dcterms:created xsi:type="dcterms:W3CDTF">2024-08-22T10:39:00Z</dcterms:created>
  <dcterms:modified xsi:type="dcterms:W3CDTF">2024-09-18T09:15:00Z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2024-08-06T00:00:00Z</vt:filetime>
  </property>
  <property fmtid="{D5CDD505-2E9C-101B-9397-08002B2CF9AE}" pid="3" name="Creator">
    <vt:lpwstr>Microsoft Word</vt:lpwstr>
  </property>
  <property fmtid="{D5CDD505-2E9C-101B-9397-08002B2CF9AE}" pid="4" name="LastSaved">
    <vt:filetime>2024-08-06T00:00:00Z</vt:filetime>
  </property>
</Properties>
</file>